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6.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7.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55C" w:rsidRDefault="00FA455C" w:rsidP="00FA455C">
      <w:pPr>
        <w:pStyle w:val="Heading1"/>
      </w:pPr>
      <w:bookmarkStart w:id="0" w:name="_GoBack"/>
      <w:bookmarkEnd w:id="0"/>
      <w:r>
        <w:t>Department of Employment</w:t>
      </w:r>
      <w:r>
        <w:br/>
        <w:t>STATEMENT BY THE ACCOUNTABLE AUTHORITY AND CHIEF FINANCIAL OFFICER</w:t>
      </w:r>
    </w:p>
    <w:p w:rsidR="008835EB" w:rsidRDefault="008835EB" w:rsidP="008835EB">
      <w:pPr>
        <w:pStyle w:val="ReferenceText"/>
      </w:pPr>
    </w:p>
    <w:p w:rsidR="008835EB" w:rsidRDefault="008835EB" w:rsidP="008835EB">
      <w:pPr>
        <w:pStyle w:val="PolicytextDept"/>
        <w:pBdr>
          <w:bottom w:val="none" w:sz="0" w:space="0" w:color="auto"/>
        </w:pBdr>
        <w:spacing w:line="276" w:lineRule="auto"/>
        <w:contextualSpacing/>
      </w:pPr>
      <w:r>
        <w:t xml:space="preserve">In our opinion, the attached financial statements for the year ended </w:t>
      </w:r>
      <w:r w:rsidR="00FA455C">
        <w:t>30 June</w:t>
      </w:r>
      <w:r>
        <w:t xml:space="preserve"> </w:t>
      </w:r>
      <w:r w:rsidR="00FA455C">
        <w:t>2016</w:t>
      </w:r>
      <w:r>
        <w:t xml:space="preserve"> comply with subsection 42(2) of the </w:t>
      </w:r>
    </w:p>
    <w:p w:rsidR="008835EB" w:rsidRDefault="008835EB" w:rsidP="008835EB">
      <w:pPr>
        <w:pStyle w:val="PolicytextDept"/>
        <w:pBdr>
          <w:bottom w:val="none" w:sz="0" w:space="0" w:color="auto"/>
        </w:pBdr>
        <w:spacing w:line="276" w:lineRule="auto"/>
        <w:contextualSpacing/>
      </w:pPr>
      <w:r w:rsidRPr="00D55D65">
        <w:rPr>
          <w:i/>
        </w:rPr>
        <w:t>Public Governance, Performance and Accountability Act 2013</w:t>
      </w:r>
      <w:r>
        <w:t xml:space="preserve"> (</w:t>
      </w:r>
      <w:proofErr w:type="spellStart"/>
      <w:r>
        <w:t>PGPA</w:t>
      </w:r>
      <w:proofErr w:type="spellEnd"/>
      <w:r>
        <w:t xml:space="preserve"> Act), and are based on properly maintained financial records as per subsection 41 (2) of the </w:t>
      </w:r>
      <w:proofErr w:type="spellStart"/>
      <w:r>
        <w:t>PGPA</w:t>
      </w:r>
      <w:proofErr w:type="spellEnd"/>
      <w:r>
        <w:t xml:space="preserve"> Act.</w:t>
      </w:r>
    </w:p>
    <w:p w:rsidR="008835EB" w:rsidRPr="003E46FB" w:rsidRDefault="008835EB" w:rsidP="008835EB">
      <w:pPr>
        <w:pStyle w:val="PolicytextDept"/>
        <w:pBdr>
          <w:bottom w:val="none" w:sz="0" w:space="0" w:color="auto"/>
        </w:pBdr>
        <w:spacing w:line="276" w:lineRule="auto"/>
        <w:rPr>
          <w:sz w:val="2"/>
          <w:szCs w:val="2"/>
        </w:rPr>
      </w:pPr>
    </w:p>
    <w:p w:rsidR="008835EB" w:rsidRPr="003E50C6" w:rsidRDefault="008835EB" w:rsidP="008835EB">
      <w:pPr>
        <w:pStyle w:val="PolicytextDept"/>
        <w:pBdr>
          <w:bottom w:val="none" w:sz="0" w:space="0" w:color="auto"/>
        </w:pBdr>
        <w:spacing w:line="276" w:lineRule="auto"/>
      </w:pPr>
      <w:r>
        <w:t>In our opinion, at the date of this statement, there are reasonable grounds to believe that the Department of Employment will be able to pay its debts as and when they fall due.</w:t>
      </w:r>
    </w:p>
    <w:p w:rsidR="008835EB" w:rsidRDefault="008835EB" w:rsidP="008835EB">
      <w:pPr>
        <w:pStyle w:val="PolicytextDept"/>
        <w:pBdr>
          <w:bottom w:val="none" w:sz="0" w:space="0" w:color="auto"/>
        </w:pBdr>
      </w:pPr>
    </w:p>
    <w:p w:rsidR="008835EB" w:rsidRDefault="008835EB" w:rsidP="008835EB">
      <w:pPr>
        <w:pStyle w:val="PolicytextDept"/>
        <w:pBdr>
          <w:bottom w:val="none" w:sz="0" w:space="0" w:color="auto"/>
        </w:pBdr>
      </w:pPr>
    </w:p>
    <w:p w:rsidR="008835EB" w:rsidRDefault="008835EB" w:rsidP="008835EB">
      <w:pPr>
        <w:pStyle w:val="PolicytextDept"/>
        <w:pBdr>
          <w:bottom w:val="none" w:sz="0" w:space="0" w:color="auto"/>
        </w:pBdr>
      </w:pPr>
    </w:p>
    <w:p w:rsidR="008835EB" w:rsidRDefault="008835EB" w:rsidP="008835EB">
      <w:pPr>
        <w:pStyle w:val="PolicytextDept"/>
        <w:pBdr>
          <w:bottom w:val="none" w:sz="0" w:space="0" w:color="auto"/>
        </w:pBdr>
      </w:pPr>
    </w:p>
    <w:tbl>
      <w:tblPr>
        <w:tblStyle w:val="TableGrid"/>
        <w:tblW w:w="9089" w:type="dxa"/>
        <w:tblInd w:w="85" w:type="dxa"/>
        <w:tblBorders>
          <w:top w:val="none" w:sz="0" w:space="0" w:color="auto"/>
          <w:left w:val="single" w:sz="4" w:space="0" w:color="00746B"/>
          <w:bottom w:val="none" w:sz="0" w:space="0" w:color="auto"/>
          <w:right w:val="single" w:sz="4" w:space="0" w:color="00746B"/>
          <w:insideH w:val="none" w:sz="0" w:space="0" w:color="auto"/>
          <w:insideV w:val="none" w:sz="0" w:space="0" w:color="auto"/>
        </w:tblBorders>
        <w:tblLook w:val="01E0" w:firstRow="1" w:lastRow="1" w:firstColumn="1" w:lastColumn="1" w:noHBand="0" w:noVBand="0"/>
      </w:tblPr>
      <w:tblGrid>
        <w:gridCol w:w="4544"/>
        <w:gridCol w:w="4545"/>
      </w:tblGrid>
      <w:tr w:rsidR="008835EB" w:rsidRPr="00A80EAF" w:rsidTr="007E3F2E">
        <w:trPr>
          <w:trHeight w:val="225"/>
        </w:trPr>
        <w:tc>
          <w:tcPr>
            <w:tcW w:w="4920" w:type="dxa"/>
            <w:hideMark/>
          </w:tcPr>
          <w:p w:rsidR="008835EB" w:rsidRPr="00A80EAF" w:rsidRDefault="008835EB" w:rsidP="007E3F2E">
            <w:pPr>
              <w:rPr>
                <w:rFonts w:asciiTheme="minorHAnsi" w:eastAsia="Arial Unicode MS" w:hAnsiTheme="minorHAnsi" w:cs="Arial Unicode MS"/>
              </w:rPr>
            </w:pPr>
            <w:r w:rsidRPr="00A80EAF">
              <w:rPr>
                <w:rFonts w:asciiTheme="minorHAnsi" w:eastAsia="Arial Unicode MS" w:hAnsiTheme="minorHAnsi" w:cs="Arial Unicode MS"/>
              </w:rPr>
              <w:t>Signed................................</w:t>
            </w:r>
          </w:p>
        </w:tc>
        <w:tc>
          <w:tcPr>
            <w:tcW w:w="4921" w:type="dxa"/>
            <w:hideMark/>
          </w:tcPr>
          <w:p w:rsidR="008835EB" w:rsidRPr="00A80EAF" w:rsidRDefault="008835EB" w:rsidP="007E3F2E">
            <w:pPr>
              <w:rPr>
                <w:rFonts w:asciiTheme="minorHAnsi" w:eastAsia="Arial Unicode MS" w:hAnsiTheme="minorHAnsi" w:cs="Arial Unicode MS"/>
              </w:rPr>
            </w:pPr>
            <w:r w:rsidRPr="00A80EAF">
              <w:rPr>
                <w:rFonts w:asciiTheme="minorHAnsi" w:eastAsia="Arial Unicode MS" w:hAnsiTheme="minorHAnsi" w:cs="Arial Unicode MS"/>
              </w:rPr>
              <w:t>Signed................................</w:t>
            </w:r>
          </w:p>
        </w:tc>
      </w:tr>
      <w:tr w:rsidR="008835EB" w:rsidRPr="00A80EAF" w:rsidTr="007E3F2E">
        <w:trPr>
          <w:trHeight w:val="1609"/>
        </w:trPr>
        <w:tc>
          <w:tcPr>
            <w:tcW w:w="4920" w:type="dxa"/>
          </w:tcPr>
          <w:p w:rsidR="008835EB" w:rsidRPr="00A80EAF" w:rsidRDefault="008835EB" w:rsidP="007E3F2E">
            <w:pPr>
              <w:rPr>
                <w:rFonts w:asciiTheme="minorHAnsi" w:eastAsia="Arial Unicode MS" w:hAnsiTheme="minorHAnsi" w:cs="Arial Unicode MS"/>
              </w:rPr>
            </w:pPr>
          </w:p>
          <w:p w:rsidR="008835EB" w:rsidRPr="00A80EAF" w:rsidRDefault="008835EB" w:rsidP="007E3F2E">
            <w:pPr>
              <w:rPr>
                <w:rFonts w:asciiTheme="minorHAnsi" w:eastAsia="Arial Unicode MS" w:hAnsiTheme="minorHAnsi" w:cs="Arial Unicode MS"/>
              </w:rPr>
            </w:pPr>
            <w:proofErr w:type="spellStart"/>
            <w:r w:rsidRPr="00A80EAF">
              <w:rPr>
                <w:rFonts w:asciiTheme="minorHAnsi" w:eastAsia="Arial Unicode MS" w:hAnsiTheme="minorHAnsi" w:cs="Arial Unicode MS"/>
              </w:rPr>
              <w:t>Reneé</w:t>
            </w:r>
            <w:proofErr w:type="spellEnd"/>
            <w:r w:rsidRPr="00A80EAF">
              <w:rPr>
                <w:rFonts w:asciiTheme="minorHAnsi" w:eastAsia="Arial Unicode MS" w:hAnsiTheme="minorHAnsi" w:cs="Arial Unicode MS"/>
              </w:rPr>
              <w:t xml:space="preserve"> Leon </w:t>
            </w:r>
            <w:proofErr w:type="spellStart"/>
            <w:r w:rsidRPr="00A80EAF">
              <w:rPr>
                <w:rFonts w:asciiTheme="minorHAnsi" w:eastAsia="Arial Unicode MS" w:hAnsiTheme="minorHAnsi" w:cs="Arial Unicode MS"/>
              </w:rPr>
              <w:t>PSM</w:t>
            </w:r>
            <w:proofErr w:type="spellEnd"/>
          </w:p>
          <w:p w:rsidR="008835EB" w:rsidRPr="00A80EAF" w:rsidRDefault="008835EB" w:rsidP="007E3F2E">
            <w:pPr>
              <w:rPr>
                <w:rFonts w:asciiTheme="minorHAnsi" w:eastAsia="Arial Unicode MS" w:hAnsiTheme="minorHAnsi" w:cs="Arial Unicode MS"/>
              </w:rPr>
            </w:pPr>
            <w:r>
              <w:rPr>
                <w:rFonts w:asciiTheme="minorHAnsi" w:eastAsia="Arial Unicode MS" w:hAnsiTheme="minorHAnsi" w:cs="Arial Unicode MS"/>
              </w:rPr>
              <w:t>Accountable Authority</w:t>
            </w:r>
          </w:p>
          <w:p w:rsidR="008835EB" w:rsidRPr="00A80EAF" w:rsidRDefault="008835EB" w:rsidP="007E3F2E">
            <w:pPr>
              <w:rPr>
                <w:rFonts w:asciiTheme="minorHAnsi" w:eastAsia="Arial Unicode MS" w:hAnsiTheme="minorHAnsi" w:cs="Arial Unicode MS"/>
              </w:rPr>
            </w:pPr>
          </w:p>
          <w:p w:rsidR="008835EB" w:rsidRPr="00A80EAF" w:rsidRDefault="008835EB" w:rsidP="007E3F2E">
            <w:pPr>
              <w:rPr>
                <w:rFonts w:asciiTheme="minorHAnsi" w:eastAsia="Arial Unicode MS" w:hAnsiTheme="minorHAnsi" w:cs="Arial Unicode MS"/>
              </w:rPr>
            </w:pPr>
            <w:r w:rsidRPr="00A80EAF">
              <w:rPr>
                <w:rFonts w:asciiTheme="minorHAnsi" w:eastAsia="Arial Unicode MS" w:hAnsiTheme="minorHAnsi" w:cs="Arial Unicode MS"/>
              </w:rPr>
              <w:t>[Date]</w:t>
            </w:r>
          </w:p>
        </w:tc>
        <w:tc>
          <w:tcPr>
            <w:tcW w:w="4921" w:type="dxa"/>
          </w:tcPr>
          <w:p w:rsidR="008835EB" w:rsidRPr="00A80EAF" w:rsidRDefault="008835EB" w:rsidP="007E3F2E">
            <w:pPr>
              <w:rPr>
                <w:rFonts w:asciiTheme="minorHAnsi" w:eastAsia="Arial Unicode MS" w:hAnsiTheme="minorHAnsi" w:cs="Arial Unicode MS"/>
              </w:rPr>
            </w:pPr>
          </w:p>
          <w:p w:rsidR="008835EB" w:rsidRPr="00A80EAF" w:rsidRDefault="008835EB" w:rsidP="007E3F2E">
            <w:pPr>
              <w:rPr>
                <w:rFonts w:asciiTheme="minorHAnsi" w:eastAsia="Arial Unicode MS" w:hAnsiTheme="minorHAnsi" w:cs="Arial Unicode MS"/>
              </w:rPr>
            </w:pPr>
            <w:r w:rsidRPr="00A80EAF">
              <w:rPr>
                <w:rFonts w:asciiTheme="minorHAnsi" w:eastAsia="Arial Unicode MS" w:hAnsiTheme="minorHAnsi" w:cs="Arial Unicode MS"/>
              </w:rPr>
              <w:t xml:space="preserve">Glen </w:t>
            </w:r>
            <w:proofErr w:type="spellStart"/>
            <w:r w:rsidRPr="00A80EAF">
              <w:rPr>
                <w:rFonts w:asciiTheme="minorHAnsi" w:eastAsia="Arial Unicode MS" w:hAnsiTheme="minorHAnsi" w:cs="Arial Unicode MS"/>
              </w:rPr>
              <w:t>Casson</w:t>
            </w:r>
            <w:proofErr w:type="spellEnd"/>
          </w:p>
          <w:p w:rsidR="008835EB" w:rsidRPr="00A80EAF" w:rsidRDefault="008835EB" w:rsidP="007E3F2E">
            <w:pPr>
              <w:rPr>
                <w:rFonts w:asciiTheme="minorHAnsi" w:eastAsia="Arial Unicode MS" w:hAnsiTheme="minorHAnsi" w:cs="Arial Unicode MS"/>
              </w:rPr>
            </w:pPr>
            <w:r w:rsidRPr="00A80EAF">
              <w:rPr>
                <w:rFonts w:asciiTheme="minorHAnsi" w:eastAsia="Arial Unicode MS" w:hAnsiTheme="minorHAnsi" w:cs="Arial Unicode MS"/>
              </w:rPr>
              <w:t>Chief Financial Officer</w:t>
            </w:r>
          </w:p>
          <w:p w:rsidR="008835EB" w:rsidRPr="00A80EAF" w:rsidRDefault="008835EB" w:rsidP="007E3F2E">
            <w:pPr>
              <w:rPr>
                <w:rFonts w:asciiTheme="minorHAnsi" w:eastAsia="Arial Unicode MS" w:hAnsiTheme="minorHAnsi" w:cs="Arial Unicode MS"/>
              </w:rPr>
            </w:pPr>
          </w:p>
          <w:p w:rsidR="008835EB" w:rsidRPr="00A80EAF" w:rsidRDefault="008835EB" w:rsidP="007E3F2E">
            <w:pPr>
              <w:rPr>
                <w:rFonts w:asciiTheme="minorHAnsi" w:eastAsia="Arial Unicode MS" w:hAnsiTheme="minorHAnsi" w:cs="Arial Unicode MS"/>
              </w:rPr>
            </w:pPr>
            <w:r w:rsidRPr="00A80EAF">
              <w:rPr>
                <w:rFonts w:asciiTheme="minorHAnsi" w:eastAsia="Arial Unicode MS" w:hAnsiTheme="minorHAnsi" w:cs="Arial Unicode MS"/>
              </w:rPr>
              <w:t>[Date]</w:t>
            </w:r>
          </w:p>
        </w:tc>
      </w:tr>
    </w:tbl>
    <w:p w:rsidR="008835EB" w:rsidRDefault="008835EB" w:rsidP="008835EB">
      <w:pPr>
        <w:pStyle w:val="PolicytextDept"/>
        <w:pBdr>
          <w:top w:val="none" w:sz="0" w:space="0" w:color="auto"/>
        </w:pBdr>
        <w:spacing w:after="0"/>
      </w:pPr>
    </w:p>
    <w:p w:rsidR="008835EB" w:rsidRDefault="008835EB" w:rsidP="008835EB">
      <w:pPr>
        <w:pStyle w:val="PolicytextDept"/>
        <w:pBdr>
          <w:top w:val="none" w:sz="0" w:space="0" w:color="auto"/>
        </w:pBdr>
      </w:pPr>
    </w:p>
    <w:p w:rsidR="008835EB" w:rsidRDefault="008835EB" w:rsidP="008835EB">
      <w:pPr>
        <w:pStyle w:val="PolicytextDept"/>
        <w:pBdr>
          <w:top w:val="none" w:sz="0" w:space="0" w:color="auto"/>
        </w:pBdr>
      </w:pPr>
    </w:p>
    <w:p w:rsidR="008835EB" w:rsidRDefault="008835EB" w:rsidP="008835EB">
      <w:pPr>
        <w:pStyle w:val="PolicytextDept"/>
        <w:sectPr w:rsidR="008835EB" w:rsidSect="00F74C2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958" w:footer="737" w:gutter="0"/>
          <w:cols w:space="720"/>
        </w:sectPr>
      </w:pPr>
    </w:p>
    <w:p w:rsidR="00FA455C" w:rsidRDefault="00FA455C" w:rsidP="00FA455C">
      <w:pPr>
        <w:pStyle w:val="Heading1"/>
      </w:pPr>
      <w:bookmarkStart w:id="1" w:name="Note_DPLTABLE1" w:colFirst="0" w:colLast="0"/>
      <w:r>
        <w:lastRenderedPageBreak/>
        <w:t>Department of Employment</w:t>
      </w:r>
      <w:r>
        <w:br/>
        <w:t>STATEMENT OF COMPREHENSIVE INCOME</w:t>
      </w:r>
      <w:r>
        <w:br/>
        <w:t>for the period ended 30 June 2016</w:t>
      </w:r>
    </w:p>
    <w:p w:rsidR="00FA455C" w:rsidRDefault="00FA455C" w:rsidP="007E3F2E">
      <w:pPr>
        <w:rPr>
          <w:rFonts w:cs="Calibri"/>
          <w:szCs w:val="18"/>
        </w:rPr>
        <w:sectPr w:rsidR="00FA455C" w:rsidSect="00F74C23">
          <w:headerReference w:type="even" r:id="rId14"/>
          <w:headerReference w:type="default" r:id="rId15"/>
          <w:footerReference w:type="default" r:id="rId16"/>
          <w:headerReference w:type="first" r:id="rId17"/>
          <w:pgSz w:w="11906" w:h="16838"/>
          <w:pgMar w:top="1134" w:right="1134" w:bottom="1134" w:left="1134" w:header="958" w:footer="737" w:gutter="0"/>
          <w:pgNumType w:start="1"/>
          <w:cols w:space="720"/>
        </w:sectPr>
      </w:pPr>
    </w:p>
    <w:tbl>
      <w:tblPr>
        <w:tblW w:w="9087" w:type="dxa"/>
        <w:tblInd w:w="80" w:type="dxa"/>
        <w:tblLayout w:type="fixed"/>
        <w:tblLook w:val="04A0" w:firstRow="1" w:lastRow="0" w:firstColumn="1" w:lastColumn="0" w:noHBand="0" w:noVBand="1"/>
      </w:tblPr>
      <w:tblGrid>
        <w:gridCol w:w="4330"/>
        <w:gridCol w:w="1092"/>
        <w:gridCol w:w="1116"/>
        <w:gridCol w:w="238"/>
        <w:gridCol w:w="1042"/>
        <w:gridCol w:w="238"/>
        <w:gridCol w:w="1031"/>
      </w:tblGrid>
      <w:tr w:rsidR="008835EB" w:rsidTr="007E3F2E">
        <w:trPr>
          <w:trHeight w:val="709"/>
        </w:trPr>
        <w:tc>
          <w:tcPr>
            <w:tcW w:w="4288"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lastRenderedPageBreak/>
              <w:t> </w:t>
            </w:r>
          </w:p>
        </w:tc>
        <w:tc>
          <w:tcPr>
            <w:tcW w:w="1081"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10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2016</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2015</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 xml:space="preserve">Original </w:t>
            </w:r>
            <w:proofErr w:type="spellStart"/>
            <w:r>
              <w:rPr>
                <w:rFonts w:cs="Calibri"/>
                <w:szCs w:val="18"/>
              </w:rPr>
              <w:t>Budget</w:t>
            </w:r>
            <w:r>
              <w:rPr>
                <w:rFonts w:cs="Calibri"/>
                <w:szCs w:val="18"/>
                <w:vertAlign w:val="superscript"/>
              </w:rPr>
              <w:t>1</w:t>
            </w:r>
            <w:proofErr w:type="spellEnd"/>
          </w:p>
        </w:tc>
      </w:tr>
      <w:bookmarkEnd w:id="1"/>
      <w:tr w:rsidR="008835EB" w:rsidTr="007E3F2E">
        <w:trPr>
          <w:trHeight w:val="255"/>
        </w:trPr>
        <w:tc>
          <w:tcPr>
            <w:tcW w:w="4288"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b/>
                <w:bCs/>
                <w:szCs w:val="18"/>
              </w:rPr>
            </w:pPr>
            <w:r>
              <w:rPr>
                <w:rFonts w:cs="Calibri"/>
                <w:b/>
                <w:bCs/>
                <w:szCs w:val="18"/>
              </w:rPr>
              <w:t>Notes</w:t>
            </w:r>
          </w:p>
        </w:tc>
        <w:tc>
          <w:tcPr>
            <w:tcW w:w="110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$'000</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$'000</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4288"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NET COST OF SERVICES</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0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55"/>
        </w:trPr>
        <w:tc>
          <w:tcPr>
            <w:tcW w:w="4288"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EXPENSES</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0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55"/>
        </w:trPr>
        <w:tc>
          <w:tcPr>
            <w:tcW w:w="4288"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Employee benefits</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proofErr w:type="spellStart"/>
            <w:r>
              <w:rPr>
                <w:rFonts w:cs="Calibri"/>
                <w:szCs w:val="18"/>
              </w:rPr>
              <w:t>1.1A</w:t>
            </w:r>
            <w:proofErr w:type="spellEnd"/>
          </w:p>
        </w:tc>
        <w:tc>
          <w:tcPr>
            <w:tcW w:w="110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203,275</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181,679</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218,026 </w:t>
            </w:r>
          </w:p>
        </w:tc>
      </w:tr>
      <w:tr w:rsidR="008835EB" w:rsidTr="007E3F2E">
        <w:trPr>
          <w:trHeight w:val="255"/>
        </w:trPr>
        <w:tc>
          <w:tcPr>
            <w:tcW w:w="4288"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Suppliers</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proofErr w:type="spellStart"/>
            <w:r>
              <w:rPr>
                <w:rFonts w:cs="Calibri"/>
                <w:szCs w:val="18"/>
              </w:rPr>
              <w:t>1.1B</w:t>
            </w:r>
            <w:proofErr w:type="spellEnd"/>
          </w:p>
        </w:tc>
        <w:tc>
          <w:tcPr>
            <w:tcW w:w="110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101,847</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123,520</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86,213 </w:t>
            </w:r>
          </w:p>
        </w:tc>
      </w:tr>
      <w:tr w:rsidR="008835EB" w:rsidTr="007E3F2E">
        <w:trPr>
          <w:trHeight w:val="255"/>
        </w:trPr>
        <w:tc>
          <w:tcPr>
            <w:tcW w:w="4288"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 xml:space="preserve">Grants </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proofErr w:type="spellStart"/>
            <w:r>
              <w:rPr>
                <w:rFonts w:cs="Calibri"/>
                <w:szCs w:val="18"/>
              </w:rPr>
              <w:t>1.1C</w:t>
            </w:r>
            <w:proofErr w:type="spellEnd"/>
          </w:p>
        </w:tc>
        <w:tc>
          <w:tcPr>
            <w:tcW w:w="110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300</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1,439</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r>
      <w:tr w:rsidR="008835EB" w:rsidTr="007E3F2E">
        <w:trPr>
          <w:trHeight w:val="255"/>
        </w:trPr>
        <w:tc>
          <w:tcPr>
            <w:tcW w:w="4288"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Depreciation and amortisation</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proofErr w:type="spellStart"/>
            <w:r>
              <w:rPr>
                <w:rFonts w:cs="Calibri"/>
                <w:szCs w:val="18"/>
              </w:rPr>
              <w:t>3.2A</w:t>
            </w:r>
            <w:proofErr w:type="spellEnd"/>
          </w:p>
        </w:tc>
        <w:tc>
          <w:tcPr>
            <w:tcW w:w="110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21,861</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27,875</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34,072 </w:t>
            </w:r>
          </w:p>
        </w:tc>
      </w:tr>
      <w:tr w:rsidR="008835EB" w:rsidTr="007E3F2E">
        <w:trPr>
          <w:trHeight w:val="255"/>
        </w:trPr>
        <w:tc>
          <w:tcPr>
            <w:tcW w:w="4288"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Finance costs</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proofErr w:type="spellStart"/>
            <w:r>
              <w:rPr>
                <w:rFonts w:cs="Calibri"/>
                <w:szCs w:val="18"/>
              </w:rPr>
              <w:t>1.1D</w:t>
            </w:r>
            <w:proofErr w:type="spellEnd"/>
          </w:p>
        </w:tc>
        <w:tc>
          <w:tcPr>
            <w:tcW w:w="110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95</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474</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r>
      <w:tr w:rsidR="008835EB" w:rsidTr="007E3F2E">
        <w:trPr>
          <w:trHeight w:val="255"/>
        </w:trPr>
        <w:tc>
          <w:tcPr>
            <w:tcW w:w="4288"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Write-down and impairment of assets</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proofErr w:type="spellStart"/>
            <w:r>
              <w:rPr>
                <w:rFonts w:cs="Calibri"/>
                <w:szCs w:val="18"/>
              </w:rPr>
              <w:t>1.1E</w:t>
            </w:r>
            <w:proofErr w:type="spellEnd"/>
          </w:p>
        </w:tc>
        <w:tc>
          <w:tcPr>
            <w:tcW w:w="110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371</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848</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r>
      <w:tr w:rsidR="008835EB" w:rsidTr="007E3F2E">
        <w:trPr>
          <w:trHeight w:val="255"/>
        </w:trPr>
        <w:tc>
          <w:tcPr>
            <w:tcW w:w="4288"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Losses from asset sales</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0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463</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224</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r>
      <w:tr w:rsidR="008835EB" w:rsidTr="007E3F2E">
        <w:trPr>
          <w:trHeight w:val="270"/>
        </w:trPr>
        <w:tc>
          <w:tcPr>
            <w:tcW w:w="4288"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expenses</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05"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328,212</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336,059</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338,311</w:t>
            </w:r>
          </w:p>
        </w:tc>
      </w:tr>
      <w:tr w:rsidR="008835EB" w:rsidTr="007E3F2E">
        <w:trPr>
          <w:trHeight w:val="270"/>
        </w:trPr>
        <w:tc>
          <w:tcPr>
            <w:tcW w:w="4288"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 </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0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55"/>
        </w:trPr>
        <w:tc>
          <w:tcPr>
            <w:tcW w:w="4288"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OWN-SOURCE INCOME</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0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55"/>
        </w:trPr>
        <w:tc>
          <w:tcPr>
            <w:tcW w:w="4288"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Own-source revenue</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0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55"/>
        </w:trPr>
        <w:tc>
          <w:tcPr>
            <w:tcW w:w="4288"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Sale of goods and rendering of services</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proofErr w:type="spellStart"/>
            <w:r>
              <w:rPr>
                <w:rFonts w:cs="Calibri"/>
                <w:szCs w:val="18"/>
              </w:rPr>
              <w:t>1.2A</w:t>
            </w:r>
            <w:proofErr w:type="spellEnd"/>
          </w:p>
        </w:tc>
        <w:tc>
          <w:tcPr>
            <w:tcW w:w="110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23,813</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26,100</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17,713 </w:t>
            </w:r>
          </w:p>
        </w:tc>
      </w:tr>
      <w:tr w:rsidR="008835EB" w:rsidTr="007E3F2E">
        <w:trPr>
          <w:trHeight w:val="255"/>
        </w:trPr>
        <w:tc>
          <w:tcPr>
            <w:tcW w:w="4288"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External audit</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0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460</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460</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460 </w:t>
            </w:r>
          </w:p>
        </w:tc>
      </w:tr>
      <w:tr w:rsidR="008835EB" w:rsidTr="007E3F2E">
        <w:trPr>
          <w:trHeight w:val="255"/>
        </w:trPr>
        <w:tc>
          <w:tcPr>
            <w:tcW w:w="4288"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Total own-source revenue</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05"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24,273</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26,560</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18,173</w:t>
            </w:r>
          </w:p>
        </w:tc>
      </w:tr>
      <w:tr w:rsidR="008835EB" w:rsidTr="007E3F2E">
        <w:trPr>
          <w:trHeight w:val="255"/>
        </w:trPr>
        <w:tc>
          <w:tcPr>
            <w:tcW w:w="4288"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 </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0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55"/>
        </w:trPr>
        <w:tc>
          <w:tcPr>
            <w:tcW w:w="4288"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Gains</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0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55"/>
        </w:trPr>
        <w:tc>
          <w:tcPr>
            <w:tcW w:w="4288"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Other gains</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proofErr w:type="spellStart"/>
            <w:r>
              <w:rPr>
                <w:rFonts w:cs="Calibri"/>
                <w:szCs w:val="18"/>
              </w:rPr>
              <w:t>1.2B</w:t>
            </w:r>
            <w:proofErr w:type="spellEnd"/>
          </w:p>
        </w:tc>
        <w:tc>
          <w:tcPr>
            <w:tcW w:w="110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3,752</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1,361</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r>
      <w:tr w:rsidR="008835EB" w:rsidTr="007E3F2E">
        <w:trPr>
          <w:trHeight w:val="255"/>
        </w:trPr>
        <w:tc>
          <w:tcPr>
            <w:tcW w:w="4288"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Total gains</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05"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3,752</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1,361</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w:t>
            </w:r>
          </w:p>
        </w:tc>
      </w:tr>
      <w:tr w:rsidR="008835EB" w:rsidTr="007E3F2E">
        <w:trPr>
          <w:trHeight w:val="270"/>
        </w:trPr>
        <w:tc>
          <w:tcPr>
            <w:tcW w:w="4288"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own-source income</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05" w:type="dxa"/>
            <w:tcBorders>
              <w:top w:val="nil"/>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28,025</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nil"/>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27,921</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nil"/>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18,173</w:t>
            </w:r>
          </w:p>
        </w:tc>
      </w:tr>
      <w:tr w:rsidR="008835EB" w:rsidTr="007E3F2E">
        <w:trPr>
          <w:trHeight w:val="270"/>
        </w:trPr>
        <w:tc>
          <w:tcPr>
            <w:tcW w:w="4288"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 </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0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55"/>
        </w:trPr>
        <w:tc>
          <w:tcPr>
            <w:tcW w:w="4288"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 xml:space="preserve">Net cost of services </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05"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300,187</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308,138</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320,138</w:t>
            </w:r>
          </w:p>
        </w:tc>
      </w:tr>
      <w:tr w:rsidR="008835EB" w:rsidTr="007E3F2E">
        <w:trPr>
          <w:trHeight w:val="255"/>
        </w:trPr>
        <w:tc>
          <w:tcPr>
            <w:tcW w:w="4288"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 </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0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55"/>
        </w:trPr>
        <w:tc>
          <w:tcPr>
            <w:tcW w:w="4288"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Revenue from Government</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0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280,305</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295,989</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286,066 </w:t>
            </w:r>
          </w:p>
        </w:tc>
      </w:tr>
      <w:tr w:rsidR="008835EB" w:rsidTr="007E3F2E">
        <w:trPr>
          <w:trHeight w:val="255"/>
        </w:trPr>
        <w:tc>
          <w:tcPr>
            <w:tcW w:w="4288"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Deficit attributable to the Australian Government</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05"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(19,882)</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(12,149)</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(34,072)</w:t>
            </w:r>
          </w:p>
        </w:tc>
      </w:tr>
      <w:tr w:rsidR="008835EB" w:rsidTr="007E3F2E">
        <w:trPr>
          <w:trHeight w:val="255"/>
        </w:trPr>
        <w:tc>
          <w:tcPr>
            <w:tcW w:w="4288"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 </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0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55"/>
        </w:trPr>
        <w:tc>
          <w:tcPr>
            <w:tcW w:w="4288"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OTHER COMPREHENSIVE INCOME</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0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480"/>
        </w:trPr>
        <w:tc>
          <w:tcPr>
            <w:tcW w:w="4288"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Items not subject to subsequent reclassification to net cost of services</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0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55"/>
        </w:trPr>
        <w:tc>
          <w:tcPr>
            <w:tcW w:w="4288"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Changes in asset revaluation surplus</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0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6,876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r>
      <w:tr w:rsidR="008835EB" w:rsidTr="007E3F2E">
        <w:trPr>
          <w:trHeight w:val="255"/>
        </w:trPr>
        <w:tc>
          <w:tcPr>
            <w:tcW w:w="4288"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other comprehensive income</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05"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6,876</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w:t>
            </w:r>
          </w:p>
        </w:tc>
      </w:tr>
      <w:tr w:rsidR="008835EB" w:rsidTr="007E3F2E">
        <w:trPr>
          <w:trHeight w:val="255"/>
        </w:trPr>
        <w:tc>
          <w:tcPr>
            <w:tcW w:w="4288"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 </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0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70"/>
        </w:trPr>
        <w:tc>
          <w:tcPr>
            <w:tcW w:w="4288"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comprehensive loss</w:t>
            </w:r>
          </w:p>
        </w:tc>
        <w:tc>
          <w:tcPr>
            <w:tcW w:w="1081"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05"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(13,006)</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2"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(12,149)</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21"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(34,072)</w:t>
            </w:r>
          </w:p>
        </w:tc>
      </w:tr>
    </w:tbl>
    <w:p w:rsidR="008835EB" w:rsidRDefault="008835EB" w:rsidP="008835EB">
      <w:pPr>
        <w:spacing w:line="240" w:lineRule="auto"/>
        <w:rPr>
          <w:rFonts w:cs="Calibri"/>
          <w:szCs w:val="18"/>
        </w:rPr>
      </w:pPr>
    </w:p>
    <w:p w:rsidR="008835EB" w:rsidRPr="00F73BAA" w:rsidRDefault="008835EB" w:rsidP="008835EB">
      <w:pPr>
        <w:pStyle w:val="ListParagraph"/>
        <w:numPr>
          <w:ilvl w:val="0"/>
          <w:numId w:val="20"/>
        </w:numPr>
        <w:spacing w:line="240" w:lineRule="auto"/>
        <w:ind w:left="426" w:right="424"/>
        <w:rPr>
          <w:rFonts w:cs="Calibri"/>
          <w:szCs w:val="18"/>
        </w:rPr>
        <w:sectPr w:rsidR="008835EB" w:rsidRPr="00F73BAA" w:rsidSect="00FA455C">
          <w:type w:val="continuous"/>
          <w:pgSz w:w="11906" w:h="16838"/>
          <w:pgMar w:top="1134" w:right="1134" w:bottom="1134" w:left="1134" w:header="958" w:footer="737" w:gutter="0"/>
          <w:pgNumType w:start="1"/>
          <w:cols w:space="720"/>
        </w:sectPr>
      </w:pPr>
      <w:r w:rsidRPr="00F00DF9">
        <w:rPr>
          <w:rFonts w:cs="Calibri"/>
          <w:szCs w:val="18"/>
        </w:rPr>
        <w:t xml:space="preserve">Employment’s original budgeted financial statement that was first presented to parliament in respect of the reporting </w:t>
      </w:r>
      <w:r w:rsidRPr="00F73BAA">
        <w:rPr>
          <w:rFonts w:cs="Calibri"/>
          <w:szCs w:val="18"/>
        </w:rPr>
        <w:t>period was the 2015–16 Portfolio Budget Statements.</w:t>
      </w:r>
      <w:r>
        <w:br w:type="page"/>
      </w:r>
    </w:p>
    <w:p w:rsidR="00FA455C" w:rsidRDefault="00FA455C" w:rsidP="00FA455C">
      <w:pPr>
        <w:pStyle w:val="Heading1"/>
      </w:pPr>
      <w:bookmarkStart w:id="2" w:name="Note_DBSTABLE1" w:colFirst="0" w:colLast="0"/>
      <w:r>
        <w:lastRenderedPageBreak/>
        <w:t>Department of Employment</w:t>
      </w:r>
      <w:r>
        <w:br/>
        <w:t>STATEMENT OF FINANCIAL POSITION</w:t>
      </w:r>
      <w:r>
        <w:br/>
        <w:t>as at 30 June 2016</w:t>
      </w:r>
    </w:p>
    <w:p w:rsidR="00FA455C" w:rsidRDefault="00FA455C" w:rsidP="007E3F2E">
      <w:pPr>
        <w:rPr>
          <w:rFonts w:cs="Calibri"/>
          <w:szCs w:val="18"/>
        </w:rPr>
        <w:sectPr w:rsidR="00FA455C" w:rsidSect="00F74C23">
          <w:headerReference w:type="even" r:id="rId18"/>
          <w:headerReference w:type="default" r:id="rId19"/>
          <w:headerReference w:type="first" r:id="rId20"/>
          <w:pgSz w:w="11906" w:h="16838"/>
          <w:pgMar w:top="1134" w:right="1134" w:bottom="1134" w:left="1134" w:header="958" w:footer="737" w:gutter="0"/>
          <w:cols w:space="720"/>
        </w:sectPr>
      </w:pPr>
    </w:p>
    <w:tbl>
      <w:tblPr>
        <w:tblW w:w="9087" w:type="dxa"/>
        <w:tblInd w:w="80" w:type="dxa"/>
        <w:tblLayout w:type="fixed"/>
        <w:tblLook w:val="04A0" w:firstRow="1" w:lastRow="0" w:firstColumn="1" w:lastColumn="0" w:noHBand="0" w:noVBand="1"/>
      </w:tblPr>
      <w:tblGrid>
        <w:gridCol w:w="4605"/>
        <w:gridCol w:w="1159"/>
        <w:gridCol w:w="932"/>
        <w:gridCol w:w="239"/>
        <w:gridCol w:w="948"/>
        <w:gridCol w:w="239"/>
        <w:gridCol w:w="965"/>
      </w:tblGrid>
      <w:tr w:rsidR="008835EB" w:rsidTr="007E3F2E">
        <w:trPr>
          <w:trHeight w:val="525"/>
        </w:trPr>
        <w:tc>
          <w:tcPr>
            <w:tcW w:w="4557"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lastRenderedPageBreak/>
              <w:t> </w:t>
            </w:r>
          </w:p>
        </w:tc>
        <w:tc>
          <w:tcPr>
            <w:tcW w:w="1147"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2016</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2015</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 xml:space="preserve">Original </w:t>
            </w:r>
            <w:proofErr w:type="spellStart"/>
            <w:r>
              <w:rPr>
                <w:rFonts w:cs="Calibri"/>
                <w:szCs w:val="18"/>
              </w:rPr>
              <w:t>Budget</w:t>
            </w:r>
            <w:r>
              <w:rPr>
                <w:rFonts w:cs="Calibri"/>
                <w:szCs w:val="18"/>
                <w:vertAlign w:val="superscript"/>
              </w:rPr>
              <w:t>1</w:t>
            </w:r>
            <w:proofErr w:type="spellEnd"/>
          </w:p>
        </w:tc>
      </w:tr>
      <w:bookmarkEnd w:id="2"/>
      <w:tr w:rsidR="008835EB" w:rsidTr="007E3F2E">
        <w:trPr>
          <w:trHeight w:val="255"/>
        </w:trPr>
        <w:tc>
          <w:tcPr>
            <w:tcW w:w="4557"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b/>
                <w:bCs/>
                <w:szCs w:val="18"/>
              </w:rPr>
            </w:pPr>
            <w:r>
              <w:rPr>
                <w:rFonts w:cs="Calibri"/>
                <w:b/>
                <w:bCs/>
                <w:szCs w:val="18"/>
              </w:rPr>
              <w:t>Notes</w:t>
            </w:r>
          </w:p>
        </w:tc>
        <w:tc>
          <w:tcPr>
            <w:tcW w:w="92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$'000</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$'000</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4557"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ASSETS</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92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4557"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Financial Assets</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92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4557"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Cash and cash equivalents</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92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3,876</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6,321</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2,768 </w:t>
            </w:r>
          </w:p>
        </w:tc>
      </w:tr>
      <w:tr w:rsidR="008835EB" w:rsidTr="007E3F2E">
        <w:trPr>
          <w:trHeight w:val="255"/>
        </w:trPr>
        <w:tc>
          <w:tcPr>
            <w:tcW w:w="4557"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Trade and other receivables</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proofErr w:type="spellStart"/>
            <w:r>
              <w:rPr>
                <w:rFonts w:cs="Calibri"/>
                <w:szCs w:val="18"/>
              </w:rPr>
              <w:t>3.1A</w:t>
            </w:r>
            <w:proofErr w:type="spellEnd"/>
          </w:p>
        </w:tc>
        <w:tc>
          <w:tcPr>
            <w:tcW w:w="92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126,871</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116,131</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71,568 </w:t>
            </w:r>
          </w:p>
        </w:tc>
      </w:tr>
      <w:tr w:rsidR="008835EB" w:rsidTr="007E3F2E">
        <w:trPr>
          <w:trHeight w:val="255"/>
        </w:trPr>
        <w:tc>
          <w:tcPr>
            <w:tcW w:w="4557"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Other financial assets</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proofErr w:type="spellStart"/>
            <w:r>
              <w:rPr>
                <w:rFonts w:cs="Calibri"/>
                <w:szCs w:val="18"/>
              </w:rPr>
              <w:t>3.1B</w:t>
            </w:r>
            <w:proofErr w:type="spellEnd"/>
          </w:p>
        </w:tc>
        <w:tc>
          <w:tcPr>
            <w:tcW w:w="92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1,764</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4,094</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r>
      <w:tr w:rsidR="008835EB" w:rsidTr="007E3F2E">
        <w:trPr>
          <w:trHeight w:val="255"/>
        </w:trPr>
        <w:tc>
          <w:tcPr>
            <w:tcW w:w="4557"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Total financial assets</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922"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132,511</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126,546</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74,336</w:t>
            </w:r>
          </w:p>
        </w:tc>
      </w:tr>
      <w:tr w:rsidR="008835EB" w:rsidTr="007E3F2E">
        <w:trPr>
          <w:trHeight w:val="255"/>
        </w:trPr>
        <w:tc>
          <w:tcPr>
            <w:tcW w:w="4557"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92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4557"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Non-financial Assets</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92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4557"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Leasehold improvements</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proofErr w:type="spellStart"/>
            <w:r>
              <w:rPr>
                <w:rFonts w:cs="Calibri"/>
                <w:szCs w:val="18"/>
              </w:rPr>
              <w:t>3.2A</w:t>
            </w:r>
            <w:proofErr w:type="spellEnd"/>
          </w:p>
        </w:tc>
        <w:tc>
          <w:tcPr>
            <w:tcW w:w="92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23,274</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20,260</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20,173 </w:t>
            </w:r>
          </w:p>
        </w:tc>
      </w:tr>
      <w:tr w:rsidR="008835EB" w:rsidTr="007E3F2E">
        <w:trPr>
          <w:trHeight w:val="255"/>
        </w:trPr>
        <w:tc>
          <w:tcPr>
            <w:tcW w:w="4557"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Infrastructure, plant and equipment</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proofErr w:type="spellStart"/>
            <w:r>
              <w:rPr>
                <w:rFonts w:cs="Calibri"/>
                <w:szCs w:val="18"/>
              </w:rPr>
              <w:t>3.2A</w:t>
            </w:r>
            <w:proofErr w:type="spellEnd"/>
          </w:p>
        </w:tc>
        <w:tc>
          <w:tcPr>
            <w:tcW w:w="92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13,714</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13,239</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15,580 </w:t>
            </w:r>
          </w:p>
        </w:tc>
      </w:tr>
      <w:tr w:rsidR="008835EB" w:rsidTr="007E3F2E">
        <w:trPr>
          <w:trHeight w:val="255"/>
        </w:trPr>
        <w:tc>
          <w:tcPr>
            <w:tcW w:w="4557"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Intangibles</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proofErr w:type="spellStart"/>
            <w:r>
              <w:rPr>
                <w:rFonts w:cs="Calibri"/>
                <w:szCs w:val="18"/>
              </w:rPr>
              <w:t>3.2A</w:t>
            </w:r>
            <w:proofErr w:type="spellEnd"/>
          </w:p>
        </w:tc>
        <w:tc>
          <w:tcPr>
            <w:tcW w:w="92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88,511</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65,761</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65,037 </w:t>
            </w:r>
          </w:p>
        </w:tc>
      </w:tr>
      <w:tr w:rsidR="008835EB" w:rsidTr="007E3F2E">
        <w:trPr>
          <w:trHeight w:val="255"/>
        </w:trPr>
        <w:tc>
          <w:tcPr>
            <w:tcW w:w="4557"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Other non-financial assets</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proofErr w:type="spellStart"/>
            <w:r>
              <w:rPr>
                <w:rFonts w:cs="Calibri"/>
                <w:szCs w:val="18"/>
              </w:rPr>
              <w:t>3.2B</w:t>
            </w:r>
            <w:proofErr w:type="spellEnd"/>
          </w:p>
        </w:tc>
        <w:tc>
          <w:tcPr>
            <w:tcW w:w="92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9,635</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12,011</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10,252 </w:t>
            </w:r>
          </w:p>
        </w:tc>
      </w:tr>
      <w:tr w:rsidR="008835EB" w:rsidTr="007E3F2E">
        <w:trPr>
          <w:trHeight w:val="255"/>
        </w:trPr>
        <w:tc>
          <w:tcPr>
            <w:tcW w:w="4557"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Total non-financial assets</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922"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135,134</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111,271</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111,042</w:t>
            </w:r>
          </w:p>
        </w:tc>
      </w:tr>
      <w:tr w:rsidR="008835EB" w:rsidTr="007E3F2E">
        <w:trPr>
          <w:trHeight w:val="255"/>
        </w:trPr>
        <w:tc>
          <w:tcPr>
            <w:tcW w:w="4557"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 </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92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70"/>
        </w:trPr>
        <w:tc>
          <w:tcPr>
            <w:tcW w:w="4557"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assets</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922"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267,645</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237,817</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185,378</w:t>
            </w:r>
          </w:p>
        </w:tc>
      </w:tr>
      <w:tr w:rsidR="008835EB" w:rsidTr="007E3F2E">
        <w:trPr>
          <w:trHeight w:val="270"/>
        </w:trPr>
        <w:tc>
          <w:tcPr>
            <w:tcW w:w="4557"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 </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92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55"/>
        </w:trPr>
        <w:tc>
          <w:tcPr>
            <w:tcW w:w="4557"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LIABILITIES</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92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55"/>
        </w:trPr>
        <w:tc>
          <w:tcPr>
            <w:tcW w:w="4557"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Payables</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92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55"/>
        </w:trPr>
        <w:tc>
          <w:tcPr>
            <w:tcW w:w="4557"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Suppliers</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proofErr w:type="spellStart"/>
            <w:r>
              <w:rPr>
                <w:rFonts w:cs="Calibri"/>
                <w:szCs w:val="18"/>
              </w:rPr>
              <w:t>3.3A</w:t>
            </w:r>
            <w:proofErr w:type="spellEnd"/>
          </w:p>
        </w:tc>
        <w:tc>
          <w:tcPr>
            <w:tcW w:w="92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17,879</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16,720</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6,146 </w:t>
            </w:r>
          </w:p>
        </w:tc>
      </w:tr>
      <w:tr w:rsidR="008835EB" w:rsidTr="007E3F2E">
        <w:trPr>
          <w:trHeight w:val="255"/>
        </w:trPr>
        <w:tc>
          <w:tcPr>
            <w:tcW w:w="4557"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Other payables</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proofErr w:type="spellStart"/>
            <w:r>
              <w:rPr>
                <w:rFonts w:cs="Calibri"/>
                <w:szCs w:val="18"/>
              </w:rPr>
              <w:t>3.3B</w:t>
            </w:r>
            <w:proofErr w:type="spellEnd"/>
          </w:p>
        </w:tc>
        <w:tc>
          <w:tcPr>
            <w:tcW w:w="92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32,959</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34,936</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11,690 </w:t>
            </w:r>
          </w:p>
        </w:tc>
      </w:tr>
      <w:tr w:rsidR="008835EB" w:rsidTr="007E3F2E">
        <w:trPr>
          <w:trHeight w:val="255"/>
        </w:trPr>
        <w:tc>
          <w:tcPr>
            <w:tcW w:w="4557"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Total payables</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922"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50,838</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51,656</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17,836</w:t>
            </w:r>
          </w:p>
        </w:tc>
      </w:tr>
      <w:tr w:rsidR="008835EB" w:rsidTr="007E3F2E">
        <w:trPr>
          <w:trHeight w:val="255"/>
        </w:trPr>
        <w:tc>
          <w:tcPr>
            <w:tcW w:w="4557"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 </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92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55"/>
        </w:trPr>
        <w:tc>
          <w:tcPr>
            <w:tcW w:w="4557"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Provisions</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92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55"/>
        </w:trPr>
        <w:tc>
          <w:tcPr>
            <w:tcW w:w="4557"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Employee provisions</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proofErr w:type="spellStart"/>
            <w:r>
              <w:rPr>
                <w:rFonts w:cs="Calibri"/>
                <w:szCs w:val="18"/>
              </w:rPr>
              <w:t>6.1A</w:t>
            </w:r>
            <w:proofErr w:type="spellEnd"/>
          </w:p>
        </w:tc>
        <w:tc>
          <w:tcPr>
            <w:tcW w:w="92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67,329</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62,596</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65,128 </w:t>
            </w:r>
          </w:p>
        </w:tc>
      </w:tr>
      <w:tr w:rsidR="008835EB" w:rsidTr="007E3F2E">
        <w:trPr>
          <w:trHeight w:val="255"/>
        </w:trPr>
        <w:tc>
          <w:tcPr>
            <w:tcW w:w="4557"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Other provisions</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proofErr w:type="spellStart"/>
            <w:r>
              <w:rPr>
                <w:rFonts w:cs="Calibri"/>
                <w:szCs w:val="18"/>
              </w:rPr>
              <w:t>3.4A</w:t>
            </w:r>
            <w:proofErr w:type="spellEnd"/>
          </w:p>
        </w:tc>
        <w:tc>
          <w:tcPr>
            <w:tcW w:w="92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2,397</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6,264</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1,315 </w:t>
            </w:r>
          </w:p>
        </w:tc>
      </w:tr>
      <w:tr w:rsidR="008835EB" w:rsidTr="007E3F2E">
        <w:trPr>
          <w:trHeight w:val="255"/>
        </w:trPr>
        <w:tc>
          <w:tcPr>
            <w:tcW w:w="4557"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Total provisions</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922"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69,726</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68,860</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66,443</w:t>
            </w:r>
          </w:p>
        </w:tc>
      </w:tr>
      <w:tr w:rsidR="008835EB" w:rsidTr="007E3F2E">
        <w:trPr>
          <w:trHeight w:val="255"/>
        </w:trPr>
        <w:tc>
          <w:tcPr>
            <w:tcW w:w="4557"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 </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92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70"/>
        </w:trPr>
        <w:tc>
          <w:tcPr>
            <w:tcW w:w="4557"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liabilities</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922"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120,564</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120,516</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84,279</w:t>
            </w:r>
          </w:p>
        </w:tc>
      </w:tr>
      <w:tr w:rsidR="008835EB" w:rsidTr="007E3F2E">
        <w:trPr>
          <w:trHeight w:val="270"/>
        </w:trPr>
        <w:tc>
          <w:tcPr>
            <w:tcW w:w="4557"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 </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922"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70"/>
        </w:trPr>
        <w:tc>
          <w:tcPr>
            <w:tcW w:w="4557"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Net assets</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922" w:type="dxa"/>
            <w:tcBorders>
              <w:top w:val="nil"/>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147,081</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nil"/>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117,301</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nil"/>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101,099</w:t>
            </w:r>
          </w:p>
        </w:tc>
      </w:tr>
      <w:tr w:rsidR="008835EB" w:rsidTr="007E3F2E">
        <w:trPr>
          <w:trHeight w:val="270"/>
        </w:trPr>
        <w:tc>
          <w:tcPr>
            <w:tcW w:w="4557"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 </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92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55"/>
        </w:trPr>
        <w:tc>
          <w:tcPr>
            <w:tcW w:w="4557"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EQUITY</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92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55"/>
        </w:trPr>
        <w:tc>
          <w:tcPr>
            <w:tcW w:w="4557"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Contributed equity</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92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194,301</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151,515</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187,726 </w:t>
            </w:r>
          </w:p>
        </w:tc>
      </w:tr>
      <w:tr w:rsidR="008835EB" w:rsidTr="007E3F2E">
        <w:trPr>
          <w:trHeight w:val="255"/>
        </w:trPr>
        <w:tc>
          <w:tcPr>
            <w:tcW w:w="4557"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Reserves</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92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10,252</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3,376</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3,376 </w:t>
            </w:r>
          </w:p>
        </w:tc>
      </w:tr>
      <w:tr w:rsidR="008835EB" w:rsidTr="007E3F2E">
        <w:trPr>
          <w:trHeight w:val="255"/>
        </w:trPr>
        <w:tc>
          <w:tcPr>
            <w:tcW w:w="4557"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Accumulated deficit</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92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(57,472)</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(37,590)</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(90,003)</w:t>
            </w:r>
          </w:p>
        </w:tc>
      </w:tr>
      <w:tr w:rsidR="008835EB" w:rsidTr="007E3F2E">
        <w:trPr>
          <w:trHeight w:val="270"/>
        </w:trPr>
        <w:tc>
          <w:tcPr>
            <w:tcW w:w="4557"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equity</w:t>
            </w:r>
          </w:p>
        </w:tc>
        <w:tc>
          <w:tcPr>
            <w:tcW w:w="1147"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922"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147,081</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38"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117,301</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55"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101,099</w:t>
            </w:r>
          </w:p>
        </w:tc>
      </w:tr>
    </w:tbl>
    <w:p w:rsidR="008835EB" w:rsidRDefault="008835EB" w:rsidP="008835EB">
      <w:pPr>
        <w:pStyle w:val="ListParagraph"/>
        <w:spacing w:line="240" w:lineRule="auto"/>
        <w:rPr>
          <w:rFonts w:cs="Calibri"/>
          <w:szCs w:val="18"/>
        </w:rPr>
      </w:pPr>
      <w:bookmarkStart w:id="3" w:name="RANGE!D6:H69"/>
      <w:bookmarkStart w:id="4" w:name="RANGE!D6:D69"/>
      <w:bookmarkStart w:id="5" w:name="RANGE!D6:H68"/>
      <w:bookmarkStart w:id="6" w:name="RANGE!D6:D68"/>
      <w:bookmarkStart w:id="7" w:name="RANGE!D6:H48"/>
      <w:bookmarkStart w:id="8" w:name="RANGE!D6:H41"/>
      <w:bookmarkStart w:id="9" w:name="RANGE!D6:H40"/>
      <w:bookmarkStart w:id="10" w:name="RANGE!D6:H42"/>
      <w:bookmarkStart w:id="11" w:name="RANGE!D6:H46"/>
      <w:bookmarkStart w:id="12" w:name="RANGE!D6:H45"/>
      <w:bookmarkEnd w:id="3"/>
      <w:bookmarkEnd w:id="4"/>
      <w:bookmarkEnd w:id="5"/>
      <w:bookmarkEnd w:id="6"/>
      <w:bookmarkEnd w:id="7"/>
      <w:bookmarkEnd w:id="8"/>
      <w:bookmarkEnd w:id="9"/>
      <w:bookmarkEnd w:id="10"/>
      <w:bookmarkEnd w:id="11"/>
      <w:bookmarkEnd w:id="12"/>
    </w:p>
    <w:p w:rsidR="008835EB" w:rsidRPr="00F73BAA" w:rsidRDefault="008835EB" w:rsidP="008835EB">
      <w:pPr>
        <w:pStyle w:val="ListParagraph"/>
        <w:numPr>
          <w:ilvl w:val="0"/>
          <w:numId w:val="21"/>
        </w:numPr>
        <w:spacing w:line="240" w:lineRule="auto"/>
        <w:ind w:left="426" w:right="424"/>
        <w:rPr>
          <w:rFonts w:cs="Calibri"/>
          <w:szCs w:val="18"/>
        </w:rPr>
        <w:sectPr w:rsidR="008835EB" w:rsidRPr="00F73BAA" w:rsidSect="00FA455C">
          <w:type w:val="continuous"/>
          <w:pgSz w:w="11906" w:h="16838"/>
          <w:pgMar w:top="1134" w:right="1134" w:bottom="1134" w:left="1134" w:header="958" w:footer="737" w:gutter="0"/>
          <w:cols w:space="720"/>
        </w:sectPr>
      </w:pPr>
      <w:r w:rsidRPr="00F00DF9">
        <w:rPr>
          <w:rFonts w:cs="Calibri"/>
          <w:szCs w:val="18"/>
        </w:rPr>
        <w:t xml:space="preserve">Employment’s original budgeted financial statement that was first presented to parliament in respect of the reporting </w:t>
      </w:r>
      <w:r w:rsidRPr="00F73BAA">
        <w:rPr>
          <w:rFonts w:cs="Calibri"/>
          <w:szCs w:val="18"/>
        </w:rPr>
        <w:t>period was the 2015–16 Portfolio Budget Statements.</w:t>
      </w:r>
      <w:r>
        <w:br w:type="page"/>
      </w:r>
    </w:p>
    <w:p w:rsidR="00FA455C" w:rsidRDefault="00FA455C" w:rsidP="00FA455C">
      <w:pPr>
        <w:pStyle w:val="Heading1"/>
      </w:pPr>
      <w:bookmarkStart w:id="13" w:name="Note_CEQTABLE1" w:colFirst="0" w:colLast="0"/>
      <w:r>
        <w:lastRenderedPageBreak/>
        <w:t>Department of Employment</w:t>
      </w:r>
      <w:r>
        <w:br/>
        <w:t>STATEMENT OF CHANGES IN EQUITY</w:t>
      </w:r>
      <w:r>
        <w:br/>
        <w:t>for the period ended 30 June 2016</w:t>
      </w:r>
    </w:p>
    <w:p w:rsidR="00FA455C" w:rsidRDefault="00FA455C" w:rsidP="007E3F2E">
      <w:pPr>
        <w:spacing w:line="240" w:lineRule="auto"/>
        <w:rPr>
          <w:rFonts w:ascii="Arial" w:hAnsi="Arial" w:cs="Arial"/>
          <w:szCs w:val="18"/>
        </w:rPr>
        <w:sectPr w:rsidR="00FA455C" w:rsidSect="00F74C23">
          <w:headerReference w:type="even" r:id="rId21"/>
          <w:headerReference w:type="default" r:id="rId22"/>
          <w:headerReference w:type="first" r:id="rId23"/>
          <w:pgSz w:w="16838" w:h="11906" w:orient="landscape"/>
          <w:pgMar w:top="1134" w:right="1134" w:bottom="1134" w:left="1134" w:header="958" w:footer="737" w:gutter="0"/>
          <w:cols w:space="720"/>
          <w:docGrid w:linePitch="245"/>
        </w:sectPr>
      </w:pPr>
    </w:p>
    <w:tbl>
      <w:tblPr>
        <w:tblW w:w="13991" w:type="dxa"/>
        <w:tblInd w:w="80" w:type="dxa"/>
        <w:tblLayout w:type="fixed"/>
        <w:tblLook w:val="04A0" w:firstRow="1" w:lastRow="0" w:firstColumn="1" w:lastColumn="0" w:noHBand="0" w:noVBand="1"/>
      </w:tblPr>
      <w:tblGrid>
        <w:gridCol w:w="3109"/>
        <w:gridCol w:w="912"/>
        <w:gridCol w:w="912"/>
        <w:gridCol w:w="921"/>
        <w:gridCol w:w="901"/>
        <w:gridCol w:w="911"/>
        <w:gridCol w:w="911"/>
        <w:gridCol w:w="920"/>
        <w:gridCol w:w="902"/>
        <w:gridCol w:w="907"/>
        <w:gridCol w:w="895"/>
        <w:gridCol w:w="895"/>
        <w:gridCol w:w="895"/>
      </w:tblGrid>
      <w:tr w:rsidR="008835EB" w:rsidTr="007E3F2E">
        <w:trPr>
          <w:trHeight w:val="255"/>
        </w:trPr>
        <w:tc>
          <w:tcPr>
            <w:tcW w:w="3090"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lastRenderedPageBreak/>
              <w:t> </w:t>
            </w:r>
          </w:p>
        </w:tc>
        <w:tc>
          <w:tcPr>
            <w:tcW w:w="2727" w:type="dxa"/>
            <w:gridSpan w:val="3"/>
            <w:tcBorders>
              <w:top w:val="nil"/>
              <w:left w:val="nil"/>
              <w:bottom w:val="nil"/>
              <w:right w:val="nil"/>
            </w:tcBorders>
            <w:shd w:val="clear" w:color="FFFFFF" w:fill="FFFFFF"/>
            <w:vAlign w:val="bottom"/>
            <w:hideMark/>
          </w:tcPr>
          <w:p w:rsidR="008835EB" w:rsidRDefault="008835EB" w:rsidP="007E3F2E">
            <w:pPr>
              <w:spacing w:line="240" w:lineRule="auto"/>
              <w:jc w:val="center"/>
              <w:rPr>
                <w:rFonts w:cs="Calibri"/>
                <w:b/>
                <w:bCs/>
                <w:szCs w:val="18"/>
              </w:rPr>
            </w:pPr>
            <w:r>
              <w:rPr>
                <w:rFonts w:cs="Calibri"/>
                <w:b/>
                <w:bCs/>
                <w:szCs w:val="18"/>
              </w:rPr>
              <w:t>Retained earnings</w:t>
            </w:r>
          </w:p>
        </w:tc>
        <w:tc>
          <w:tcPr>
            <w:tcW w:w="2708" w:type="dxa"/>
            <w:gridSpan w:val="3"/>
            <w:tcBorders>
              <w:top w:val="nil"/>
              <w:left w:val="nil"/>
              <w:bottom w:val="nil"/>
              <w:right w:val="nil"/>
            </w:tcBorders>
            <w:shd w:val="clear" w:color="FFFFFF" w:fill="FFFFFF"/>
            <w:vAlign w:val="bottom"/>
            <w:hideMark/>
          </w:tcPr>
          <w:p w:rsidR="008835EB" w:rsidRDefault="008835EB" w:rsidP="007E3F2E">
            <w:pPr>
              <w:spacing w:line="240" w:lineRule="auto"/>
              <w:jc w:val="center"/>
              <w:rPr>
                <w:rFonts w:cs="Calibri"/>
                <w:b/>
                <w:bCs/>
                <w:szCs w:val="18"/>
              </w:rPr>
            </w:pPr>
            <w:r>
              <w:rPr>
                <w:rFonts w:cs="Calibri"/>
                <w:b/>
                <w:bCs/>
                <w:szCs w:val="18"/>
              </w:rPr>
              <w:t>Asset revaluation surplus</w:t>
            </w:r>
          </w:p>
        </w:tc>
        <w:tc>
          <w:tcPr>
            <w:tcW w:w="2714" w:type="dxa"/>
            <w:gridSpan w:val="3"/>
            <w:tcBorders>
              <w:top w:val="nil"/>
              <w:left w:val="nil"/>
              <w:bottom w:val="nil"/>
              <w:right w:val="nil"/>
            </w:tcBorders>
            <w:shd w:val="clear" w:color="FFFFFF" w:fill="FFFFFF"/>
            <w:vAlign w:val="bottom"/>
            <w:hideMark/>
          </w:tcPr>
          <w:p w:rsidR="008835EB" w:rsidRDefault="008835EB" w:rsidP="007E3F2E">
            <w:pPr>
              <w:spacing w:line="240" w:lineRule="auto"/>
              <w:jc w:val="center"/>
              <w:rPr>
                <w:rFonts w:cs="Calibri"/>
                <w:b/>
                <w:bCs/>
                <w:szCs w:val="18"/>
              </w:rPr>
            </w:pPr>
            <w:r>
              <w:rPr>
                <w:rFonts w:cs="Calibri"/>
                <w:b/>
                <w:bCs/>
                <w:szCs w:val="18"/>
              </w:rPr>
              <w:t>Contributed equity/capital</w:t>
            </w:r>
          </w:p>
        </w:tc>
        <w:tc>
          <w:tcPr>
            <w:tcW w:w="2670" w:type="dxa"/>
            <w:gridSpan w:val="3"/>
            <w:tcBorders>
              <w:top w:val="nil"/>
              <w:left w:val="nil"/>
              <w:bottom w:val="nil"/>
              <w:right w:val="nil"/>
            </w:tcBorders>
            <w:shd w:val="clear" w:color="FFFFFF" w:fill="FFFFFF"/>
            <w:vAlign w:val="bottom"/>
            <w:hideMark/>
          </w:tcPr>
          <w:p w:rsidR="008835EB" w:rsidRDefault="008835EB" w:rsidP="007E3F2E">
            <w:pPr>
              <w:spacing w:line="240" w:lineRule="auto"/>
              <w:jc w:val="center"/>
              <w:rPr>
                <w:rFonts w:cs="Calibri"/>
                <w:b/>
                <w:bCs/>
                <w:szCs w:val="18"/>
              </w:rPr>
            </w:pPr>
            <w:r>
              <w:rPr>
                <w:rFonts w:cs="Calibri"/>
                <w:b/>
                <w:bCs/>
                <w:szCs w:val="18"/>
              </w:rPr>
              <w:t>Total equity</w:t>
            </w:r>
          </w:p>
        </w:tc>
      </w:tr>
      <w:bookmarkEnd w:id="13"/>
      <w:tr w:rsidR="008835EB" w:rsidTr="007E3F2E">
        <w:trPr>
          <w:trHeight w:val="255"/>
        </w:trPr>
        <w:tc>
          <w:tcPr>
            <w:tcW w:w="3090"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906" w:type="dxa"/>
            <w:tcBorders>
              <w:top w:val="nil"/>
              <w:left w:val="nil"/>
              <w:bottom w:val="nil"/>
              <w:right w:val="nil"/>
            </w:tcBorders>
            <w:shd w:val="clear" w:color="FFFFFF" w:fill="FFFFFF"/>
            <w:vAlign w:val="bottom"/>
            <w:hideMark/>
          </w:tcPr>
          <w:p w:rsidR="008835EB" w:rsidRDefault="008835EB" w:rsidP="007E3F2E">
            <w:pPr>
              <w:spacing w:line="240" w:lineRule="auto"/>
              <w:jc w:val="right"/>
              <w:rPr>
                <w:rFonts w:cs="Calibri"/>
                <w:b/>
                <w:bCs/>
                <w:szCs w:val="18"/>
              </w:rPr>
            </w:pPr>
            <w:r>
              <w:rPr>
                <w:rFonts w:cs="Calibri"/>
                <w:b/>
                <w:bCs/>
                <w:szCs w:val="18"/>
              </w:rPr>
              <w:t>2016</w:t>
            </w:r>
          </w:p>
        </w:tc>
        <w:tc>
          <w:tcPr>
            <w:tcW w:w="906" w:type="dxa"/>
            <w:tcBorders>
              <w:top w:val="nil"/>
              <w:left w:val="nil"/>
              <w:bottom w:val="nil"/>
              <w:right w:val="nil"/>
            </w:tcBorders>
            <w:shd w:val="clear" w:color="FFFFFF" w:fill="FFFFFF"/>
            <w:vAlign w:val="bottom"/>
            <w:hideMark/>
          </w:tcPr>
          <w:p w:rsidR="008835EB" w:rsidRDefault="008835EB" w:rsidP="007E3F2E">
            <w:pPr>
              <w:spacing w:line="240" w:lineRule="auto"/>
              <w:jc w:val="right"/>
              <w:rPr>
                <w:rFonts w:cs="Calibri"/>
                <w:szCs w:val="18"/>
              </w:rPr>
            </w:pPr>
            <w:r>
              <w:rPr>
                <w:rFonts w:cs="Calibri"/>
                <w:szCs w:val="18"/>
              </w:rPr>
              <w:t>2015</w:t>
            </w:r>
          </w:p>
        </w:tc>
        <w:tc>
          <w:tcPr>
            <w:tcW w:w="915" w:type="dxa"/>
            <w:tcBorders>
              <w:top w:val="nil"/>
              <w:left w:val="nil"/>
              <w:bottom w:val="nil"/>
              <w:right w:val="nil"/>
            </w:tcBorders>
            <w:shd w:val="clear" w:color="FFFFFF" w:fill="FFFFFF"/>
            <w:vAlign w:val="bottom"/>
            <w:hideMark/>
          </w:tcPr>
          <w:p w:rsidR="008835EB" w:rsidRDefault="008835EB" w:rsidP="007E3F2E">
            <w:pPr>
              <w:spacing w:line="240" w:lineRule="auto"/>
              <w:jc w:val="right"/>
              <w:rPr>
                <w:rFonts w:cs="Calibri"/>
                <w:szCs w:val="18"/>
              </w:rPr>
            </w:pPr>
            <w:r>
              <w:rPr>
                <w:rFonts w:cs="Calibri"/>
                <w:szCs w:val="18"/>
              </w:rPr>
              <w:t xml:space="preserve">Original </w:t>
            </w:r>
            <w:proofErr w:type="spellStart"/>
            <w:r>
              <w:rPr>
                <w:rFonts w:cs="Calibri"/>
                <w:szCs w:val="18"/>
              </w:rPr>
              <w:t>Budget</w:t>
            </w:r>
            <w:r>
              <w:rPr>
                <w:rFonts w:cs="Calibri"/>
                <w:szCs w:val="18"/>
                <w:vertAlign w:val="superscript"/>
              </w:rPr>
              <w:t>1</w:t>
            </w:r>
            <w:proofErr w:type="spellEnd"/>
          </w:p>
        </w:tc>
        <w:tc>
          <w:tcPr>
            <w:tcW w:w="896" w:type="dxa"/>
            <w:tcBorders>
              <w:top w:val="nil"/>
              <w:left w:val="nil"/>
              <w:bottom w:val="nil"/>
              <w:right w:val="nil"/>
            </w:tcBorders>
            <w:shd w:val="clear" w:color="FFFFFF" w:fill="FFFFFF"/>
            <w:vAlign w:val="bottom"/>
            <w:hideMark/>
          </w:tcPr>
          <w:p w:rsidR="008835EB" w:rsidRDefault="008835EB" w:rsidP="007E3F2E">
            <w:pPr>
              <w:spacing w:line="240" w:lineRule="auto"/>
              <w:jc w:val="right"/>
              <w:rPr>
                <w:rFonts w:cs="Calibri"/>
                <w:b/>
                <w:bCs/>
                <w:szCs w:val="18"/>
              </w:rPr>
            </w:pPr>
            <w:r>
              <w:rPr>
                <w:rFonts w:cs="Calibri"/>
                <w:b/>
                <w:bCs/>
                <w:szCs w:val="18"/>
              </w:rPr>
              <w:t>2016</w:t>
            </w:r>
          </w:p>
        </w:tc>
        <w:tc>
          <w:tcPr>
            <w:tcW w:w="906" w:type="dxa"/>
            <w:tcBorders>
              <w:top w:val="nil"/>
              <w:left w:val="nil"/>
              <w:bottom w:val="nil"/>
              <w:right w:val="nil"/>
            </w:tcBorders>
            <w:shd w:val="clear" w:color="FFFFFF" w:fill="FFFFFF"/>
            <w:vAlign w:val="bottom"/>
            <w:hideMark/>
          </w:tcPr>
          <w:p w:rsidR="008835EB" w:rsidRDefault="008835EB" w:rsidP="007E3F2E">
            <w:pPr>
              <w:spacing w:line="240" w:lineRule="auto"/>
              <w:jc w:val="right"/>
              <w:rPr>
                <w:rFonts w:cs="Calibri"/>
                <w:szCs w:val="18"/>
              </w:rPr>
            </w:pPr>
            <w:r>
              <w:rPr>
                <w:rFonts w:cs="Calibri"/>
                <w:szCs w:val="18"/>
              </w:rPr>
              <w:t>2015</w:t>
            </w:r>
          </w:p>
        </w:tc>
        <w:tc>
          <w:tcPr>
            <w:tcW w:w="906" w:type="dxa"/>
            <w:tcBorders>
              <w:top w:val="nil"/>
              <w:left w:val="nil"/>
              <w:bottom w:val="nil"/>
              <w:right w:val="nil"/>
            </w:tcBorders>
            <w:shd w:val="clear" w:color="FFFFFF" w:fill="FFFFFF"/>
            <w:vAlign w:val="bottom"/>
            <w:hideMark/>
          </w:tcPr>
          <w:p w:rsidR="008835EB" w:rsidRDefault="008835EB" w:rsidP="007E3F2E">
            <w:pPr>
              <w:spacing w:line="240" w:lineRule="auto"/>
              <w:jc w:val="right"/>
              <w:rPr>
                <w:rFonts w:cs="Calibri"/>
                <w:szCs w:val="18"/>
              </w:rPr>
            </w:pPr>
            <w:r>
              <w:rPr>
                <w:rFonts w:cs="Calibri"/>
                <w:szCs w:val="18"/>
              </w:rPr>
              <w:t xml:space="preserve">Original </w:t>
            </w:r>
            <w:proofErr w:type="spellStart"/>
            <w:r>
              <w:rPr>
                <w:rFonts w:cs="Calibri"/>
                <w:szCs w:val="18"/>
              </w:rPr>
              <w:t>Budget</w:t>
            </w:r>
            <w:r>
              <w:rPr>
                <w:rFonts w:cs="Calibri"/>
                <w:szCs w:val="18"/>
                <w:vertAlign w:val="superscript"/>
              </w:rPr>
              <w:t>1</w:t>
            </w:r>
            <w:proofErr w:type="spellEnd"/>
          </w:p>
        </w:tc>
        <w:tc>
          <w:tcPr>
            <w:tcW w:w="915" w:type="dxa"/>
            <w:tcBorders>
              <w:top w:val="nil"/>
              <w:left w:val="nil"/>
              <w:bottom w:val="nil"/>
              <w:right w:val="nil"/>
            </w:tcBorders>
            <w:shd w:val="clear" w:color="FFFFFF" w:fill="FFFFFF"/>
            <w:vAlign w:val="bottom"/>
            <w:hideMark/>
          </w:tcPr>
          <w:p w:rsidR="008835EB" w:rsidRDefault="008835EB" w:rsidP="007E3F2E">
            <w:pPr>
              <w:spacing w:line="240" w:lineRule="auto"/>
              <w:jc w:val="right"/>
              <w:rPr>
                <w:rFonts w:cs="Calibri"/>
                <w:b/>
                <w:bCs/>
                <w:szCs w:val="18"/>
              </w:rPr>
            </w:pPr>
            <w:r>
              <w:rPr>
                <w:rFonts w:cs="Calibri"/>
                <w:b/>
                <w:bCs/>
                <w:szCs w:val="18"/>
              </w:rPr>
              <w:t>2016</w:t>
            </w:r>
          </w:p>
        </w:tc>
        <w:tc>
          <w:tcPr>
            <w:tcW w:w="897" w:type="dxa"/>
            <w:tcBorders>
              <w:top w:val="nil"/>
              <w:left w:val="nil"/>
              <w:bottom w:val="nil"/>
              <w:right w:val="nil"/>
            </w:tcBorders>
            <w:shd w:val="clear" w:color="FFFFFF" w:fill="FFFFFF"/>
            <w:vAlign w:val="bottom"/>
            <w:hideMark/>
          </w:tcPr>
          <w:p w:rsidR="008835EB" w:rsidRDefault="008835EB" w:rsidP="007E3F2E">
            <w:pPr>
              <w:spacing w:line="240" w:lineRule="auto"/>
              <w:jc w:val="right"/>
              <w:rPr>
                <w:rFonts w:cs="Calibri"/>
                <w:szCs w:val="18"/>
              </w:rPr>
            </w:pPr>
            <w:r>
              <w:rPr>
                <w:rFonts w:cs="Calibri"/>
                <w:szCs w:val="18"/>
              </w:rPr>
              <w:t>2015</w:t>
            </w:r>
          </w:p>
        </w:tc>
        <w:tc>
          <w:tcPr>
            <w:tcW w:w="902" w:type="dxa"/>
            <w:tcBorders>
              <w:top w:val="nil"/>
              <w:left w:val="nil"/>
              <w:bottom w:val="nil"/>
              <w:right w:val="nil"/>
            </w:tcBorders>
            <w:shd w:val="clear" w:color="FFFFFF" w:fill="FFFFFF"/>
            <w:vAlign w:val="bottom"/>
            <w:hideMark/>
          </w:tcPr>
          <w:p w:rsidR="008835EB" w:rsidRDefault="008835EB" w:rsidP="007E3F2E">
            <w:pPr>
              <w:spacing w:line="240" w:lineRule="auto"/>
              <w:jc w:val="right"/>
              <w:rPr>
                <w:rFonts w:cs="Calibri"/>
                <w:szCs w:val="18"/>
              </w:rPr>
            </w:pPr>
            <w:r>
              <w:rPr>
                <w:rFonts w:cs="Calibri"/>
                <w:szCs w:val="18"/>
              </w:rPr>
              <w:t xml:space="preserve">Original </w:t>
            </w:r>
            <w:proofErr w:type="spellStart"/>
            <w:r>
              <w:rPr>
                <w:rFonts w:cs="Calibri"/>
                <w:szCs w:val="18"/>
              </w:rPr>
              <w:t>Budget</w:t>
            </w:r>
            <w:r>
              <w:rPr>
                <w:rFonts w:cs="Calibri"/>
                <w:szCs w:val="18"/>
                <w:vertAlign w:val="superscript"/>
              </w:rPr>
              <w:t>1</w:t>
            </w:r>
            <w:proofErr w:type="spellEnd"/>
          </w:p>
        </w:tc>
        <w:tc>
          <w:tcPr>
            <w:tcW w:w="890" w:type="dxa"/>
            <w:tcBorders>
              <w:top w:val="nil"/>
              <w:left w:val="nil"/>
              <w:bottom w:val="nil"/>
              <w:right w:val="nil"/>
            </w:tcBorders>
            <w:shd w:val="clear" w:color="FFFFFF" w:fill="FFFFFF"/>
            <w:vAlign w:val="bottom"/>
            <w:hideMark/>
          </w:tcPr>
          <w:p w:rsidR="008835EB" w:rsidRDefault="008835EB" w:rsidP="007E3F2E">
            <w:pPr>
              <w:spacing w:line="240" w:lineRule="auto"/>
              <w:jc w:val="right"/>
              <w:rPr>
                <w:rFonts w:cs="Calibri"/>
                <w:b/>
                <w:bCs/>
                <w:szCs w:val="18"/>
              </w:rPr>
            </w:pPr>
            <w:r>
              <w:rPr>
                <w:rFonts w:cs="Calibri"/>
                <w:b/>
                <w:bCs/>
                <w:szCs w:val="18"/>
              </w:rPr>
              <w:t>2016</w:t>
            </w:r>
          </w:p>
        </w:tc>
        <w:tc>
          <w:tcPr>
            <w:tcW w:w="890" w:type="dxa"/>
            <w:tcBorders>
              <w:top w:val="nil"/>
              <w:left w:val="nil"/>
              <w:bottom w:val="nil"/>
              <w:right w:val="nil"/>
            </w:tcBorders>
            <w:shd w:val="clear" w:color="FFFFFF" w:fill="FFFFFF"/>
            <w:vAlign w:val="bottom"/>
            <w:hideMark/>
          </w:tcPr>
          <w:p w:rsidR="008835EB" w:rsidRDefault="008835EB" w:rsidP="007E3F2E">
            <w:pPr>
              <w:spacing w:line="240" w:lineRule="auto"/>
              <w:jc w:val="right"/>
              <w:rPr>
                <w:rFonts w:cs="Calibri"/>
                <w:szCs w:val="18"/>
              </w:rPr>
            </w:pPr>
            <w:r>
              <w:rPr>
                <w:rFonts w:cs="Calibri"/>
                <w:szCs w:val="18"/>
              </w:rPr>
              <w:t>2015</w:t>
            </w:r>
          </w:p>
        </w:tc>
        <w:tc>
          <w:tcPr>
            <w:tcW w:w="890" w:type="dxa"/>
            <w:tcBorders>
              <w:top w:val="nil"/>
              <w:left w:val="nil"/>
              <w:bottom w:val="nil"/>
              <w:right w:val="nil"/>
            </w:tcBorders>
            <w:shd w:val="clear" w:color="FFFFFF" w:fill="FFFFFF"/>
            <w:vAlign w:val="bottom"/>
            <w:hideMark/>
          </w:tcPr>
          <w:p w:rsidR="008835EB" w:rsidRDefault="008835EB" w:rsidP="007E3F2E">
            <w:pPr>
              <w:spacing w:line="240" w:lineRule="auto"/>
              <w:jc w:val="right"/>
              <w:rPr>
                <w:rFonts w:cs="Calibri"/>
                <w:szCs w:val="18"/>
              </w:rPr>
            </w:pPr>
            <w:r>
              <w:rPr>
                <w:rFonts w:cs="Calibri"/>
                <w:szCs w:val="18"/>
              </w:rPr>
              <w:t xml:space="preserve">Original </w:t>
            </w:r>
            <w:proofErr w:type="spellStart"/>
            <w:r>
              <w:rPr>
                <w:rFonts w:cs="Calibri"/>
                <w:szCs w:val="18"/>
              </w:rPr>
              <w:t>Budget</w:t>
            </w:r>
            <w:r>
              <w:rPr>
                <w:rFonts w:cs="Calibri"/>
                <w:szCs w:val="18"/>
                <w:vertAlign w:val="superscript"/>
              </w:rPr>
              <w:t>1</w:t>
            </w:r>
            <w:proofErr w:type="spellEnd"/>
          </w:p>
        </w:tc>
      </w:tr>
      <w:tr w:rsidR="008835EB" w:rsidTr="007E3F2E">
        <w:trPr>
          <w:trHeight w:val="255"/>
        </w:trPr>
        <w:tc>
          <w:tcPr>
            <w:tcW w:w="3090" w:type="dxa"/>
            <w:tcBorders>
              <w:top w:val="nil"/>
              <w:left w:val="nil"/>
              <w:bottom w:val="single" w:sz="4" w:space="0" w:color="auto"/>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906" w:type="dxa"/>
            <w:tcBorders>
              <w:top w:val="nil"/>
              <w:left w:val="nil"/>
              <w:bottom w:val="single" w:sz="4" w:space="0" w:color="auto"/>
              <w:right w:val="nil"/>
            </w:tcBorders>
            <w:shd w:val="clear" w:color="FFFFFF" w:fill="FFFFFF"/>
            <w:vAlign w:val="bottom"/>
            <w:hideMark/>
          </w:tcPr>
          <w:p w:rsidR="008835EB" w:rsidRDefault="008835EB" w:rsidP="007E3F2E">
            <w:pPr>
              <w:spacing w:line="240" w:lineRule="auto"/>
              <w:jc w:val="right"/>
              <w:rPr>
                <w:rFonts w:cs="Calibri"/>
                <w:b/>
                <w:bCs/>
                <w:szCs w:val="18"/>
              </w:rPr>
            </w:pPr>
            <w:r>
              <w:rPr>
                <w:rFonts w:cs="Calibri"/>
                <w:b/>
                <w:bCs/>
                <w:szCs w:val="18"/>
              </w:rPr>
              <w:t>$'000</w:t>
            </w:r>
          </w:p>
        </w:tc>
        <w:tc>
          <w:tcPr>
            <w:tcW w:w="906" w:type="dxa"/>
            <w:tcBorders>
              <w:top w:val="nil"/>
              <w:left w:val="nil"/>
              <w:bottom w:val="single" w:sz="4" w:space="0" w:color="auto"/>
              <w:right w:val="nil"/>
            </w:tcBorders>
            <w:shd w:val="clear" w:color="FFFFFF" w:fill="FFFFFF"/>
            <w:vAlign w:val="bottom"/>
            <w:hideMark/>
          </w:tcPr>
          <w:p w:rsidR="008835EB" w:rsidRDefault="008835EB" w:rsidP="007E3F2E">
            <w:pPr>
              <w:spacing w:line="240" w:lineRule="auto"/>
              <w:jc w:val="right"/>
              <w:rPr>
                <w:rFonts w:cs="Calibri"/>
                <w:szCs w:val="18"/>
              </w:rPr>
            </w:pPr>
            <w:r>
              <w:rPr>
                <w:rFonts w:cs="Calibri"/>
                <w:szCs w:val="18"/>
              </w:rPr>
              <w:t>$'000</w:t>
            </w:r>
          </w:p>
        </w:tc>
        <w:tc>
          <w:tcPr>
            <w:tcW w:w="915" w:type="dxa"/>
            <w:tcBorders>
              <w:top w:val="nil"/>
              <w:left w:val="nil"/>
              <w:bottom w:val="single" w:sz="4" w:space="0" w:color="auto"/>
              <w:right w:val="nil"/>
            </w:tcBorders>
            <w:shd w:val="clear" w:color="FFFFFF" w:fill="FFFFFF"/>
            <w:vAlign w:val="bottom"/>
            <w:hideMark/>
          </w:tcPr>
          <w:p w:rsidR="008835EB" w:rsidRDefault="008835EB" w:rsidP="007E3F2E">
            <w:pPr>
              <w:spacing w:line="240" w:lineRule="auto"/>
              <w:jc w:val="right"/>
              <w:rPr>
                <w:rFonts w:cs="Calibri"/>
                <w:szCs w:val="18"/>
              </w:rPr>
            </w:pPr>
            <w:r>
              <w:rPr>
                <w:rFonts w:cs="Calibri"/>
                <w:szCs w:val="18"/>
              </w:rPr>
              <w:t>$'000</w:t>
            </w:r>
          </w:p>
        </w:tc>
        <w:tc>
          <w:tcPr>
            <w:tcW w:w="896" w:type="dxa"/>
            <w:tcBorders>
              <w:top w:val="nil"/>
              <w:left w:val="nil"/>
              <w:bottom w:val="single" w:sz="4" w:space="0" w:color="auto"/>
              <w:right w:val="nil"/>
            </w:tcBorders>
            <w:shd w:val="clear" w:color="FFFFFF" w:fill="FFFFFF"/>
            <w:vAlign w:val="bottom"/>
            <w:hideMark/>
          </w:tcPr>
          <w:p w:rsidR="008835EB" w:rsidRDefault="008835EB" w:rsidP="007E3F2E">
            <w:pPr>
              <w:spacing w:line="240" w:lineRule="auto"/>
              <w:jc w:val="right"/>
              <w:rPr>
                <w:rFonts w:cs="Calibri"/>
                <w:b/>
                <w:bCs/>
                <w:szCs w:val="18"/>
              </w:rPr>
            </w:pPr>
            <w:r>
              <w:rPr>
                <w:rFonts w:cs="Calibri"/>
                <w:b/>
                <w:bCs/>
                <w:szCs w:val="18"/>
              </w:rPr>
              <w:t>$'000</w:t>
            </w:r>
          </w:p>
        </w:tc>
        <w:tc>
          <w:tcPr>
            <w:tcW w:w="906" w:type="dxa"/>
            <w:tcBorders>
              <w:top w:val="nil"/>
              <w:left w:val="nil"/>
              <w:bottom w:val="single" w:sz="4" w:space="0" w:color="auto"/>
              <w:right w:val="nil"/>
            </w:tcBorders>
            <w:shd w:val="clear" w:color="FFFFFF" w:fill="FFFFFF"/>
            <w:vAlign w:val="bottom"/>
            <w:hideMark/>
          </w:tcPr>
          <w:p w:rsidR="008835EB" w:rsidRDefault="008835EB" w:rsidP="007E3F2E">
            <w:pPr>
              <w:spacing w:line="240" w:lineRule="auto"/>
              <w:jc w:val="right"/>
              <w:rPr>
                <w:rFonts w:cs="Calibri"/>
                <w:szCs w:val="18"/>
              </w:rPr>
            </w:pPr>
            <w:r>
              <w:rPr>
                <w:rFonts w:cs="Calibri"/>
                <w:szCs w:val="18"/>
              </w:rPr>
              <w:t>$'000</w:t>
            </w:r>
          </w:p>
        </w:tc>
        <w:tc>
          <w:tcPr>
            <w:tcW w:w="906" w:type="dxa"/>
            <w:tcBorders>
              <w:top w:val="nil"/>
              <w:left w:val="nil"/>
              <w:bottom w:val="single" w:sz="4" w:space="0" w:color="auto"/>
              <w:right w:val="nil"/>
            </w:tcBorders>
            <w:shd w:val="clear" w:color="FFFFFF" w:fill="FFFFFF"/>
            <w:vAlign w:val="bottom"/>
            <w:hideMark/>
          </w:tcPr>
          <w:p w:rsidR="008835EB" w:rsidRDefault="008835EB" w:rsidP="007E3F2E">
            <w:pPr>
              <w:spacing w:line="240" w:lineRule="auto"/>
              <w:jc w:val="right"/>
              <w:rPr>
                <w:rFonts w:cs="Calibri"/>
                <w:szCs w:val="18"/>
              </w:rPr>
            </w:pPr>
            <w:r>
              <w:rPr>
                <w:rFonts w:cs="Calibri"/>
                <w:szCs w:val="18"/>
              </w:rPr>
              <w:t>$'000</w:t>
            </w:r>
          </w:p>
        </w:tc>
        <w:tc>
          <w:tcPr>
            <w:tcW w:w="915" w:type="dxa"/>
            <w:tcBorders>
              <w:top w:val="nil"/>
              <w:left w:val="nil"/>
              <w:bottom w:val="single" w:sz="4" w:space="0" w:color="auto"/>
              <w:right w:val="nil"/>
            </w:tcBorders>
            <w:shd w:val="clear" w:color="FFFFFF" w:fill="FFFFFF"/>
            <w:vAlign w:val="bottom"/>
            <w:hideMark/>
          </w:tcPr>
          <w:p w:rsidR="008835EB" w:rsidRDefault="008835EB" w:rsidP="007E3F2E">
            <w:pPr>
              <w:spacing w:line="240" w:lineRule="auto"/>
              <w:jc w:val="right"/>
              <w:rPr>
                <w:rFonts w:cs="Calibri"/>
                <w:b/>
                <w:bCs/>
                <w:szCs w:val="18"/>
              </w:rPr>
            </w:pPr>
            <w:r>
              <w:rPr>
                <w:rFonts w:cs="Calibri"/>
                <w:b/>
                <w:bCs/>
                <w:szCs w:val="18"/>
              </w:rPr>
              <w:t>$'000</w:t>
            </w:r>
          </w:p>
        </w:tc>
        <w:tc>
          <w:tcPr>
            <w:tcW w:w="897" w:type="dxa"/>
            <w:tcBorders>
              <w:top w:val="nil"/>
              <w:left w:val="nil"/>
              <w:bottom w:val="single" w:sz="4" w:space="0" w:color="auto"/>
              <w:right w:val="nil"/>
            </w:tcBorders>
            <w:shd w:val="clear" w:color="FFFFFF" w:fill="FFFFFF"/>
            <w:vAlign w:val="bottom"/>
            <w:hideMark/>
          </w:tcPr>
          <w:p w:rsidR="008835EB" w:rsidRDefault="008835EB" w:rsidP="007E3F2E">
            <w:pPr>
              <w:spacing w:line="240" w:lineRule="auto"/>
              <w:jc w:val="right"/>
              <w:rPr>
                <w:rFonts w:cs="Calibri"/>
                <w:szCs w:val="18"/>
              </w:rPr>
            </w:pPr>
            <w:r>
              <w:rPr>
                <w:rFonts w:cs="Calibri"/>
                <w:szCs w:val="18"/>
              </w:rPr>
              <w:t>$'000</w:t>
            </w:r>
          </w:p>
        </w:tc>
        <w:tc>
          <w:tcPr>
            <w:tcW w:w="902" w:type="dxa"/>
            <w:tcBorders>
              <w:top w:val="nil"/>
              <w:left w:val="nil"/>
              <w:bottom w:val="single" w:sz="4" w:space="0" w:color="auto"/>
              <w:right w:val="nil"/>
            </w:tcBorders>
            <w:shd w:val="clear" w:color="FFFFFF" w:fill="FFFFFF"/>
            <w:vAlign w:val="bottom"/>
            <w:hideMark/>
          </w:tcPr>
          <w:p w:rsidR="008835EB" w:rsidRDefault="008835EB" w:rsidP="007E3F2E">
            <w:pPr>
              <w:spacing w:line="240" w:lineRule="auto"/>
              <w:jc w:val="right"/>
              <w:rPr>
                <w:rFonts w:cs="Calibri"/>
                <w:szCs w:val="18"/>
              </w:rPr>
            </w:pPr>
            <w:r>
              <w:rPr>
                <w:rFonts w:cs="Calibri"/>
                <w:szCs w:val="18"/>
              </w:rPr>
              <w:t>$'000</w:t>
            </w:r>
          </w:p>
        </w:tc>
        <w:tc>
          <w:tcPr>
            <w:tcW w:w="890" w:type="dxa"/>
            <w:tcBorders>
              <w:top w:val="nil"/>
              <w:left w:val="nil"/>
              <w:bottom w:val="single" w:sz="4" w:space="0" w:color="auto"/>
              <w:right w:val="nil"/>
            </w:tcBorders>
            <w:shd w:val="clear" w:color="FFFFFF" w:fill="FFFFFF"/>
            <w:vAlign w:val="bottom"/>
            <w:hideMark/>
          </w:tcPr>
          <w:p w:rsidR="008835EB" w:rsidRDefault="008835EB" w:rsidP="007E3F2E">
            <w:pPr>
              <w:spacing w:line="240" w:lineRule="auto"/>
              <w:jc w:val="right"/>
              <w:rPr>
                <w:rFonts w:cs="Calibri"/>
                <w:b/>
                <w:bCs/>
                <w:szCs w:val="18"/>
              </w:rPr>
            </w:pPr>
            <w:r>
              <w:rPr>
                <w:rFonts w:cs="Calibri"/>
                <w:b/>
                <w:bCs/>
                <w:szCs w:val="18"/>
              </w:rPr>
              <w:t>$'000</w:t>
            </w:r>
          </w:p>
        </w:tc>
        <w:tc>
          <w:tcPr>
            <w:tcW w:w="890" w:type="dxa"/>
            <w:tcBorders>
              <w:top w:val="nil"/>
              <w:left w:val="nil"/>
              <w:bottom w:val="single" w:sz="4" w:space="0" w:color="auto"/>
              <w:right w:val="nil"/>
            </w:tcBorders>
            <w:shd w:val="clear" w:color="FFFFFF" w:fill="FFFFFF"/>
            <w:vAlign w:val="bottom"/>
            <w:hideMark/>
          </w:tcPr>
          <w:p w:rsidR="008835EB" w:rsidRDefault="008835EB" w:rsidP="007E3F2E">
            <w:pPr>
              <w:spacing w:line="240" w:lineRule="auto"/>
              <w:jc w:val="right"/>
              <w:rPr>
                <w:rFonts w:cs="Calibri"/>
                <w:szCs w:val="18"/>
              </w:rPr>
            </w:pPr>
            <w:r>
              <w:rPr>
                <w:rFonts w:cs="Calibri"/>
                <w:szCs w:val="18"/>
              </w:rPr>
              <w:t>$'000</w:t>
            </w:r>
          </w:p>
        </w:tc>
        <w:tc>
          <w:tcPr>
            <w:tcW w:w="890" w:type="dxa"/>
            <w:tcBorders>
              <w:top w:val="nil"/>
              <w:left w:val="nil"/>
              <w:bottom w:val="single" w:sz="4" w:space="0" w:color="auto"/>
              <w:right w:val="nil"/>
            </w:tcBorders>
            <w:shd w:val="clear" w:color="FFFFFF" w:fill="FFFFFF"/>
            <w:vAlign w:val="bottom"/>
            <w:hideMark/>
          </w:tcPr>
          <w:p w:rsidR="008835EB" w:rsidRDefault="008835EB" w:rsidP="007E3F2E">
            <w:pPr>
              <w:spacing w:line="240" w:lineRule="auto"/>
              <w:jc w:val="right"/>
              <w:rPr>
                <w:rFonts w:cs="Calibri"/>
                <w:szCs w:val="18"/>
              </w:rPr>
            </w:pPr>
            <w:r>
              <w:rPr>
                <w:rFonts w:cs="Calibri"/>
                <w:szCs w:val="18"/>
              </w:rPr>
              <w:t>$'000</w:t>
            </w:r>
          </w:p>
        </w:tc>
      </w:tr>
      <w:tr w:rsidR="008835EB" w:rsidTr="007E3F2E">
        <w:trPr>
          <w:trHeight w:val="255"/>
        </w:trPr>
        <w:tc>
          <w:tcPr>
            <w:tcW w:w="3090"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b/>
                <w:bCs/>
                <w:szCs w:val="18"/>
              </w:rPr>
            </w:pPr>
            <w:r>
              <w:rPr>
                <w:rFonts w:cs="Calibri"/>
                <w:b/>
                <w:bCs/>
                <w:szCs w:val="18"/>
              </w:rPr>
              <w:t>Opening balance</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915"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89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915"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897"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902"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890"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890"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890"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r>
      <w:tr w:rsidR="008835EB" w:rsidTr="007E3F2E">
        <w:trPr>
          <w:trHeight w:val="255"/>
        </w:trPr>
        <w:tc>
          <w:tcPr>
            <w:tcW w:w="3090"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Balance carried forward from previous period</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(37,590)</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(25,441)</w:t>
            </w:r>
          </w:p>
        </w:tc>
        <w:tc>
          <w:tcPr>
            <w:tcW w:w="915"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(55,931)</w:t>
            </w:r>
          </w:p>
        </w:tc>
        <w:tc>
          <w:tcPr>
            <w:tcW w:w="89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3,376</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3,376 </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3,376 </w:t>
            </w:r>
          </w:p>
        </w:tc>
        <w:tc>
          <w:tcPr>
            <w:tcW w:w="915"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151,515</w:t>
            </w:r>
          </w:p>
        </w:tc>
        <w:tc>
          <w:tcPr>
            <w:tcW w:w="897"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96,504 </w:t>
            </w:r>
          </w:p>
        </w:tc>
        <w:tc>
          <w:tcPr>
            <w:tcW w:w="902"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151,515 </w:t>
            </w:r>
          </w:p>
        </w:tc>
        <w:tc>
          <w:tcPr>
            <w:tcW w:w="89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117,301</w:t>
            </w:r>
          </w:p>
        </w:tc>
        <w:tc>
          <w:tcPr>
            <w:tcW w:w="89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74,439</w:t>
            </w:r>
          </w:p>
        </w:tc>
        <w:tc>
          <w:tcPr>
            <w:tcW w:w="89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98,960</w:t>
            </w:r>
          </w:p>
        </w:tc>
      </w:tr>
      <w:tr w:rsidR="008835EB" w:rsidTr="007E3F2E">
        <w:trPr>
          <w:trHeight w:val="255"/>
        </w:trPr>
        <w:tc>
          <w:tcPr>
            <w:tcW w:w="3090" w:type="dxa"/>
            <w:tcBorders>
              <w:top w:val="single" w:sz="4" w:space="0" w:color="auto"/>
              <w:left w:val="nil"/>
              <w:bottom w:val="single" w:sz="4" w:space="0" w:color="auto"/>
              <w:right w:val="nil"/>
            </w:tcBorders>
            <w:shd w:val="clear" w:color="FFFFFF" w:fill="FFFFFF"/>
            <w:vAlign w:val="bottom"/>
            <w:hideMark/>
          </w:tcPr>
          <w:p w:rsidR="008835EB" w:rsidRDefault="008835EB" w:rsidP="007E3F2E">
            <w:pPr>
              <w:spacing w:line="240" w:lineRule="auto"/>
              <w:rPr>
                <w:rFonts w:cs="Calibri"/>
                <w:b/>
                <w:bCs/>
                <w:szCs w:val="18"/>
              </w:rPr>
            </w:pPr>
            <w:r>
              <w:rPr>
                <w:rFonts w:cs="Calibri"/>
                <w:b/>
                <w:bCs/>
                <w:szCs w:val="18"/>
              </w:rPr>
              <w:t>Adjusted opening balance</w:t>
            </w:r>
          </w:p>
        </w:tc>
        <w:tc>
          <w:tcPr>
            <w:tcW w:w="90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(37,590)</w:t>
            </w:r>
          </w:p>
        </w:tc>
        <w:tc>
          <w:tcPr>
            <w:tcW w:w="90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(25,441)</w:t>
            </w:r>
          </w:p>
        </w:tc>
        <w:tc>
          <w:tcPr>
            <w:tcW w:w="915"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(55,931)</w:t>
            </w:r>
          </w:p>
        </w:tc>
        <w:tc>
          <w:tcPr>
            <w:tcW w:w="89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3,376</w:t>
            </w:r>
          </w:p>
        </w:tc>
        <w:tc>
          <w:tcPr>
            <w:tcW w:w="90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3,376</w:t>
            </w:r>
          </w:p>
        </w:tc>
        <w:tc>
          <w:tcPr>
            <w:tcW w:w="90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3,376</w:t>
            </w:r>
          </w:p>
        </w:tc>
        <w:tc>
          <w:tcPr>
            <w:tcW w:w="915"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151,515</w:t>
            </w:r>
          </w:p>
        </w:tc>
        <w:tc>
          <w:tcPr>
            <w:tcW w:w="897"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96,504</w:t>
            </w:r>
          </w:p>
        </w:tc>
        <w:tc>
          <w:tcPr>
            <w:tcW w:w="902"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151,515</w:t>
            </w:r>
          </w:p>
        </w:tc>
        <w:tc>
          <w:tcPr>
            <w:tcW w:w="89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117,301</w:t>
            </w:r>
          </w:p>
        </w:tc>
        <w:tc>
          <w:tcPr>
            <w:tcW w:w="89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74,439</w:t>
            </w:r>
          </w:p>
        </w:tc>
        <w:tc>
          <w:tcPr>
            <w:tcW w:w="89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98,960</w:t>
            </w:r>
          </w:p>
        </w:tc>
      </w:tr>
      <w:tr w:rsidR="008835EB" w:rsidTr="007E3F2E">
        <w:trPr>
          <w:trHeight w:val="255"/>
        </w:trPr>
        <w:tc>
          <w:tcPr>
            <w:tcW w:w="3090"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b/>
                <w:bCs/>
                <w:szCs w:val="18"/>
              </w:rPr>
            </w:pPr>
            <w:r>
              <w:rPr>
                <w:rFonts w:cs="Calibri"/>
                <w:b/>
                <w:bCs/>
                <w:szCs w:val="18"/>
              </w:rPr>
              <w:t> </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w:t>
            </w:r>
          </w:p>
        </w:tc>
        <w:tc>
          <w:tcPr>
            <w:tcW w:w="915"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w:t>
            </w:r>
          </w:p>
        </w:tc>
        <w:tc>
          <w:tcPr>
            <w:tcW w:w="89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w:t>
            </w:r>
          </w:p>
        </w:tc>
        <w:tc>
          <w:tcPr>
            <w:tcW w:w="915"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w:t>
            </w:r>
          </w:p>
        </w:tc>
        <w:tc>
          <w:tcPr>
            <w:tcW w:w="897"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w:t>
            </w:r>
          </w:p>
        </w:tc>
        <w:tc>
          <w:tcPr>
            <w:tcW w:w="902"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w:t>
            </w:r>
          </w:p>
        </w:tc>
        <w:tc>
          <w:tcPr>
            <w:tcW w:w="89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w:t>
            </w:r>
          </w:p>
        </w:tc>
        <w:tc>
          <w:tcPr>
            <w:tcW w:w="89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w:t>
            </w:r>
          </w:p>
        </w:tc>
        <w:tc>
          <w:tcPr>
            <w:tcW w:w="89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w:t>
            </w:r>
          </w:p>
        </w:tc>
      </w:tr>
      <w:tr w:rsidR="008835EB" w:rsidTr="007E3F2E">
        <w:trPr>
          <w:trHeight w:val="255"/>
        </w:trPr>
        <w:tc>
          <w:tcPr>
            <w:tcW w:w="3090"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b/>
                <w:bCs/>
                <w:szCs w:val="18"/>
              </w:rPr>
            </w:pPr>
            <w:r>
              <w:rPr>
                <w:rFonts w:cs="Calibri"/>
                <w:b/>
                <w:bCs/>
                <w:szCs w:val="18"/>
              </w:rPr>
              <w:t>Comprehensive income</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b/>
                <w:bCs/>
                <w:szCs w:val="18"/>
              </w:rPr>
            </w:pPr>
            <w:r>
              <w:rPr>
                <w:rFonts w:ascii="Arial" w:hAnsi="Arial" w:cs="Arial"/>
                <w:b/>
                <w:bCs/>
                <w:szCs w:val="18"/>
              </w:rPr>
              <w:t> </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915"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89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b/>
                <w:bCs/>
                <w:szCs w:val="18"/>
              </w:rPr>
            </w:pPr>
            <w:r>
              <w:rPr>
                <w:rFonts w:ascii="Arial" w:hAnsi="Arial" w:cs="Arial"/>
                <w:b/>
                <w:bCs/>
                <w:szCs w:val="18"/>
              </w:rPr>
              <w:t> </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915"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b/>
                <w:bCs/>
                <w:szCs w:val="18"/>
              </w:rPr>
            </w:pPr>
            <w:r>
              <w:rPr>
                <w:rFonts w:ascii="Arial" w:hAnsi="Arial" w:cs="Arial"/>
                <w:b/>
                <w:bCs/>
                <w:szCs w:val="18"/>
              </w:rPr>
              <w:t> </w:t>
            </w:r>
          </w:p>
        </w:tc>
        <w:tc>
          <w:tcPr>
            <w:tcW w:w="897"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902"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890"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b/>
                <w:bCs/>
                <w:szCs w:val="18"/>
              </w:rPr>
            </w:pPr>
            <w:r>
              <w:rPr>
                <w:rFonts w:ascii="Arial" w:hAnsi="Arial" w:cs="Arial"/>
                <w:b/>
                <w:bCs/>
                <w:szCs w:val="18"/>
              </w:rPr>
              <w:t> </w:t>
            </w:r>
          </w:p>
        </w:tc>
        <w:tc>
          <w:tcPr>
            <w:tcW w:w="890"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890"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r>
      <w:tr w:rsidR="008835EB" w:rsidTr="007E3F2E">
        <w:trPr>
          <w:trHeight w:val="255"/>
        </w:trPr>
        <w:tc>
          <w:tcPr>
            <w:tcW w:w="3090"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Other comprehensive income</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w:t>
            </w:r>
          </w:p>
        </w:tc>
        <w:tc>
          <w:tcPr>
            <w:tcW w:w="915"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w:t>
            </w:r>
          </w:p>
        </w:tc>
        <w:tc>
          <w:tcPr>
            <w:tcW w:w="89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6,876 </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w:t>
            </w:r>
          </w:p>
        </w:tc>
        <w:tc>
          <w:tcPr>
            <w:tcW w:w="915"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w:t>
            </w:r>
          </w:p>
        </w:tc>
        <w:tc>
          <w:tcPr>
            <w:tcW w:w="897"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w:t>
            </w:r>
          </w:p>
        </w:tc>
        <w:tc>
          <w:tcPr>
            <w:tcW w:w="902"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w:t>
            </w:r>
          </w:p>
        </w:tc>
        <w:tc>
          <w:tcPr>
            <w:tcW w:w="89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6,876</w:t>
            </w:r>
          </w:p>
        </w:tc>
        <w:tc>
          <w:tcPr>
            <w:tcW w:w="89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w:t>
            </w:r>
          </w:p>
        </w:tc>
        <w:tc>
          <w:tcPr>
            <w:tcW w:w="89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w:t>
            </w:r>
          </w:p>
        </w:tc>
      </w:tr>
      <w:tr w:rsidR="008835EB" w:rsidTr="007E3F2E">
        <w:trPr>
          <w:trHeight w:val="255"/>
        </w:trPr>
        <w:tc>
          <w:tcPr>
            <w:tcW w:w="3090"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Deficit for the period</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(19,882)</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(12,149)</w:t>
            </w:r>
          </w:p>
        </w:tc>
        <w:tc>
          <w:tcPr>
            <w:tcW w:w="915"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(34,072)</w:t>
            </w:r>
          </w:p>
        </w:tc>
        <w:tc>
          <w:tcPr>
            <w:tcW w:w="89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w:t>
            </w:r>
          </w:p>
        </w:tc>
        <w:tc>
          <w:tcPr>
            <w:tcW w:w="915"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w:t>
            </w:r>
          </w:p>
        </w:tc>
        <w:tc>
          <w:tcPr>
            <w:tcW w:w="897"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w:t>
            </w:r>
          </w:p>
        </w:tc>
        <w:tc>
          <w:tcPr>
            <w:tcW w:w="902"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w:t>
            </w:r>
          </w:p>
        </w:tc>
        <w:tc>
          <w:tcPr>
            <w:tcW w:w="89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(19,882)</w:t>
            </w:r>
          </w:p>
        </w:tc>
        <w:tc>
          <w:tcPr>
            <w:tcW w:w="89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(12,149)</w:t>
            </w:r>
          </w:p>
        </w:tc>
        <w:tc>
          <w:tcPr>
            <w:tcW w:w="89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(34,072)</w:t>
            </w:r>
          </w:p>
        </w:tc>
      </w:tr>
      <w:tr w:rsidR="008835EB" w:rsidTr="007E3F2E">
        <w:trPr>
          <w:trHeight w:val="255"/>
        </w:trPr>
        <w:tc>
          <w:tcPr>
            <w:tcW w:w="3090" w:type="dxa"/>
            <w:tcBorders>
              <w:top w:val="single" w:sz="4" w:space="0" w:color="auto"/>
              <w:left w:val="nil"/>
              <w:bottom w:val="single" w:sz="4" w:space="0" w:color="auto"/>
              <w:right w:val="nil"/>
            </w:tcBorders>
            <w:shd w:val="clear" w:color="FFFFFF" w:fill="FFFFFF"/>
            <w:vAlign w:val="bottom"/>
            <w:hideMark/>
          </w:tcPr>
          <w:p w:rsidR="008835EB" w:rsidRDefault="008835EB" w:rsidP="007E3F2E">
            <w:pPr>
              <w:spacing w:line="240" w:lineRule="auto"/>
              <w:rPr>
                <w:rFonts w:cs="Calibri"/>
                <w:b/>
                <w:bCs/>
                <w:szCs w:val="18"/>
              </w:rPr>
            </w:pPr>
            <w:r>
              <w:rPr>
                <w:rFonts w:cs="Calibri"/>
                <w:b/>
                <w:bCs/>
                <w:szCs w:val="18"/>
              </w:rPr>
              <w:t>Total comprehensive income</w:t>
            </w:r>
          </w:p>
        </w:tc>
        <w:tc>
          <w:tcPr>
            <w:tcW w:w="90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(19,882)</w:t>
            </w:r>
          </w:p>
        </w:tc>
        <w:tc>
          <w:tcPr>
            <w:tcW w:w="90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(12,149)</w:t>
            </w:r>
          </w:p>
        </w:tc>
        <w:tc>
          <w:tcPr>
            <w:tcW w:w="915"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(34,072)</w:t>
            </w:r>
          </w:p>
        </w:tc>
        <w:tc>
          <w:tcPr>
            <w:tcW w:w="89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6,876</w:t>
            </w:r>
          </w:p>
        </w:tc>
        <w:tc>
          <w:tcPr>
            <w:tcW w:w="90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w:t>
            </w:r>
          </w:p>
        </w:tc>
        <w:tc>
          <w:tcPr>
            <w:tcW w:w="90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w:t>
            </w:r>
          </w:p>
        </w:tc>
        <w:tc>
          <w:tcPr>
            <w:tcW w:w="915"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w:t>
            </w:r>
          </w:p>
        </w:tc>
        <w:tc>
          <w:tcPr>
            <w:tcW w:w="897"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w:t>
            </w:r>
          </w:p>
        </w:tc>
        <w:tc>
          <w:tcPr>
            <w:tcW w:w="902"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w:t>
            </w:r>
          </w:p>
        </w:tc>
        <w:tc>
          <w:tcPr>
            <w:tcW w:w="89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(13,006)</w:t>
            </w:r>
          </w:p>
        </w:tc>
        <w:tc>
          <w:tcPr>
            <w:tcW w:w="89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(12,149)</w:t>
            </w:r>
          </w:p>
        </w:tc>
        <w:tc>
          <w:tcPr>
            <w:tcW w:w="89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(34,072)</w:t>
            </w:r>
          </w:p>
        </w:tc>
      </w:tr>
      <w:tr w:rsidR="008835EB" w:rsidTr="007E3F2E">
        <w:trPr>
          <w:trHeight w:val="255"/>
        </w:trPr>
        <w:tc>
          <w:tcPr>
            <w:tcW w:w="3090"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b/>
                <w:bCs/>
                <w:szCs w:val="18"/>
              </w:rPr>
            </w:pPr>
            <w:r>
              <w:rPr>
                <w:rFonts w:cs="Calibri"/>
                <w:b/>
                <w:bCs/>
                <w:szCs w:val="18"/>
              </w:rPr>
              <w:t>Contributions by owners</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b/>
                <w:bCs/>
                <w:szCs w:val="18"/>
              </w:rPr>
            </w:pPr>
            <w:r>
              <w:rPr>
                <w:rFonts w:ascii="Arial" w:hAnsi="Arial" w:cs="Arial"/>
                <w:b/>
                <w:bCs/>
                <w:szCs w:val="18"/>
              </w:rPr>
              <w:t> </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915"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89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b/>
                <w:bCs/>
                <w:szCs w:val="18"/>
              </w:rPr>
            </w:pPr>
            <w:r>
              <w:rPr>
                <w:rFonts w:ascii="Arial" w:hAnsi="Arial" w:cs="Arial"/>
                <w:b/>
                <w:bCs/>
                <w:szCs w:val="18"/>
              </w:rPr>
              <w:t> </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915"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b/>
                <w:bCs/>
                <w:szCs w:val="18"/>
              </w:rPr>
            </w:pPr>
            <w:r>
              <w:rPr>
                <w:rFonts w:ascii="Arial" w:hAnsi="Arial" w:cs="Arial"/>
                <w:b/>
                <w:bCs/>
                <w:szCs w:val="18"/>
              </w:rPr>
              <w:t> </w:t>
            </w:r>
          </w:p>
        </w:tc>
        <w:tc>
          <w:tcPr>
            <w:tcW w:w="897"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902"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890"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b/>
                <w:bCs/>
                <w:szCs w:val="18"/>
              </w:rPr>
            </w:pPr>
            <w:r>
              <w:rPr>
                <w:rFonts w:ascii="Arial" w:hAnsi="Arial" w:cs="Arial"/>
                <w:b/>
                <w:bCs/>
                <w:szCs w:val="18"/>
              </w:rPr>
              <w:t> </w:t>
            </w:r>
          </w:p>
        </w:tc>
        <w:tc>
          <w:tcPr>
            <w:tcW w:w="890"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890"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r>
      <w:tr w:rsidR="008835EB" w:rsidTr="007E3F2E">
        <w:trPr>
          <w:trHeight w:val="255"/>
        </w:trPr>
        <w:tc>
          <w:tcPr>
            <w:tcW w:w="3090"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Equity injection - Appropriation</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 -</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 -</w:t>
            </w:r>
          </w:p>
        </w:tc>
        <w:tc>
          <w:tcPr>
            <w:tcW w:w="915"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 -</w:t>
            </w:r>
          </w:p>
        </w:tc>
        <w:tc>
          <w:tcPr>
            <w:tcW w:w="89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 -</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 -</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 -</w:t>
            </w:r>
          </w:p>
        </w:tc>
        <w:tc>
          <w:tcPr>
            <w:tcW w:w="915"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15,408</w:t>
            </w:r>
          </w:p>
        </w:tc>
        <w:tc>
          <w:tcPr>
            <w:tcW w:w="897"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23,987</w:t>
            </w:r>
          </w:p>
        </w:tc>
        <w:tc>
          <w:tcPr>
            <w:tcW w:w="902"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9,333</w:t>
            </w:r>
          </w:p>
        </w:tc>
        <w:tc>
          <w:tcPr>
            <w:tcW w:w="89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15,408</w:t>
            </w:r>
          </w:p>
        </w:tc>
        <w:tc>
          <w:tcPr>
            <w:tcW w:w="89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23,987</w:t>
            </w:r>
          </w:p>
        </w:tc>
        <w:tc>
          <w:tcPr>
            <w:tcW w:w="89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9,333</w:t>
            </w:r>
          </w:p>
        </w:tc>
      </w:tr>
      <w:tr w:rsidR="008835EB" w:rsidTr="007E3F2E">
        <w:trPr>
          <w:trHeight w:val="255"/>
        </w:trPr>
        <w:tc>
          <w:tcPr>
            <w:tcW w:w="3090"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Departmental capital budget</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 -</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 -</w:t>
            </w:r>
          </w:p>
        </w:tc>
        <w:tc>
          <w:tcPr>
            <w:tcW w:w="915"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 -</w:t>
            </w:r>
          </w:p>
        </w:tc>
        <w:tc>
          <w:tcPr>
            <w:tcW w:w="89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 -</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 -</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 -</w:t>
            </w:r>
          </w:p>
        </w:tc>
        <w:tc>
          <w:tcPr>
            <w:tcW w:w="915"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27,378</w:t>
            </w:r>
          </w:p>
        </w:tc>
        <w:tc>
          <w:tcPr>
            <w:tcW w:w="897"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31,024</w:t>
            </w:r>
          </w:p>
        </w:tc>
        <w:tc>
          <w:tcPr>
            <w:tcW w:w="902"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26,878</w:t>
            </w:r>
          </w:p>
        </w:tc>
        <w:tc>
          <w:tcPr>
            <w:tcW w:w="89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27,378</w:t>
            </w:r>
          </w:p>
        </w:tc>
        <w:tc>
          <w:tcPr>
            <w:tcW w:w="89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31,024</w:t>
            </w:r>
          </w:p>
        </w:tc>
        <w:tc>
          <w:tcPr>
            <w:tcW w:w="89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26,878</w:t>
            </w:r>
          </w:p>
        </w:tc>
      </w:tr>
      <w:tr w:rsidR="008835EB" w:rsidTr="007E3F2E">
        <w:trPr>
          <w:trHeight w:val="255"/>
        </w:trPr>
        <w:tc>
          <w:tcPr>
            <w:tcW w:w="3090"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Restructuring</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 -</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 -</w:t>
            </w:r>
          </w:p>
        </w:tc>
        <w:tc>
          <w:tcPr>
            <w:tcW w:w="915"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 -</w:t>
            </w:r>
          </w:p>
        </w:tc>
        <w:tc>
          <w:tcPr>
            <w:tcW w:w="89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 -</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 -</w:t>
            </w:r>
          </w:p>
        </w:tc>
        <w:tc>
          <w:tcPr>
            <w:tcW w:w="90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 -</w:t>
            </w:r>
          </w:p>
        </w:tc>
        <w:tc>
          <w:tcPr>
            <w:tcW w:w="915"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w:t>
            </w:r>
          </w:p>
        </w:tc>
        <w:tc>
          <w:tcPr>
            <w:tcW w:w="897"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w:t>
            </w:r>
          </w:p>
        </w:tc>
        <w:tc>
          <w:tcPr>
            <w:tcW w:w="902"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w:t>
            </w:r>
          </w:p>
        </w:tc>
        <w:tc>
          <w:tcPr>
            <w:tcW w:w="89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w:t>
            </w:r>
          </w:p>
        </w:tc>
        <w:tc>
          <w:tcPr>
            <w:tcW w:w="89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w:t>
            </w:r>
          </w:p>
        </w:tc>
        <w:tc>
          <w:tcPr>
            <w:tcW w:w="89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w:t>
            </w:r>
          </w:p>
        </w:tc>
      </w:tr>
      <w:tr w:rsidR="008835EB" w:rsidTr="007E3F2E">
        <w:trPr>
          <w:trHeight w:val="255"/>
        </w:trPr>
        <w:tc>
          <w:tcPr>
            <w:tcW w:w="3090" w:type="dxa"/>
            <w:tcBorders>
              <w:top w:val="single" w:sz="4" w:space="0" w:color="auto"/>
              <w:left w:val="nil"/>
              <w:bottom w:val="single" w:sz="4" w:space="0" w:color="auto"/>
              <w:right w:val="nil"/>
            </w:tcBorders>
            <w:shd w:val="clear" w:color="FFFFFF" w:fill="FFFFFF"/>
            <w:vAlign w:val="bottom"/>
            <w:hideMark/>
          </w:tcPr>
          <w:p w:rsidR="008835EB" w:rsidRDefault="008835EB" w:rsidP="007E3F2E">
            <w:pPr>
              <w:spacing w:line="240" w:lineRule="auto"/>
              <w:rPr>
                <w:rFonts w:cs="Calibri"/>
                <w:b/>
                <w:bCs/>
                <w:szCs w:val="18"/>
              </w:rPr>
            </w:pPr>
            <w:r>
              <w:rPr>
                <w:rFonts w:cs="Calibri"/>
                <w:b/>
                <w:bCs/>
                <w:szCs w:val="18"/>
              </w:rPr>
              <w:t>Sub-total transactions with owners</w:t>
            </w:r>
          </w:p>
        </w:tc>
        <w:tc>
          <w:tcPr>
            <w:tcW w:w="90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w:t>
            </w:r>
          </w:p>
        </w:tc>
        <w:tc>
          <w:tcPr>
            <w:tcW w:w="90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w:t>
            </w:r>
          </w:p>
        </w:tc>
        <w:tc>
          <w:tcPr>
            <w:tcW w:w="915"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w:t>
            </w:r>
          </w:p>
        </w:tc>
        <w:tc>
          <w:tcPr>
            <w:tcW w:w="89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w:t>
            </w:r>
          </w:p>
        </w:tc>
        <w:tc>
          <w:tcPr>
            <w:tcW w:w="90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w:t>
            </w:r>
          </w:p>
        </w:tc>
        <w:tc>
          <w:tcPr>
            <w:tcW w:w="90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w:t>
            </w:r>
          </w:p>
        </w:tc>
        <w:tc>
          <w:tcPr>
            <w:tcW w:w="915"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42,786</w:t>
            </w:r>
          </w:p>
        </w:tc>
        <w:tc>
          <w:tcPr>
            <w:tcW w:w="897"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55,011</w:t>
            </w:r>
          </w:p>
        </w:tc>
        <w:tc>
          <w:tcPr>
            <w:tcW w:w="902"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36,211</w:t>
            </w:r>
          </w:p>
        </w:tc>
        <w:tc>
          <w:tcPr>
            <w:tcW w:w="89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42,786</w:t>
            </w:r>
          </w:p>
        </w:tc>
        <w:tc>
          <w:tcPr>
            <w:tcW w:w="89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55,011</w:t>
            </w:r>
          </w:p>
        </w:tc>
        <w:tc>
          <w:tcPr>
            <w:tcW w:w="89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36,211</w:t>
            </w:r>
          </w:p>
        </w:tc>
      </w:tr>
      <w:tr w:rsidR="008835EB" w:rsidTr="007E3F2E">
        <w:trPr>
          <w:trHeight w:val="255"/>
        </w:trPr>
        <w:tc>
          <w:tcPr>
            <w:tcW w:w="3090" w:type="dxa"/>
            <w:tcBorders>
              <w:top w:val="single" w:sz="4" w:space="0" w:color="auto"/>
              <w:left w:val="nil"/>
              <w:bottom w:val="single" w:sz="4" w:space="0" w:color="auto"/>
              <w:right w:val="nil"/>
            </w:tcBorders>
            <w:shd w:val="clear" w:color="FFFFFF" w:fill="FFFFFF"/>
            <w:vAlign w:val="bottom"/>
            <w:hideMark/>
          </w:tcPr>
          <w:p w:rsidR="008835EB" w:rsidRDefault="008835EB" w:rsidP="007E3F2E">
            <w:pPr>
              <w:spacing w:line="240" w:lineRule="auto"/>
              <w:rPr>
                <w:rFonts w:cs="Calibri"/>
                <w:b/>
                <w:bCs/>
                <w:szCs w:val="18"/>
              </w:rPr>
            </w:pPr>
            <w:r>
              <w:rPr>
                <w:rFonts w:cs="Calibri"/>
                <w:b/>
                <w:bCs/>
                <w:szCs w:val="18"/>
              </w:rPr>
              <w:t>Closing balance attributable to Australian Government</w:t>
            </w:r>
          </w:p>
        </w:tc>
        <w:tc>
          <w:tcPr>
            <w:tcW w:w="90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(57,472)</w:t>
            </w:r>
          </w:p>
        </w:tc>
        <w:tc>
          <w:tcPr>
            <w:tcW w:w="90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(37,590)</w:t>
            </w:r>
          </w:p>
        </w:tc>
        <w:tc>
          <w:tcPr>
            <w:tcW w:w="915"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(90,003)</w:t>
            </w:r>
          </w:p>
        </w:tc>
        <w:tc>
          <w:tcPr>
            <w:tcW w:w="89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10,252</w:t>
            </w:r>
          </w:p>
        </w:tc>
        <w:tc>
          <w:tcPr>
            <w:tcW w:w="90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3,376</w:t>
            </w:r>
          </w:p>
        </w:tc>
        <w:tc>
          <w:tcPr>
            <w:tcW w:w="90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3,376</w:t>
            </w:r>
          </w:p>
        </w:tc>
        <w:tc>
          <w:tcPr>
            <w:tcW w:w="915"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194,301</w:t>
            </w:r>
          </w:p>
        </w:tc>
        <w:tc>
          <w:tcPr>
            <w:tcW w:w="897"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151,515</w:t>
            </w:r>
          </w:p>
        </w:tc>
        <w:tc>
          <w:tcPr>
            <w:tcW w:w="902"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187,726</w:t>
            </w:r>
          </w:p>
        </w:tc>
        <w:tc>
          <w:tcPr>
            <w:tcW w:w="89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147,081</w:t>
            </w:r>
          </w:p>
        </w:tc>
        <w:tc>
          <w:tcPr>
            <w:tcW w:w="89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117,301</w:t>
            </w:r>
          </w:p>
        </w:tc>
        <w:tc>
          <w:tcPr>
            <w:tcW w:w="89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101,099</w:t>
            </w:r>
          </w:p>
        </w:tc>
      </w:tr>
    </w:tbl>
    <w:p w:rsidR="008835EB" w:rsidRPr="00A410C6" w:rsidRDefault="008835EB" w:rsidP="008835EB">
      <w:pPr>
        <w:pStyle w:val="PolicyheadingDept"/>
        <w:numPr>
          <w:ilvl w:val="0"/>
          <w:numId w:val="30"/>
        </w:numPr>
        <w:pBdr>
          <w:top w:val="none" w:sz="0" w:space="0" w:color="auto"/>
          <w:left w:val="none" w:sz="0" w:space="0" w:color="auto"/>
          <w:bottom w:val="none" w:sz="0" w:space="0" w:color="auto"/>
          <w:right w:val="none" w:sz="0" w:space="0" w:color="auto"/>
        </w:pBdr>
        <w:ind w:left="426" w:hanging="426"/>
        <w:rPr>
          <w:b w:val="0"/>
        </w:rPr>
      </w:pPr>
      <w:bookmarkStart w:id="14" w:name="RANGE!E7:Q31"/>
      <w:bookmarkStart w:id="15" w:name="RANGE!E7:J111"/>
      <w:bookmarkStart w:id="16" w:name="RANGE!E7:J110"/>
      <w:bookmarkStart w:id="17" w:name="RANGE!E7:J109"/>
      <w:bookmarkStart w:id="18" w:name="RANGE!E7:I108"/>
      <w:bookmarkStart w:id="19" w:name="RANGE!E7:H108"/>
      <w:bookmarkStart w:id="20" w:name="RANGE!D6:H57"/>
      <w:bookmarkStart w:id="21" w:name="RANGE!D6:D57"/>
      <w:bookmarkStart w:id="22" w:name="RANGE!D6:D56"/>
      <w:bookmarkStart w:id="23" w:name="RANGE!D6:H53"/>
      <w:bookmarkStart w:id="24" w:name="RANGE!D6:H43"/>
      <w:bookmarkStart w:id="25" w:name="RANGE!D6:H44"/>
      <w:bookmarkStart w:id="26" w:name="RANGE!E7:M33"/>
      <w:bookmarkStart w:id="27" w:name="RANGE!E7:M32"/>
      <w:bookmarkStart w:id="28" w:name="RANGE!E6:M31"/>
      <w:bookmarkStart w:id="29" w:name="RANGE!E6:M30"/>
      <w:bookmarkStart w:id="30" w:name="RANGE!E6:M35"/>
      <w:bookmarkStart w:id="31" w:name="RANGE!E6:E37"/>
      <w:bookmarkStart w:id="32" w:name="RANGE!E6:M37"/>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A410C6">
        <w:rPr>
          <w:b w:val="0"/>
        </w:rPr>
        <w:t xml:space="preserve">Employment’s original budgeted financial statement that was first presented to parliament in respect of the </w:t>
      </w:r>
      <w:r>
        <w:rPr>
          <w:b w:val="0"/>
        </w:rPr>
        <w:t>r</w:t>
      </w:r>
      <w:r w:rsidRPr="00A410C6">
        <w:rPr>
          <w:b w:val="0"/>
        </w:rPr>
        <w:t xml:space="preserve">eporting period was the </w:t>
      </w:r>
      <w:r>
        <w:rPr>
          <w:b w:val="0"/>
        </w:rPr>
        <w:t xml:space="preserve">2015–16 </w:t>
      </w:r>
      <w:r w:rsidRPr="00A410C6">
        <w:rPr>
          <w:b w:val="0"/>
        </w:rPr>
        <w:t>Por</w:t>
      </w:r>
      <w:r>
        <w:rPr>
          <w:b w:val="0"/>
        </w:rPr>
        <w:t>tfolio Budget Statements</w:t>
      </w:r>
      <w:r w:rsidRPr="00A410C6">
        <w:rPr>
          <w:b w:val="0"/>
        </w:rPr>
        <w:t>.</w:t>
      </w:r>
    </w:p>
    <w:p w:rsidR="008835EB" w:rsidRPr="00200687" w:rsidRDefault="008835EB" w:rsidP="008835EB">
      <w:pPr>
        <w:pStyle w:val="PolicyheadingDept"/>
      </w:pPr>
      <w:r>
        <w:t>Accounting Policy</w:t>
      </w:r>
    </w:p>
    <w:p w:rsidR="008835EB" w:rsidRPr="00200687" w:rsidRDefault="008835EB" w:rsidP="008835EB">
      <w:pPr>
        <w:pStyle w:val="Policytextunderline"/>
      </w:pPr>
      <w:r w:rsidRPr="00200687">
        <w:t>Equity Injections</w:t>
      </w:r>
    </w:p>
    <w:p w:rsidR="008835EB" w:rsidRPr="00A545AC" w:rsidRDefault="008835EB" w:rsidP="008835EB">
      <w:pPr>
        <w:pStyle w:val="PolicytextDept"/>
      </w:pPr>
      <w:r w:rsidRPr="00A545AC">
        <w:t>Amounts appropriated which are designated as ‘equity injections’ for a year (less any formal reductions) and Departmental Capital Budgets (</w:t>
      </w:r>
      <w:proofErr w:type="spellStart"/>
      <w:r w:rsidRPr="00A545AC">
        <w:t>DCBs</w:t>
      </w:r>
      <w:proofErr w:type="spellEnd"/>
      <w:r w:rsidRPr="00A545AC">
        <w:t>) are recognised directly in contributed equity in that year.</w:t>
      </w:r>
    </w:p>
    <w:p w:rsidR="008835EB" w:rsidRPr="00200687" w:rsidRDefault="008835EB" w:rsidP="008835EB">
      <w:pPr>
        <w:pStyle w:val="Policytextunderline"/>
      </w:pPr>
      <w:r w:rsidRPr="00200687">
        <w:t>Restructuring of Administrative Arrangements</w:t>
      </w:r>
    </w:p>
    <w:p w:rsidR="008835EB" w:rsidRPr="00A545AC" w:rsidRDefault="008835EB" w:rsidP="008835EB">
      <w:pPr>
        <w:pStyle w:val="PolicytextDept"/>
      </w:pPr>
      <w:r w:rsidRPr="00A545AC">
        <w:t>Net assets received from, or relinquished to, another Government entity under a restructuring of administrative arrangements are adjusted at their book value directly against contributed equity.</w:t>
      </w:r>
    </w:p>
    <w:p w:rsidR="008835EB" w:rsidRPr="00A545AC" w:rsidRDefault="008835EB" w:rsidP="008835EB">
      <w:pPr>
        <w:pStyle w:val="Policytextunderline"/>
      </w:pPr>
      <w:r w:rsidRPr="00A545AC">
        <w:t>Other Distributions to Owners</w:t>
      </w:r>
    </w:p>
    <w:p w:rsidR="008835EB" w:rsidRPr="00A545AC" w:rsidRDefault="008835EB" w:rsidP="008835EB">
      <w:pPr>
        <w:pStyle w:val="PolicytextDept"/>
      </w:pPr>
      <w:r>
        <w:t>The Financial Reporting Rule (</w:t>
      </w:r>
      <w:proofErr w:type="spellStart"/>
      <w:r>
        <w:t>FRR</w:t>
      </w:r>
      <w:proofErr w:type="spellEnd"/>
      <w:r>
        <w:t>)</w:t>
      </w:r>
      <w:r w:rsidRPr="00A545AC">
        <w:t xml:space="preserve"> </w:t>
      </w:r>
      <w:proofErr w:type="gramStart"/>
      <w:r w:rsidRPr="00A545AC">
        <w:t>require</w:t>
      </w:r>
      <w:proofErr w:type="gramEnd"/>
      <w:r w:rsidRPr="00A545AC">
        <w:t xml:space="preserve"> that distributions to owners be debited to contributed equity unless it is in the nature of a dividend.</w:t>
      </w:r>
    </w:p>
    <w:p w:rsidR="008835EB" w:rsidRDefault="008835EB" w:rsidP="008835EB">
      <w:pPr>
        <w:spacing w:line="240" w:lineRule="auto"/>
        <w:ind w:firstLine="426"/>
        <w:sectPr w:rsidR="008835EB" w:rsidSect="00FA455C">
          <w:type w:val="continuous"/>
          <w:pgSz w:w="16838" w:h="11906" w:orient="landscape"/>
          <w:pgMar w:top="1134" w:right="1134" w:bottom="1134" w:left="1134" w:header="958" w:footer="737" w:gutter="0"/>
          <w:cols w:space="720"/>
          <w:docGrid w:linePitch="245"/>
        </w:sectPr>
      </w:pPr>
    </w:p>
    <w:p w:rsidR="00FA455C" w:rsidRDefault="00FA455C" w:rsidP="00FA455C">
      <w:pPr>
        <w:pStyle w:val="Heading1"/>
      </w:pPr>
      <w:bookmarkStart w:id="33" w:name="Note_DCFTABLE1" w:colFirst="0" w:colLast="0"/>
      <w:r>
        <w:lastRenderedPageBreak/>
        <w:t>Department of Employment</w:t>
      </w:r>
      <w:r>
        <w:br/>
        <w:t>CASH FLOW STATEMENT</w:t>
      </w:r>
      <w:r>
        <w:br/>
        <w:t>for the period ended 30 June 2016</w:t>
      </w:r>
    </w:p>
    <w:p w:rsidR="00FA455C" w:rsidRDefault="00FA455C" w:rsidP="007E3F2E">
      <w:pPr>
        <w:rPr>
          <w:rFonts w:cs="Calibri"/>
          <w:szCs w:val="18"/>
        </w:rPr>
        <w:sectPr w:rsidR="00FA455C" w:rsidSect="00F74C23">
          <w:headerReference w:type="even" r:id="rId24"/>
          <w:headerReference w:type="default" r:id="rId25"/>
          <w:headerReference w:type="first" r:id="rId26"/>
          <w:pgSz w:w="11906" w:h="16838"/>
          <w:pgMar w:top="1134" w:right="1134" w:bottom="1134" w:left="1134" w:header="958" w:footer="737" w:gutter="0"/>
          <w:cols w:space="720"/>
        </w:sectPr>
      </w:pPr>
    </w:p>
    <w:tbl>
      <w:tblPr>
        <w:tblW w:w="9087" w:type="dxa"/>
        <w:tblInd w:w="80" w:type="dxa"/>
        <w:tblLayout w:type="fixed"/>
        <w:tblLook w:val="04A0" w:firstRow="1" w:lastRow="0" w:firstColumn="1" w:lastColumn="0" w:noHBand="0" w:noVBand="1"/>
      </w:tblPr>
      <w:tblGrid>
        <w:gridCol w:w="4504"/>
        <w:gridCol w:w="1136"/>
        <w:gridCol w:w="1129"/>
        <w:gridCol w:w="238"/>
        <w:gridCol w:w="930"/>
        <w:gridCol w:w="238"/>
        <w:gridCol w:w="912"/>
      </w:tblGrid>
      <w:tr w:rsidR="008835EB" w:rsidTr="007E3F2E">
        <w:trPr>
          <w:trHeight w:val="525"/>
        </w:trPr>
        <w:tc>
          <w:tcPr>
            <w:tcW w:w="4458"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lastRenderedPageBreak/>
              <w:t> </w:t>
            </w:r>
          </w:p>
        </w:tc>
        <w:tc>
          <w:tcPr>
            <w:tcW w:w="1124"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117"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2016</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2015</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 xml:space="preserve">Original </w:t>
            </w:r>
            <w:proofErr w:type="spellStart"/>
            <w:r>
              <w:rPr>
                <w:rFonts w:cs="Calibri"/>
                <w:szCs w:val="18"/>
              </w:rPr>
              <w:t>Budget</w:t>
            </w:r>
            <w:r>
              <w:rPr>
                <w:rFonts w:cs="Calibri"/>
                <w:szCs w:val="18"/>
                <w:vertAlign w:val="superscript"/>
              </w:rPr>
              <w:t>1</w:t>
            </w:r>
            <w:proofErr w:type="spellEnd"/>
          </w:p>
        </w:tc>
      </w:tr>
      <w:bookmarkEnd w:id="33"/>
      <w:tr w:rsidR="008835EB" w:rsidTr="007E3F2E">
        <w:trPr>
          <w:trHeight w:val="255"/>
        </w:trPr>
        <w:tc>
          <w:tcPr>
            <w:tcW w:w="4458"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b/>
                <w:bCs/>
                <w:szCs w:val="18"/>
              </w:rPr>
            </w:pPr>
            <w:r>
              <w:rPr>
                <w:rFonts w:cs="Calibri"/>
                <w:b/>
                <w:bCs/>
                <w:szCs w:val="18"/>
              </w:rPr>
              <w:t>Notes</w:t>
            </w:r>
          </w:p>
        </w:tc>
        <w:tc>
          <w:tcPr>
            <w:tcW w:w="1117"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$'000</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$'000</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4458"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124"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117"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4458"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OPERATING ACTIVITIES</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4458"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Cash received</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4458"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Appropriations</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301,641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281,233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286,530 </w:t>
            </w:r>
          </w:p>
        </w:tc>
      </w:tr>
      <w:tr w:rsidR="008835EB" w:rsidTr="007E3F2E">
        <w:trPr>
          <w:trHeight w:val="255"/>
        </w:trPr>
        <w:tc>
          <w:tcPr>
            <w:tcW w:w="4458"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Sale of goods and rendering of services</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24,465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28,130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17,923 </w:t>
            </w:r>
          </w:p>
        </w:tc>
      </w:tr>
      <w:tr w:rsidR="008835EB" w:rsidTr="007E3F2E">
        <w:trPr>
          <w:trHeight w:val="255"/>
        </w:trPr>
        <w:tc>
          <w:tcPr>
            <w:tcW w:w="4458"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Net GST received</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13,571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13,559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7,354 </w:t>
            </w:r>
          </w:p>
        </w:tc>
      </w:tr>
      <w:tr w:rsidR="008835EB" w:rsidTr="007E3F2E">
        <w:trPr>
          <w:trHeight w:val="255"/>
        </w:trPr>
        <w:tc>
          <w:tcPr>
            <w:tcW w:w="4458"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Other</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3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r>
      <w:tr w:rsidR="008835EB" w:rsidTr="007E3F2E">
        <w:trPr>
          <w:trHeight w:val="255"/>
        </w:trPr>
        <w:tc>
          <w:tcPr>
            <w:tcW w:w="4458"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Total cash received</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339,680</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322,922</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311,807</w:t>
            </w:r>
          </w:p>
        </w:tc>
      </w:tr>
      <w:tr w:rsidR="008835EB" w:rsidTr="007E3F2E">
        <w:trPr>
          <w:trHeight w:val="255"/>
        </w:trPr>
        <w:tc>
          <w:tcPr>
            <w:tcW w:w="4458"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 </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55"/>
        </w:trPr>
        <w:tc>
          <w:tcPr>
            <w:tcW w:w="4458"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Cash used</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nil"/>
              <w:left w:val="nil"/>
              <w:bottom w:val="nil"/>
              <w:right w:val="nil"/>
            </w:tcBorders>
            <w:shd w:val="clear" w:color="FFFFFF" w:fill="FFFFFF"/>
            <w:noWrap/>
            <w:vAlign w:val="bottom"/>
            <w:hideMark/>
          </w:tcPr>
          <w:p w:rsidR="008835EB" w:rsidRDefault="008835EB" w:rsidP="007E3F2E">
            <w:pPr>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40"/>
        </w:trPr>
        <w:tc>
          <w:tcPr>
            <w:tcW w:w="4458"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Employees</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202,642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182,157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218,490 </w:t>
            </w:r>
          </w:p>
        </w:tc>
      </w:tr>
      <w:tr w:rsidR="008835EB" w:rsidTr="007E3F2E">
        <w:trPr>
          <w:trHeight w:val="255"/>
        </w:trPr>
        <w:tc>
          <w:tcPr>
            <w:tcW w:w="4458"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Suppliers</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114,271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110,617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93,317 </w:t>
            </w:r>
          </w:p>
        </w:tc>
      </w:tr>
      <w:tr w:rsidR="008835EB" w:rsidTr="007E3F2E">
        <w:trPr>
          <w:trHeight w:val="255"/>
        </w:trPr>
        <w:tc>
          <w:tcPr>
            <w:tcW w:w="4458"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Grants</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300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1,439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r>
      <w:tr w:rsidR="008835EB" w:rsidTr="007E3F2E">
        <w:trPr>
          <w:trHeight w:val="255"/>
        </w:trPr>
        <w:tc>
          <w:tcPr>
            <w:tcW w:w="4458"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 xml:space="preserve">Section 74 receipts transferred to the </w:t>
            </w:r>
            <w:proofErr w:type="spellStart"/>
            <w:r>
              <w:rPr>
                <w:rFonts w:cs="Calibri"/>
                <w:szCs w:val="18"/>
              </w:rPr>
              <w:t>OPA</w:t>
            </w:r>
            <w:proofErr w:type="spellEnd"/>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24,286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26,198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r>
      <w:tr w:rsidR="008835EB" w:rsidTr="007E3F2E">
        <w:trPr>
          <w:trHeight w:val="255"/>
        </w:trPr>
        <w:tc>
          <w:tcPr>
            <w:tcW w:w="4458"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Total cash used</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341,499</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320,411</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311,807</w:t>
            </w:r>
          </w:p>
        </w:tc>
      </w:tr>
      <w:tr w:rsidR="008835EB" w:rsidTr="007E3F2E">
        <w:trPr>
          <w:trHeight w:val="255"/>
        </w:trPr>
        <w:tc>
          <w:tcPr>
            <w:tcW w:w="4458"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 </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70"/>
        </w:trPr>
        <w:tc>
          <w:tcPr>
            <w:tcW w:w="4458"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Net cash from operating activities</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5.3</w:t>
            </w:r>
          </w:p>
        </w:tc>
        <w:tc>
          <w:tcPr>
            <w:tcW w:w="1117" w:type="dxa"/>
            <w:tcBorders>
              <w:top w:val="nil"/>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(1,819)</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2,511</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w:t>
            </w:r>
          </w:p>
        </w:tc>
      </w:tr>
      <w:tr w:rsidR="008835EB" w:rsidTr="007E3F2E">
        <w:trPr>
          <w:trHeight w:val="270"/>
        </w:trPr>
        <w:tc>
          <w:tcPr>
            <w:tcW w:w="4458"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nil"/>
              <w:left w:val="nil"/>
              <w:bottom w:val="nil"/>
              <w:right w:val="nil"/>
            </w:tcBorders>
            <w:shd w:val="clear" w:color="FFFFFF" w:fill="FFFFFF"/>
            <w:noWrap/>
            <w:vAlign w:val="bottom"/>
            <w:hideMark/>
          </w:tcPr>
          <w:p w:rsidR="008835EB" w:rsidRDefault="008835EB" w:rsidP="007E3F2E">
            <w:pPr>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4458"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INVESTING ACTIVITIES</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nil"/>
              <w:left w:val="nil"/>
              <w:bottom w:val="nil"/>
              <w:right w:val="nil"/>
            </w:tcBorders>
            <w:shd w:val="clear" w:color="FFFFFF" w:fill="FFFFFF"/>
            <w:noWrap/>
            <w:vAlign w:val="bottom"/>
            <w:hideMark/>
          </w:tcPr>
          <w:p w:rsidR="008835EB" w:rsidRDefault="008835EB" w:rsidP="007E3F2E">
            <w:pPr>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4458"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Cash received</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nil"/>
              <w:left w:val="nil"/>
              <w:bottom w:val="nil"/>
              <w:right w:val="nil"/>
            </w:tcBorders>
            <w:shd w:val="clear" w:color="FFFFFF" w:fill="FFFFFF"/>
            <w:noWrap/>
            <w:vAlign w:val="bottom"/>
            <w:hideMark/>
          </w:tcPr>
          <w:p w:rsidR="008835EB" w:rsidRDefault="008835EB" w:rsidP="007E3F2E">
            <w:pPr>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4458"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Proceeds from sales of infrastructure, plant and equipment</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23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54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r>
      <w:tr w:rsidR="008835EB" w:rsidTr="007E3F2E">
        <w:trPr>
          <w:trHeight w:val="255"/>
        </w:trPr>
        <w:tc>
          <w:tcPr>
            <w:tcW w:w="4458"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Total cash received</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23</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54</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w:t>
            </w:r>
          </w:p>
        </w:tc>
      </w:tr>
      <w:tr w:rsidR="008835EB" w:rsidTr="007E3F2E">
        <w:trPr>
          <w:trHeight w:val="255"/>
        </w:trPr>
        <w:tc>
          <w:tcPr>
            <w:tcW w:w="4458"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124"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117" w:type="dxa"/>
            <w:tcBorders>
              <w:top w:val="nil"/>
              <w:left w:val="nil"/>
              <w:bottom w:val="nil"/>
              <w:right w:val="nil"/>
            </w:tcBorders>
            <w:shd w:val="clear" w:color="FFFFFF" w:fill="FFFFFF"/>
            <w:noWrap/>
            <w:vAlign w:val="bottom"/>
            <w:hideMark/>
          </w:tcPr>
          <w:p w:rsidR="008835EB" w:rsidRDefault="008835EB" w:rsidP="007E3F2E">
            <w:pPr>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4458"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Cash used</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nil"/>
              <w:left w:val="nil"/>
              <w:bottom w:val="nil"/>
              <w:right w:val="nil"/>
            </w:tcBorders>
            <w:shd w:val="clear" w:color="FFFFFF" w:fill="FFFFFF"/>
            <w:noWrap/>
            <w:vAlign w:val="bottom"/>
            <w:hideMark/>
          </w:tcPr>
          <w:p w:rsidR="008835EB" w:rsidRDefault="008835EB" w:rsidP="007E3F2E">
            <w:pPr>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4458"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Purchase of infrastructure, plant and equipment</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3,932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4,591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6,990 </w:t>
            </w:r>
          </w:p>
        </w:tc>
      </w:tr>
      <w:tr w:rsidR="008835EB" w:rsidTr="007E3F2E">
        <w:trPr>
          <w:trHeight w:val="255"/>
        </w:trPr>
        <w:tc>
          <w:tcPr>
            <w:tcW w:w="4458"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Purchase / development of intangibles</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37,538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41,634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23,065 </w:t>
            </w:r>
          </w:p>
        </w:tc>
      </w:tr>
      <w:tr w:rsidR="008835EB" w:rsidTr="007E3F2E">
        <w:trPr>
          <w:trHeight w:val="255"/>
        </w:trPr>
        <w:tc>
          <w:tcPr>
            <w:tcW w:w="4458"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Purchase of leasehold improvements</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982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7,526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6,156 </w:t>
            </w:r>
          </w:p>
        </w:tc>
      </w:tr>
      <w:tr w:rsidR="008835EB" w:rsidTr="007E3F2E">
        <w:trPr>
          <w:trHeight w:val="255"/>
        </w:trPr>
        <w:tc>
          <w:tcPr>
            <w:tcW w:w="4458"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Total cash used</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42,452</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53,751</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36,211</w:t>
            </w:r>
          </w:p>
        </w:tc>
      </w:tr>
      <w:tr w:rsidR="008835EB" w:rsidTr="007E3F2E">
        <w:trPr>
          <w:trHeight w:val="255"/>
        </w:trPr>
        <w:tc>
          <w:tcPr>
            <w:tcW w:w="4458"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 </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70"/>
        </w:trPr>
        <w:tc>
          <w:tcPr>
            <w:tcW w:w="4458"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Net cash used by investing activities</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(42,429)</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(53,697)</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(36,211)</w:t>
            </w:r>
          </w:p>
        </w:tc>
      </w:tr>
      <w:tr w:rsidR="008835EB" w:rsidTr="007E3F2E">
        <w:trPr>
          <w:trHeight w:val="270"/>
        </w:trPr>
        <w:tc>
          <w:tcPr>
            <w:tcW w:w="4458"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nil"/>
              <w:left w:val="nil"/>
              <w:bottom w:val="nil"/>
              <w:right w:val="nil"/>
            </w:tcBorders>
            <w:shd w:val="clear" w:color="FFFFFF" w:fill="FFFFFF"/>
            <w:noWrap/>
            <w:vAlign w:val="bottom"/>
            <w:hideMark/>
          </w:tcPr>
          <w:p w:rsidR="008835EB" w:rsidRDefault="008835EB" w:rsidP="007E3F2E">
            <w:pPr>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4458"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FINANCING ACTIVITIES</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nil"/>
              <w:left w:val="nil"/>
              <w:bottom w:val="nil"/>
              <w:right w:val="nil"/>
            </w:tcBorders>
            <w:shd w:val="clear" w:color="FFFFFF" w:fill="FFFFFF"/>
            <w:noWrap/>
            <w:vAlign w:val="bottom"/>
            <w:hideMark/>
          </w:tcPr>
          <w:p w:rsidR="008835EB" w:rsidRDefault="008835EB" w:rsidP="007E3F2E">
            <w:pPr>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4458"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Cash received</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nil"/>
              <w:left w:val="nil"/>
              <w:bottom w:val="nil"/>
              <w:right w:val="nil"/>
            </w:tcBorders>
            <w:shd w:val="clear" w:color="FFFFFF" w:fill="FFFFFF"/>
            <w:noWrap/>
            <w:vAlign w:val="bottom"/>
            <w:hideMark/>
          </w:tcPr>
          <w:p w:rsidR="008835EB" w:rsidRDefault="008835EB" w:rsidP="007E3F2E">
            <w:pPr>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4458"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Contributed equity - equity injection and capital budget</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41,803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51,838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36,211 </w:t>
            </w:r>
          </w:p>
        </w:tc>
      </w:tr>
      <w:tr w:rsidR="008835EB" w:rsidTr="007E3F2E">
        <w:trPr>
          <w:trHeight w:val="255"/>
        </w:trPr>
        <w:tc>
          <w:tcPr>
            <w:tcW w:w="4458"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Total cash received</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41,803</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51,838</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36,211</w:t>
            </w:r>
          </w:p>
        </w:tc>
      </w:tr>
      <w:tr w:rsidR="008835EB" w:rsidTr="007E3F2E">
        <w:trPr>
          <w:trHeight w:val="255"/>
        </w:trPr>
        <w:tc>
          <w:tcPr>
            <w:tcW w:w="4458"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 </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70"/>
        </w:trPr>
        <w:tc>
          <w:tcPr>
            <w:tcW w:w="4458"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Net cash from financing activities</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41,803</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51,838</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36,211</w:t>
            </w:r>
          </w:p>
        </w:tc>
      </w:tr>
      <w:tr w:rsidR="008835EB" w:rsidTr="007E3F2E">
        <w:trPr>
          <w:trHeight w:val="270"/>
        </w:trPr>
        <w:tc>
          <w:tcPr>
            <w:tcW w:w="4458"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nil"/>
              <w:left w:val="nil"/>
              <w:bottom w:val="nil"/>
              <w:right w:val="nil"/>
            </w:tcBorders>
            <w:shd w:val="clear" w:color="FFFFFF" w:fill="FFFFFF"/>
            <w:noWrap/>
            <w:vAlign w:val="bottom"/>
            <w:hideMark/>
          </w:tcPr>
          <w:p w:rsidR="008835EB" w:rsidRDefault="008835EB" w:rsidP="007E3F2E">
            <w:pPr>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4458"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Net increase in cash held</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(2,445)</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652</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w:t>
            </w:r>
          </w:p>
        </w:tc>
      </w:tr>
      <w:tr w:rsidR="008835EB" w:rsidTr="007E3F2E">
        <w:trPr>
          <w:trHeight w:val="480"/>
        </w:trPr>
        <w:tc>
          <w:tcPr>
            <w:tcW w:w="4458"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Cash and cash equivalents at the beginning of the reporting period</w:t>
            </w:r>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6,321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5,669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2,768 </w:t>
            </w:r>
          </w:p>
        </w:tc>
      </w:tr>
      <w:tr w:rsidR="008835EB" w:rsidTr="007E3F2E">
        <w:trPr>
          <w:trHeight w:val="300"/>
        </w:trPr>
        <w:tc>
          <w:tcPr>
            <w:tcW w:w="4458"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 xml:space="preserve">Cash and cash equivalents at the end of the reporting </w:t>
            </w:r>
            <w:proofErr w:type="spellStart"/>
            <w:r>
              <w:rPr>
                <w:rFonts w:cs="Calibri"/>
                <w:b/>
                <w:bCs/>
                <w:i/>
                <w:iCs/>
                <w:szCs w:val="18"/>
              </w:rPr>
              <w:t>period</w:t>
            </w:r>
            <w:r>
              <w:rPr>
                <w:rFonts w:cs="Calibri"/>
                <w:b/>
                <w:bCs/>
                <w:i/>
                <w:iCs/>
                <w:szCs w:val="18"/>
                <w:vertAlign w:val="superscript"/>
              </w:rPr>
              <w:t>2</w:t>
            </w:r>
            <w:proofErr w:type="spellEnd"/>
          </w:p>
        </w:tc>
        <w:tc>
          <w:tcPr>
            <w:tcW w:w="1124" w:type="dxa"/>
            <w:tcBorders>
              <w:top w:val="nil"/>
              <w:left w:val="nil"/>
              <w:bottom w:val="nil"/>
              <w:right w:val="nil"/>
            </w:tcBorders>
            <w:shd w:val="clear" w:color="FFFFFF" w:fill="FFFFFF"/>
            <w:noWrap/>
            <w:vAlign w:val="bottom"/>
            <w:hideMark/>
          </w:tcPr>
          <w:p w:rsidR="008835EB" w:rsidRDefault="008835EB" w:rsidP="007E3F2E">
            <w:pPr>
              <w:jc w:val="center"/>
              <w:rPr>
                <w:rFonts w:cs="Calibri"/>
                <w:szCs w:val="18"/>
              </w:rPr>
            </w:pPr>
            <w:r>
              <w:rPr>
                <w:rFonts w:cs="Calibri"/>
                <w:szCs w:val="18"/>
              </w:rPr>
              <w:t> </w:t>
            </w:r>
          </w:p>
        </w:tc>
        <w:tc>
          <w:tcPr>
            <w:tcW w:w="1117"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3,876</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20"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6,321</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903"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2,768</w:t>
            </w:r>
          </w:p>
        </w:tc>
      </w:tr>
    </w:tbl>
    <w:p w:rsidR="008835EB" w:rsidRDefault="008835EB" w:rsidP="008835EB">
      <w:pPr>
        <w:spacing w:line="240" w:lineRule="auto"/>
        <w:sectPr w:rsidR="008835EB" w:rsidSect="00FA455C">
          <w:type w:val="continuous"/>
          <w:pgSz w:w="11906" w:h="16838"/>
          <w:pgMar w:top="1134" w:right="1134" w:bottom="1134" w:left="1134" w:header="958" w:footer="737" w:gutter="0"/>
          <w:cols w:space="720"/>
        </w:sectPr>
      </w:pPr>
    </w:p>
    <w:p w:rsidR="00FA455C" w:rsidRDefault="00FA455C" w:rsidP="00FA455C">
      <w:pPr>
        <w:pStyle w:val="Heading1"/>
      </w:pPr>
      <w:r>
        <w:lastRenderedPageBreak/>
        <w:t>Department of Employment</w:t>
      </w:r>
      <w:r>
        <w:br/>
        <w:t>SCHEDULE OF COMMITMENTS</w:t>
      </w:r>
      <w:r>
        <w:br/>
        <w:t>as at 30 June 2016</w:t>
      </w:r>
    </w:p>
    <w:p w:rsidR="008835EB" w:rsidRDefault="008835EB" w:rsidP="008835EB">
      <w:pPr>
        <w:spacing w:line="240" w:lineRule="auto"/>
        <w:rPr>
          <w:rStyle w:val="FootnoteReference"/>
        </w:rPr>
      </w:pPr>
    </w:p>
    <w:p w:rsidR="008835EB" w:rsidRPr="00F73BAA" w:rsidRDefault="008835EB" w:rsidP="008835EB">
      <w:pPr>
        <w:pStyle w:val="ListParagraph"/>
        <w:numPr>
          <w:ilvl w:val="0"/>
          <w:numId w:val="24"/>
        </w:numPr>
        <w:spacing w:line="240" w:lineRule="auto"/>
        <w:ind w:left="426" w:right="424"/>
        <w:rPr>
          <w:rFonts w:cs="Calibri"/>
          <w:szCs w:val="18"/>
        </w:rPr>
      </w:pPr>
      <w:r w:rsidRPr="00F00DF9">
        <w:rPr>
          <w:rFonts w:cs="Calibri"/>
          <w:szCs w:val="18"/>
        </w:rPr>
        <w:t xml:space="preserve">Employment’s original budgeted financial statement that was first presented to parliament in respect of the reporting </w:t>
      </w:r>
      <w:r w:rsidRPr="00F73BAA">
        <w:rPr>
          <w:rFonts w:cs="Calibri"/>
          <w:szCs w:val="18"/>
        </w:rPr>
        <w:t>period was the 2015</w:t>
      </w:r>
      <w:r>
        <w:rPr>
          <w:rFonts w:cs="Calibri"/>
          <w:szCs w:val="18"/>
        </w:rPr>
        <w:t>–</w:t>
      </w:r>
      <w:r w:rsidRPr="00F73BAA">
        <w:rPr>
          <w:rFonts w:cs="Calibri"/>
          <w:szCs w:val="18"/>
        </w:rPr>
        <w:t>16 Portfolio Budget Statements.</w:t>
      </w:r>
    </w:p>
    <w:p w:rsidR="008835EB" w:rsidRPr="006A4045" w:rsidRDefault="008835EB" w:rsidP="008835EB">
      <w:pPr>
        <w:pStyle w:val="ListParagraph"/>
        <w:numPr>
          <w:ilvl w:val="0"/>
          <w:numId w:val="24"/>
        </w:numPr>
        <w:spacing w:line="240" w:lineRule="auto"/>
        <w:ind w:left="426"/>
        <w:rPr>
          <w:rFonts w:cs="Calibri"/>
          <w:szCs w:val="18"/>
        </w:rPr>
      </w:pPr>
      <w:r>
        <w:rPr>
          <w:rFonts w:cs="Calibri"/>
          <w:szCs w:val="18"/>
        </w:rPr>
        <w:t>As shown in the Statement of Financial Position.</w:t>
      </w:r>
      <w:r w:rsidRPr="006A4045">
        <w:rPr>
          <w:rFonts w:cs="Calibri"/>
          <w:szCs w:val="18"/>
        </w:rPr>
        <w:br w:type="page"/>
      </w:r>
      <w:bookmarkStart w:id="34" w:name="RANGE!E6:I53"/>
      <w:bookmarkStart w:id="35" w:name="RANGE!E6:I52"/>
      <w:bookmarkStart w:id="36" w:name="RANGE!E6:I59"/>
      <w:bookmarkStart w:id="37" w:name="RANGE!E6:E65"/>
      <w:bookmarkStart w:id="38" w:name="RANGE!E6:I65"/>
      <w:bookmarkStart w:id="39" w:name="RANGE!E6:E64"/>
      <w:bookmarkStart w:id="40" w:name="RANGE!E6:I64"/>
      <w:bookmarkEnd w:id="34"/>
      <w:bookmarkEnd w:id="35"/>
      <w:bookmarkEnd w:id="36"/>
      <w:bookmarkEnd w:id="37"/>
      <w:bookmarkEnd w:id="38"/>
      <w:bookmarkEnd w:id="39"/>
      <w:bookmarkEnd w:id="40"/>
    </w:p>
    <w:p w:rsidR="008835EB" w:rsidRPr="006A4045" w:rsidRDefault="008835EB" w:rsidP="008835EB">
      <w:pPr>
        <w:pStyle w:val="ListParagraph"/>
        <w:numPr>
          <w:ilvl w:val="0"/>
          <w:numId w:val="24"/>
        </w:numPr>
        <w:spacing w:line="240" w:lineRule="auto"/>
        <w:ind w:left="426"/>
        <w:rPr>
          <w:rFonts w:cs="Calibri"/>
          <w:szCs w:val="18"/>
        </w:rPr>
        <w:sectPr w:rsidR="008835EB" w:rsidRPr="006A4045" w:rsidSect="00F74C23">
          <w:headerReference w:type="even" r:id="rId27"/>
          <w:headerReference w:type="default" r:id="rId28"/>
          <w:footerReference w:type="default" r:id="rId29"/>
          <w:headerReference w:type="first" r:id="rId30"/>
          <w:type w:val="continuous"/>
          <w:pgSz w:w="11906" w:h="16838"/>
          <w:pgMar w:top="1134" w:right="1134" w:bottom="1134" w:left="1134" w:header="958" w:footer="737" w:gutter="0"/>
          <w:cols w:space="720"/>
        </w:sectPr>
      </w:pPr>
    </w:p>
    <w:p w:rsidR="00FA455C" w:rsidRDefault="00FA455C" w:rsidP="00FA455C">
      <w:pPr>
        <w:pStyle w:val="Heading1"/>
      </w:pPr>
      <w:bookmarkStart w:id="41" w:name="Note_APLTABLE1" w:colFirst="0" w:colLast="0"/>
      <w:r>
        <w:lastRenderedPageBreak/>
        <w:t>Department of Employment</w:t>
      </w:r>
      <w:r>
        <w:br/>
        <w:t>ADMINISTERED SCHEDULE OF COMPREHENSIVE INCOME</w:t>
      </w:r>
      <w:r>
        <w:br/>
        <w:t>for the period ended 30 June 2016</w:t>
      </w:r>
    </w:p>
    <w:p w:rsidR="00FA455C" w:rsidRDefault="00FA455C" w:rsidP="007E3F2E">
      <w:pPr>
        <w:rPr>
          <w:rFonts w:ascii="Arial" w:hAnsi="Arial" w:cs="Arial"/>
          <w:sz w:val="16"/>
          <w:szCs w:val="16"/>
        </w:rPr>
        <w:sectPr w:rsidR="00FA455C" w:rsidSect="00F74C23">
          <w:headerReference w:type="even" r:id="rId31"/>
          <w:headerReference w:type="default" r:id="rId32"/>
          <w:headerReference w:type="first" r:id="rId33"/>
          <w:pgSz w:w="11906" w:h="16838"/>
          <w:pgMar w:top="1134" w:right="1134" w:bottom="1134" w:left="1134" w:header="958" w:footer="737" w:gutter="0"/>
          <w:cols w:space="720"/>
        </w:sectPr>
      </w:pPr>
    </w:p>
    <w:tbl>
      <w:tblPr>
        <w:tblW w:w="9087" w:type="dxa"/>
        <w:tblInd w:w="80" w:type="dxa"/>
        <w:tblLayout w:type="fixed"/>
        <w:tblLook w:val="04A0" w:firstRow="1" w:lastRow="0" w:firstColumn="1" w:lastColumn="0" w:noHBand="0" w:noVBand="1"/>
      </w:tblPr>
      <w:tblGrid>
        <w:gridCol w:w="4283"/>
        <w:gridCol w:w="1080"/>
        <w:gridCol w:w="1110"/>
        <w:gridCol w:w="238"/>
        <w:gridCol w:w="1070"/>
        <w:gridCol w:w="238"/>
        <w:gridCol w:w="1068"/>
      </w:tblGrid>
      <w:tr w:rsidR="008835EB" w:rsidTr="007E3F2E">
        <w:trPr>
          <w:trHeight w:val="525"/>
        </w:trPr>
        <w:tc>
          <w:tcPr>
            <w:tcW w:w="424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lastRenderedPageBreak/>
              <w:t> </w:t>
            </w:r>
          </w:p>
        </w:tc>
        <w:tc>
          <w:tcPr>
            <w:tcW w:w="1070"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99" w:type="dxa"/>
            <w:tcBorders>
              <w:top w:val="nil"/>
              <w:left w:val="nil"/>
              <w:bottom w:val="single" w:sz="4" w:space="0" w:color="D9D9D9"/>
              <w:right w:val="single" w:sz="4" w:space="0" w:color="D9D9D9"/>
            </w:tcBorders>
            <w:shd w:val="clear" w:color="000000" w:fill="D9D9D9"/>
            <w:vAlign w:val="bottom"/>
            <w:hideMark/>
          </w:tcPr>
          <w:p w:rsidR="008835EB" w:rsidRDefault="008835EB" w:rsidP="007E3F2E">
            <w:pPr>
              <w:jc w:val="right"/>
              <w:rPr>
                <w:rFonts w:cs="Calibri"/>
                <w:b/>
                <w:bCs/>
                <w:szCs w:val="18"/>
              </w:rPr>
            </w:pPr>
            <w:r>
              <w:rPr>
                <w:rFonts w:cs="Calibri"/>
                <w:b/>
                <w:bCs/>
                <w:szCs w:val="18"/>
              </w:rPr>
              <w:t>2016</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2015</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single" w:sz="4" w:space="0" w:color="D9D9D9"/>
              <w:right w:val="nil"/>
            </w:tcBorders>
            <w:shd w:val="clear" w:color="000000" w:fill="D9D9D9"/>
            <w:vAlign w:val="bottom"/>
            <w:hideMark/>
          </w:tcPr>
          <w:p w:rsidR="008835EB" w:rsidRDefault="008835EB" w:rsidP="007E3F2E">
            <w:pPr>
              <w:jc w:val="right"/>
              <w:rPr>
                <w:rFonts w:cs="Calibri"/>
                <w:szCs w:val="18"/>
              </w:rPr>
            </w:pPr>
            <w:r>
              <w:rPr>
                <w:rFonts w:cs="Calibri"/>
                <w:szCs w:val="18"/>
              </w:rPr>
              <w:t xml:space="preserve">Original </w:t>
            </w:r>
            <w:proofErr w:type="spellStart"/>
            <w:r>
              <w:rPr>
                <w:rFonts w:cs="Calibri"/>
                <w:szCs w:val="18"/>
              </w:rPr>
              <w:t>Budget</w:t>
            </w:r>
            <w:r>
              <w:rPr>
                <w:rFonts w:cs="Calibri"/>
                <w:szCs w:val="18"/>
                <w:vertAlign w:val="superscript"/>
              </w:rPr>
              <w:t>1</w:t>
            </w:r>
            <w:proofErr w:type="spellEnd"/>
          </w:p>
        </w:tc>
      </w:tr>
      <w:bookmarkEnd w:id="41"/>
      <w:tr w:rsidR="008835EB" w:rsidTr="007E3F2E">
        <w:trPr>
          <w:trHeight w:val="255"/>
        </w:trPr>
        <w:tc>
          <w:tcPr>
            <w:tcW w:w="424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70" w:type="dxa"/>
            <w:tcBorders>
              <w:top w:val="nil"/>
              <w:left w:val="nil"/>
              <w:bottom w:val="single" w:sz="4" w:space="0" w:color="D9D9D9"/>
              <w:right w:val="single" w:sz="4" w:space="0" w:color="D9D9D9"/>
            </w:tcBorders>
            <w:shd w:val="clear" w:color="000000" w:fill="D9D9D9"/>
            <w:vAlign w:val="bottom"/>
            <w:hideMark/>
          </w:tcPr>
          <w:p w:rsidR="008835EB" w:rsidRDefault="008835EB" w:rsidP="007E3F2E">
            <w:pPr>
              <w:jc w:val="center"/>
              <w:rPr>
                <w:rFonts w:cs="Calibri"/>
                <w:b/>
                <w:bCs/>
                <w:szCs w:val="18"/>
              </w:rPr>
            </w:pPr>
            <w:r>
              <w:rPr>
                <w:rFonts w:cs="Calibri"/>
                <w:b/>
                <w:bCs/>
                <w:szCs w:val="18"/>
              </w:rPr>
              <w:t>Notes</w:t>
            </w:r>
          </w:p>
        </w:tc>
        <w:tc>
          <w:tcPr>
            <w:tcW w:w="1099" w:type="dxa"/>
            <w:tcBorders>
              <w:top w:val="nil"/>
              <w:left w:val="nil"/>
              <w:bottom w:val="single" w:sz="4" w:space="0" w:color="D9D9D9"/>
              <w:right w:val="single" w:sz="4" w:space="0" w:color="D9D9D9"/>
            </w:tcBorders>
            <w:shd w:val="clear" w:color="000000" w:fill="D9D9D9"/>
            <w:vAlign w:val="bottom"/>
            <w:hideMark/>
          </w:tcPr>
          <w:p w:rsidR="008835EB" w:rsidRDefault="008835EB" w:rsidP="007E3F2E">
            <w:pPr>
              <w:jc w:val="right"/>
              <w:rPr>
                <w:rFonts w:cs="Calibri"/>
                <w:b/>
                <w:bCs/>
                <w:szCs w:val="18"/>
              </w:rPr>
            </w:pPr>
            <w:r>
              <w:rPr>
                <w:rFonts w:cs="Calibri"/>
                <w:b/>
                <w:bCs/>
                <w:szCs w:val="18"/>
              </w:rPr>
              <w:t>$'000</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$'000</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424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b/>
                <w:bCs/>
                <w:sz w:val="16"/>
                <w:szCs w:val="16"/>
              </w:rPr>
            </w:pPr>
            <w:r>
              <w:rPr>
                <w:rFonts w:ascii="Arial" w:hAnsi="Arial" w:cs="Arial"/>
                <w:b/>
                <w:bCs/>
                <w:sz w:val="16"/>
                <w:szCs w:val="16"/>
              </w:rPr>
              <w:t>NET COST OF SERVICES</w:t>
            </w:r>
          </w:p>
        </w:tc>
        <w:tc>
          <w:tcPr>
            <w:tcW w:w="1070" w:type="dxa"/>
            <w:tcBorders>
              <w:top w:val="nil"/>
              <w:left w:val="nil"/>
              <w:bottom w:val="nil"/>
              <w:right w:val="nil"/>
            </w:tcBorders>
            <w:shd w:val="clear" w:color="000000" w:fill="D9D9D9"/>
            <w:vAlign w:val="bottom"/>
            <w:hideMark/>
          </w:tcPr>
          <w:p w:rsidR="008835EB" w:rsidRDefault="008835EB" w:rsidP="007E3F2E">
            <w:pPr>
              <w:jc w:val="center"/>
              <w:rPr>
                <w:rFonts w:cs="Calibri"/>
                <w:b/>
                <w:bCs/>
                <w:szCs w:val="18"/>
              </w:rPr>
            </w:pPr>
            <w:r>
              <w:rPr>
                <w:rFonts w:cs="Calibri"/>
                <w:b/>
                <w:bCs/>
                <w:szCs w:val="18"/>
              </w:rPr>
              <w:t> </w:t>
            </w:r>
          </w:p>
        </w:tc>
        <w:tc>
          <w:tcPr>
            <w:tcW w:w="1099" w:type="dxa"/>
            <w:tcBorders>
              <w:top w:val="nil"/>
              <w:left w:val="nil"/>
              <w:bottom w:val="single" w:sz="4" w:space="0" w:color="D9D9D9"/>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55"/>
        </w:trPr>
        <w:tc>
          <w:tcPr>
            <w:tcW w:w="4241"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EXPENSES</w:t>
            </w:r>
          </w:p>
        </w:tc>
        <w:tc>
          <w:tcPr>
            <w:tcW w:w="1070"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4241" w:type="dxa"/>
            <w:tcBorders>
              <w:top w:val="nil"/>
              <w:left w:val="nil"/>
              <w:bottom w:val="single" w:sz="4" w:space="0" w:color="D9D9D9"/>
              <w:right w:val="nil"/>
            </w:tcBorders>
            <w:shd w:val="clear" w:color="000000" w:fill="D9D9D9"/>
            <w:noWrap/>
            <w:vAlign w:val="bottom"/>
            <w:hideMark/>
          </w:tcPr>
          <w:p w:rsidR="008835EB" w:rsidRDefault="008835EB" w:rsidP="008835EB">
            <w:pPr>
              <w:ind w:leftChars="100" w:left="180"/>
              <w:rPr>
                <w:rFonts w:cs="Calibri"/>
                <w:szCs w:val="18"/>
              </w:rPr>
            </w:pPr>
            <w:r>
              <w:rPr>
                <w:rFonts w:cs="Calibri"/>
                <w:szCs w:val="18"/>
              </w:rPr>
              <w:t>Suppliers</w:t>
            </w:r>
          </w:p>
        </w:tc>
        <w:tc>
          <w:tcPr>
            <w:tcW w:w="1070"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proofErr w:type="spellStart"/>
            <w:r>
              <w:rPr>
                <w:rFonts w:cs="Calibri"/>
                <w:szCs w:val="18"/>
              </w:rPr>
              <w:t>2.1A</w:t>
            </w:r>
            <w:proofErr w:type="spellEnd"/>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1,004,221</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1,187,868</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1,313,745 </w:t>
            </w:r>
          </w:p>
        </w:tc>
      </w:tr>
      <w:tr w:rsidR="008835EB" w:rsidTr="007E3F2E">
        <w:trPr>
          <w:trHeight w:val="255"/>
        </w:trPr>
        <w:tc>
          <w:tcPr>
            <w:tcW w:w="4241" w:type="dxa"/>
            <w:tcBorders>
              <w:top w:val="nil"/>
              <w:left w:val="nil"/>
              <w:bottom w:val="single" w:sz="4" w:space="0" w:color="D9D9D9"/>
              <w:right w:val="nil"/>
            </w:tcBorders>
            <w:shd w:val="clear" w:color="000000" w:fill="D9D9D9"/>
            <w:noWrap/>
            <w:vAlign w:val="bottom"/>
            <w:hideMark/>
          </w:tcPr>
          <w:p w:rsidR="008835EB" w:rsidRDefault="008835EB" w:rsidP="008835EB">
            <w:pPr>
              <w:ind w:leftChars="100" w:left="180"/>
              <w:rPr>
                <w:rFonts w:cs="Calibri"/>
                <w:szCs w:val="18"/>
              </w:rPr>
            </w:pPr>
            <w:r>
              <w:rPr>
                <w:rFonts w:cs="Calibri"/>
                <w:szCs w:val="18"/>
              </w:rPr>
              <w:t>Subsidies</w:t>
            </w:r>
          </w:p>
        </w:tc>
        <w:tc>
          <w:tcPr>
            <w:tcW w:w="1070"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proofErr w:type="spellStart"/>
            <w:r>
              <w:rPr>
                <w:rFonts w:cs="Calibri"/>
                <w:szCs w:val="18"/>
              </w:rPr>
              <w:t>2.1B</w:t>
            </w:r>
            <w:proofErr w:type="spellEnd"/>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165,165</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281,345</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305,930 </w:t>
            </w:r>
          </w:p>
        </w:tc>
      </w:tr>
      <w:tr w:rsidR="008835EB" w:rsidTr="007E3F2E">
        <w:trPr>
          <w:trHeight w:val="255"/>
        </w:trPr>
        <w:tc>
          <w:tcPr>
            <w:tcW w:w="4241" w:type="dxa"/>
            <w:tcBorders>
              <w:top w:val="nil"/>
              <w:left w:val="nil"/>
              <w:bottom w:val="single" w:sz="4" w:space="0" w:color="D9D9D9"/>
              <w:right w:val="nil"/>
            </w:tcBorders>
            <w:shd w:val="clear" w:color="000000" w:fill="D9D9D9"/>
            <w:noWrap/>
            <w:vAlign w:val="bottom"/>
            <w:hideMark/>
          </w:tcPr>
          <w:p w:rsidR="008835EB" w:rsidRDefault="008835EB" w:rsidP="008835EB">
            <w:pPr>
              <w:ind w:leftChars="100" w:left="180"/>
              <w:rPr>
                <w:rFonts w:cs="Calibri"/>
                <w:szCs w:val="18"/>
              </w:rPr>
            </w:pPr>
            <w:r>
              <w:rPr>
                <w:rFonts w:cs="Calibri"/>
                <w:szCs w:val="18"/>
              </w:rPr>
              <w:t>Personal benefits</w:t>
            </w:r>
          </w:p>
        </w:tc>
        <w:tc>
          <w:tcPr>
            <w:tcW w:w="1070"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proofErr w:type="spellStart"/>
            <w:r>
              <w:rPr>
                <w:rFonts w:cs="Calibri"/>
                <w:szCs w:val="18"/>
              </w:rPr>
              <w:t>2.1C</w:t>
            </w:r>
            <w:proofErr w:type="spellEnd"/>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337,814</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384,959</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284,525 </w:t>
            </w:r>
          </w:p>
        </w:tc>
      </w:tr>
      <w:tr w:rsidR="008835EB" w:rsidTr="007E3F2E">
        <w:trPr>
          <w:trHeight w:val="255"/>
        </w:trPr>
        <w:tc>
          <w:tcPr>
            <w:tcW w:w="4241" w:type="dxa"/>
            <w:tcBorders>
              <w:top w:val="nil"/>
              <w:left w:val="nil"/>
              <w:bottom w:val="single" w:sz="4" w:space="0" w:color="D9D9D9"/>
              <w:right w:val="nil"/>
            </w:tcBorders>
            <w:shd w:val="clear" w:color="000000" w:fill="D9D9D9"/>
            <w:noWrap/>
            <w:vAlign w:val="bottom"/>
            <w:hideMark/>
          </w:tcPr>
          <w:p w:rsidR="008835EB" w:rsidRDefault="008835EB" w:rsidP="008835EB">
            <w:pPr>
              <w:ind w:leftChars="100" w:left="180"/>
              <w:rPr>
                <w:rFonts w:cs="Calibri"/>
                <w:szCs w:val="18"/>
              </w:rPr>
            </w:pPr>
            <w:r>
              <w:rPr>
                <w:rFonts w:cs="Calibri"/>
                <w:szCs w:val="18"/>
              </w:rPr>
              <w:t xml:space="preserve">Grants </w:t>
            </w:r>
          </w:p>
        </w:tc>
        <w:tc>
          <w:tcPr>
            <w:tcW w:w="1070"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proofErr w:type="spellStart"/>
            <w:r>
              <w:rPr>
                <w:rFonts w:cs="Calibri"/>
                <w:szCs w:val="18"/>
              </w:rPr>
              <w:t>2.1D</w:t>
            </w:r>
            <w:proofErr w:type="spellEnd"/>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90,833</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89,773</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82,959 </w:t>
            </w:r>
          </w:p>
        </w:tc>
      </w:tr>
      <w:tr w:rsidR="008835EB" w:rsidTr="007E3F2E">
        <w:trPr>
          <w:trHeight w:val="255"/>
        </w:trPr>
        <w:tc>
          <w:tcPr>
            <w:tcW w:w="4241" w:type="dxa"/>
            <w:tcBorders>
              <w:top w:val="nil"/>
              <w:left w:val="nil"/>
              <w:bottom w:val="single" w:sz="4" w:space="0" w:color="D9D9D9"/>
              <w:right w:val="nil"/>
            </w:tcBorders>
            <w:shd w:val="clear" w:color="000000" w:fill="D9D9D9"/>
            <w:noWrap/>
            <w:vAlign w:val="bottom"/>
            <w:hideMark/>
          </w:tcPr>
          <w:p w:rsidR="008835EB" w:rsidRDefault="008835EB" w:rsidP="008835EB">
            <w:pPr>
              <w:ind w:leftChars="100" w:left="180"/>
              <w:rPr>
                <w:rFonts w:cs="Calibri"/>
                <w:szCs w:val="18"/>
              </w:rPr>
            </w:pPr>
            <w:r>
              <w:rPr>
                <w:rFonts w:cs="Calibri"/>
                <w:szCs w:val="18"/>
              </w:rPr>
              <w:t>Write-down and impairment of assets</w:t>
            </w:r>
          </w:p>
        </w:tc>
        <w:tc>
          <w:tcPr>
            <w:tcW w:w="1070"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2,293</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155</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 -</w:t>
            </w:r>
          </w:p>
        </w:tc>
      </w:tr>
      <w:tr w:rsidR="008835EB" w:rsidTr="007E3F2E">
        <w:trPr>
          <w:trHeight w:val="255"/>
        </w:trPr>
        <w:tc>
          <w:tcPr>
            <w:tcW w:w="4241" w:type="dxa"/>
            <w:tcBorders>
              <w:top w:val="nil"/>
              <w:left w:val="nil"/>
              <w:bottom w:val="single" w:sz="4" w:space="0" w:color="D9D9D9"/>
              <w:right w:val="nil"/>
            </w:tcBorders>
            <w:shd w:val="clear" w:color="000000" w:fill="D9D9D9"/>
            <w:noWrap/>
            <w:vAlign w:val="bottom"/>
            <w:hideMark/>
          </w:tcPr>
          <w:p w:rsidR="008835EB" w:rsidRDefault="008835EB" w:rsidP="008835EB">
            <w:pPr>
              <w:ind w:leftChars="100" w:left="180"/>
              <w:rPr>
                <w:rFonts w:cs="Calibri"/>
                <w:szCs w:val="18"/>
              </w:rPr>
            </w:pPr>
            <w:r>
              <w:rPr>
                <w:rFonts w:cs="Calibri"/>
                <w:szCs w:val="18"/>
              </w:rPr>
              <w:t>Payments to corporate Commonwealth entities</w:t>
            </w:r>
          </w:p>
        </w:tc>
        <w:tc>
          <w:tcPr>
            <w:tcW w:w="1070"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7,727</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7,563</w:t>
            </w:r>
          </w:p>
        </w:tc>
        <w:tc>
          <w:tcPr>
            <w:tcW w:w="236"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7,727 </w:t>
            </w:r>
          </w:p>
        </w:tc>
      </w:tr>
      <w:tr w:rsidR="008835EB" w:rsidTr="007E3F2E">
        <w:trPr>
          <w:trHeight w:val="270"/>
        </w:trPr>
        <w:tc>
          <w:tcPr>
            <w:tcW w:w="4241" w:type="dxa"/>
            <w:tcBorders>
              <w:top w:val="nil"/>
              <w:left w:val="nil"/>
              <w:bottom w:val="single" w:sz="8" w:space="0" w:color="D9D9D9"/>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Total expenses administered on behalf of Government</w:t>
            </w:r>
          </w:p>
        </w:tc>
        <w:tc>
          <w:tcPr>
            <w:tcW w:w="1070"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1,608,053</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1,951,663</w:t>
            </w:r>
          </w:p>
        </w:tc>
        <w:tc>
          <w:tcPr>
            <w:tcW w:w="236"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1,994,886</w:t>
            </w:r>
          </w:p>
        </w:tc>
      </w:tr>
      <w:tr w:rsidR="008835EB" w:rsidTr="007E3F2E">
        <w:trPr>
          <w:trHeight w:val="255"/>
        </w:trPr>
        <w:tc>
          <w:tcPr>
            <w:tcW w:w="4241"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c>
          <w:tcPr>
            <w:tcW w:w="1070"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nil"/>
              <w:right w:val="nil"/>
            </w:tcBorders>
            <w:shd w:val="clear" w:color="000000" w:fill="D9D9D9"/>
            <w:noWrap/>
            <w:vAlign w:val="bottom"/>
            <w:hideMark/>
          </w:tcPr>
          <w:p w:rsidR="008835EB" w:rsidRDefault="008835EB" w:rsidP="007E3F2E">
            <w:pPr>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nil"/>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nil"/>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4241"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INCOME</w:t>
            </w:r>
          </w:p>
        </w:tc>
        <w:tc>
          <w:tcPr>
            <w:tcW w:w="1070"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4241"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Revenue</w:t>
            </w:r>
          </w:p>
        </w:tc>
        <w:tc>
          <w:tcPr>
            <w:tcW w:w="1070"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4241"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Taxation revenue</w:t>
            </w:r>
          </w:p>
        </w:tc>
        <w:tc>
          <w:tcPr>
            <w:tcW w:w="1070"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4241" w:type="dxa"/>
            <w:tcBorders>
              <w:top w:val="nil"/>
              <w:left w:val="nil"/>
              <w:bottom w:val="single" w:sz="4" w:space="0" w:color="D9D9D9"/>
              <w:right w:val="nil"/>
            </w:tcBorders>
            <w:shd w:val="clear" w:color="000000" w:fill="D9D9D9"/>
            <w:noWrap/>
            <w:vAlign w:val="bottom"/>
            <w:hideMark/>
          </w:tcPr>
          <w:p w:rsidR="008835EB" w:rsidRDefault="008835EB" w:rsidP="008835EB">
            <w:pPr>
              <w:ind w:leftChars="100" w:left="180"/>
              <w:rPr>
                <w:rFonts w:cs="Calibri"/>
                <w:szCs w:val="18"/>
              </w:rPr>
            </w:pPr>
            <w:r>
              <w:rPr>
                <w:rFonts w:cs="Calibri"/>
                <w:szCs w:val="18"/>
              </w:rPr>
              <w:t>Other taxes</w:t>
            </w:r>
          </w:p>
        </w:tc>
        <w:tc>
          <w:tcPr>
            <w:tcW w:w="1070"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144,931</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159,401</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174,618 </w:t>
            </w:r>
          </w:p>
        </w:tc>
      </w:tr>
      <w:tr w:rsidR="008835EB" w:rsidTr="007E3F2E">
        <w:trPr>
          <w:trHeight w:val="255"/>
        </w:trPr>
        <w:tc>
          <w:tcPr>
            <w:tcW w:w="4241"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Total taxation revenue</w:t>
            </w:r>
          </w:p>
        </w:tc>
        <w:tc>
          <w:tcPr>
            <w:tcW w:w="1070"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144,931</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159,401</w:t>
            </w:r>
          </w:p>
        </w:tc>
        <w:tc>
          <w:tcPr>
            <w:tcW w:w="236"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174,618</w:t>
            </w:r>
          </w:p>
        </w:tc>
      </w:tr>
      <w:tr w:rsidR="008835EB" w:rsidTr="007E3F2E">
        <w:trPr>
          <w:trHeight w:val="255"/>
        </w:trPr>
        <w:tc>
          <w:tcPr>
            <w:tcW w:w="4241" w:type="dxa"/>
            <w:tcBorders>
              <w:top w:val="nil"/>
              <w:left w:val="nil"/>
              <w:bottom w:val="single" w:sz="4" w:space="0" w:color="D9D9D9"/>
              <w:right w:val="single" w:sz="12" w:space="0" w:color="D9D9D9"/>
            </w:tcBorders>
            <w:shd w:val="clear" w:color="000000" w:fill="D9D9D9"/>
            <w:vAlign w:val="bottom"/>
            <w:hideMark/>
          </w:tcPr>
          <w:p w:rsidR="008835EB" w:rsidRDefault="008835EB" w:rsidP="007E3F2E">
            <w:pPr>
              <w:rPr>
                <w:rFonts w:cs="Calibri"/>
                <w:szCs w:val="18"/>
              </w:rPr>
            </w:pPr>
            <w:r>
              <w:rPr>
                <w:rFonts w:cs="Calibri"/>
                <w:szCs w:val="18"/>
              </w:rPr>
              <w:t> </w:t>
            </w:r>
          </w:p>
        </w:tc>
        <w:tc>
          <w:tcPr>
            <w:tcW w:w="1070"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4241"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Non-taxation revenue</w:t>
            </w:r>
          </w:p>
        </w:tc>
        <w:tc>
          <w:tcPr>
            <w:tcW w:w="1070"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4241" w:type="dxa"/>
            <w:tcBorders>
              <w:top w:val="nil"/>
              <w:left w:val="nil"/>
              <w:bottom w:val="single" w:sz="4" w:space="0" w:color="D9D9D9"/>
              <w:right w:val="nil"/>
            </w:tcBorders>
            <w:shd w:val="clear" w:color="000000" w:fill="D9D9D9"/>
            <w:noWrap/>
            <w:vAlign w:val="bottom"/>
            <w:hideMark/>
          </w:tcPr>
          <w:p w:rsidR="008835EB" w:rsidRDefault="008835EB" w:rsidP="008835EB">
            <w:pPr>
              <w:ind w:leftChars="100" w:left="180"/>
              <w:rPr>
                <w:rFonts w:cs="Calibri"/>
                <w:szCs w:val="18"/>
              </w:rPr>
            </w:pPr>
            <w:r>
              <w:rPr>
                <w:rFonts w:cs="Calibri"/>
                <w:szCs w:val="18"/>
              </w:rPr>
              <w:t>Interest</w:t>
            </w:r>
          </w:p>
        </w:tc>
        <w:tc>
          <w:tcPr>
            <w:tcW w:w="1070"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29</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20</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 -</w:t>
            </w:r>
          </w:p>
        </w:tc>
      </w:tr>
      <w:tr w:rsidR="008835EB" w:rsidTr="007E3F2E">
        <w:trPr>
          <w:trHeight w:val="255"/>
        </w:trPr>
        <w:tc>
          <w:tcPr>
            <w:tcW w:w="4241" w:type="dxa"/>
            <w:tcBorders>
              <w:top w:val="nil"/>
              <w:left w:val="nil"/>
              <w:bottom w:val="single" w:sz="4" w:space="0" w:color="D9D9D9"/>
              <w:right w:val="nil"/>
            </w:tcBorders>
            <w:shd w:val="clear" w:color="000000" w:fill="D9D9D9"/>
            <w:noWrap/>
            <w:vAlign w:val="bottom"/>
            <w:hideMark/>
          </w:tcPr>
          <w:p w:rsidR="008835EB" w:rsidRDefault="008835EB" w:rsidP="008835EB">
            <w:pPr>
              <w:ind w:leftChars="100" w:left="180"/>
              <w:rPr>
                <w:rFonts w:cs="Calibri"/>
                <w:szCs w:val="18"/>
              </w:rPr>
            </w:pPr>
            <w:r>
              <w:rPr>
                <w:rFonts w:cs="Calibri"/>
                <w:szCs w:val="18"/>
              </w:rPr>
              <w:t>Commonwealth asset recoveries</w:t>
            </w:r>
          </w:p>
        </w:tc>
        <w:tc>
          <w:tcPr>
            <w:tcW w:w="1070"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70,529</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23,278</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14,732 </w:t>
            </w:r>
          </w:p>
        </w:tc>
      </w:tr>
      <w:tr w:rsidR="008835EB" w:rsidTr="007E3F2E">
        <w:trPr>
          <w:trHeight w:val="255"/>
        </w:trPr>
        <w:tc>
          <w:tcPr>
            <w:tcW w:w="4241" w:type="dxa"/>
            <w:tcBorders>
              <w:top w:val="nil"/>
              <w:left w:val="nil"/>
              <w:bottom w:val="single" w:sz="4" w:space="0" w:color="D9D9D9"/>
              <w:right w:val="nil"/>
            </w:tcBorders>
            <w:shd w:val="clear" w:color="000000" w:fill="D9D9D9"/>
            <w:noWrap/>
            <w:vAlign w:val="bottom"/>
            <w:hideMark/>
          </w:tcPr>
          <w:p w:rsidR="008835EB" w:rsidRDefault="008835EB" w:rsidP="008835EB">
            <w:pPr>
              <w:ind w:leftChars="100" w:left="180"/>
              <w:rPr>
                <w:rFonts w:cs="Calibri"/>
                <w:szCs w:val="18"/>
              </w:rPr>
            </w:pPr>
            <w:r>
              <w:rPr>
                <w:rFonts w:cs="Calibri"/>
                <w:szCs w:val="18"/>
              </w:rPr>
              <w:t>Other revenue</w:t>
            </w:r>
          </w:p>
        </w:tc>
        <w:tc>
          <w:tcPr>
            <w:tcW w:w="1070"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25,237</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5,643</w:t>
            </w:r>
          </w:p>
        </w:tc>
        <w:tc>
          <w:tcPr>
            <w:tcW w:w="236"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3,963 </w:t>
            </w:r>
          </w:p>
        </w:tc>
      </w:tr>
      <w:tr w:rsidR="008835EB" w:rsidTr="007E3F2E">
        <w:trPr>
          <w:trHeight w:val="255"/>
        </w:trPr>
        <w:tc>
          <w:tcPr>
            <w:tcW w:w="4241"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Total non-taxation revenue</w:t>
            </w:r>
          </w:p>
        </w:tc>
        <w:tc>
          <w:tcPr>
            <w:tcW w:w="1070"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95,795</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28,941</w:t>
            </w:r>
          </w:p>
        </w:tc>
        <w:tc>
          <w:tcPr>
            <w:tcW w:w="236"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18,695</w:t>
            </w:r>
          </w:p>
        </w:tc>
      </w:tr>
      <w:tr w:rsidR="008835EB" w:rsidTr="007E3F2E">
        <w:trPr>
          <w:trHeight w:val="270"/>
        </w:trPr>
        <w:tc>
          <w:tcPr>
            <w:tcW w:w="4241" w:type="dxa"/>
            <w:tcBorders>
              <w:top w:val="nil"/>
              <w:left w:val="nil"/>
              <w:bottom w:val="single" w:sz="8" w:space="0" w:color="D9D9D9"/>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Total revenue</w:t>
            </w:r>
          </w:p>
        </w:tc>
        <w:tc>
          <w:tcPr>
            <w:tcW w:w="1070"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240,726</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188,342</w:t>
            </w:r>
          </w:p>
        </w:tc>
        <w:tc>
          <w:tcPr>
            <w:tcW w:w="236"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193,313</w:t>
            </w:r>
          </w:p>
        </w:tc>
      </w:tr>
      <w:tr w:rsidR="008835EB" w:rsidTr="007E3F2E">
        <w:trPr>
          <w:trHeight w:val="255"/>
        </w:trPr>
        <w:tc>
          <w:tcPr>
            <w:tcW w:w="424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70"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70"/>
        </w:trPr>
        <w:tc>
          <w:tcPr>
            <w:tcW w:w="4241"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Total income</w:t>
            </w:r>
          </w:p>
        </w:tc>
        <w:tc>
          <w:tcPr>
            <w:tcW w:w="1070"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double" w:sz="6"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240,726</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double" w:sz="6"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188,342</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double" w:sz="6"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193,313</w:t>
            </w:r>
          </w:p>
        </w:tc>
      </w:tr>
      <w:tr w:rsidR="008835EB" w:rsidTr="007E3F2E">
        <w:trPr>
          <w:trHeight w:val="270"/>
        </w:trPr>
        <w:tc>
          <w:tcPr>
            <w:tcW w:w="4241" w:type="dxa"/>
            <w:tcBorders>
              <w:top w:val="nil"/>
              <w:left w:val="nil"/>
              <w:bottom w:val="single" w:sz="4" w:space="0" w:color="D9D9D9"/>
              <w:right w:val="single" w:sz="12" w:space="0" w:color="D9D9D9"/>
            </w:tcBorders>
            <w:shd w:val="clear" w:color="000000" w:fill="D9D9D9"/>
            <w:vAlign w:val="bottom"/>
            <w:hideMark/>
          </w:tcPr>
          <w:p w:rsidR="008835EB" w:rsidRDefault="008835EB" w:rsidP="007E3F2E">
            <w:pPr>
              <w:rPr>
                <w:rFonts w:cs="Calibri"/>
                <w:szCs w:val="18"/>
              </w:rPr>
            </w:pPr>
            <w:r>
              <w:rPr>
                <w:rFonts w:cs="Calibri"/>
                <w:szCs w:val="18"/>
              </w:rPr>
              <w:t> </w:t>
            </w:r>
          </w:p>
        </w:tc>
        <w:tc>
          <w:tcPr>
            <w:tcW w:w="1070"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70"/>
        </w:trPr>
        <w:tc>
          <w:tcPr>
            <w:tcW w:w="4241"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 xml:space="preserve">Net cost of services </w:t>
            </w:r>
          </w:p>
        </w:tc>
        <w:tc>
          <w:tcPr>
            <w:tcW w:w="1070"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(1,367,327)</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(1,763,321)</w:t>
            </w:r>
          </w:p>
        </w:tc>
        <w:tc>
          <w:tcPr>
            <w:tcW w:w="236"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(1,801,573)</w:t>
            </w:r>
          </w:p>
        </w:tc>
      </w:tr>
      <w:tr w:rsidR="008835EB" w:rsidTr="007E3F2E">
        <w:trPr>
          <w:trHeight w:val="270"/>
        </w:trPr>
        <w:tc>
          <w:tcPr>
            <w:tcW w:w="424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70"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4241"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OTHER COMPREHENSIVE INCOME</w:t>
            </w:r>
          </w:p>
        </w:tc>
        <w:tc>
          <w:tcPr>
            <w:tcW w:w="1070"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480"/>
        </w:trPr>
        <w:tc>
          <w:tcPr>
            <w:tcW w:w="4241"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Items not subject to subsequent reclassification to net cost of services</w:t>
            </w:r>
          </w:p>
        </w:tc>
        <w:tc>
          <w:tcPr>
            <w:tcW w:w="1070"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4241" w:type="dxa"/>
            <w:tcBorders>
              <w:top w:val="nil"/>
              <w:left w:val="nil"/>
              <w:bottom w:val="single" w:sz="4" w:space="0" w:color="D9D9D9"/>
              <w:right w:val="nil"/>
            </w:tcBorders>
            <w:shd w:val="clear" w:color="000000" w:fill="D9D9D9"/>
            <w:noWrap/>
            <w:vAlign w:val="bottom"/>
            <w:hideMark/>
          </w:tcPr>
          <w:p w:rsidR="008835EB" w:rsidRDefault="008835EB" w:rsidP="008835EB">
            <w:pPr>
              <w:ind w:leftChars="100" w:left="180"/>
              <w:rPr>
                <w:rFonts w:cs="Calibri"/>
                <w:szCs w:val="18"/>
              </w:rPr>
            </w:pPr>
            <w:r>
              <w:rPr>
                <w:rFonts w:cs="Calibri"/>
                <w:szCs w:val="18"/>
              </w:rPr>
              <w:t>Changes in asset revaluation surplus</w:t>
            </w:r>
          </w:p>
        </w:tc>
        <w:tc>
          <w:tcPr>
            <w:tcW w:w="1070"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16,239</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79,181</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 -</w:t>
            </w:r>
          </w:p>
        </w:tc>
      </w:tr>
      <w:tr w:rsidR="008835EB" w:rsidTr="007E3F2E">
        <w:trPr>
          <w:trHeight w:val="255"/>
        </w:trPr>
        <w:tc>
          <w:tcPr>
            <w:tcW w:w="4241"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Total other comprehensive income</w:t>
            </w:r>
          </w:p>
        </w:tc>
        <w:tc>
          <w:tcPr>
            <w:tcW w:w="1070"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16,239</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79,181</w:t>
            </w:r>
          </w:p>
        </w:tc>
        <w:tc>
          <w:tcPr>
            <w:tcW w:w="236"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w:t>
            </w:r>
          </w:p>
        </w:tc>
      </w:tr>
      <w:tr w:rsidR="008835EB" w:rsidTr="007E3F2E">
        <w:trPr>
          <w:trHeight w:val="255"/>
        </w:trPr>
        <w:tc>
          <w:tcPr>
            <w:tcW w:w="424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70"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99" w:type="dxa"/>
            <w:tcBorders>
              <w:top w:val="nil"/>
              <w:left w:val="nil"/>
              <w:bottom w:val="single" w:sz="4" w:space="0" w:color="auto"/>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70"/>
        </w:trPr>
        <w:tc>
          <w:tcPr>
            <w:tcW w:w="4241" w:type="dxa"/>
            <w:tcBorders>
              <w:top w:val="single" w:sz="4" w:space="0" w:color="D9D9D9"/>
              <w:left w:val="nil"/>
              <w:bottom w:val="single" w:sz="24" w:space="0" w:color="D8D8D8"/>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Total comprehensive loss</w:t>
            </w:r>
          </w:p>
        </w:tc>
        <w:tc>
          <w:tcPr>
            <w:tcW w:w="1070" w:type="dxa"/>
            <w:tcBorders>
              <w:top w:val="single" w:sz="4" w:space="0" w:color="D9D9D9"/>
              <w:left w:val="nil"/>
              <w:bottom w:val="single" w:sz="24" w:space="0" w:color="D8D8D8"/>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99" w:type="dxa"/>
            <w:tcBorders>
              <w:top w:val="single" w:sz="4" w:space="0" w:color="auto"/>
              <w:left w:val="nil"/>
              <w:bottom w:val="doub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(1,351,088)</w:t>
            </w:r>
          </w:p>
        </w:tc>
        <w:tc>
          <w:tcPr>
            <w:tcW w:w="236" w:type="dxa"/>
            <w:tcBorders>
              <w:top w:val="single" w:sz="4" w:space="0" w:color="D9D9D9"/>
              <w:left w:val="nil"/>
              <w:bottom w:val="single" w:sz="24" w:space="0" w:color="D8D8D8"/>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(1,684,140)</w:t>
            </w:r>
          </w:p>
        </w:tc>
        <w:tc>
          <w:tcPr>
            <w:tcW w:w="236" w:type="dxa"/>
            <w:tcBorders>
              <w:top w:val="single" w:sz="4" w:space="0" w:color="D9D9D9"/>
              <w:left w:val="nil"/>
              <w:bottom w:val="single" w:sz="24" w:space="0" w:color="D8D8D8"/>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(1,801,573)</w:t>
            </w:r>
          </w:p>
        </w:tc>
      </w:tr>
    </w:tbl>
    <w:p w:rsidR="008835EB" w:rsidRDefault="008835EB" w:rsidP="008835EB">
      <w:pPr>
        <w:pStyle w:val="Policytextadminbold"/>
        <w:spacing w:after="0"/>
        <w:ind w:left="426" w:hanging="426"/>
        <w:rPr>
          <w:b w:val="0"/>
        </w:rPr>
      </w:pPr>
      <w:bookmarkStart w:id="42" w:name="RANGE!D7:H51"/>
      <w:bookmarkEnd w:id="42"/>
      <w:r w:rsidRPr="00097B03">
        <w:rPr>
          <w:b w:val="0"/>
          <w:bCs w:val="0"/>
        </w:rPr>
        <w:t>1.</w:t>
      </w:r>
      <w:r>
        <w:rPr>
          <w:b w:val="0"/>
          <w:bCs w:val="0"/>
        </w:rPr>
        <w:tab/>
      </w:r>
      <w:r w:rsidRPr="00097B03">
        <w:rPr>
          <w:b w:val="0"/>
        </w:rPr>
        <w:t>Employment’s original budgeted financial statement that was first presented to parliament</w:t>
      </w:r>
      <w:r>
        <w:rPr>
          <w:b w:val="0"/>
        </w:rPr>
        <w:t xml:space="preserve"> in respect of the </w:t>
      </w:r>
      <w:r w:rsidRPr="00097B03">
        <w:rPr>
          <w:b w:val="0"/>
        </w:rPr>
        <w:t>reporting period was the Portfolio Budget Statements 2015</w:t>
      </w:r>
      <w:r>
        <w:rPr>
          <w:b w:val="0"/>
        </w:rPr>
        <w:t>–</w:t>
      </w:r>
      <w:r w:rsidRPr="00097B03">
        <w:rPr>
          <w:b w:val="0"/>
        </w:rPr>
        <w:t>16</w:t>
      </w:r>
      <w:r>
        <w:rPr>
          <w:b w:val="0"/>
        </w:rPr>
        <w:t>.</w:t>
      </w:r>
    </w:p>
    <w:p w:rsidR="008835EB" w:rsidRPr="000621E7" w:rsidRDefault="008835EB" w:rsidP="008835EB">
      <w:pPr>
        <w:pStyle w:val="Policytextadminbold"/>
        <w:spacing w:after="0"/>
        <w:ind w:left="426" w:hanging="426"/>
        <w:rPr>
          <w:b w:val="0"/>
        </w:rPr>
      </w:pPr>
    </w:p>
    <w:p w:rsidR="008835EB" w:rsidRPr="000621E7" w:rsidRDefault="008835EB" w:rsidP="008835EB">
      <w:pPr>
        <w:pStyle w:val="Policytextadminbold"/>
      </w:pPr>
      <w:r w:rsidRPr="000621E7">
        <w:t>Accounting Policy</w:t>
      </w:r>
    </w:p>
    <w:p w:rsidR="008835EB" w:rsidRPr="008B022A" w:rsidRDefault="008835EB" w:rsidP="008835EB">
      <w:pPr>
        <w:pStyle w:val="Policytextadminunderline"/>
      </w:pPr>
      <w:r w:rsidRPr="008B022A">
        <w:t>Revenue</w:t>
      </w:r>
    </w:p>
    <w:p w:rsidR="008835EB" w:rsidRPr="008B022A" w:rsidRDefault="008835EB" w:rsidP="008835EB">
      <w:pPr>
        <w:pStyle w:val="PolicyTextAdmin"/>
        <w:rPr>
          <w:lang w:eastAsia="en-AU"/>
        </w:rPr>
      </w:pPr>
      <w:r w:rsidRPr="008B022A">
        <w:rPr>
          <w:lang w:eastAsia="en-AU"/>
        </w:rPr>
        <w:t>All administered revenues are revenues relating to the course of ordina</w:t>
      </w:r>
      <w:r>
        <w:rPr>
          <w:lang w:eastAsia="en-AU"/>
        </w:rPr>
        <w:t>ry activities performed by the D</w:t>
      </w:r>
      <w:r w:rsidRPr="008B022A">
        <w:rPr>
          <w:lang w:eastAsia="en-AU"/>
        </w:rPr>
        <w:t>epartment on behalf</w:t>
      </w:r>
      <w:r>
        <w:rPr>
          <w:lang w:eastAsia="en-AU"/>
        </w:rPr>
        <w:t xml:space="preserve"> of the Australian Government. </w:t>
      </w:r>
      <w:r w:rsidRPr="008B022A">
        <w:rPr>
          <w:lang w:eastAsia="en-AU"/>
        </w:rPr>
        <w:t>As such, administered appropriations are not revenues of the individual entity that oversees distribution or expenditure of the funds as directed.</w:t>
      </w:r>
    </w:p>
    <w:p w:rsidR="008835EB" w:rsidRDefault="008835EB" w:rsidP="008835EB">
      <w:pPr>
        <w:pStyle w:val="PolicyTextAdmin"/>
      </w:pPr>
      <w:r w:rsidRPr="008B022A">
        <w:rPr>
          <w:lang w:eastAsia="en-AU"/>
        </w:rPr>
        <w:t>Administered fee revenue is recognised</w:t>
      </w:r>
      <w:r>
        <w:rPr>
          <w:lang w:eastAsia="en-AU"/>
        </w:rPr>
        <w:t xml:space="preserve"> when the service is provided. </w:t>
      </w:r>
      <w:r w:rsidRPr="008B022A">
        <w:rPr>
          <w:lang w:eastAsia="en-AU"/>
        </w:rPr>
        <w:t>Collectability of the de</w:t>
      </w:r>
      <w:r>
        <w:rPr>
          <w:lang w:eastAsia="en-AU"/>
        </w:rPr>
        <w:t>bt is reviewed at balance date.</w:t>
      </w:r>
      <w:r w:rsidRPr="008B022A">
        <w:rPr>
          <w:lang w:eastAsia="en-AU"/>
        </w:rPr>
        <w:t xml:space="preserve"> Impairment allowances are made when collectability of the debt is judged to be less, rather than more, likely.</w:t>
      </w:r>
    </w:p>
    <w:p w:rsidR="008835EB" w:rsidRDefault="008835EB" w:rsidP="008835EB">
      <w:pPr>
        <w:spacing w:line="240" w:lineRule="auto"/>
        <w:ind w:firstLine="426"/>
        <w:sectPr w:rsidR="008835EB" w:rsidSect="00FA455C">
          <w:type w:val="continuous"/>
          <w:pgSz w:w="11906" w:h="16838"/>
          <w:pgMar w:top="1134" w:right="1134" w:bottom="1134" w:left="1134" w:header="958" w:footer="737" w:gutter="0"/>
          <w:cols w:space="720"/>
        </w:sectPr>
      </w:pPr>
    </w:p>
    <w:p w:rsidR="00FA455C" w:rsidRDefault="00FA455C" w:rsidP="00FA455C">
      <w:pPr>
        <w:pStyle w:val="Heading1"/>
      </w:pPr>
      <w:bookmarkStart w:id="43" w:name="Note_ABSTABLE1" w:colFirst="0" w:colLast="0"/>
      <w:r>
        <w:lastRenderedPageBreak/>
        <w:t>Department of Employment</w:t>
      </w:r>
      <w:r>
        <w:br/>
        <w:t>ADMINISTERED SCHEDULE OF ASSETS AND LIABILITIES</w:t>
      </w:r>
      <w:r>
        <w:br/>
        <w:t>as at 30 June 2016</w:t>
      </w:r>
    </w:p>
    <w:p w:rsidR="00FA455C" w:rsidRDefault="00FA455C" w:rsidP="007E3F2E">
      <w:pPr>
        <w:rPr>
          <w:rFonts w:ascii="Arial" w:hAnsi="Arial" w:cs="Arial"/>
          <w:sz w:val="16"/>
          <w:szCs w:val="16"/>
        </w:rPr>
        <w:sectPr w:rsidR="00FA455C" w:rsidSect="00F74C23">
          <w:headerReference w:type="even" r:id="rId34"/>
          <w:headerReference w:type="default" r:id="rId35"/>
          <w:headerReference w:type="first" r:id="rId36"/>
          <w:pgSz w:w="11906" w:h="16838"/>
          <w:pgMar w:top="1134" w:right="1134" w:bottom="1134" w:left="1134" w:header="958" w:footer="737" w:gutter="0"/>
          <w:cols w:space="720"/>
        </w:sectPr>
      </w:pPr>
    </w:p>
    <w:tbl>
      <w:tblPr>
        <w:tblW w:w="9087" w:type="dxa"/>
        <w:tblInd w:w="80" w:type="dxa"/>
        <w:tblLayout w:type="fixed"/>
        <w:tblLook w:val="04A0" w:firstRow="1" w:lastRow="0" w:firstColumn="1" w:lastColumn="0" w:noHBand="0" w:noVBand="1"/>
      </w:tblPr>
      <w:tblGrid>
        <w:gridCol w:w="4283"/>
        <w:gridCol w:w="1080"/>
        <w:gridCol w:w="1110"/>
        <w:gridCol w:w="238"/>
        <w:gridCol w:w="1070"/>
        <w:gridCol w:w="238"/>
        <w:gridCol w:w="1068"/>
      </w:tblGrid>
      <w:tr w:rsidR="008835EB" w:rsidTr="007E3F2E">
        <w:trPr>
          <w:trHeight w:val="525"/>
        </w:trPr>
        <w:tc>
          <w:tcPr>
            <w:tcW w:w="424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lastRenderedPageBreak/>
              <w:t> </w:t>
            </w:r>
          </w:p>
        </w:tc>
        <w:tc>
          <w:tcPr>
            <w:tcW w:w="1070"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99" w:type="dxa"/>
            <w:tcBorders>
              <w:top w:val="nil"/>
              <w:left w:val="nil"/>
              <w:bottom w:val="single" w:sz="4" w:space="0" w:color="D9D9D9"/>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2016</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2015</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single" w:sz="4" w:space="0" w:color="D9D9D9"/>
              <w:right w:val="nil"/>
            </w:tcBorders>
            <w:shd w:val="clear" w:color="000000" w:fill="D9D9D9"/>
            <w:vAlign w:val="bottom"/>
            <w:hideMark/>
          </w:tcPr>
          <w:p w:rsidR="008835EB" w:rsidRDefault="008835EB" w:rsidP="007E3F2E">
            <w:pPr>
              <w:jc w:val="right"/>
              <w:rPr>
                <w:rFonts w:cs="Calibri"/>
                <w:szCs w:val="18"/>
              </w:rPr>
            </w:pPr>
            <w:r>
              <w:rPr>
                <w:rFonts w:cs="Calibri"/>
                <w:szCs w:val="18"/>
              </w:rPr>
              <w:t xml:space="preserve">Original </w:t>
            </w:r>
            <w:proofErr w:type="spellStart"/>
            <w:r>
              <w:rPr>
                <w:rFonts w:cs="Calibri"/>
                <w:szCs w:val="18"/>
              </w:rPr>
              <w:t>Budget</w:t>
            </w:r>
            <w:r>
              <w:rPr>
                <w:rFonts w:cs="Calibri"/>
                <w:szCs w:val="18"/>
                <w:vertAlign w:val="superscript"/>
              </w:rPr>
              <w:t>1</w:t>
            </w:r>
            <w:proofErr w:type="spellEnd"/>
          </w:p>
        </w:tc>
      </w:tr>
      <w:bookmarkEnd w:id="43"/>
      <w:tr w:rsidR="008835EB" w:rsidTr="007E3F2E">
        <w:trPr>
          <w:trHeight w:val="255"/>
        </w:trPr>
        <w:tc>
          <w:tcPr>
            <w:tcW w:w="424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70" w:type="dxa"/>
            <w:tcBorders>
              <w:top w:val="nil"/>
              <w:left w:val="nil"/>
              <w:bottom w:val="single" w:sz="4" w:space="0" w:color="D9D9D9"/>
              <w:right w:val="nil"/>
            </w:tcBorders>
            <w:shd w:val="clear" w:color="000000" w:fill="D9D9D9"/>
            <w:vAlign w:val="bottom"/>
            <w:hideMark/>
          </w:tcPr>
          <w:p w:rsidR="008835EB" w:rsidRDefault="008835EB" w:rsidP="007E3F2E">
            <w:pPr>
              <w:jc w:val="center"/>
              <w:rPr>
                <w:rFonts w:cs="Calibri"/>
                <w:b/>
                <w:bCs/>
                <w:szCs w:val="18"/>
              </w:rPr>
            </w:pPr>
            <w:r>
              <w:rPr>
                <w:rFonts w:cs="Calibri"/>
                <w:b/>
                <w:bCs/>
                <w:szCs w:val="18"/>
              </w:rPr>
              <w:t>Notes</w:t>
            </w:r>
          </w:p>
        </w:tc>
        <w:tc>
          <w:tcPr>
            <w:tcW w:w="1099" w:type="dxa"/>
            <w:tcBorders>
              <w:top w:val="nil"/>
              <w:left w:val="nil"/>
              <w:bottom w:val="single" w:sz="4" w:space="0" w:color="D9D9D9"/>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$'000</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$'000</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4241"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ASSETS</w:t>
            </w:r>
          </w:p>
        </w:tc>
        <w:tc>
          <w:tcPr>
            <w:tcW w:w="1070"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4241"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Financial assets</w:t>
            </w:r>
          </w:p>
        </w:tc>
        <w:tc>
          <w:tcPr>
            <w:tcW w:w="1070"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4241"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Cash and cash equivalents</w:t>
            </w:r>
          </w:p>
        </w:tc>
        <w:tc>
          <w:tcPr>
            <w:tcW w:w="1070" w:type="dxa"/>
            <w:tcBorders>
              <w:top w:val="nil"/>
              <w:left w:val="nil"/>
              <w:bottom w:val="single" w:sz="4" w:space="0" w:color="D9D9D9"/>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4</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104</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 -</w:t>
            </w:r>
          </w:p>
        </w:tc>
      </w:tr>
      <w:tr w:rsidR="008835EB" w:rsidTr="007E3F2E">
        <w:trPr>
          <w:trHeight w:val="255"/>
        </w:trPr>
        <w:tc>
          <w:tcPr>
            <w:tcW w:w="4241"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Trade, taxation and other receivables</w:t>
            </w:r>
          </w:p>
        </w:tc>
        <w:tc>
          <w:tcPr>
            <w:tcW w:w="1070" w:type="dxa"/>
            <w:tcBorders>
              <w:top w:val="nil"/>
              <w:left w:val="nil"/>
              <w:bottom w:val="single" w:sz="4" w:space="0" w:color="D9D9D9"/>
              <w:right w:val="nil"/>
            </w:tcBorders>
            <w:shd w:val="clear" w:color="000000" w:fill="D9D9D9"/>
            <w:noWrap/>
            <w:vAlign w:val="bottom"/>
            <w:hideMark/>
          </w:tcPr>
          <w:p w:rsidR="008835EB" w:rsidRDefault="008835EB" w:rsidP="007E3F2E">
            <w:pPr>
              <w:jc w:val="center"/>
              <w:rPr>
                <w:rFonts w:cs="Calibri"/>
                <w:szCs w:val="18"/>
              </w:rPr>
            </w:pPr>
            <w:proofErr w:type="spellStart"/>
            <w:r>
              <w:rPr>
                <w:rFonts w:cs="Calibri"/>
                <w:szCs w:val="18"/>
              </w:rPr>
              <w:t>4.1A</w:t>
            </w:r>
            <w:proofErr w:type="spellEnd"/>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42,378</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32,165</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23,336 </w:t>
            </w:r>
          </w:p>
        </w:tc>
      </w:tr>
      <w:tr w:rsidR="008835EB" w:rsidTr="007E3F2E">
        <w:trPr>
          <w:trHeight w:val="255"/>
        </w:trPr>
        <w:tc>
          <w:tcPr>
            <w:tcW w:w="4241"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Other investments</w:t>
            </w:r>
          </w:p>
        </w:tc>
        <w:tc>
          <w:tcPr>
            <w:tcW w:w="1070" w:type="dxa"/>
            <w:tcBorders>
              <w:top w:val="nil"/>
              <w:left w:val="nil"/>
              <w:bottom w:val="single" w:sz="4" w:space="0" w:color="D9D9D9"/>
              <w:right w:val="nil"/>
            </w:tcBorders>
            <w:shd w:val="clear" w:color="000000" w:fill="D9D9D9"/>
            <w:noWrap/>
            <w:vAlign w:val="bottom"/>
            <w:hideMark/>
          </w:tcPr>
          <w:p w:rsidR="008835EB" w:rsidRDefault="008835EB" w:rsidP="007E3F2E">
            <w:pPr>
              <w:jc w:val="center"/>
              <w:rPr>
                <w:rFonts w:cs="Calibri"/>
                <w:szCs w:val="18"/>
              </w:rPr>
            </w:pPr>
            <w:proofErr w:type="spellStart"/>
            <w:r>
              <w:rPr>
                <w:rFonts w:cs="Calibri"/>
                <w:szCs w:val="18"/>
              </w:rPr>
              <w:t>4.1B</w:t>
            </w:r>
            <w:proofErr w:type="spellEnd"/>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240,897</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224,658</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145,477 </w:t>
            </w:r>
          </w:p>
        </w:tc>
      </w:tr>
      <w:tr w:rsidR="008835EB" w:rsidTr="007E3F2E">
        <w:trPr>
          <w:trHeight w:val="255"/>
        </w:trPr>
        <w:tc>
          <w:tcPr>
            <w:tcW w:w="4241"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Total financial assets</w:t>
            </w:r>
          </w:p>
        </w:tc>
        <w:tc>
          <w:tcPr>
            <w:tcW w:w="1070" w:type="dxa"/>
            <w:tcBorders>
              <w:top w:val="nil"/>
              <w:left w:val="nil"/>
              <w:bottom w:val="single" w:sz="4" w:space="0" w:color="D9D9D9"/>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283,279</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256,927</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168,813</w:t>
            </w:r>
          </w:p>
        </w:tc>
      </w:tr>
      <w:tr w:rsidR="008835EB" w:rsidTr="007E3F2E">
        <w:trPr>
          <w:trHeight w:val="255"/>
        </w:trPr>
        <w:tc>
          <w:tcPr>
            <w:tcW w:w="424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70" w:type="dxa"/>
            <w:tcBorders>
              <w:top w:val="nil"/>
              <w:left w:val="nil"/>
              <w:bottom w:val="single" w:sz="4" w:space="0" w:color="D9D9D9"/>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4241"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Non-financial assets</w:t>
            </w:r>
          </w:p>
        </w:tc>
        <w:tc>
          <w:tcPr>
            <w:tcW w:w="1070" w:type="dxa"/>
            <w:tcBorders>
              <w:top w:val="nil"/>
              <w:left w:val="nil"/>
              <w:bottom w:val="single" w:sz="4" w:space="0" w:color="D9D9D9"/>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4241"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Prepayments</w:t>
            </w:r>
          </w:p>
        </w:tc>
        <w:tc>
          <w:tcPr>
            <w:tcW w:w="1070" w:type="dxa"/>
            <w:tcBorders>
              <w:top w:val="nil"/>
              <w:left w:val="nil"/>
              <w:bottom w:val="single" w:sz="4" w:space="0" w:color="D9D9D9"/>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5,321</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5,014</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5,297 </w:t>
            </w:r>
          </w:p>
        </w:tc>
      </w:tr>
      <w:tr w:rsidR="008835EB" w:rsidTr="007E3F2E">
        <w:trPr>
          <w:trHeight w:val="255"/>
        </w:trPr>
        <w:tc>
          <w:tcPr>
            <w:tcW w:w="4241"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Total non-financial assets</w:t>
            </w:r>
          </w:p>
        </w:tc>
        <w:tc>
          <w:tcPr>
            <w:tcW w:w="1070" w:type="dxa"/>
            <w:tcBorders>
              <w:top w:val="nil"/>
              <w:left w:val="nil"/>
              <w:bottom w:val="single" w:sz="4" w:space="0" w:color="D9D9D9"/>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5,321</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5,014</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5,297</w:t>
            </w:r>
          </w:p>
        </w:tc>
      </w:tr>
      <w:tr w:rsidR="008835EB" w:rsidTr="007E3F2E">
        <w:trPr>
          <w:trHeight w:val="255"/>
        </w:trPr>
        <w:tc>
          <w:tcPr>
            <w:tcW w:w="4241" w:type="dxa"/>
            <w:tcBorders>
              <w:top w:val="nil"/>
              <w:left w:val="nil"/>
              <w:bottom w:val="single" w:sz="4" w:space="0" w:color="D9D9D9"/>
              <w:right w:val="nil"/>
            </w:tcBorders>
            <w:shd w:val="clear" w:color="000000" w:fill="D9D9D9"/>
            <w:vAlign w:val="bottom"/>
            <w:hideMark/>
          </w:tcPr>
          <w:p w:rsidR="008835EB" w:rsidRDefault="008835EB" w:rsidP="007E3F2E">
            <w:pPr>
              <w:rPr>
                <w:rFonts w:cs="Calibri"/>
                <w:szCs w:val="18"/>
              </w:rPr>
            </w:pPr>
            <w:r>
              <w:rPr>
                <w:rFonts w:cs="Calibri"/>
                <w:szCs w:val="18"/>
              </w:rPr>
              <w:t> </w:t>
            </w:r>
          </w:p>
        </w:tc>
        <w:tc>
          <w:tcPr>
            <w:tcW w:w="1070" w:type="dxa"/>
            <w:tcBorders>
              <w:top w:val="nil"/>
              <w:left w:val="nil"/>
              <w:bottom w:val="single" w:sz="4" w:space="0" w:color="D9D9D9"/>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r>
      <w:tr w:rsidR="008835EB" w:rsidTr="007E3F2E">
        <w:trPr>
          <w:trHeight w:val="270"/>
        </w:trPr>
        <w:tc>
          <w:tcPr>
            <w:tcW w:w="4241"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Total assets administered on behalf of Government</w:t>
            </w:r>
          </w:p>
        </w:tc>
        <w:tc>
          <w:tcPr>
            <w:tcW w:w="1070" w:type="dxa"/>
            <w:tcBorders>
              <w:top w:val="nil"/>
              <w:left w:val="nil"/>
              <w:bottom w:val="single" w:sz="4" w:space="0" w:color="D9D9D9"/>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288,600</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261,941</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174,110</w:t>
            </w:r>
          </w:p>
        </w:tc>
      </w:tr>
      <w:tr w:rsidR="008835EB" w:rsidTr="007E3F2E">
        <w:trPr>
          <w:trHeight w:val="270"/>
        </w:trPr>
        <w:tc>
          <w:tcPr>
            <w:tcW w:w="4241" w:type="dxa"/>
            <w:tcBorders>
              <w:top w:val="nil"/>
              <w:left w:val="nil"/>
              <w:bottom w:val="single" w:sz="4" w:space="0" w:color="D9D9D9"/>
              <w:right w:val="nil"/>
            </w:tcBorders>
            <w:shd w:val="clear" w:color="000000" w:fill="D9D9D9"/>
            <w:vAlign w:val="bottom"/>
            <w:hideMark/>
          </w:tcPr>
          <w:p w:rsidR="008835EB" w:rsidRDefault="008835EB" w:rsidP="007E3F2E">
            <w:pPr>
              <w:rPr>
                <w:rFonts w:cs="Calibri"/>
                <w:szCs w:val="18"/>
              </w:rPr>
            </w:pPr>
            <w:r>
              <w:rPr>
                <w:rFonts w:cs="Calibri"/>
                <w:szCs w:val="18"/>
              </w:rPr>
              <w:t> </w:t>
            </w:r>
          </w:p>
        </w:tc>
        <w:tc>
          <w:tcPr>
            <w:tcW w:w="1070" w:type="dxa"/>
            <w:tcBorders>
              <w:top w:val="nil"/>
              <w:left w:val="nil"/>
              <w:bottom w:val="single" w:sz="4" w:space="0" w:color="D9D9D9"/>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4241"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LIABILITIES</w:t>
            </w:r>
          </w:p>
        </w:tc>
        <w:tc>
          <w:tcPr>
            <w:tcW w:w="1070" w:type="dxa"/>
            <w:tcBorders>
              <w:top w:val="nil"/>
              <w:left w:val="nil"/>
              <w:bottom w:val="single" w:sz="4" w:space="0" w:color="D9D9D9"/>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4241"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Payables</w:t>
            </w:r>
          </w:p>
        </w:tc>
        <w:tc>
          <w:tcPr>
            <w:tcW w:w="1070" w:type="dxa"/>
            <w:tcBorders>
              <w:top w:val="nil"/>
              <w:left w:val="nil"/>
              <w:bottom w:val="single" w:sz="4" w:space="0" w:color="D9D9D9"/>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4241"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Suppliers</w:t>
            </w:r>
          </w:p>
        </w:tc>
        <w:tc>
          <w:tcPr>
            <w:tcW w:w="1070" w:type="dxa"/>
            <w:tcBorders>
              <w:top w:val="nil"/>
              <w:left w:val="nil"/>
              <w:bottom w:val="single" w:sz="4" w:space="0" w:color="D9D9D9"/>
              <w:right w:val="nil"/>
            </w:tcBorders>
            <w:shd w:val="clear" w:color="000000" w:fill="D9D9D9"/>
            <w:noWrap/>
            <w:vAlign w:val="bottom"/>
            <w:hideMark/>
          </w:tcPr>
          <w:p w:rsidR="008835EB" w:rsidRDefault="008835EB" w:rsidP="007E3F2E">
            <w:pPr>
              <w:jc w:val="center"/>
              <w:rPr>
                <w:rFonts w:cs="Calibri"/>
                <w:szCs w:val="18"/>
              </w:rPr>
            </w:pPr>
            <w:proofErr w:type="spellStart"/>
            <w:r>
              <w:rPr>
                <w:rFonts w:cs="Calibri"/>
                <w:szCs w:val="18"/>
              </w:rPr>
              <w:t>4.2A</w:t>
            </w:r>
            <w:proofErr w:type="spellEnd"/>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60,980</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99,476</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21,642 </w:t>
            </w:r>
          </w:p>
        </w:tc>
      </w:tr>
      <w:tr w:rsidR="008835EB" w:rsidTr="007E3F2E">
        <w:trPr>
          <w:trHeight w:val="255"/>
        </w:trPr>
        <w:tc>
          <w:tcPr>
            <w:tcW w:w="4241"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Subsidies</w:t>
            </w:r>
          </w:p>
        </w:tc>
        <w:tc>
          <w:tcPr>
            <w:tcW w:w="1070" w:type="dxa"/>
            <w:tcBorders>
              <w:top w:val="nil"/>
              <w:left w:val="nil"/>
              <w:bottom w:val="single" w:sz="4" w:space="0" w:color="D9D9D9"/>
              <w:right w:val="nil"/>
            </w:tcBorders>
            <w:shd w:val="clear" w:color="000000" w:fill="D9D9D9"/>
            <w:noWrap/>
            <w:vAlign w:val="bottom"/>
            <w:hideMark/>
          </w:tcPr>
          <w:p w:rsidR="008835EB" w:rsidRDefault="008835EB" w:rsidP="007E3F2E">
            <w:pPr>
              <w:jc w:val="center"/>
              <w:rPr>
                <w:rFonts w:cs="Calibri"/>
                <w:szCs w:val="18"/>
              </w:rPr>
            </w:pPr>
            <w:proofErr w:type="spellStart"/>
            <w:r>
              <w:rPr>
                <w:rFonts w:cs="Calibri"/>
                <w:szCs w:val="18"/>
              </w:rPr>
              <w:t>4.2B</w:t>
            </w:r>
            <w:proofErr w:type="spellEnd"/>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24,135</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52,573</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14,810 </w:t>
            </w:r>
          </w:p>
        </w:tc>
      </w:tr>
      <w:tr w:rsidR="008835EB" w:rsidTr="007E3F2E">
        <w:trPr>
          <w:trHeight w:val="255"/>
        </w:trPr>
        <w:tc>
          <w:tcPr>
            <w:tcW w:w="4241"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Personal benefits</w:t>
            </w:r>
          </w:p>
        </w:tc>
        <w:tc>
          <w:tcPr>
            <w:tcW w:w="1070" w:type="dxa"/>
            <w:tcBorders>
              <w:top w:val="nil"/>
              <w:left w:val="nil"/>
              <w:bottom w:val="single" w:sz="4" w:space="0" w:color="D9D9D9"/>
              <w:right w:val="nil"/>
            </w:tcBorders>
            <w:shd w:val="clear" w:color="000000" w:fill="D9D9D9"/>
            <w:noWrap/>
            <w:vAlign w:val="bottom"/>
            <w:hideMark/>
          </w:tcPr>
          <w:p w:rsidR="008835EB" w:rsidRDefault="008835EB" w:rsidP="007E3F2E">
            <w:pPr>
              <w:jc w:val="center"/>
              <w:rPr>
                <w:rFonts w:cs="Calibri"/>
                <w:szCs w:val="18"/>
              </w:rPr>
            </w:pPr>
            <w:proofErr w:type="spellStart"/>
            <w:r>
              <w:rPr>
                <w:rFonts w:cs="Calibri"/>
                <w:szCs w:val="18"/>
              </w:rPr>
              <w:t>4.2C</w:t>
            </w:r>
            <w:proofErr w:type="spellEnd"/>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2,753</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6,692</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9,441 </w:t>
            </w:r>
          </w:p>
        </w:tc>
      </w:tr>
      <w:tr w:rsidR="008835EB" w:rsidTr="007E3F2E">
        <w:trPr>
          <w:trHeight w:val="255"/>
        </w:trPr>
        <w:tc>
          <w:tcPr>
            <w:tcW w:w="4241"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Grants</w:t>
            </w:r>
          </w:p>
        </w:tc>
        <w:tc>
          <w:tcPr>
            <w:tcW w:w="1070" w:type="dxa"/>
            <w:tcBorders>
              <w:top w:val="nil"/>
              <w:left w:val="nil"/>
              <w:bottom w:val="single" w:sz="4" w:space="0" w:color="D9D9D9"/>
              <w:right w:val="nil"/>
            </w:tcBorders>
            <w:shd w:val="clear" w:color="000000" w:fill="D9D9D9"/>
            <w:noWrap/>
            <w:vAlign w:val="bottom"/>
            <w:hideMark/>
          </w:tcPr>
          <w:p w:rsidR="008835EB" w:rsidRDefault="008835EB" w:rsidP="007E3F2E">
            <w:pPr>
              <w:jc w:val="center"/>
              <w:rPr>
                <w:rFonts w:cs="Calibri"/>
                <w:szCs w:val="18"/>
              </w:rPr>
            </w:pPr>
            <w:proofErr w:type="spellStart"/>
            <w:r>
              <w:rPr>
                <w:rFonts w:cs="Calibri"/>
                <w:szCs w:val="18"/>
              </w:rPr>
              <w:t>4.2D</w:t>
            </w:r>
            <w:proofErr w:type="spellEnd"/>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2,168</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459 </w:t>
            </w:r>
          </w:p>
        </w:tc>
      </w:tr>
      <w:tr w:rsidR="008835EB" w:rsidTr="007E3F2E">
        <w:trPr>
          <w:trHeight w:val="255"/>
        </w:trPr>
        <w:tc>
          <w:tcPr>
            <w:tcW w:w="4241"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Other payables</w:t>
            </w:r>
          </w:p>
        </w:tc>
        <w:tc>
          <w:tcPr>
            <w:tcW w:w="1070" w:type="dxa"/>
            <w:tcBorders>
              <w:top w:val="nil"/>
              <w:left w:val="nil"/>
              <w:bottom w:val="single" w:sz="4" w:space="0" w:color="D9D9D9"/>
              <w:right w:val="nil"/>
            </w:tcBorders>
            <w:shd w:val="clear" w:color="000000" w:fill="D9D9D9"/>
            <w:noWrap/>
            <w:vAlign w:val="bottom"/>
            <w:hideMark/>
          </w:tcPr>
          <w:p w:rsidR="008835EB" w:rsidRDefault="008835EB" w:rsidP="007E3F2E">
            <w:pPr>
              <w:jc w:val="center"/>
              <w:rPr>
                <w:rFonts w:cs="Calibri"/>
                <w:szCs w:val="18"/>
              </w:rPr>
            </w:pPr>
            <w:proofErr w:type="spellStart"/>
            <w:r>
              <w:rPr>
                <w:rFonts w:cs="Calibri"/>
                <w:szCs w:val="18"/>
              </w:rPr>
              <w:t>4.2E</w:t>
            </w:r>
            <w:proofErr w:type="spellEnd"/>
          </w:p>
        </w:tc>
        <w:tc>
          <w:tcPr>
            <w:tcW w:w="1099"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2,810,289</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2,794,446</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2,779,135 </w:t>
            </w:r>
          </w:p>
        </w:tc>
      </w:tr>
      <w:tr w:rsidR="008835EB" w:rsidTr="007E3F2E">
        <w:trPr>
          <w:trHeight w:val="255"/>
        </w:trPr>
        <w:tc>
          <w:tcPr>
            <w:tcW w:w="4241"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Total payables</w:t>
            </w:r>
          </w:p>
        </w:tc>
        <w:tc>
          <w:tcPr>
            <w:tcW w:w="1070" w:type="dxa"/>
            <w:tcBorders>
              <w:top w:val="nil"/>
              <w:left w:val="nil"/>
              <w:bottom w:val="single" w:sz="4" w:space="0" w:color="D9D9D9"/>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2,900,325</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2,953,187</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2,825,487</w:t>
            </w:r>
          </w:p>
        </w:tc>
      </w:tr>
      <w:tr w:rsidR="008835EB" w:rsidTr="007E3F2E">
        <w:trPr>
          <w:trHeight w:val="255"/>
        </w:trPr>
        <w:tc>
          <w:tcPr>
            <w:tcW w:w="4241"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c>
          <w:tcPr>
            <w:tcW w:w="1070" w:type="dxa"/>
            <w:tcBorders>
              <w:top w:val="nil"/>
              <w:left w:val="nil"/>
              <w:bottom w:val="single" w:sz="4" w:space="0" w:color="D9D9D9"/>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nil"/>
              <w:right w:val="nil"/>
            </w:tcBorders>
            <w:shd w:val="clear" w:color="000000" w:fill="D9D9D9"/>
            <w:noWrap/>
            <w:vAlign w:val="bottom"/>
            <w:hideMark/>
          </w:tcPr>
          <w:p w:rsidR="008835EB" w:rsidRDefault="008835EB" w:rsidP="007E3F2E">
            <w:pPr>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nil"/>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nil"/>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r>
      <w:tr w:rsidR="008835EB" w:rsidTr="007E3F2E">
        <w:trPr>
          <w:trHeight w:val="270"/>
        </w:trPr>
        <w:tc>
          <w:tcPr>
            <w:tcW w:w="4241"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Total liabilities administered on behalf of Government</w:t>
            </w:r>
          </w:p>
        </w:tc>
        <w:tc>
          <w:tcPr>
            <w:tcW w:w="1070" w:type="dxa"/>
            <w:tcBorders>
              <w:top w:val="nil"/>
              <w:left w:val="nil"/>
              <w:bottom w:val="single" w:sz="4" w:space="0" w:color="D9D9D9"/>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2,900,325</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2,953,187</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2,825,487</w:t>
            </w:r>
          </w:p>
        </w:tc>
      </w:tr>
      <w:tr w:rsidR="008835EB" w:rsidTr="007E3F2E">
        <w:trPr>
          <w:trHeight w:val="270"/>
        </w:trPr>
        <w:tc>
          <w:tcPr>
            <w:tcW w:w="4241" w:type="dxa"/>
            <w:tcBorders>
              <w:top w:val="nil"/>
              <w:left w:val="nil"/>
              <w:bottom w:val="single" w:sz="4" w:space="0" w:color="D9D9D9"/>
              <w:right w:val="nil"/>
            </w:tcBorders>
            <w:shd w:val="clear" w:color="000000" w:fill="D9D9D9"/>
            <w:vAlign w:val="bottom"/>
            <w:hideMark/>
          </w:tcPr>
          <w:p w:rsidR="008835EB" w:rsidRDefault="008835EB" w:rsidP="007E3F2E">
            <w:pPr>
              <w:rPr>
                <w:rFonts w:cs="Calibri"/>
                <w:szCs w:val="18"/>
              </w:rPr>
            </w:pPr>
            <w:r>
              <w:rPr>
                <w:rFonts w:cs="Calibri"/>
                <w:szCs w:val="18"/>
              </w:rPr>
              <w:t> </w:t>
            </w:r>
          </w:p>
        </w:tc>
        <w:tc>
          <w:tcPr>
            <w:tcW w:w="1070" w:type="dxa"/>
            <w:tcBorders>
              <w:top w:val="nil"/>
              <w:left w:val="nil"/>
              <w:bottom w:val="single" w:sz="4" w:space="0" w:color="D9D9D9"/>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nil"/>
              <w:left w:val="nil"/>
              <w:bottom w:val="single" w:sz="4" w:space="0" w:color="auto"/>
              <w:right w:val="nil"/>
            </w:tcBorders>
            <w:shd w:val="clear" w:color="000000" w:fill="D9D9D9"/>
            <w:noWrap/>
            <w:vAlign w:val="bottom"/>
            <w:hideMark/>
          </w:tcPr>
          <w:p w:rsidR="008835EB" w:rsidRDefault="008835EB" w:rsidP="007E3F2E">
            <w:pPr>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r>
      <w:tr w:rsidR="008835EB" w:rsidTr="007E3F2E">
        <w:trPr>
          <w:trHeight w:val="270"/>
        </w:trPr>
        <w:tc>
          <w:tcPr>
            <w:tcW w:w="4241" w:type="dxa"/>
            <w:tcBorders>
              <w:top w:val="single" w:sz="4" w:space="0" w:color="D9D9D9"/>
              <w:left w:val="nil"/>
              <w:bottom w:val="single" w:sz="24" w:space="0" w:color="D8D8D8"/>
              <w:right w:val="nil"/>
            </w:tcBorders>
            <w:shd w:val="clear" w:color="000000" w:fill="D9D9D9"/>
            <w:vAlign w:val="bottom"/>
            <w:hideMark/>
          </w:tcPr>
          <w:p w:rsidR="008835EB" w:rsidRDefault="008835EB" w:rsidP="007E3F2E">
            <w:pPr>
              <w:rPr>
                <w:rFonts w:cs="Calibri"/>
                <w:b/>
                <w:bCs/>
                <w:szCs w:val="18"/>
              </w:rPr>
            </w:pPr>
            <w:r>
              <w:rPr>
                <w:rFonts w:cs="Calibri"/>
                <w:b/>
                <w:bCs/>
                <w:szCs w:val="18"/>
              </w:rPr>
              <w:t>Net liabilities</w:t>
            </w:r>
          </w:p>
        </w:tc>
        <w:tc>
          <w:tcPr>
            <w:tcW w:w="1070" w:type="dxa"/>
            <w:tcBorders>
              <w:top w:val="single" w:sz="4" w:space="0" w:color="D9D9D9"/>
              <w:left w:val="nil"/>
              <w:bottom w:val="single" w:sz="24" w:space="0" w:color="D8D8D8"/>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099" w:type="dxa"/>
            <w:tcBorders>
              <w:top w:val="single" w:sz="4" w:space="0" w:color="auto"/>
              <w:left w:val="nil"/>
              <w:bottom w:val="doub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(2,611,725)</w:t>
            </w:r>
          </w:p>
        </w:tc>
        <w:tc>
          <w:tcPr>
            <w:tcW w:w="236" w:type="dxa"/>
            <w:tcBorders>
              <w:top w:val="single" w:sz="4" w:space="0" w:color="D9D9D9"/>
              <w:left w:val="nil"/>
              <w:bottom w:val="single" w:sz="24" w:space="0" w:color="D8D8D8"/>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60"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(2,691,246)</w:t>
            </w:r>
          </w:p>
        </w:tc>
        <w:tc>
          <w:tcPr>
            <w:tcW w:w="236" w:type="dxa"/>
            <w:tcBorders>
              <w:top w:val="single" w:sz="4" w:space="0" w:color="D9D9D9"/>
              <w:left w:val="nil"/>
              <w:bottom w:val="single" w:sz="24" w:space="0" w:color="D8D8D8"/>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58"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(2,651,377)</w:t>
            </w:r>
          </w:p>
        </w:tc>
      </w:tr>
    </w:tbl>
    <w:p w:rsidR="008835EB" w:rsidRDefault="008835EB" w:rsidP="008835EB">
      <w:pPr>
        <w:pStyle w:val="GreyShadeTableBreak"/>
      </w:pPr>
      <w:bookmarkStart w:id="44" w:name="RANGE!D8:J34"/>
      <w:bookmarkStart w:id="45" w:name="RANGE!D8:H34"/>
      <w:bookmarkStart w:id="46" w:name="RANGE!D6:H80"/>
      <w:bookmarkStart w:id="47" w:name="RANGE!D6:H64"/>
      <w:bookmarkStart w:id="48" w:name="RANGE!D6:H50"/>
      <w:bookmarkStart w:id="49" w:name="RANGE!D6:H52"/>
      <w:bookmarkStart w:id="50" w:name="RANGE!D7:H53"/>
      <w:bookmarkStart w:id="51" w:name="RANGE!D7:H52"/>
      <w:bookmarkStart w:id="52" w:name="RANGE!D7:H33"/>
      <w:bookmarkStart w:id="53" w:name="RANGE!D7:H37"/>
      <w:bookmarkEnd w:id="44"/>
      <w:bookmarkEnd w:id="45"/>
      <w:bookmarkEnd w:id="46"/>
      <w:bookmarkEnd w:id="47"/>
      <w:bookmarkEnd w:id="48"/>
      <w:bookmarkEnd w:id="49"/>
      <w:bookmarkEnd w:id="50"/>
      <w:bookmarkEnd w:id="51"/>
      <w:bookmarkEnd w:id="52"/>
      <w:bookmarkEnd w:id="53"/>
    </w:p>
    <w:p w:rsidR="008835EB" w:rsidRDefault="008835EB" w:rsidP="008835EB">
      <w:pPr>
        <w:pStyle w:val="Policytextadminbold"/>
        <w:spacing w:after="0"/>
        <w:ind w:left="426" w:hanging="426"/>
        <w:rPr>
          <w:b w:val="0"/>
        </w:rPr>
      </w:pPr>
      <w:r w:rsidRPr="00097B03">
        <w:rPr>
          <w:b w:val="0"/>
          <w:bCs w:val="0"/>
        </w:rPr>
        <w:t>1.</w:t>
      </w:r>
      <w:r>
        <w:rPr>
          <w:b w:val="0"/>
          <w:bCs w:val="0"/>
        </w:rPr>
        <w:tab/>
      </w:r>
      <w:r w:rsidRPr="00097B03">
        <w:rPr>
          <w:b w:val="0"/>
        </w:rPr>
        <w:t>Employment’s original budgeted financial statement that was first presented to parliament</w:t>
      </w:r>
      <w:r>
        <w:rPr>
          <w:b w:val="0"/>
        </w:rPr>
        <w:t xml:space="preserve"> in respect of the </w:t>
      </w:r>
      <w:r w:rsidRPr="00097B03">
        <w:rPr>
          <w:b w:val="0"/>
        </w:rPr>
        <w:t>reporting period was the Portfolio Budget Statements 2015</w:t>
      </w:r>
      <w:r>
        <w:rPr>
          <w:b w:val="0"/>
        </w:rPr>
        <w:t>–</w:t>
      </w:r>
      <w:r w:rsidRPr="00097B03">
        <w:rPr>
          <w:b w:val="0"/>
        </w:rPr>
        <w:t>16</w:t>
      </w:r>
      <w:r>
        <w:rPr>
          <w:b w:val="0"/>
        </w:rPr>
        <w:t>.</w:t>
      </w:r>
    </w:p>
    <w:p w:rsidR="008835EB" w:rsidRPr="00097B03" w:rsidRDefault="008835EB" w:rsidP="008835EB">
      <w:pPr>
        <w:pStyle w:val="Policytextadminbold"/>
        <w:spacing w:after="0"/>
        <w:rPr>
          <w:b w:val="0"/>
        </w:rPr>
      </w:pPr>
    </w:p>
    <w:p w:rsidR="008835EB" w:rsidRDefault="008835EB" w:rsidP="008835EB">
      <w:pPr>
        <w:pStyle w:val="Policytextadminbold"/>
      </w:pPr>
      <w:r>
        <w:t>Accounting Policy</w:t>
      </w:r>
    </w:p>
    <w:p w:rsidR="008835EB" w:rsidRPr="008B022A" w:rsidRDefault="008835EB" w:rsidP="008835EB">
      <w:pPr>
        <w:pStyle w:val="Policytextadminunderline"/>
      </w:pPr>
      <w:r w:rsidRPr="008B022A">
        <w:t>Prepayments</w:t>
      </w:r>
    </w:p>
    <w:p w:rsidR="008835EB" w:rsidRPr="008B022A" w:rsidRDefault="008835EB" w:rsidP="008835EB">
      <w:pPr>
        <w:pStyle w:val="PolicyTextAdmin"/>
      </w:pPr>
      <w:r w:rsidRPr="008B022A">
        <w:t>All administered prepayments are current assets.</w:t>
      </w:r>
    </w:p>
    <w:p w:rsidR="008835EB" w:rsidRDefault="008835EB" w:rsidP="008835EB">
      <w:pPr>
        <w:spacing w:line="240" w:lineRule="auto"/>
        <w:ind w:firstLine="426"/>
        <w:sectPr w:rsidR="008835EB" w:rsidSect="00FA455C">
          <w:type w:val="continuous"/>
          <w:pgSz w:w="11906" w:h="16838"/>
          <w:pgMar w:top="1134" w:right="1134" w:bottom="1134" w:left="1134" w:header="958" w:footer="737" w:gutter="0"/>
          <w:cols w:space="720"/>
        </w:sectPr>
      </w:pPr>
    </w:p>
    <w:p w:rsidR="00FA455C" w:rsidRDefault="00FA455C" w:rsidP="00FA455C">
      <w:pPr>
        <w:pStyle w:val="Heading1"/>
      </w:pPr>
      <w:bookmarkStart w:id="54" w:name="RANGE!E7:E42"/>
      <w:bookmarkStart w:id="55" w:name="Note_AEQTABLE1" w:colFirst="0" w:colLast="0"/>
      <w:r>
        <w:lastRenderedPageBreak/>
        <w:t>Department of Employment</w:t>
      </w:r>
      <w:r>
        <w:br/>
        <w:t>ADMINISTERED RECONCILIATION SCHEDULE</w:t>
      </w:r>
    </w:p>
    <w:p w:rsidR="00FA455C" w:rsidRDefault="00FA455C" w:rsidP="007E3F2E">
      <w:pPr>
        <w:rPr>
          <w:rFonts w:ascii="Arial" w:hAnsi="Arial" w:cs="Arial"/>
          <w:sz w:val="16"/>
          <w:szCs w:val="16"/>
        </w:rPr>
        <w:sectPr w:rsidR="00FA455C" w:rsidSect="00F74C23">
          <w:headerReference w:type="even" r:id="rId37"/>
          <w:headerReference w:type="default" r:id="rId38"/>
          <w:headerReference w:type="first" r:id="rId39"/>
          <w:pgSz w:w="11906" w:h="16838"/>
          <w:pgMar w:top="1134" w:right="1134" w:bottom="1134" w:left="1134" w:header="958" w:footer="737" w:gutter="0"/>
          <w:cols w:space="720"/>
        </w:sectPr>
      </w:pPr>
    </w:p>
    <w:tbl>
      <w:tblPr>
        <w:tblW w:w="9087" w:type="dxa"/>
        <w:tblInd w:w="80" w:type="dxa"/>
        <w:tblLayout w:type="fixed"/>
        <w:tblLook w:val="04A0" w:firstRow="1" w:lastRow="0" w:firstColumn="1" w:lastColumn="0" w:noHBand="0" w:noVBand="1"/>
      </w:tblPr>
      <w:tblGrid>
        <w:gridCol w:w="5769"/>
        <w:gridCol w:w="386"/>
        <w:gridCol w:w="1544"/>
        <w:gridCol w:w="239"/>
        <w:gridCol w:w="1149"/>
      </w:tblGrid>
      <w:tr w:rsidR="008835EB" w:rsidTr="007E3F2E">
        <w:trPr>
          <w:trHeight w:val="255"/>
        </w:trPr>
        <w:tc>
          <w:tcPr>
            <w:tcW w:w="5708"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lastRenderedPageBreak/>
              <w:t> </w:t>
            </w:r>
            <w:bookmarkEnd w:id="54"/>
          </w:p>
        </w:tc>
        <w:tc>
          <w:tcPr>
            <w:tcW w:w="382"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528" w:type="dxa"/>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bookmarkStart w:id="56" w:name="RANGE!G7:G42"/>
            <w:r>
              <w:rPr>
                <w:rFonts w:cs="Calibri"/>
                <w:b/>
                <w:bCs/>
                <w:szCs w:val="18"/>
              </w:rPr>
              <w:t>2016</w:t>
            </w:r>
            <w:bookmarkEnd w:id="56"/>
          </w:p>
        </w:tc>
        <w:tc>
          <w:tcPr>
            <w:tcW w:w="236" w:type="dxa"/>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 </w:t>
            </w:r>
          </w:p>
        </w:tc>
        <w:tc>
          <w:tcPr>
            <w:tcW w:w="1137"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2015</w:t>
            </w:r>
          </w:p>
        </w:tc>
      </w:tr>
      <w:bookmarkEnd w:id="55"/>
      <w:tr w:rsidR="008835EB" w:rsidTr="007E3F2E">
        <w:trPr>
          <w:trHeight w:val="255"/>
        </w:trPr>
        <w:tc>
          <w:tcPr>
            <w:tcW w:w="5708"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382"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528" w:type="dxa"/>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$'000</w:t>
            </w:r>
          </w:p>
        </w:tc>
        <w:tc>
          <w:tcPr>
            <w:tcW w:w="236" w:type="dxa"/>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 </w:t>
            </w:r>
          </w:p>
        </w:tc>
        <w:tc>
          <w:tcPr>
            <w:tcW w:w="1137"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5708"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382"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1528"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1137"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r>
      <w:tr w:rsidR="008835EB" w:rsidTr="007E3F2E">
        <w:trPr>
          <w:trHeight w:val="255"/>
        </w:trPr>
        <w:tc>
          <w:tcPr>
            <w:tcW w:w="5708"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Opening assets less liabilities</w:t>
            </w:r>
          </w:p>
        </w:tc>
        <w:tc>
          <w:tcPr>
            <w:tcW w:w="382"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c>
          <w:tcPr>
            <w:tcW w:w="1528"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(2,691,246)</w:t>
            </w:r>
          </w:p>
        </w:tc>
        <w:tc>
          <w:tcPr>
            <w:tcW w:w="23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w:t>
            </w:r>
          </w:p>
        </w:tc>
        <w:tc>
          <w:tcPr>
            <w:tcW w:w="1137"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(2,656,569)</w:t>
            </w:r>
          </w:p>
        </w:tc>
      </w:tr>
      <w:tr w:rsidR="008835EB" w:rsidTr="007E3F2E">
        <w:trPr>
          <w:trHeight w:val="255"/>
        </w:trPr>
        <w:tc>
          <w:tcPr>
            <w:tcW w:w="5708" w:type="dxa"/>
            <w:tcBorders>
              <w:top w:val="nil"/>
              <w:left w:val="nil"/>
              <w:bottom w:val="single" w:sz="4" w:space="0" w:color="D9D9D9"/>
              <w:right w:val="nil"/>
            </w:tcBorders>
            <w:shd w:val="clear" w:color="000000" w:fill="D9D9D9"/>
            <w:vAlign w:val="bottom"/>
            <w:hideMark/>
          </w:tcPr>
          <w:p w:rsidR="008835EB" w:rsidRDefault="008835EB" w:rsidP="007E3F2E">
            <w:pPr>
              <w:rPr>
                <w:rFonts w:cs="Calibri"/>
                <w:szCs w:val="18"/>
              </w:rPr>
            </w:pPr>
            <w:r>
              <w:rPr>
                <w:rFonts w:cs="Calibri"/>
                <w:szCs w:val="18"/>
              </w:rPr>
              <w:t>Adjustment for errors</w:t>
            </w:r>
          </w:p>
        </w:tc>
        <w:tc>
          <w:tcPr>
            <w:tcW w:w="382" w:type="dxa"/>
            <w:tcBorders>
              <w:top w:val="nil"/>
              <w:left w:val="nil"/>
              <w:bottom w:val="single" w:sz="4" w:space="0" w:color="D9D9D9"/>
              <w:right w:val="nil"/>
            </w:tcBorders>
            <w:shd w:val="clear" w:color="000000" w:fill="D9D9D9"/>
            <w:vAlign w:val="bottom"/>
            <w:hideMark/>
          </w:tcPr>
          <w:p w:rsidR="008835EB" w:rsidRDefault="008835EB" w:rsidP="007E3F2E">
            <w:pPr>
              <w:rPr>
                <w:rFonts w:cs="Calibri"/>
                <w:szCs w:val="18"/>
              </w:rPr>
            </w:pPr>
            <w:r>
              <w:rPr>
                <w:rFonts w:cs="Calibri"/>
                <w:szCs w:val="18"/>
              </w:rPr>
              <w:t> </w:t>
            </w:r>
          </w:p>
        </w:tc>
        <w:tc>
          <w:tcPr>
            <w:tcW w:w="1528"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 -</w:t>
            </w:r>
          </w:p>
        </w:tc>
        <w:tc>
          <w:tcPr>
            <w:tcW w:w="23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w:t>
            </w:r>
          </w:p>
        </w:tc>
        <w:tc>
          <w:tcPr>
            <w:tcW w:w="1137"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5,023 </w:t>
            </w:r>
          </w:p>
        </w:tc>
      </w:tr>
      <w:tr w:rsidR="008835EB" w:rsidTr="007E3F2E">
        <w:trPr>
          <w:trHeight w:val="255"/>
        </w:trPr>
        <w:tc>
          <w:tcPr>
            <w:tcW w:w="5708"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Adjusted opening assets less liabilities</w:t>
            </w:r>
          </w:p>
        </w:tc>
        <w:tc>
          <w:tcPr>
            <w:tcW w:w="382"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c>
          <w:tcPr>
            <w:tcW w:w="1528"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(2,691,246)</w:t>
            </w:r>
          </w:p>
        </w:tc>
        <w:tc>
          <w:tcPr>
            <w:tcW w:w="236" w:type="dxa"/>
            <w:tcBorders>
              <w:top w:val="nil"/>
              <w:left w:val="nil"/>
              <w:bottom w:val="nil"/>
              <w:right w:val="nil"/>
            </w:tcBorders>
            <w:shd w:val="clear" w:color="000000" w:fill="D9D9D9"/>
            <w:noWrap/>
            <w:vAlign w:val="bottom"/>
            <w:hideMark/>
          </w:tcPr>
          <w:p w:rsidR="008835EB" w:rsidRDefault="008835EB" w:rsidP="007E3F2E">
            <w:pPr>
              <w:rPr>
                <w:rFonts w:cs="Calibri"/>
                <w:b/>
                <w:bCs/>
                <w:szCs w:val="18"/>
              </w:rPr>
            </w:pPr>
            <w:r>
              <w:rPr>
                <w:rFonts w:cs="Calibri"/>
                <w:b/>
                <w:bCs/>
                <w:szCs w:val="18"/>
              </w:rPr>
              <w:t> </w:t>
            </w:r>
          </w:p>
        </w:tc>
        <w:tc>
          <w:tcPr>
            <w:tcW w:w="1137"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(2,651,546)</w:t>
            </w:r>
          </w:p>
        </w:tc>
      </w:tr>
      <w:tr w:rsidR="008835EB" w:rsidTr="007E3F2E">
        <w:trPr>
          <w:trHeight w:val="255"/>
        </w:trPr>
        <w:tc>
          <w:tcPr>
            <w:tcW w:w="5708"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382"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1528"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1137"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r>
      <w:tr w:rsidR="008835EB" w:rsidTr="007E3F2E">
        <w:trPr>
          <w:trHeight w:val="255"/>
        </w:trPr>
        <w:tc>
          <w:tcPr>
            <w:tcW w:w="5708"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Net cost of services</w:t>
            </w:r>
          </w:p>
        </w:tc>
        <w:tc>
          <w:tcPr>
            <w:tcW w:w="382"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c>
          <w:tcPr>
            <w:tcW w:w="1528" w:type="dxa"/>
            <w:tcBorders>
              <w:top w:val="nil"/>
              <w:left w:val="nil"/>
              <w:bottom w:val="nil"/>
              <w:right w:val="nil"/>
            </w:tcBorders>
            <w:shd w:val="clear" w:color="000000" w:fill="D9D9D9"/>
            <w:noWrap/>
            <w:vAlign w:val="bottom"/>
            <w:hideMark/>
          </w:tcPr>
          <w:p w:rsidR="008835EB" w:rsidRDefault="008835EB" w:rsidP="007E3F2E">
            <w:pPr>
              <w:rPr>
                <w:rFonts w:cs="Calibri"/>
                <w:b/>
                <w:bCs/>
                <w:szCs w:val="18"/>
              </w:rPr>
            </w:pPr>
            <w:r>
              <w:rPr>
                <w:rFonts w:cs="Calibri"/>
                <w:b/>
                <w:bCs/>
                <w:szCs w:val="18"/>
              </w:rPr>
              <w:t> </w:t>
            </w:r>
          </w:p>
        </w:tc>
        <w:tc>
          <w:tcPr>
            <w:tcW w:w="236" w:type="dxa"/>
            <w:tcBorders>
              <w:top w:val="nil"/>
              <w:left w:val="nil"/>
              <w:bottom w:val="nil"/>
              <w:right w:val="nil"/>
            </w:tcBorders>
            <w:shd w:val="clear" w:color="000000" w:fill="D9D9D9"/>
            <w:noWrap/>
            <w:vAlign w:val="bottom"/>
            <w:hideMark/>
          </w:tcPr>
          <w:p w:rsidR="008835EB" w:rsidRDefault="008835EB" w:rsidP="007E3F2E">
            <w:pPr>
              <w:rPr>
                <w:rFonts w:cs="Calibri"/>
                <w:b/>
                <w:bCs/>
                <w:szCs w:val="18"/>
              </w:rPr>
            </w:pPr>
            <w:r>
              <w:rPr>
                <w:rFonts w:cs="Calibri"/>
                <w:b/>
                <w:bCs/>
                <w:szCs w:val="18"/>
              </w:rPr>
              <w:t> </w:t>
            </w:r>
          </w:p>
        </w:tc>
        <w:tc>
          <w:tcPr>
            <w:tcW w:w="1137" w:type="dxa"/>
            <w:tcBorders>
              <w:top w:val="nil"/>
              <w:left w:val="nil"/>
              <w:bottom w:val="nil"/>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5708" w:type="dxa"/>
            <w:tcBorders>
              <w:top w:val="nil"/>
              <w:left w:val="nil"/>
              <w:bottom w:val="nil"/>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Income</w:t>
            </w:r>
          </w:p>
        </w:tc>
        <w:tc>
          <w:tcPr>
            <w:tcW w:w="382" w:type="dxa"/>
            <w:tcBorders>
              <w:top w:val="nil"/>
              <w:left w:val="nil"/>
              <w:bottom w:val="nil"/>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 </w:t>
            </w:r>
          </w:p>
        </w:tc>
        <w:tc>
          <w:tcPr>
            <w:tcW w:w="1528"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240,726</w:t>
            </w:r>
          </w:p>
        </w:tc>
        <w:tc>
          <w:tcPr>
            <w:tcW w:w="236"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137"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188,342</w:t>
            </w:r>
          </w:p>
        </w:tc>
      </w:tr>
      <w:tr w:rsidR="008835EB" w:rsidTr="007E3F2E">
        <w:trPr>
          <w:trHeight w:val="255"/>
        </w:trPr>
        <w:tc>
          <w:tcPr>
            <w:tcW w:w="5708"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Expenses</w:t>
            </w:r>
          </w:p>
        </w:tc>
        <w:tc>
          <w:tcPr>
            <w:tcW w:w="382"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c>
          <w:tcPr>
            <w:tcW w:w="1528" w:type="dxa"/>
            <w:tcBorders>
              <w:top w:val="nil"/>
              <w:left w:val="nil"/>
              <w:bottom w:val="nil"/>
              <w:right w:val="nil"/>
            </w:tcBorders>
            <w:shd w:val="clear" w:color="000000" w:fill="D9D9D9"/>
            <w:noWrap/>
            <w:vAlign w:val="bottom"/>
            <w:hideMark/>
          </w:tcPr>
          <w:p w:rsidR="008835EB" w:rsidRDefault="008835EB" w:rsidP="007E3F2E">
            <w:pPr>
              <w:rPr>
                <w:rFonts w:cs="Calibri"/>
                <w:b/>
                <w:bCs/>
                <w:szCs w:val="18"/>
              </w:rPr>
            </w:pPr>
            <w:r>
              <w:rPr>
                <w:rFonts w:cs="Calibri"/>
                <w:b/>
                <w:bCs/>
                <w:szCs w:val="18"/>
              </w:rPr>
              <w:t> </w:t>
            </w:r>
          </w:p>
        </w:tc>
        <w:tc>
          <w:tcPr>
            <w:tcW w:w="236" w:type="dxa"/>
            <w:tcBorders>
              <w:top w:val="nil"/>
              <w:left w:val="nil"/>
              <w:bottom w:val="nil"/>
              <w:right w:val="nil"/>
            </w:tcBorders>
            <w:shd w:val="clear" w:color="000000" w:fill="D9D9D9"/>
            <w:noWrap/>
            <w:vAlign w:val="bottom"/>
            <w:hideMark/>
          </w:tcPr>
          <w:p w:rsidR="008835EB" w:rsidRDefault="008835EB" w:rsidP="007E3F2E">
            <w:pPr>
              <w:rPr>
                <w:rFonts w:cs="Calibri"/>
                <w:b/>
                <w:bCs/>
                <w:szCs w:val="18"/>
              </w:rPr>
            </w:pPr>
            <w:r>
              <w:rPr>
                <w:rFonts w:cs="Calibri"/>
                <w:b/>
                <w:bCs/>
                <w:szCs w:val="18"/>
              </w:rPr>
              <w:t> </w:t>
            </w:r>
          </w:p>
        </w:tc>
        <w:tc>
          <w:tcPr>
            <w:tcW w:w="1137" w:type="dxa"/>
            <w:tcBorders>
              <w:top w:val="nil"/>
              <w:left w:val="nil"/>
              <w:bottom w:val="nil"/>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5708" w:type="dxa"/>
            <w:tcBorders>
              <w:top w:val="nil"/>
              <w:left w:val="nil"/>
              <w:bottom w:val="nil"/>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Payments to entities other than corporate Commonwealth entities</w:t>
            </w:r>
          </w:p>
        </w:tc>
        <w:tc>
          <w:tcPr>
            <w:tcW w:w="382" w:type="dxa"/>
            <w:tcBorders>
              <w:top w:val="nil"/>
              <w:left w:val="nil"/>
              <w:bottom w:val="nil"/>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 </w:t>
            </w:r>
          </w:p>
        </w:tc>
        <w:tc>
          <w:tcPr>
            <w:tcW w:w="1528"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(1,600,326)</w:t>
            </w:r>
          </w:p>
        </w:tc>
        <w:tc>
          <w:tcPr>
            <w:tcW w:w="236" w:type="dxa"/>
            <w:tcBorders>
              <w:top w:val="nil"/>
              <w:left w:val="nil"/>
              <w:bottom w:val="nil"/>
              <w:right w:val="nil"/>
            </w:tcBorders>
            <w:shd w:val="clear" w:color="000000" w:fill="D9D9D9"/>
            <w:noWrap/>
            <w:vAlign w:val="bottom"/>
            <w:hideMark/>
          </w:tcPr>
          <w:p w:rsidR="008835EB" w:rsidRDefault="008835EB" w:rsidP="007E3F2E">
            <w:pPr>
              <w:rPr>
                <w:rFonts w:cs="Calibri"/>
                <w:b/>
                <w:bCs/>
                <w:szCs w:val="18"/>
              </w:rPr>
            </w:pPr>
            <w:r>
              <w:rPr>
                <w:rFonts w:cs="Calibri"/>
                <w:b/>
                <w:bCs/>
                <w:szCs w:val="18"/>
              </w:rPr>
              <w:t> </w:t>
            </w:r>
          </w:p>
        </w:tc>
        <w:tc>
          <w:tcPr>
            <w:tcW w:w="1137"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(1,944,100)</w:t>
            </w:r>
          </w:p>
        </w:tc>
      </w:tr>
      <w:tr w:rsidR="008835EB" w:rsidTr="007E3F2E">
        <w:trPr>
          <w:trHeight w:val="255"/>
        </w:trPr>
        <w:tc>
          <w:tcPr>
            <w:tcW w:w="5708" w:type="dxa"/>
            <w:tcBorders>
              <w:top w:val="nil"/>
              <w:left w:val="nil"/>
              <w:bottom w:val="nil"/>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Payments to corporate Commonwealth entities</w:t>
            </w:r>
          </w:p>
        </w:tc>
        <w:tc>
          <w:tcPr>
            <w:tcW w:w="382" w:type="dxa"/>
            <w:tcBorders>
              <w:top w:val="nil"/>
              <w:left w:val="nil"/>
              <w:bottom w:val="nil"/>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 </w:t>
            </w:r>
          </w:p>
        </w:tc>
        <w:tc>
          <w:tcPr>
            <w:tcW w:w="1528"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(7,727)</w:t>
            </w:r>
          </w:p>
        </w:tc>
        <w:tc>
          <w:tcPr>
            <w:tcW w:w="236" w:type="dxa"/>
            <w:tcBorders>
              <w:top w:val="nil"/>
              <w:left w:val="nil"/>
              <w:bottom w:val="nil"/>
              <w:right w:val="nil"/>
            </w:tcBorders>
            <w:shd w:val="clear" w:color="000000" w:fill="D9D9D9"/>
            <w:noWrap/>
            <w:vAlign w:val="bottom"/>
            <w:hideMark/>
          </w:tcPr>
          <w:p w:rsidR="008835EB" w:rsidRDefault="008835EB" w:rsidP="007E3F2E">
            <w:pPr>
              <w:rPr>
                <w:rFonts w:cs="Calibri"/>
                <w:b/>
                <w:bCs/>
                <w:szCs w:val="18"/>
              </w:rPr>
            </w:pPr>
            <w:r>
              <w:rPr>
                <w:rFonts w:cs="Calibri"/>
                <w:b/>
                <w:bCs/>
                <w:szCs w:val="18"/>
              </w:rPr>
              <w:t> </w:t>
            </w:r>
          </w:p>
        </w:tc>
        <w:tc>
          <w:tcPr>
            <w:tcW w:w="1137"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(7,563)</w:t>
            </w:r>
          </w:p>
        </w:tc>
      </w:tr>
      <w:tr w:rsidR="008835EB" w:rsidTr="007E3F2E">
        <w:trPr>
          <w:trHeight w:val="255"/>
        </w:trPr>
        <w:tc>
          <w:tcPr>
            <w:tcW w:w="5708"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382"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1528"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b/>
                <w:bCs/>
                <w:sz w:val="16"/>
                <w:szCs w:val="16"/>
              </w:rPr>
            </w:pPr>
            <w:r>
              <w:rPr>
                <w:rFonts w:cs="Calibri"/>
                <w:b/>
                <w:bCs/>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1137"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r>
      <w:tr w:rsidR="008835EB" w:rsidTr="007E3F2E">
        <w:trPr>
          <w:trHeight w:val="255"/>
        </w:trPr>
        <w:tc>
          <w:tcPr>
            <w:tcW w:w="5708"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Other comprehensive income</w:t>
            </w:r>
          </w:p>
        </w:tc>
        <w:tc>
          <w:tcPr>
            <w:tcW w:w="382"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c>
          <w:tcPr>
            <w:tcW w:w="1528" w:type="dxa"/>
            <w:tcBorders>
              <w:top w:val="nil"/>
              <w:left w:val="nil"/>
              <w:bottom w:val="nil"/>
              <w:right w:val="nil"/>
            </w:tcBorders>
            <w:shd w:val="clear" w:color="000000" w:fill="D9D9D9"/>
            <w:noWrap/>
            <w:vAlign w:val="bottom"/>
            <w:hideMark/>
          </w:tcPr>
          <w:p w:rsidR="008835EB" w:rsidRDefault="008835EB" w:rsidP="007E3F2E">
            <w:pPr>
              <w:rPr>
                <w:rFonts w:cs="Calibri"/>
                <w:b/>
                <w:bCs/>
                <w:szCs w:val="18"/>
              </w:rPr>
            </w:pPr>
            <w:r>
              <w:rPr>
                <w:rFonts w:cs="Calibri"/>
                <w:b/>
                <w:bCs/>
                <w:szCs w:val="18"/>
              </w:rPr>
              <w:t> </w:t>
            </w:r>
          </w:p>
        </w:tc>
        <w:tc>
          <w:tcPr>
            <w:tcW w:w="236" w:type="dxa"/>
            <w:tcBorders>
              <w:top w:val="nil"/>
              <w:left w:val="nil"/>
              <w:bottom w:val="nil"/>
              <w:right w:val="nil"/>
            </w:tcBorders>
            <w:shd w:val="clear" w:color="000000" w:fill="D9D9D9"/>
            <w:noWrap/>
            <w:vAlign w:val="bottom"/>
            <w:hideMark/>
          </w:tcPr>
          <w:p w:rsidR="008835EB" w:rsidRDefault="008835EB" w:rsidP="007E3F2E">
            <w:pPr>
              <w:rPr>
                <w:rFonts w:cs="Calibri"/>
                <w:b/>
                <w:bCs/>
                <w:szCs w:val="18"/>
              </w:rPr>
            </w:pPr>
            <w:r>
              <w:rPr>
                <w:rFonts w:cs="Calibri"/>
                <w:b/>
                <w:bCs/>
                <w:szCs w:val="18"/>
              </w:rPr>
              <w:t> </w:t>
            </w:r>
          </w:p>
        </w:tc>
        <w:tc>
          <w:tcPr>
            <w:tcW w:w="1137" w:type="dxa"/>
            <w:tcBorders>
              <w:top w:val="nil"/>
              <w:left w:val="nil"/>
              <w:bottom w:val="nil"/>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5708" w:type="dxa"/>
            <w:tcBorders>
              <w:top w:val="nil"/>
              <w:left w:val="nil"/>
              <w:bottom w:val="nil"/>
              <w:right w:val="nil"/>
            </w:tcBorders>
            <w:shd w:val="clear" w:color="000000" w:fill="D9D9D9"/>
            <w:vAlign w:val="bottom"/>
            <w:hideMark/>
          </w:tcPr>
          <w:p w:rsidR="008835EB" w:rsidRDefault="008835EB" w:rsidP="007E3F2E">
            <w:pPr>
              <w:rPr>
                <w:rFonts w:cs="Calibri"/>
                <w:szCs w:val="18"/>
              </w:rPr>
            </w:pPr>
            <w:r>
              <w:rPr>
                <w:rFonts w:cs="Calibri"/>
                <w:szCs w:val="18"/>
              </w:rPr>
              <w:t>Revaluations transferred to reserves</w:t>
            </w:r>
          </w:p>
        </w:tc>
        <w:tc>
          <w:tcPr>
            <w:tcW w:w="382" w:type="dxa"/>
            <w:tcBorders>
              <w:top w:val="nil"/>
              <w:left w:val="nil"/>
              <w:bottom w:val="nil"/>
              <w:right w:val="nil"/>
            </w:tcBorders>
            <w:shd w:val="clear" w:color="000000" w:fill="D9D9D9"/>
            <w:vAlign w:val="bottom"/>
            <w:hideMark/>
          </w:tcPr>
          <w:p w:rsidR="008835EB" w:rsidRDefault="008835EB" w:rsidP="007E3F2E">
            <w:pPr>
              <w:rPr>
                <w:rFonts w:cs="Calibri"/>
                <w:szCs w:val="18"/>
              </w:rPr>
            </w:pPr>
            <w:r>
              <w:rPr>
                <w:rFonts w:cs="Calibri"/>
                <w:szCs w:val="18"/>
              </w:rPr>
              <w:t> </w:t>
            </w:r>
          </w:p>
        </w:tc>
        <w:tc>
          <w:tcPr>
            <w:tcW w:w="1528"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16,239 </w:t>
            </w:r>
          </w:p>
        </w:tc>
        <w:tc>
          <w:tcPr>
            <w:tcW w:w="23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w:t>
            </w:r>
          </w:p>
        </w:tc>
        <w:tc>
          <w:tcPr>
            <w:tcW w:w="1137"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79,181 </w:t>
            </w:r>
          </w:p>
        </w:tc>
      </w:tr>
      <w:tr w:rsidR="008835EB" w:rsidTr="007E3F2E">
        <w:trPr>
          <w:trHeight w:val="255"/>
        </w:trPr>
        <w:tc>
          <w:tcPr>
            <w:tcW w:w="5708"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382"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1528"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1137"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r>
      <w:tr w:rsidR="008835EB" w:rsidTr="007E3F2E">
        <w:trPr>
          <w:trHeight w:val="255"/>
        </w:trPr>
        <w:tc>
          <w:tcPr>
            <w:tcW w:w="5708"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Transfers (to)/from the Australian Government</w:t>
            </w:r>
          </w:p>
        </w:tc>
        <w:tc>
          <w:tcPr>
            <w:tcW w:w="382"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c>
          <w:tcPr>
            <w:tcW w:w="1528"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b/>
                <w:bCs/>
                <w:sz w:val="16"/>
                <w:szCs w:val="16"/>
              </w:rPr>
            </w:pPr>
            <w:r>
              <w:rPr>
                <w:rFonts w:ascii="Arial" w:hAnsi="Arial" w:cs="Arial"/>
                <w:b/>
                <w:bCs/>
                <w:sz w:val="16"/>
                <w:szCs w:val="16"/>
              </w:rPr>
              <w:t> </w:t>
            </w:r>
          </w:p>
        </w:tc>
        <w:tc>
          <w:tcPr>
            <w:tcW w:w="236"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b/>
                <w:bCs/>
                <w:sz w:val="16"/>
                <w:szCs w:val="16"/>
              </w:rPr>
            </w:pPr>
            <w:r>
              <w:rPr>
                <w:rFonts w:ascii="Arial" w:hAnsi="Arial" w:cs="Arial"/>
                <w:b/>
                <w:bCs/>
                <w:sz w:val="16"/>
                <w:szCs w:val="16"/>
              </w:rPr>
              <w:t> </w:t>
            </w:r>
          </w:p>
        </w:tc>
        <w:tc>
          <w:tcPr>
            <w:tcW w:w="1137"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5708"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382"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1528"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1137"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r>
      <w:tr w:rsidR="008835EB" w:rsidTr="007E3F2E">
        <w:trPr>
          <w:trHeight w:val="255"/>
        </w:trPr>
        <w:tc>
          <w:tcPr>
            <w:tcW w:w="5708"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Appropriation transfers from Official Public Account</w:t>
            </w:r>
          </w:p>
        </w:tc>
        <w:tc>
          <w:tcPr>
            <w:tcW w:w="382"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c>
          <w:tcPr>
            <w:tcW w:w="1528"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137"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5708" w:type="dxa"/>
            <w:tcBorders>
              <w:top w:val="nil"/>
              <w:left w:val="nil"/>
              <w:bottom w:val="nil"/>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Administered assets and liabilities appropriations</w:t>
            </w:r>
          </w:p>
        </w:tc>
        <w:tc>
          <w:tcPr>
            <w:tcW w:w="382" w:type="dxa"/>
            <w:tcBorders>
              <w:top w:val="nil"/>
              <w:left w:val="nil"/>
              <w:bottom w:val="nil"/>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 </w:t>
            </w:r>
          </w:p>
        </w:tc>
        <w:tc>
          <w:tcPr>
            <w:tcW w:w="1528"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 -</w:t>
            </w:r>
          </w:p>
        </w:tc>
        <w:tc>
          <w:tcPr>
            <w:tcW w:w="23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w:t>
            </w:r>
          </w:p>
        </w:tc>
        <w:tc>
          <w:tcPr>
            <w:tcW w:w="1137"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 -</w:t>
            </w:r>
          </w:p>
        </w:tc>
      </w:tr>
      <w:tr w:rsidR="008835EB" w:rsidTr="007E3F2E">
        <w:trPr>
          <w:trHeight w:val="255"/>
        </w:trPr>
        <w:tc>
          <w:tcPr>
            <w:tcW w:w="5708" w:type="dxa"/>
            <w:tcBorders>
              <w:top w:val="nil"/>
              <w:left w:val="nil"/>
              <w:bottom w:val="nil"/>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Annual appropriations</w:t>
            </w:r>
          </w:p>
        </w:tc>
        <w:tc>
          <w:tcPr>
            <w:tcW w:w="382" w:type="dxa"/>
            <w:tcBorders>
              <w:top w:val="nil"/>
              <w:left w:val="nil"/>
              <w:bottom w:val="nil"/>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 </w:t>
            </w:r>
          </w:p>
        </w:tc>
        <w:tc>
          <w:tcPr>
            <w:tcW w:w="1528"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w:t>
            </w:r>
          </w:p>
        </w:tc>
        <w:tc>
          <w:tcPr>
            <w:tcW w:w="23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w:t>
            </w:r>
          </w:p>
        </w:tc>
        <w:tc>
          <w:tcPr>
            <w:tcW w:w="1137"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55"/>
        </w:trPr>
        <w:tc>
          <w:tcPr>
            <w:tcW w:w="5708" w:type="dxa"/>
            <w:tcBorders>
              <w:top w:val="nil"/>
              <w:left w:val="nil"/>
              <w:bottom w:val="nil"/>
              <w:right w:val="nil"/>
            </w:tcBorders>
            <w:shd w:val="clear" w:color="000000" w:fill="D9D9D9"/>
            <w:noWrap/>
            <w:vAlign w:val="bottom"/>
            <w:hideMark/>
          </w:tcPr>
          <w:p w:rsidR="008835EB" w:rsidRDefault="008835EB" w:rsidP="008835EB">
            <w:pPr>
              <w:ind w:firstLineChars="200" w:firstLine="360"/>
              <w:rPr>
                <w:rFonts w:cs="Calibri"/>
                <w:szCs w:val="18"/>
              </w:rPr>
            </w:pPr>
            <w:r>
              <w:rPr>
                <w:rFonts w:cs="Calibri"/>
                <w:szCs w:val="18"/>
              </w:rPr>
              <w:t>Payments to entities other than corporate Commonwealth entities</w:t>
            </w:r>
          </w:p>
        </w:tc>
        <w:tc>
          <w:tcPr>
            <w:tcW w:w="382" w:type="dxa"/>
            <w:tcBorders>
              <w:top w:val="nil"/>
              <w:left w:val="nil"/>
              <w:bottom w:val="nil"/>
              <w:right w:val="nil"/>
            </w:tcBorders>
            <w:shd w:val="clear" w:color="000000" w:fill="D9D9D9"/>
            <w:noWrap/>
            <w:vAlign w:val="bottom"/>
            <w:hideMark/>
          </w:tcPr>
          <w:p w:rsidR="008835EB" w:rsidRDefault="008835EB" w:rsidP="008835EB">
            <w:pPr>
              <w:ind w:firstLineChars="200" w:firstLine="360"/>
              <w:rPr>
                <w:rFonts w:cs="Calibri"/>
                <w:szCs w:val="18"/>
              </w:rPr>
            </w:pPr>
            <w:r>
              <w:rPr>
                <w:rFonts w:cs="Calibri"/>
                <w:szCs w:val="18"/>
              </w:rPr>
              <w:t> </w:t>
            </w:r>
          </w:p>
        </w:tc>
        <w:tc>
          <w:tcPr>
            <w:tcW w:w="1528"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1,127,767 </w:t>
            </w:r>
          </w:p>
        </w:tc>
        <w:tc>
          <w:tcPr>
            <w:tcW w:w="23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w:t>
            </w:r>
          </w:p>
        </w:tc>
        <w:tc>
          <w:tcPr>
            <w:tcW w:w="1137"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1,290,262 </w:t>
            </w:r>
          </w:p>
        </w:tc>
      </w:tr>
      <w:tr w:rsidR="008835EB" w:rsidTr="007E3F2E">
        <w:trPr>
          <w:trHeight w:val="255"/>
        </w:trPr>
        <w:tc>
          <w:tcPr>
            <w:tcW w:w="5708" w:type="dxa"/>
            <w:tcBorders>
              <w:top w:val="nil"/>
              <w:left w:val="nil"/>
              <w:bottom w:val="nil"/>
              <w:right w:val="nil"/>
            </w:tcBorders>
            <w:shd w:val="clear" w:color="000000" w:fill="D9D9D9"/>
            <w:noWrap/>
            <w:vAlign w:val="bottom"/>
            <w:hideMark/>
          </w:tcPr>
          <w:p w:rsidR="008835EB" w:rsidRDefault="008835EB" w:rsidP="008835EB">
            <w:pPr>
              <w:ind w:firstLineChars="200" w:firstLine="360"/>
              <w:rPr>
                <w:rFonts w:cs="Calibri"/>
                <w:szCs w:val="18"/>
              </w:rPr>
            </w:pPr>
            <w:r>
              <w:rPr>
                <w:rFonts w:cs="Calibri"/>
                <w:szCs w:val="18"/>
              </w:rPr>
              <w:t>Payments to corporate Commonwealth entities</w:t>
            </w:r>
          </w:p>
        </w:tc>
        <w:tc>
          <w:tcPr>
            <w:tcW w:w="382" w:type="dxa"/>
            <w:tcBorders>
              <w:top w:val="nil"/>
              <w:left w:val="nil"/>
              <w:bottom w:val="nil"/>
              <w:right w:val="nil"/>
            </w:tcBorders>
            <w:shd w:val="clear" w:color="000000" w:fill="D9D9D9"/>
            <w:noWrap/>
            <w:vAlign w:val="bottom"/>
            <w:hideMark/>
          </w:tcPr>
          <w:p w:rsidR="008835EB" w:rsidRDefault="008835EB" w:rsidP="008835EB">
            <w:pPr>
              <w:ind w:firstLineChars="200" w:firstLine="360"/>
              <w:rPr>
                <w:rFonts w:cs="Calibri"/>
                <w:szCs w:val="18"/>
              </w:rPr>
            </w:pPr>
            <w:r>
              <w:rPr>
                <w:rFonts w:cs="Calibri"/>
                <w:szCs w:val="18"/>
              </w:rPr>
              <w:t> </w:t>
            </w:r>
          </w:p>
        </w:tc>
        <w:tc>
          <w:tcPr>
            <w:tcW w:w="1528"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7,727 </w:t>
            </w:r>
          </w:p>
        </w:tc>
        <w:tc>
          <w:tcPr>
            <w:tcW w:w="23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w:t>
            </w:r>
          </w:p>
        </w:tc>
        <w:tc>
          <w:tcPr>
            <w:tcW w:w="1137"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7,563 </w:t>
            </w:r>
          </w:p>
        </w:tc>
      </w:tr>
      <w:tr w:rsidR="008835EB" w:rsidTr="007E3F2E">
        <w:trPr>
          <w:trHeight w:val="255"/>
        </w:trPr>
        <w:tc>
          <w:tcPr>
            <w:tcW w:w="5708" w:type="dxa"/>
            <w:tcBorders>
              <w:top w:val="nil"/>
              <w:left w:val="nil"/>
              <w:bottom w:val="nil"/>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Special appropriations (unlimited)</w:t>
            </w:r>
          </w:p>
        </w:tc>
        <w:tc>
          <w:tcPr>
            <w:tcW w:w="382" w:type="dxa"/>
            <w:tcBorders>
              <w:top w:val="nil"/>
              <w:left w:val="nil"/>
              <w:bottom w:val="nil"/>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 </w:t>
            </w:r>
          </w:p>
        </w:tc>
        <w:tc>
          <w:tcPr>
            <w:tcW w:w="1528" w:type="dxa"/>
            <w:tcBorders>
              <w:top w:val="nil"/>
              <w:left w:val="nil"/>
              <w:bottom w:val="nil"/>
              <w:right w:val="nil"/>
            </w:tcBorders>
            <w:shd w:val="clear" w:color="000000" w:fill="D9D9D9"/>
            <w:noWrap/>
            <w:vAlign w:val="bottom"/>
            <w:hideMark/>
          </w:tcPr>
          <w:p w:rsidR="008835EB" w:rsidRDefault="008835EB" w:rsidP="007E3F2E">
            <w:pPr>
              <w:rPr>
                <w:rFonts w:cs="Calibri"/>
                <w:b/>
                <w:bCs/>
                <w:szCs w:val="18"/>
              </w:rPr>
            </w:pPr>
            <w:r>
              <w:rPr>
                <w:rFonts w:cs="Calibri"/>
                <w:b/>
                <w:bCs/>
                <w:szCs w:val="18"/>
              </w:rPr>
              <w:t> </w:t>
            </w:r>
          </w:p>
        </w:tc>
        <w:tc>
          <w:tcPr>
            <w:tcW w:w="236" w:type="dxa"/>
            <w:tcBorders>
              <w:top w:val="nil"/>
              <w:left w:val="nil"/>
              <w:bottom w:val="nil"/>
              <w:right w:val="nil"/>
            </w:tcBorders>
            <w:shd w:val="clear" w:color="000000" w:fill="D9D9D9"/>
            <w:noWrap/>
            <w:vAlign w:val="bottom"/>
            <w:hideMark/>
          </w:tcPr>
          <w:p w:rsidR="008835EB" w:rsidRDefault="008835EB" w:rsidP="007E3F2E">
            <w:pPr>
              <w:rPr>
                <w:rFonts w:cs="Calibri"/>
                <w:b/>
                <w:bCs/>
                <w:szCs w:val="18"/>
              </w:rPr>
            </w:pPr>
            <w:r>
              <w:rPr>
                <w:rFonts w:cs="Calibri"/>
                <w:b/>
                <w:bCs/>
                <w:szCs w:val="18"/>
              </w:rPr>
              <w:t> </w:t>
            </w:r>
          </w:p>
        </w:tc>
        <w:tc>
          <w:tcPr>
            <w:tcW w:w="1137" w:type="dxa"/>
            <w:tcBorders>
              <w:top w:val="nil"/>
              <w:left w:val="nil"/>
              <w:bottom w:val="nil"/>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5708" w:type="dxa"/>
            <w:tcBorders>
              <w:top w:val="nil"/>
              <w:left w:val="nil"/>
              <w:bottom w:val="nil"/>
              <w:right w:val="nil"/>
            </w:tcBorders>
            <w:shd w:val="clear" w:color="000000" w:fill="D9D9D9"/>
            <w:noWrap/>
            <w:vAlign w:val="bottom"/>
            <w:hideMark/>
          </w:tcPr>
          <w:p w:rsidR="008835EB" w:rsidRDefault="008835EB" w:rsidP="008835EB">
            <w:pPr>
              <w:ind w:firstLineChars="200" w:firstLine="360"/>
              <w:rPr>
                <w:rFonts w:cs="Calibri"/>
                <w:szCs w:val="18"/>
              </w:rPr>
            </w:pPr>
            <w:r>
              <w:rPr>
                <w:rFonts w:cs="Calibri"/>
                <w:szCs w:val="18"/>
              </w:rPr>
              <w:t>Payments to entities other than corporate Commonwealth entities</w:t>
            </w:r>
          </w:p>
        </w:tc>
        <w:tc>
          <w:tcPr>
            <w:tcW w:w="382" w:type="dxa"/>
            <w:tcBorders>
              <w:top w:val="nil"/>
              <w:left w:val="nil"/>
              <w:bottom w:val="nil"/>
              <w:right w:val="nil"/>
            </w:tcBorders>
            <w:shd w:val="clear" w:color="000000" w:fill="D9D9D9"/>
            <w:noWrap/>
            <w:vAlign w:val="bottom"/>
            <w:hideMark/>
          </w:tcPr>
          <w:p w:rsidR="008835EB" w:rsidRDefault="008835EB" w:rsidP="008835EB">
            <w:pPr>
              <w:ind w:firstLineChars="200" w:firstLine="360"/>
              <w:rPr>
                <w:rFonts w:cs="Calibri"/>
                <w:szCs w:val="18"/>
              </w:rPr>
            </w:pPr>
            <w:r>
              <w:rPr>
                <w:rFonts w:cs="Calibri"/>
                <w:szCs w:val="18"/>
              </w:rPr>
              <w:t> </w:t>
            </w:r>
          </w:p>
        </w:tc>
        <w:tc>
          <w:tcPr>
            <w:tcW w:w="1528"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288,618 </w:t>
            </w:r>
          </w:p>
        </w:tc>
        <w:tc>
          <w:tcPr>
            <w:tcW w:w="23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w:t>
            </w:r>
          </w:p>
        </w:tc>
        <w:tc>
          <w:tcPr>
            <w:tcW w:w="1137"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334,246 </w:t>
            </w:r>
          </w:p>
        </w:tc>
      </w:tr>
      <w:tr w:rsidR="008835EB" w:rsidTr="007E3F2E">
        <w:trPr>
          <w:trHeight w:val="255"/>
        </w:trPr>
        <w:tc>
          <w:tcPr>
            <w:tcW w:w="5708" w:type="dxa"/>
            <w:tcBorders>
              <w:top w:val="nil"/>
              <w:left w:val="nil"/>
              <w:bottom w:val="nil"/>
              <w:right w:val="nil"/>
            </w:tcBorders>
            <w:shd w:val="clear" w:color="000000" w:fill="D9D9D9"/>
            <w:noWrap/>
            <w:vAlign w:val="bottom"/>
            <w:hideMark/>
          </w:tcPr>
          <w:p w:rsidR="008835EB" w:rsidRDefault="008835EB" w:rsidP="008835EB">
            <w:pPr>
              <w:ind w:firstLineChars="200" w:firstLine="360"/>
              <w:rPr>
                <w:rFonts w:cs="Calibri"/>
                <w:szCs w:val="18"/>
              </w:rPr>
            </w:pPr>
            <w:r>
              <w:rPr>
                <w:rFonts w:cs="Calibri"/>
                <w:szCs w:val="18"/>
              </w:rPr>
              <w:t>Payments to corporate Commonwealth entities</w:t>
            </w:r>
          </w:p>
        </w:tc>
        <w:tc>
          <w:tcPr>
            <w:tcW w:w="382" w:type="dxa"/>
            <w:tcBorders>
              <w:top w:val="nil"/>
              <w:left w:val="nil"/>
              <w:bottom w:val="nil"/>
              <w:right w:val="nil"/>
            </w:tcBorders>
            <w:shd w:val="clear" w:color="000000" w:fill="D9D9D9"/>
            <w:noWrap/>
            <w:vAlign w:val="bottom"/>
            <w:hideMark/>
          </w:tcPr>
          <w:p w:rsidR="008835EB" w:rsidRDefault="008835EB" w:rsidP="008835EB">
            <w:pPr>
              <w:ind w:firstLineChars="200" w:firstLine="360"/>
              <w:rPr>
                <w:rFonts w:cs="Calibri"/>
                <w:szCs w:val="18"/>
              </w:rPr>
            </w:pPr>
            <w:r>
              <w:rPr>
                <w:rFonts w:cs="Calibri"/>
                <w:szCs w:val="18"/>
              </w:rPr>
              <w:t> </w:t>
            </w:r>
          </w:p>
        </w:tc>
        <w:tc>
          <w:tcPr>
            <w:tcW w:w="1528"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182,146 </w:t>
            </w:r>
          </w:p>
        </w:tc>
        <w:tc>
          <w:tcPr>
            <w:tcW w:w="23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w:t>
            </w:r>
          </w:p>
        </w:tc>
        <w:tc>
          <w:tcPr>
            <w:tcW w:w="1137"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198,110 </w:t>
            </w:r>
          </w:p>
        </w:tc>
      </w:tr>
      <w:tr w:rsidR="008835EB" w:rsidTr="007E3F2E">
        <w:trPr>
          <w:trHeight w:val="255"/>
        </w:trPr>
        <w:tc>
          <w:tcPr>
            <w:tcW w:w="5708"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382"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1528"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1137"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r>
      <w:tr w:rsidR="008835EB" w:rsidTr="007E3F2E">
        <w:trPr>
          <w:trHeight w:val="255"/>
        </w:trPr>
        <w:tc>
          <w:tcPr>
            <w:tcW w:w="5708"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Appropriation transfers to Official Public Account</w:t>
            </w:r>
          </w:p>
        </w:tc>
        <w:tc>
          <w:tcPr>
            <w:tcW w:w="382"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c>
          <w:tcPr>
            <w:tcW w:w="1528" w:type="dxa"/>
            <w:tcBorders>
              <w:top w:val="nil"/>
              <w:left w:val="nil"/>
              <w:bottom w:val="nil"/>
              <w:right w:val="nil"/>
            </w:tcBorders>
            <w:shd w:val="clear" w:color="000000" w:fill="D9D9D9"/>
            <w:noWrap/>
            <w:vAlign w:val="bottom"/>
            <w:hideMark/>
          </w:tcPr>
          <w:p w:rsidR="008835EB" w:rsidRDefault="008835EB" w:rsidP="007E3F2E">
            <w:pPr>
              <w:rPr>
                <w:rFonts w:cs="Calibri"/>
                <w:b/>
                <w:bCs/>
                <w:szCs w:val="18"/>
              </w:rPr>
            </w:pPr>
            <w:r>
              <w:rPr>
                <w:rFonts w:cs="Calibri"/>
                <w:b/>
                <w:bCs/>
                <w:szCs w:val="18"/>
              </w:rPr>
              <w:t> </w:t>
            </w:r>
          </w:p>
        </w:tc>
        <w:tc>
          <w:tcPr>
            <w:tcW w:w="236" w:type="dxa"/>
            <w:tcBorders>
              <w:top w:val="nil"/>
              <w:left w:val="nil"/>
              <w:bottom w:val="nil"/>
              <w:right w:val="nil"/>
            </w:tcBorders>
            <w:shd w:val="clear" w:color="000000" w:fill="D9D9D9"/>
            <w:noWrap/>
            <w:vAlign w:val="bottom"/>
            <w:hideMark/>
          </w:tcPr>
          <w:p w:rsidR="008835EB" w:rsidRDefault="008835EB" w:rsidP="007E3F2E">
            <w:pPr>
              <w:rPr>
                <w:rFonts w:cs="Calibri"/>
                <w:b/>
                <w:bCs/>
                <w:szCs w:val="18"/>
              </w:rPr>
            </w:pPr>
            <w:r>
              <w:rPr>
                <w:rFonts w:cs="Calibri"/>
                <w:b/>
                <w:bCs/>
                <w:szCs w:val="18"/>
              </w:rPr>
              <w:t> </w:t>
            </w:r>
          </w:p>
        </w:tc>
        <w:tc>
          <w:tcPr>
            <w:tcW w:w="1137" w:type="dxa"/>
            <w:tcBorders>
              <w:top w:val="nil"/>
              <w:left w:val="nil"/>
              <w:bottom w:val="nil"/>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5708" w:type="dxa"/>
            <w:tcBorders>
              <w:top w:val="nil"/>
              <w:left w:val="nil"/>
              <w:bottom w:val="nil"/>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Transfers to Official Public Account</w:t>
            </w:r>
          </w:p>
        </w:tc>
        <w:tc>
          <w:tcPr>
            <w:tcW w:w="382" w:type="dxa"/>
            <w:tcBorders>
              <w:top w:val="nil"/>
              <w:left w:val="nil"/>
              <w:bottom w:val="nil"/>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 </w:t>
            </w:r>
          </w:p>
        </w:tc>
        <w:tc>
          <w:tcPr>
            <w:tcW w:w="1528"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(175,649)</w:t>
            </w:r>
          </w:p>
        </w:tc>
        <w:tc>
          <w:tcPr>
            <w:tcW w:w="23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w:t>
            </w:r>
          </w:p>
        </w:tc>
        <w:tc>
          <w:tcPr>
            <w:tcW w:w="1137"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(185,741)</w:t>
            </w:r>
          </w:p>
        </w:tc>
      </w:tr>
      <w:tr w:rsidR="008835EB" w:rsidTr="007E3F2E">
        <w:trPr>
          <w:trHeight w:val="255"/>
        </w:trPr>
        <w:tc>
          <w:tcPr>
            <w:tcW w:w="5708" w:type="dxa"/>
            <w:tcBorders>
              <w:top w:val="nil"/>
              <w:left w:val="nil"/>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 xml:space="preserve">Restructuring </w:t>
            </w:r>
          </w:p>
        </w:tc>
        <w:tc>
          <w:tcPr>
            <w:tcW w:w="382" w:type="dxa"/>
            <w:tcBorders>
              <w:top w:val="nil"/>
              <w:left w:val="nil"/>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 </w:t>
            </w:r>
          </w:p>
        </w:tc>
        <w:tc>
          <w:tcPr>
            <w:tcW w:w="1528"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 -</w:t>
            </w:r>
          </w:p>
        </w:tc>
        <w:tc>
          <w:tcPr>
            <w:tcW w:w="236" w:type="dxa"/>
            <w:tcBorders>
              <w:top w:val="nil"/>
              <w:left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w:t>
            </w:r>
          </w:p>
        </w:tc>
        <w:tc>
          <w:tcPr>
            <w:tcW w:w="1137"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 -</w:t>
            </w:r>
          </w:p>
        </w:tc>
      </w:tr>
      <w:tr w:rsidR="008835EB" w:rsidTr="007E3F2E">
        <w:trPr>
          <w:trHeight w:val="270"/>
        </w:trPr>
        <w:tc>
          <w:tcPr>
            <w:tcW w:w="5708" w:type="dxa"/>
            <w:tcBorders>
              <w:top w:val="nil"/>
              <w:left w:val="nil"/>
              <w:bottom w:val="single" w:sz="24" w:space="0" w:color="D8D8D8"/>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Closing assets less liabilities as at 30 June</w:t>
            </w:r>
          </w:p>
        </w:tc>
        <w:tc>
          <w:tcPr>
            <w:tcW w:w="382" w:type="dxa"/>
            <w:tcBorders>
              <w:top w:val="nil"/>
              <w:left w:val="nil"/>
              <w:bottom w:val="single" w:sz="24" w:space="0" w:color="D8D8D8"/>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 </w:t>
            </w:r>
          </w:p>
        </w:tc>
        <w:tc>
          <w:tcPr>
            <w:tcW w:w="1528"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(2,611,725)</w:t>
            </w:r>
          </w:p>
        </w:tc>
        <w:tc>
          <w:tcPr>
            <w:tcW w:w="236" w:type="dxa"/>
            <w:tcBorders>
              <w:top w:val="nil"/>
              <w:left w:val="nil"/>
              <w:bottom w:val="single" w:sz="24" w:space="0" w:color="D8D8D8"/>
              <w:right w:val="nil"/>
            </w:tcBorders>
            <w:shd w:val="clear" w:color="000000" w:fill="D9D9D9"/>
            <w:noWrap/>
            <w:vAlign w:val="bottom"/>
            <w:hideMark/>
          </w:tcPr>
          <w:p w:rsidR="008835EB" w:rsidRDefault="008835EB" w:rsidP="007E3F2E">
            <w:pPr>
              <w:rPr>
                <w:rFonts w:cs="Calibri"/>
                <w:b/>
                <w:bCs/>
                <w:szCs w:val="18"/>
              </w:rPr>
            </w:pPr>
            <w:r>
              <w:rPr>
                <w:rFonts w:cs="Calibri"/>
                <w:b/>
                <w:bCs/>
                <w:szCs w:val="18"/>
              </w:rPr>
              <w:t> </w:t>
            </w:r>
          </w:p>
        </w:tc>
        <w:tc>
          <w:tcPr>
            <w:tcW w:w="1137"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(2,691,246)</w:t>
            </w:r>
          </w:p>
        </w:tc>
      </w:tr>
    </w:tbl>
    <w:p w:rsidR="008835EB" w:rsidRDefault="008835EB" w:rsidP="008835EB">
      <w:pPr>
        <w:pStyle w:val="GreyShadeTableBreak"/>
      </w:pPr>
      <w:bookmarkStart w:id="57" w:name="RANGE!E7:I42"/>
      <w:bookmarkStart w:id="58" w:name="RANGE!E7:H42"/>
      <w:bookmarkStart w:id="59" w:name="RANGE!E7:H41"/>
      <w:bookmarkStart w:id="60" w:name="RANGE!E7:H40"/>
      <w:bookmarkStart w:id="61" w:name="RANGE!D6:H56"/>
      <w:bookmarkStart w:id="62" w:name="RANGE!D6:H37"/>
      <w:bookmarkStart w:id="63" w:name="RANGE!D6:H36"/>
      <w:bookmarkStart w:id="64" w:name="RANGE!E7:H31"/>
      <w:bookmarkStart w:id="65" w:name="RANGE!E6:H30"/>
      <w:bookmarkStart w:id="66" w:name="RANGE!E6:H34"/>
      <w:bookmarkStart w:id="67" w:name="RANGE!E6:M33"/>
      <w:bookmarkStart w:id="68" w:name="RANGE!E6:M36"/>
      <w:bookmarkEnd w:id="57"/>
      <w:bookmarkEnd w:id="58"/>
      <w:bookmarkEnd w:id="59"/>
      <w:bookmarkEnd w:id="60"/>
      <w:bookmarkEnd w:id="61"/>
      <w:bookmarkEnd w:id="62"/>
      <w:bookmarkEnd w:id="63"/>
      <w:bookmarkEnd w:id="64"/>
      <w:bookmarkEnd w:id="65"/>
      <w:bookmarkEnd w:id="66"/>
      <w:bookmarkEnd w:id="67"/>
      <w:bookmarkEnd w:id="68"/>
    </w:p>
    <w:p w:rsidR="008835EB" w:rsidRDefault="008835EB" w:rsidP="008835EB">
      <w:pPr>
        <w:pStyle w:val="Policytextadminbold"/>
      </w:pPr>
      <w:r>
        <w:t>Accounting Policy</w:t>
      </w:r>
    </w:p>
    <w:p w:rsidR="008835EB" w:rsidRPr="008B022A" w:rsidRDefault="008835EB" w:rsidP="008835EB">
      <w:pPr>
        <w:pStyle w:val="Policytextadminunderline"/>
      </w:pPr>
      <w:r w:rsidRPr="007E1C6E">
        <w:t>Administered Cash Transfers to and from the Official Public Account</w:t>
      </w:r>
    </w:p>
    <w:p w:rsidR="008835EB" w:rsidRPr="008B022A" w:rsidRDefault="008835EB" w:rsidP="008835EB">
      <w:pPr>
        <w:pStyle w:val="PolicyTextAdmin"/>
        <w:rPr>
          <w:rFonts w:cstheme="minorHAnsi"/>
          <w:lang w:eastAsia="en-AU"/>
        </w:rPr>
      </w:pPr>
      <w:r w:rsidRPr="008B022A">
        <w:rPr>
          <w:rFonts w:cstheme="minorHAnsi"/>
          <w:lang w:eastAsia="en-AU"/>
        </w:rPr>
        <w:t>Revenue collected by the department for use by the Government rather than the department is administered revenue. Collections are transferred to the Official Public Account (</w:t>
      </w:r>
      <w:proofErr w:type="spellStart"/>
      <w:r w:rsidRPr="008B022A">
        <w:rPr>
          <w:rFonts w:cstheme="minorHAnsi"/>
          <w:lang w:eastAsia="en-AU"/>
        </w:rPr>
        <w:t>OPA</w:t>
      </w:r>
      <w:proofErr w:type="spellEnd"/>
      <w:r w:rsidRPr="008B022A">
        <w:rPr>
          <w:rFonts w:cstheme="minorHAnsi"/>
          <w:lang w:eastAsia="en-AU"/>
        </w:rPr>
        <w:t xml:space="preserve">) maintained by the Department of Finance. Conversely, cash is drawn from the </w:t>
      </w:r>
      <w:proofErr w:type="spellStart"/>
      <w:r w:rsidRPr="008B022A">
        <w:rPr>
          <w:rFonts w:cstheme="minorHAnsi"/>
          <w:lang w:eastAsia="en-AU"/>
        </w:rPr>
        <w:t>OPA</w:t>
      </w:r>
      <w:proofErr w:type="spellEnd"/>
      <w:r w:rsidRPr="008B022A">
        <w:rPr>
          <w:rFonts w:cstheme="minorHAnsi"/>
          <w:lang w:eastAsia="en-AU"/>
        </w:rPr>
        <w:t xml:space="preserve"> to make payments under Parliamentary appropriation on behalf of Government. These transfers to and from the </w:t>
      </w:r>
      <w:proofErr w:type="spellStart"/>
      <w:r w:rsidRPr="008B022A">
        <w:rPr>
          <w:rFonts w:cstheme="minorHAnsi"/>
          <w:lang w:eastAsia="en-AU"/>
        </w:rPr>
        <w:t>OPA</w:t>
      </w:r>
      <w:proofErr w:type="spellEnd"/>
      <w:r w:rsidRPr="008B022A">
        <w:rPr>
          <w:rFonts w:cstheme="minorHAnsi"/>
          <w:lang w:eastAsia="en-AU"/>
        </w:rPr>
        <w:t xml:space="preserve"> are adjustments to the administered cash held by the department on behalf of the Government and reported as such i</w:t>
      </w:r>
      <w:r>
        <w:rPr>
          <w:rFonts w:cstheme="minorHAnsi"/>
          <w:lang w:eastAsia="en-AU"/>
        </w:rPr>
        <w:t>n the Schedule of Administered C</w:t>
      </w:r>
      <w:r w:rsidRPr="008B022A">
        <w:rPr>
          <w:rFonts w:cstheme="minorHAnsi"/>
          <w:lang w:eastAsia="en-AU"/>
        </w:rPr>
        <w:t xml:space="preserve">ash </w:t>
      </w:r>
      <w:r>
        <w:rPr>
          <w:rFonts w:cstheme="minorHAnsi"/>
          <w:lang w:eastAsia="en-AU"/>
        </w:rPr>
        <w:t>F</w:t>
      </w:r>
      <w:r w:rsidRPr="008B022A">
        <w:rPr>
          <w:rFonts w:cstheme="minorHAnsi"/>
          <w:lang w:eastAsia="en-AU"/>
        </w:rPr>
        <w:t>lows and in the Administered Reconciliation Schedule.</w:t>
      </w:r>
    </w:p>
    <w:p w:rsidR="008835EB" w:rsidRDefault="008835EB" w:rsidP="008835EB">
      <w:pPr>
        <w:spacing w:line="240" w:lineRule="auto"/>
        <w:ind w:firstLine="426"/>
        <w:sectPr w:rsidR="008835EB" w:rsidSect="00FA455C">
          <w:type w:val="continuous"/>
          <w:pgSz w:w="11906" w:h="16838"/>
          <w:pgMar w:top="1134" w:right="1134" w:bottom="1134" w:left="1134" w:header="958" w:footer="737" w:gutter="0"/>
          <w:cols w:space="720"/>
        </w:sectPr>
      </w:pPr>
    </w:p>
    <w:p w:rsidR="00FA455C" w:rsidRDefault="00FA455C" w:rsidP="00FA455C">
      <w:pPr>
        <w:pStyle w:val="Heading1"/>
      </w:pPr>
      <w:bookmarkStart w:id="69" w:name="RANGE!E7:E53"/>
      <w:bookmarkStart w:id="70" w:name="Note_ACFTABLE1" w:colFirst="0" w:colLast="0"/>
      <w:r>
        <w:lastRenderedPageBreak/>
        <w:t>Department of Employment</w:t>
      </w:r>
      <w:r>
        <w:br/>
        <w:t>ADMINISTERED CASH FLOW STATEMENT</w:t>
      </w:r>
      <w:r>
        <w:br/>
        <w:t>for the period ended 30 June 2016</w:t>
      </w:r>
    </w:p>
    <w:p w:rsidR="00FA455C" w:rsidRDefault="00FA455C" w:rsidP="007E3F2E">
      <w:pPr>
        <w:rPr>
          <w:rFonts w:ascii="Arial" w:hAnsi="Arial" w:cs="Arial"/>
          <w:sz w:val="16"/>
          <w:szCs w:val="16"/>
        </w:rPr>
        <w:sectPr w:rsidR="00FA455C" w:rsidSect="00F74C23">
          <w:headerReference w:type="even" r:id="rId40"/>
          <w:headerReference w:type="default" r:id="rId41"/>
          <w:headerReference w:type="first" r:id="rId42"/>
          <w:pgSz w:w="11906" w:h="16838"/>
          <w:pgMar w:top="1134" w:right="1134" w:bottom="1134" w:left="1134" w:header="958" w:footer="737" w:gutter="0"/>
          <w:cols w:space="720"/>
        </w:sectPr>
      </w:pPr>
    </w:p>
    <w:tbl>
      <w:tblPr>
        <w:tblW w:w="9087" w:type="dxa"/>
        <w:tblInd w:w="80" w:type="dxa"/>
        <w:tblLayout w:type="fixed"/>
        <w:tblLook w:val="04A0" w:firstRow="1" w:lastRow="0" w:firstColumn="1" w:lastColumn="0" w:noHBand="0" w:noVBand="1"/>
      </w:tblPr>
      <w:tblGrid>
        <w:gridCol w:w="5103"/>
        <w:gridCol w:w="1247"/>
        <w:gridCol w:w="1251"/>
        <w:gridCol w:w="239"/>
        <w:gridCol w:w="1247"/>
      </w:tblGrid>
      <w:tr w:rsidR="008835EB" w:rsidTr="007E3F2E">
        <w:trPr>
          <w:trHeight w:val="255"/>
        </w:trPr>
        <w:tc>
          <w:tcPr>
            <w:tcW w:w="5044"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lastRenderedPageBreak/>
              <w:t> </w:t>
            </w:r>
            <w:bookmarkEnd w:id="69"/>
          </w:p>
        </w:tc>
        <w:tc>
          <w:tcPr>
            <w:tcW w:w="1233" w:type="dxa"/>
            <w:tcBorders>
              <w:top w:val="nil"/>
              <w:left w:val="nil"/>
              <w:bottom w:val="single" w:sz="4" w:space="0" w:color="D9D9D9"/>
              <w:right w:val="nil"/>
            </w:tcBorders>
            <w:shd w:val="clear" w:color="000000" w:fill="D9D9D9"/>
            <w:noWrap/>
            <w:vAlign w:val="bottom"/>
            <w:hideMark/>
          </w:tcPr>
          <w:p w:rsidR="008835EB" w:rsidRDefault="008835EB" w:rsidP="007E3F2E">
            <w:pPr>
              <w:jc w:val="center"/>
              <w:rPr>
                <w:rFonts w:ascii="Arial" w:hAnsi="Arial" w:cs="Arial"/>
                <w:b/>
                <w:bCs/>
                <w:szCs w:val="18"/>
              </w:rPr>
            </w:pPr>
            <w:r>
              <w:rPr>
                <w:rFonts w:ascii="Arial" w:hAnsi="Arial" w:cs="Arial"/>
                <w:b/>
                <w:bCs/>
                <w:szCs w:val="18"/>
              </w:rPr>
              <w:t> </w:t>
            </w:r>
          </w:p>
        </w:tc>
        <w:tc>
          <w:tcPr>
            <w:tcW w:w="1236" w:type="dxa"/>
            <w:tcBorders>
              <w:top w:val="nil"/>
              <w:left w:val="nil"/>
              <w:bottom w:val="single" w:sz="4" w:space="0" w:color="D9D9D9"/>
              <w:right w:val="single" w:sz="4" w:space="0" w:color="D9D9D9"/>
            </w:tcBorders>
            <w:shd w:val="clear" w:color="000000" w:fill="D9D9D9"/>
            <w:vAlign w:val="bottom"/>
            <w:hideMark/>
          </w:tcPr>
          <w:p w:rsidR="008835EB" w:rsidRDefault="008835EB" w:rsidP="007E3F2E">
            <w:pPr>
              <w:jc w:val="right"/>
              <w:rPr>
                <w:rFonts w:cs="Calibri"/>
                <w:b/>
                <w:bCs/>
                <w:szCs w:val="18"/>
              </w:rPr>
            </w:pPr>
            <w:r>
              <w:rPr>
                <w:rFonts w:cs="Calibri"/>
                <w:b/>
                <w:bCs/>
                <w:szCs w:val="18"/>
              </w:rPr>
              <w:t>2016</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2"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2015</w:t>
            </w:r>
          </w:p>
        </w:tc>
      </w:tr>
      <w:bookmarkEnd w:id="70"/>
      <w:tr w:rsidR="008835EB" w:rsidTr="007E3F2E">
        <w:trPr>
          <w:trHeight w:val="255"/>
        </w:trPr>
        <w:tc>
          <w:tcPr>
            <w:tcW w:w="5044"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3" w:type="dxa"/>
            <w:tcBorders>
              <w:top w:val="nil"/>
              <w:left w:val="nil"/>
              <w:bottom w:val="single" w:sz="4" w:space="0" w:color="D9D9D9"/>
              <w:right w:val="nil"/>
            </w:tcBorders>
            <w:shd w:val="clear" w:color="000000" w:fill="D9D9D9"/>
            <w:noWrap/>
            <w:vAlign w:val="bottom"/>
            <w:hideMark/>
          </w:tcPr>
          <w:p w:rsidR="008835EB" w:rsidRDefault="008835EB" w:rsidP="007E3F2E">
            <w:pPr>
              <w:jc w:val="center"/>
              <w:rPr>
                <w:rFonts w:cs="Calibri"/>
                <w:b/>
                <w:bCs/>
                <w:szCs w:val="18"/>
              </w:rPr>
            </w:pPr>
            <w:r>
              <w:rPr>
                <w:rFonts w:cs="Calibri"/>
                <w:b/>
                <w:bCs/>
                <w:szCs w:val="18"/>
              </w:rPr>
              <w:t>Notes</w:t>
            </w:r>
          </w:p>
        </w:tc>
        <w:tc>
          <w:tcPr>
            <w:tcW w:w="1236" w:type="dxa"/>
            <w:tcBorders>
              <w:top w:val="nil"/>
              <w:left w:val="nil"/>
              <w:bottom w:val="single" w:sz="4" w:space="0" w:color="D9D9D9"/>
              <w:right w:val="single" w:sz="4" w:space="0" w:color="D9D9D9"/>
            </w:tcBorders>
            <w:shd w:val="clear" w:color="000000" w:fill="D9D9D9"/>
            <w:vAlign w:val="bottom"/>
            <w:hideMark/>
          </w:tcPr>
          <w:p w:rsidR="008835EB" w:rsidRDefault="008835EB" w:rsidP="007E3F2E">
            <w:pPr>
              <w:jc w:val="right"/>
              <w:rPr>
                <w:rFonts w:cs="Calibri"/>
                <w:b/>
                <w:bCs/>
                <w:szCs w:val="18"/>
              </w:rPr>
            </w:pPr>
            <w:r>
              <w:rPr>
                <w:rFonts w:cs="Calibri"/>
                <w:b/>
                <w:bCs/>
                <w:szCs w:val="18"/>
              </w:rPr>
              <w:t>$'000</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2"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5044"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OPERATING ACTIVITIES</w:t>
            </w:r>
          </w:p>
        </w:tc>
        <w:tc>
          <w:tcPr>
            <w:tcW w:w="1233" w:type="dxa"/>
            <w:tcBorders>
              <w:top w:val="nil"/>
              <w:left w:val="nil"/>
              <w:bottom w:val="single" w:sz="4" w:space="0" w:color="D9D9D9"/>
              <w:right w:val="nil"/>
            </w:tcBorders>
            <w:shd w:val="clear" w:color="000000" w:fill="D9D9D9"/>
            <w:noWrap/>
            <w:vAlign w:val="bottom"/>
            <w:hideMark/>
          </w:tcPr>
          <w:p w:rsidR="008835EB" w:rsidRDefault="008835EB" w:rsidP="007E3F2E">
            <w:pPr>
              <w:jc w:val="center"/>
              <w:rPr>
                <w:rFonts w:ascii="Arial" w:hAnsi="Arial" w:cs="Arial"/>
                <w:b/>
                <w:bCs/>
                <w:szCs w:val="18"/>
              </w:rPr>
            </w:pPr>
            <w:r>
              <w:rPr>
                <w:rFonts w:ascii="Arial" w:hAnsi="Arial" w:cs="Arial"/>
                <w:b/>
                <w:bCs/>
                <w:szCs w:val="18"/>
              </w:rPr>
              <w:t> </w:t>
            </w:r>
          </w:p>
        </w:tc>
        <w:tc>
          <w:tcPr>
            <w:tcW w:w="1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2"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5044"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Cash received</w:t>
            </w:r>
          </w:p>
        </w:tc>
        <w:tc>
          <w:tcPr>
            <w:tcW w:w="1233"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2"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8835EB" w:rsidRDefault="008835EB" w:rsidP="007E3F2E">
            <w:pPr>
              <w:rPr>
                <w:rFonts w:cs="Calibri"/>
                <w:szCs w:val="18"/>
              </w:rPr>
            </w:pPr>
            <w:r>
              <w:rPr>
                <w:rFonts w:cs="Calibri"/>
                <w:szCs w:val="18"/>
              </w:rPr>
              <w:t>Interest</w:t>
            </w:r>
          </w:p>
        </w:tc>
        <w:tc>
          <w:tcPr>
            <w:tcW w:w="1233"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23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29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2"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20 </w:t>
            </w:r>
          </w:p>
        </w:tc>
      </w:tr>
      <w:tr w:rsidR="008835EB" w:rsidTr="007E3F2E">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8835EB" w:rsidRDefault="008835EB" w:rsidP="007E3F2E">
            <w:pPr>
              <w:rPr>
                <w:rFonts w:cs="Calibri"/>
                <w:szCs w:val="18"/>
              </w:rPr>
            </w:pPr>
            <w:r>
              <w:rPr>
                <w:rFonts w:cs="Calibri"/>
                <w:szCs w:val="18"/>
              </w:rPr>
              <w:t>Net GST received</w:t>
            </w:r>
          </w:p>
        </w:tc>
        <w:tc>
          <w:tcPr>
            <w:tcW w:w="1233"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23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105,330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2"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111,982 </w:t>
            </w:r>
          </w:p>
        </w:tc>
      </w:tr>
      <w:tr w:rsidR="008835EB" w:rsidTr="007E3F2E">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8835EB" w:rsidRDefault="008835EB" w:rsidP="007E3F2E">
            <w:pPr>
              <w:rPr>
                <w:rFonts w:cs="Calibri"/>
                <w:szCs w:val="18"/>
              </w:rPr>
            </w:pPr>
            <w:r>
              <w:rPr>
                <w:rFonts w:cs="Calibri"/>
                <w:szCs w:val="18"/>
              </w:rPr>
              <w:t>Levies</w:t>
            </w:r>
          </w:p>
        </w:tc>
        <w:tc>
          <w:tcPr>
            <w:tcW w:w="1233"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23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146,970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2"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158,606 </w:t>
            </w:r>
          </w:p>
        </w:tc>
      </w:tr>
      <w:tr w:rsidR="008835EB" w:rsidTr="007E3F2E">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8835EB" w:rsidRDefault="008835EB" w:rsidP="007E3F2E">
            <w:pPr>
              <w:rPr>
                <w:rFonts w:cs="Calibri"/>
                <w:szCs w:val="18"/>
              </w:rPr>
            </w:pPr>
            <w:r>
              <w:rPr>
                <w:rFonts w:cs="Calibri"/>
                <w:szCs w:val="18"/>
              </w:rPr>
              <w:t>Other</w:t>
            </w:r>
          </w:p>
        </w:tc>
        <w:tc>
          <w:tcPr>
            <w:tcW w:w="1233"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23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95,859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2"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28,982 </w:t>
            </w:r>
          </w:p>
        </w:tc>
      </w:tr>
      <w:tr w:rsidR="008835EB" w:rsidTr="007E3F2E">
        <w:trPr>
          <w:trHeight w:val="255"/>
        </w:trPr>
        <w:tc>
          <w:tcPr>
            <w:tcW w:w="5044"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Total cash received</w:t>
            </w:r>
          </w:p>
        </w:tc>
        <w:tc>
          <w:tcPr>
            <w:tcW w:w="1233"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348,188</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2"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299,590</w:t>
            </w:r>
          </w:p>
        </w:tc>
      </w:tr>
      <w:tr w:rsidR="008835EB" w:rsidTr="007E3F2E">
        <w:trPr>
          <w:trHeight w:val="255"/>
        </w:trPr>
        <w:tc>
          <w:tcPr>
            <w:tcW w:w="5044"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c>
          <w:tcPr>
            <w:tcW w:w="1233"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236" w:type="dxa"/>
            <w:tcBorders>
              <w:top w:val="nil"/>
              <w:left w:val="nil"/>
              <w:bottom w:val="nil"/>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2" w:type="dxa"/>
            <w:tcBorders>
              <w:top w:val="nil"/>
              <w:left w:val="nil"/>
              <w:bottom w:val="nil"/>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5044"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Cash used</w:t>
            </w:r>
          </w:p>
        </w:tc>
        <w:tc>
          <w:tcPr>
            <w:tcW w:w="1233"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2"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8835EB" w:rsidRDefault="008835EB" w:rsidP="007E3F2E">
            <w:pPr>
              <w:rPr>
                <w:rFonts w:cs="Calibri"/>
                <w:szCs w:val="18"/>
              </w:rPr>
            </w:pPr>
            <w:r>
              <w:rPr>
                <w:rFonts w:cs="Calibri"/>
                <w:szCs w:val="18"/>
              </w:rPr>
              <w:t>Suppliers</w:t>
            </w:r>
          </w:p>
        </w:tc>
        <w:tc>
          <w:tcPr>
            <w:tcW w:w="1233"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23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1,153,568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2"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1,308,506 </w:t>
            </w:r>
          </w:p>
        </w:tc>
      </w:tr>
      <w:tr w:rsidR="008835EB" w:rsidTr="007E3F2E">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8835EB" w:rsidRDefault="008835EB" w:rsidP="007E3F2E">
            <w:pPr>
              <w:rPr>
                <w:rFonts w:cs="Calibri"/>
                <w:szCs w:val="18"/>
              </w:rPr>
            </w:pPr>
            <w:r>
              <w:rPr>
                <w:rFonts w:cs="Calibri"/>
                <w:szCs w:val="18"/>
              </w:rPr>
              <w:t>Subsidies</w:t>
            </w:r>
          </w:p>
        </w:tc>
        <w:tc>
          <w:tcPr>
            <w:tcW w:w="1233"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23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193,603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2"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160,681 </w:t>
            </w:r>
          </w:p>
        </w:tc>
      </w:tr>
      <w:tr w:rsidR="008835EB" w:rsidTr="007E3F2E">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8835EB" w:rsidRDefault="008835EB" w:rsidP="007E3F2E">
            <w:pPr>
              <w:rPr>
                <w:rFonts w:cs="Calibri"/>
                <w:szCs w:val="18"/>
              </w:rPr>
            </w:pPr>
            <w:r>
              <w:rPr>
                <w:rFonts w:cs="Calibri"/>
                <w:szCs w:val="18"/>
              </w:rPr>
              <w:t>Personal benefits</w:t>
            </w:r>
          </w:p>
        </w:tc>
        <w:tc>
          <w:tcPr>
            <w:tcW w:w="1233"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23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357,863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2"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387,719 </w:t>
            </w:r>
          </w:p>
        </w:tc>
      </w:tr>
      <w:tr w:rsidR="008835EB" w:rsidTr="007E3F2E">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8835EB" w:rsidRDefault="008835EB" w:rsidP="007E3F2E">
            <w:pPr>
              <w:rPr>
                <w:rFonts w:cs="Calibri"/>
                <w:szCs w:val="18"/>
              </w:rPr>
            </w:pPr>
            <w:r>
              <w:rPr>
                <w:rFonts w:cs="Calibri"/>
                <w:szCs w:val="18"/>
              </w:rPr>
              <w:t>Grants</w:t>
            </w:r>
          </w:p>
        </w:tc>
        <w:tc>
          <w:tcPr>
            <w:tcW w:w="1233"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23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73,662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2"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71,792 </w:t>
            </w:r>
          </w:p>
        </w:tc>
      </w:tr>
      <w:tr w:rsidR="008835EB" w:rsidTr="007E3F2E">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8835EB" w:rsidRDefault="008835EB" w:rsidP="007E3F2E">
            <w:pPr>
              <w:rPr>
                <w:rFonts w:cs="Calibri"/>
                <w:szCs w:val="18"/>
              </w:rPr>
            </w:pPr>
            <w:r>
              <w:rPr>
                <w:rFonts w:cs="Calibri"/>
                <w:szCs w:val="18"/>
              </w:rPr>
              <w:t>Payments to corporate Commonwealth entities</w:t>
            </w:r>
          </w:p>
        </w:tc>
        <w:tc>
          <w:tcPr>
            <w:tcW w:w="1233"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23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7,727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2"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7,563 </w:t>
            </w:r>
          </w:p>
        </w:tc>
      </w:tr>
      <w:tr w:rsidR="008835EB" w:rsidTr="007E3F2E">
        <w:trPr>
          <w:trHeight w:val="255"/>
        </w:trPr>
        <w:tc>
          <w:tcPr>
            <w:tcW w:w="5044"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Total cash used</w:t>
            </w:r>
          </w:p>
        </w:tc>
        <w:tc>
          <w:tcPr>
            <w:tcW w:w="1233"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1,786,423</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2"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1,936,261</w:t>
            </w:r>
          </w:p>
        </w:tc>
      </w:tr>
      <w:tr w:rsidR="008835EB" w:rsidTr="007E3F2E">
        <w:trPr>
          <w:trHeight w:val="270"/>
        </w:trPr>
        <w:tc>
          <w:tcPr>
            <w:tcW w:w="5044" w:type="dxa"/>
            <w:tcBorders>
              <w:top w:val="nil"/>
              <w:left w:val="nil"/>
              <w:bottom w:val="single" w:sz="8" w:space="0" w:color="D9D9D9"/>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Net cash flows used by operating activities</w:t>
            </w:r>
          </w:p>
        </w:tc>
        <w:tc>
          <w:tcPr>
            <w:tcW w:w="1233"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5.3</w:t>
            </w:r>
          </w:p>
        </w:tc>
        <w:tc>
          <w:tcPr>
            <w:tcW w:w="1236" w:type="dxa"/>
            <w:tcBorders>
              <w:top w:val="nil"/>
              <w:left w:val="nil"/>
              <w:bottom w:val="double" w:sz="6"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(1,438,235)</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2" w:type="dxa"/>
            <w:tcBorders>
              <w:top w:val="nil"/>
              <w:left w:val="nil"/>
              <w:bottom w:val="double" w:sz="6"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(1,636,671)</w:t>
            </w:r>
          </w:p>
        </w:tc>
      </w:tr>
      <w:tr w:rsidR="008835EB" w:rsidTr="007E3F2E">
        <w:trPr>
          <w:trHeight w:val="255"/>
        </w:trPr>
        <w:tc>
          <w:tcPr>
            <w:tcW w:w="5044"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3"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2"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5044" w:type="dxa"/>
            <w:tcBorders>
              <w:top w:val="nil"/>
              <w:left w:val="nil"/>
              <w:bottom w:val="single" w:sz="4" w:space="0" w:color="D9D9D9"/>
              <w:right w:val="single" w:sz="12" w:space="0" w:color="D9D9D9"/>
            </w:tcBorders>
            <w:shd w:val="clear" w:color="000000" w:fill="D9D9D9"/>
            <w:noWrap/>
            <w:vAlign w:val="bottom"/>
            <w:hideMark/>
          </w:tcPr>
          <w:p w:rsidR="008835EB" w:rsidRDefault="008835EB" w:rsidP="007E3F2E">
            <w:pPr>
              <w:rPr>
                <w:rFonts w:cs="Calibri"/>
                <w:szCs w:val="18"/>
              </w:rPr>
            </w:pPr>
            <w:r>
              <w:rPr>
                <w:rFonts w:cs="Calibri"/>
                <w:szCs w:val="18"/>
              </w:rPr>
              <w:t>Cash and cash equivalents at the beginning of the reporting period</w:t>
            </w:r>
          </w:p>
        </w:tc>
        <w:tc>
          <w:tcPr>
            <w:tcW w:w="1233"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23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104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2"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 -</w:t>
            </w:r>
          </w:p>
        </w:tc>
      </w:tr>
      <w:tr w:rsidR="008835EB" w:rsidTr="007E3F2E">
        <w:trPr>
          <w:trHeight w:val="255"/>
        </w:trPr>
        <w:tc>
          <w:tcPr>
            <w:tcW w:w="5044"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3"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2"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5044"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Cash from the Official Public Account for</w:t>
            </w:r>
          </w:p>
        </w:tc>
        <w:tc>
          <w:tcPr>
            <w:tcW w:w="1233"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2"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5044"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 Appropriations</w:t>
            </w:r>
          </w:p>
        </w:tc>
        <w:tc>
          <w:tcPr>
            <w:tcW w:w="1233"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23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1,606,257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2"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1,830,183 </w:t>
            </w:r>
          </w:p>
        </w:tc>
      </w:tr>
      <w:tr w:rsidR="008835EB" w:rsidTr="007E3F2E">
        <w:trPr>
          <w:trHeight w:val="255"/>
        </w:trPr>
        <w:tc>
          <w:tcPr>
            <w:tcW w:w="5044"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 GST appropriations</w:t>
            </w:r>
          </w:p>
        </w:tc>
        <w:tc>
          <w:tcPr>
            <w:tcW w:w="1233"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23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106,756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2"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115,076 </w:t>
            </w:r>
          </w:p>
        </w:tc>
      </w:tr>
      <w:tr w:rsidR="008835EB" w:rsidTr="007E3F2E">
        <w:trPr>
          <w:trHeight w:val="255"/>
        </w:trPr>
        <w:tc>
          <w:tcPr>
            <w:tcW w:w="5044"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Total cash from official public account</w:t>
            </w:r>
          </w:p>
        </w:tc>
        <w:tc>
          <w:tcPr>
            <w:tcW w:w="1233"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1,713,013</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2"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1,945,259</w:t>
            </w:r>
          </w:p>
        </w:tc>
      </w:tr>
      <w:tr w:rsidR="008835EB" w:rsidTr="007E3F2E">
        <w:trPr>
          <w:trHeight w:val="255"/>
        </w:trPr>
        <w:tc>
          <w:tcPr>
            <w:tcW w:w="5044"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3"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2"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5044"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Cash to the Official Public Account for</w:t>
            </w:r>
          </w:p>
        </w:tc>
        <w:tc>
          <w:tcPr>
            <w:tcW w:w="1233"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2"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5044"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 Appropriations</w:t>
            </w:r>
          </w:p>
        </w:tc>
        <w:tc>
          <w:tcPr>
            <w:tcW w:w="1233"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23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(175,649)</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2"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(185,741)</w:t>
            </w:r>
          </w:p>
        </w:tc>
      </w:tr>
      <w:tr w:rsidR="008835EB" w:rsidTr="007E3F2E">
        <w:trPr>
          <w:trHeight w:val="255"/>
        </w:trPr>
        <w:tc>
          <w:tcPr>
            <w:tcW w:w="5044"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 Return of GST appropriations</w:t>
            </w:r>
          </w:p>
        </w:tc>
        <w:tc>
          <w:tcPr>
            <w:tcW w:w="1233"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23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(99,229)</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2"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(122,743)</w:t>
            </w:r>
          </w:p>
        </w:tc>
      </w:tr>
      <w:tr w:rsidR="008835EB" w:rsidTr="007E3F2E">
        <w:trPr>
          <w:trHeight w:val="255"/>
        </w:trPr>
        <w:tc>
          <w:tcPr>
            <w:tcW w:w="5044"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Total cash to official public account</w:t>
            </w:r>
          </w:p>
        </w:tc>
        <w:tc>
          <w:tcPr>
            <w:tcW w:w="1233" w:type="dxa"/>
            <w:tcBorders>
              <w:top w:val="nil"/>
              <w:left w:val="nil"/>
              <w:bottom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(274,878)</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2"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(308,484)</w:t>
            </w:r>
          </w:p>
        </w:tc>
      </w:tr>
      <w:tr w:rsidR="008835EB" w:rsidTr="007E3F2E">
        <w:trPr>
          <w:trHeight w:val="255"/>
        </w:trPr>
        <w:tc>
          <w:tcPr>
            <w:tcW w:w="5044"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3" w:type="dxa"/>
            <w:tcBorders>
              <w:top w:val="nil"/>
              <w:left w:val="nil"/>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2"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300"/>
        </w:trPr>
        <w:tc>
          <w:tcPr>
            <w:tcW w:w="5044" w:type="dxa"/>
            <w:tcBorders>
              <w:top w:val="single" w:sz="4" w:space="0" w:color="D9D9D9"/>
              <w:left w:val="nil"/>
              <w:bottom w:val="single" w:sz="24" w:space="0" w:color="D8D8D8"/>
              <w:right w:val="nil"/>
            </w:tcBorders>
            <w:shd w:val="clear" w:color="000000" w:fill="D9D9D9"/>
            <w:vAlign w:val="bottom"/>
            <w:hideMark/>
          </w:tcPr>
          <w:p w:rsidR="008835EB" w:rsidRDefault="008835EB" w:rsidP="007E3F2E">
            <w:pPr>
              <w:rPr>
                <w:rFonts w:cs="Calibri"/>
                <w:b/>
                <w:bCs/>
                <w:szCs w:val="18"/>
              </w:rPr>
            </w:pPr>
            <w:r>
              <w:rPr>
                <w:rFonts w:cs="Calibri"/>
                <w:b/>
                <w:bCs/>
                <w:szCs w:val="18"/>
              </w:rPr>
              <w:t xml:space="preserve">Cash and cash equivalents at the end of the reporting </w:t>
            </w:r>
            <w:proofErr w:type="spellStart"/>
            <w:r>
              <w:rPr>
                <w:rFonts w:cs="Calibri"/>
                <w:b/>
                <w:bCs/>
                <w:szCs w:val="18"/>
              </w:rPr>
              <w:t>period</w:t>
            </w:r>
            <w:r>
              <w:rPr>
                <w:rFonts w:cs="Calibri"/>
                <w:b/>
                <w:bCs/>
                <w:szCs w:val="18"/>
                <w:vertAlign w:val="superscript"/>
              </w:rPr>
              <w:t>1</w:t>
            </w:r>
            <w:proofErr w:type="spellEnd"/>
          </w:p>
        </w:tc>
        <w:tc>
          <w:tcPr>
            <w:tcW w:w="1233" w:type="dxa"/>
            <w:tcBorders>
              <w:top w:val="nil"/>
              <w:left w:val="nil"/>
              <w:bottom w:val="single" w:sz="24" w:space="0" w:color="D8D8D8"/>
              <w:right w:val="nil"/>
            </w:tcBorders>
            <w:shd w:val="clear" w:color="000000" w:fill="D9D9D9"/>
            <w:noWrap/>
            <w:vAlign w:val="bottom"/>
            <w:hideMark/>
          </w:tcPr>
          <w:p w:rsidR="008835EB" w:rsidRDefault="008835EB" w:rsidP="007E3F2E">
            <w:pPr>
              <w:jc w:val="cente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4</w:t>
            </w:r>
          </w:p>
        </w:tc>
        <w:tc>
          <w:tcPr>
            <w:tcW w:w="236" w:type="dxa"/>
            <w:tcBorders>
              <w:top w:val="single" w:sz="4" w:space="0" w:color="D9D9D9"/>
              <w:left w:val="nil"/>
              <w:bottom w:val="single" w:sz="24" w:space="0" w:color="D8D8D8"/>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2"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104</w:t>
            </w:r>
          </w:p>
        </w:tc>
      </w:tr>
    </w:tbl>
    <w:p w:rsidR="008835EB" w:rsidRDefault="008835EB" w:rsidP="008835EB">
      <w:pPr>
        <w:pStyle w:val="GreyShadeTableBreak"/>
      </w:pPr>
      <w:bookmarkStart w:id="71" w:name="RANGE!E7:I53"/>
      <w:bookmarkStart w:id="72" w:name="RANGE!E7:I52"/>
      <w:bookmarkStart w:id="73" w:name="RANGE!E6:I51"/>
      <w:bookmarkStart w:id="74" w:name="RANGE!E6:I54"/>
      <w:bookmarkEnd w:id="71"/>
      <w:bookmarkEnd w:id="72"/>
      <w:bookmarkEnd w:id="73"/>
      <w:bookmarkEnd w:id="74"/>
    </w:p>
    <w:p w:rsidR="008835EB" w:rsidRDefault="008835EB" w:rsidP="008835EB">
      <w:pPr>
        <w:pStyle w:val="GreyShadeTableBreak"/>
        <w:rPr>
          <w:rFonts w:asciiTheme="minorHAnsi" w:hAnsiTheme="minorHAnsi"/>
          <w:lang w:eastAsia="en-AU"/>
        </w:rPr>
      </w:pPr>
      <w:r w:rsidRPr="006405D6">
        <w:rPr>
          <w:rFonts w:asciiTheme="minorHAnsi" w:hAnsiTheme="minorHAnsi"/>
          <w:lang w:eastAsia="en-AU"/>
        </w:rPr>
        <w:t xml:space="preserve">1. </w:t>
      </w:r>
      <w:proofErr w:type="gramStart"/>
      <w:r w:rsidRPr="006405D6">
        <w:rPr>
          <w:rFonts w:asciiTheme="minorHAnsi" w:hAnsiTheme="minorHAnsi"/>
          <w:lang w:eastAsia="en-AU"/>
        </w:rPr>
        <w:t>As</w:t>
      </w:r>
      <w:proofErr w:type="gramEnd"/>
      <w:r w:rsidRPr="006405D6">
        <w:rPr>
          <w:rFonts w:asciiTheme="minorHAnsi" w:hAnsiTheme="minorHAnsi"/>
          <w:lang w:eastAsia="en-AU"/>
        </w:rPr>
        <w:t xml:space="preserve"> shown in the Statement of Financial Position</w:t>
      </w:r>
      <w:r>
        <w:rPr>
          <w:rFonts w:asciiTheme="minorHAnsi" w:hAnsiTheme="minorHAnsi"/>
          <w:lang w:eastAsia="en-AU"/>
        </w:rPr>
        <w:t>.</w:t>
      </w:r>
    </w:p>
    <w:p w:rsidR="008835EB" w:rsidRDefault="008835EB" w:rsidP="008835EB">
      <w:pPr>
        <w:sectPr w:rsidR="008835EB" w:rsidSect="00FA455C">
          <w:type w:val="continuous"/>
          <w:pgSz w:w="11906" w:h="16838"/>
          <w:pgMar w:top="1134" w:right="1134" w:bottom="1134" w:left="1134" w:header="958" w:footer="737" w:gutter="0"/>
          <w:cols w:space="720"/>
        </w:sectPr>
      </w:pPr>
    </w:p>
    <w:p w:rsidR="00FA455C" w:rsidRDefault="00FA455C" w:rsidP="00FA455C">
      <w:pPr>
        <w:pStyle w:val="Heading1"/>
      </w:pPr>
      <w:bookmarkStart w:id="75" w:name="_Toc454275376"/>
      <w:bookmarkStart w:id="76" w:name="_Toc456689839"/>
      <w:r>
        <w:lastRenderedPageBreak/>
        <w:t>Department of Employment</w:t>
      </w:r>
      <w:r>
        <w:br/>
        <w:t>NOTES TO AND FORMING PART OF THE FINANCIAL STATEMENTS</w:t>
      </w:r>
    </w:p>
    <w:p w:rsidR="008835EB" w:rsidRDefault="008835EB" w:rsidP="008835EB">
      <w:pPr>
        <w:pStyle w:val="SectionHeading"/>
        <w:numPr>
          <w:ilvl w:val="0"/>
          <w:numId w:val="0"/>
        </w:numPr>
        <w:tabs>
          <w:tab w:val="left" w:pos="9072"/>
        </w:tabs>
        <w:ind w:right="566"/>
        <w:outlineLvl w:val="9"/>
      </w:pPr>
      <w:r w:rsidRPr="007A7B55">
        <w:t>Budgetary Reports and Explanations of Major Variances</w:t>
      </w:r>
      <w:bookmarkStart w:id="77" w:name="RANGE!D7:D11"/>
      <w:bookmarkStart w:id="78" w:name="RANGE!D6:D11"/>
      <w:bookmarkEnd w:id="75"/>
      <w:bookmarkEnd w:id="76"/>
      <w:bookmarkEnd w:id="77"/>
      <w:bookmarkEnd w:id="78"/>
    </w:p>
    <w:p w:rsidR="008835EB" w:rsidRDefault="008835EB" w:rsidP="008835EB">
      <w:pPr>
        <w:pStyle w:val="ReportText"/>
      </w:pPr>
      <w:r w:rsidRPr="002A53DE">
        <w:t>The following tables provi</w:t>
      </w:r>
      <w:r>
        <w:t>de a comparison between the 2015–16</w:t>
      </w:r>
      <w:r w:rsidRPr="002A53DE">
        <w:t xml:space="preserve"> Portfolio Budget Statements (PBS) budget and the fin</w:t>
      </w:r>
      <w:r>
        <w:t>al financial outcome in the 2015–16 financial statements.</w:t>
      </w:r>
      <w:r w:rsidRPr="002A53DE">
        <w:t xml:space="preserve"> The Budget is not audited</w:t>
      </w:r>
      <w:r>
        <w:t xml:space="preserve"> </w:t>
      </w:r>
      <w:r w:rsidRPr="002A53DE">
        <w:t xml:space="preserve">and does not reflect budget estimates </w:t>
      </w:r>
      <w:r>
        <w:t>provided as part of the 2016–17</w:t>
      </w:r>
      <w:r w:rsidRPr="002A53DE">
        <w:t xml:space="preserve"> Portfolio Budget Statements (PBS). However, major changes in budget have been explained as part of the variance analysis where relevant.</w:t>
      </w:r>
      <w:bookmarkStart w:id="79" w:name="RANGE!D7:L56"/>
      <w:bookmarkStart w:id="80" w:name="RANGE!D7:D55"/>
      <w:bookmarkStart w:id="81" w:name="RANGE!D7:L55"/>
      <w:bookmarkStart w:id="82" w:name="RANGE!D7:D51"/>
      <w:bookmarkStart w:id="83" w:name="RANGE!D7:L51"/>
      <w:bookmarkStart w:id="84" w:name="RANGE!D7:J52"/>
      <w:bookmarkStart w:id="85" w:name="RANGE!D7:D50"/>
      <w:bookmarkStart w:id="86" w:name="RANGE!D11:D50"/>
      <w:bookmarkStart w:id="87" w:name="RANGE!D11:L50"/>
      <w:bookmarkEnd w:id="79"/>
      <w:bookmarkEnd w:id="80"/>
      <w:bookmarkEnd w:id="81"/>
      <w:bookmarkEnd w:id="82"/>
      <w:bookmarkEnd w:id="83"/>
      <w:bookmarkEnd w:id="84"/>
      <w:bookmarkEnd w:id="85"/>
      <w:bookmarkEnd w:id="86"/>
      <w:bookmarkEnd w:id="87"/>
    </w:p>
    <w:p w:rsidR="008835EB" w:rsidRPr="00526269" w:rsidRDefault="008835EB" w:rsidP="008835EB">
      <w:pPr>
        <w:pStyle w:val="ReportText"/>
        <w:spacing w:after="0"/>
        <w:ind w:right="567"/>
      </w:pPr>
      <w:bookmarkStart w:id="88" w:name="RANGE!D7:D39"/>
      <w:bookmarkStart w:id="89" w:name="RANGE!D7:T39"/>
      <w:bookmarkStart w:id="90" w:name="RANGE!D7:T38"/>
      <w:bookmarkStart w:id="91" w:name="RANGE!D7:D63"/>
      <w:bookmarkStart w:id="92" w:name="RANGE!D7:L63"/>
      <w:bookmarkStart w:id="93" w:name="RANGE!D7:D62"/>
      <w:bookmarkStart w:id="94" w:name="RANGE!D7:L62"/>
      <w:bookmarkStart w:id="95" w:name="RANGE!D7:D60"/>
      <w:bookmarkStart w:id="96" w:name="RANGE!D7:L60"/>
      <w:bookmarkStart w:id="97" w:name="RANGE!D11:D60"/>
      <w:bookmarkStart w:id="98" w:name="RANGE!D7:D56"/>
      <w:bookmarkEnd w:id="88"/>
      <w:bookmarkEnd w:id="89"/>
      <w:bookmarkEnd w:id="90"/>
      <w:bookmarkEnd w:id="91"/>
      <w:bookmarkEnd w:id="92"/>
      <w:bookmarkEnd w:id="93"/>
      <w:bookmarkEnd w:id="94"/>
      <w:bookmarkEnd w:id="95"/>
      <w:bookmarkEnd w:id="96"/>
      <w:bookmarkEnd w:id="97"/>
      <w:bookmarkEnd w:id="98"/>
      <w:r w:rsidRPr="00526269">
        <w:t>Variances are considered to be ‘major’ based on the following criteria:</w:t>
      </w:r>
    </w:p>
    <w:p w:rsidR="008835EB" w:rsidRPr="00526269" w:rsidRDefault="008835EB" w:rsidP="008835EB">
      <w:pPr>
        <w:pStyle w:val="ReportText"/>
        <w:numPr>
          <w:ilvl w:val="0"/>
          <w:numId w:val="19"/>
        </w:numPr>
        <w:tabs>
          <w:tab w:val="clear" w:pos="340"/>
          <w:tab w:val="num" w:pos="851"/>
        </w:tabs>
        <w:spacing w:before="0" w:after="0"/>
        <w:ind w:left="567" w:right="567"/>
      </w:pPr>
      <w:r w:rsidRPr="00526269">
        <w:t>the variance between budget and actual is greater than 10%; and</w:t>
      </w:r>
    </w:p>
    <w:p w:rsidR="008835EB" w:rsidRDefault="008835EB" w:rsidP="008835EB">
      <w:pPr>
        <w:pStyle w:val="ReportText"/>
        <w:numPr>
          <w:ilvl w:val="0"/>
          <w:numId w:val="19"/>
        </w:numPr>
        <w:tabs>
          <w:tab w:val="clear" w:pos="340"/>
          <w:tab w:val="num" w:pos="851"/>
        </w:tabs>
        <w:spacing w:before="0"/>
        <w:ind w:left="567"/>
      </w:pPr>
      <w:proofErr w:type="gramStart"/>
      <w:r w:rsidRPr="00526269">
        <w:t>an</w:t>
      </w:r>
      <w:proofErr w:type="gramEnd"/>
      <w:r w:rsidRPr="00526269">
        <w:t xml:space="preserve"> item below this threshold but is considered important for the reader’s understanding or is relevant to an assessment of the discharge of accountability and to an analysis of performance of an entity.</w:t>
      </w:r>
    </w:p>
    <w:p w:rsidR="008835EB" w:rsidRPr="00526269" w:rsidRDefault="008835EB" w:rsidP="008835EB">
      <w:pPr>
        <w:pStyle w:val="ReportText"/>
      </w:pPr>
      <w:r w:rsidRPr="00F444B9">
        <w:rPr>
          <w:b/>
          <w:u w:val="single"/>
        </w:rPr>
        <w:t>Departmental Major Budget Variances for 2016</w:t>
      </w:r>
    </w:p>
    <w:tbl>
      <w:tblPr>
        <w:tblpPr w:leftFromText="180" w:rightFromText="180" w:vertAnchor="text" w:tblpY="1"/>
        <w:tblOverlap w:val="never"/>
        <w:tblW w:w="9078" w:type="dxa"/>
        <w:tblLayout w:type="fixed"/>
        <w:tblCellMar>
          <w:left w:w="6" w:type="dxa"/>
          <w:right w:w="6" w:type="dxa"/>
        </w:tblCellMar>
        <w:tblLook w:val="04A0" w:firstRow="1" w:lastRow="0" w:firstColumn="1" w:lastColumn="0" w:noHBand="0" w:noVBand="1"/>
      </w:tblPr>
      <w:tblGrid>
        <w:gridCol w:w="6"/>
        <w:gridCol w:w="4820"/>
        <w:gridCol w:w="4252"/>
      </w:tblGrid>
      <w:tr w:rsidR="008835EB" w:rsidRPr="00DF46D0" w:rsidTr="007E3F2E">
        <w:trPr>
          <w:gridBefore w:val="1"/>
          <w:wBefore w:w="6" w:type="dxa"/>
          <w:trHeight w:val="198"/>
        </w:trPr>
        <w:tc>
          <w:tcPr>
            <w:tcW w:w="4820" w:type="dxa"/>
            <w:tcBorders>
              <w:top w:val="single" w:sz="4" w:space="0" w:color="auto"/>
              <w:left w:val="nil"/>
              <w:bottom w:val="single" w:sz="4" w:space="0" w:color="auto"/>
              <w:right w:val="single" w:sz="4" w:space="0" w:color="auto"/>
            </w:tcBorders>
            <w:shd w:val="clear" w:color="FFFFFF" w:fill="FFFFFF"/>
          </w:tcPr>
          <w:p w:rsidR="008835EB" w:rsidRPr="00DF46D0" w:rsidRDefault="008835EB" w:rsidP="007E3F2E">
            <w:pPr>
              <w:spacing w:line="240" w:lineRule="auto"/>
              <w:rPr>
                <w:rFonts w:cs="Calibri"/>
                <w:b/>
                <w:bCs/>
                <w:szCs w:val="18"/>
              </w:rPr>
            </w:pPr>
            <w:r w:rsidRPr="00DF46D0">
              <w:rPr>
                <w:rFonts w:cs="Calibri"/>
                <w:b/>
                <w:bCs/>
                <w:szCs w:val="18"/>
              </w:rPr>
              <w:t>Explanations of major variances</w:t>
            </w:r>
          </w:p>
        </w:tc>
        <w:tc>
          <w:tcPr>
            <w:tcW w:w="4252" w:type="dxa"/>
            <w:tcBorders>
              <w:top w:val="single" w:sz="4" w:space="0" w:color="auto"/>
              <w:left w:val="single" w:sz="4" w:space="0" w:color="auto"/>
              <w:bottom w:val="single" w:sz="4" w:space="0" w:color="auto"/>
              <w:right w:val="nil"/>
            </w:tcBorders>
            <w:shd w:val="clear" w:color="FFFFFF" w:fill="FFFFFF"/>
            <w:noWrap/>
          </w:tcPr>
          <w:p w:rsidR="008835EB" w:rsidRPr="00DF46D0" w:rsidRDefault="008835EB" w:rsidP="007E3F2E">
            <w:pPr>
              <w:spacing w:line="240" w:lineRule="auto"/>
              <w:ind w:left="136"/>
              <w:rPr>
                <w:rFonts w:cs="Calibri"/>
                <w:b/>
                <w:szCs w:val="18"/>
              </w:rPr>
            </w:pPr>
            <w:r w:rsidRPr="00DF46D0">
              <w:rPr>
                <w:rFonts w:cs="Calibri"/>
                <w:b/>
                <w:szCs w:val="18"/>
              </w:rPr>
              <w:t>Affected line items (and schedule)</w:t>
            </w:r>
          </w:p>
        </w:tc>
      </w:tr>
      <w:tr w:rsidR="008835EB" w:rsidRPr="008224D4" w:rsidTr="007E3F2E">
        <w:trPr>
          <w:trHeight w:val="198"/>
        </w:trPr>
        <w:tc>
          <w:tcPr>
            <w:tcW w:w="4826" w:type="dxa"/>
            <w:gridSpan w:val="2"/>
            <w:tcBorders>
              <w:top w:val="single" w:sz="4" w:space="0" w:color="auto"/>
              <w:left w:val="nil"/>
              <w:bottom w:val="single" w:sz="4" w:space="0" w:color="auto"/>
              <w:right w:val="single" w:sz="4" w:space="0" w:color="auto"/>
            </w:tcBorders>
            <w:shd w:val="clear" w:color="FFFFFF" w:fill="FFFFFF"/>
          </w:tcPr>
          <w:p w:rsidR="008835EB" w:rsidRPr="008224D4" w:rsidRDefault="008835EB" w:rsidP="007E3F2E">
            <w:pPr>
              <w:spacing w:line="240" w:lineRule="auto"/>
              <w:rPr>
                <w:rFonts w:cs="Calibri"/>
                <w:bCs/>
                <w:sz w:val="17"/>
                <w:szCs w:val="17"/>
              </w:rPr>
            </w:pPr>
            <w:r w:rsidRPr="008224D4">
              <w:rPr>
                <w:rFonts w:cs="Calibri"/>
                <w:bCs/>
                <w:sz w:val="17"/>
                <w:szCs w:val="17"/>
              </w:rPr>
              <w:t xml:space="preserve">The main variance is primarily due to lower than planned expenditure on Leave and Other Entitlements. </w:t>
            </w:r>
          </w:p>
        </w:tc>
        <w:tc>
          <w:tcPr>
            <w:tcW w:w="4252" w:type="dxa"/>
            <w:tcBorders>
              <w:top w:val="single" w:sz="4" w:space="0" w:color="auto"/>
              <w:left w:val="single" w:sz="4" w:space="0" w:color="auto"/>
              <w:bottom w:val="single" w:sz="4" w:space="0" w:color="auto"/>
              <w:right w:val="nil"/>
            </w:tcBorders>
            <w:shd w:val="clear" w:color="FFFFFF" w:fill="FFFFFF"/>
            <w:noWrap/>
            <w:tcMar>
              <w:left w:w="57" w:type="dxa"/>
            </w:tcMar>
          </w:tcPr>
          <w:p w:rsidR="008835EB" w:rsidRPr="008224D4" w:rsidRDefault="008835EB" w:rsidP="007E3F2E">
            <w:pPr>
              <w:spacing w:line="240" w:lineRule="auto"/>
              <w:rPr>
                <w:rFonts w:cs="Calibri"/>
                <w:sz w:val="17"/>
                <w:szCs w:val="17"/>
              </w:rPr>
            </w:pPr>
            <w:r w:rsidRPr="008224D4">
              <w:rPr>
                <w:rFonts w:cs="Calibri"/>
                <w:sz w:val="17"/>
                <w:szCs w:val="17"/>
              </w:rPr>
              <w:t>Employee Benefits (Statement of Comprehensive Income),</w:t>
            </w:r>
          </w:p>
          <w:p w:rsidR="008835EB" w:rsidRPr="008224D4" w:rsidRDefault="008835EB" w:rsidP="007E3F2E">
            <w:pPr>
              <w:spacing w:line="240" w:lineRule="auto"/>
              <w:rPr>
                <w:rFonts w:cs="Calibri"/>
                <w:sz w:val="17"/>
                <w:szCs w:val="17"/>
              </w:rPr>
            </w:pPr>
            <w:r w:rsidRPr="008224D4">
              <w:rPr>
                <w:rFonts w:cs="Calibri"/>
                <w:sz w:val="17"/>
                <w:szCs w:val="17"/>
              </w:rPr>
              <w:t>Employees (Cash Flow Statement)</w:t>
            </w:r>
          </w:p>
        </w:tc>
      </w:tr>
      <w:tr w:rsidR="008835EB" w:rsidRPr="008224D4" w:rsidTr="007E3F2E">
        <w:trPr>
          <w:trHeight w:val="198"/>
        </w:trPr>
        <w:tc>
          <w:tcPr>
            <w:tcW w:w="4826" w:type="dxa"/>
            <w:gridSpan w:val="2"/>
            <w:tcBorders>
              <w:top w:val="single" w:sz="4" w:space="0" w:color="auto"/>
              <w:left w:val="nil"/>
              <w:bottom w:val="single" w:sz="4" w:space="0" w:color="auto"/>
              <w:right w:val="single" w:sz="4" w:space="0" w:color="auto"/>
            </w:tcBorders>
            <w:shd w:val="clear" w:color="FFFFFF" w:fill="FFFFFF"/>
          </w:tcPr>
          <w:p w:rsidR="008835EB" w:rsidRPr="008224D4" w:rsidRDefault="008835EB" w:rsidP="007E3F2E">
            <w:pPr>
              <w:spacing w:line="240" w:lineRule="auto"/>
              <w:rPr>
                <w:rFonts w:cs="Calibri"/>
                <w:bCs/>
                <w:sz w:val="17"/>
                <w:szCs w:val="17"/>
              </w:rPr>
            </w:pPr>
            <w:r w:rsidRPr="008224D4">
              <w:rPr>
                <w:rFonts w:cs="Calibri"/>
                <w:bCs/>
                <w:sz w:val="17"/>
                <w:szCs w:val="17"/>
              </w:rPr>
              <w:t xml:space="preserve">Suppliers expense variance is primarily due an increase in expenses for staff training, additional work undertaken for research and analysis and strengthening of assurance activities. </w:t>
            </w:r>
          </w:p>
        </w:tc>
        <w:tc>
          <w:tcPr>
            <w:tcW w:w="4252" w:type="dxa"/>
            <w:tcBorders>
              <w:top w:val="single" w:sz="4" w:space="0" w:color="auto"/>
              <w:left w:val="single" w:sz="4" w:space="0" w:color="auto"/>
              <w:bottom w:val="single" w:sz="4" w:space="0" w:color="auto"/>
              <w:right w:val="nil"/>
            </w:tcBorders>
            <w:shd w:val="clear" w:color="FFFFFF" w:fill="FFFFFF"/>
            <w:noWrap/>
            <w:tcMar>
              <w:left w:w="57" w:type="dxa"/>
            </w:tcMar>
          </w:tcPr>
          <w:p w:rsidR="008835EB" w:rsidRPr="008224D4" w:rsidRDefault="008835EB" w:rsidP="007E3F2E">
            <w:pPr>
              <w:spacing w:line="240" w:lineRule="auto"/>
              <w:rPr>
                <w:rFonts w:cs="Calibri"/>
                <w:sz w:val="17"/>
                <w:szCs w:val="17"/>
              </w:rPr>
            </w:pPr>
            <w:r w:rsidRPr="008224D4">
              <w:rPr>
                <w:rFonts w:cs="Calibri"/>
                <w:sz w:val="17"/>
                <w:szCs w:val="17"/>
              </w:rPr>
              <w:t>Suppliers (Statement of Comprehensive Income),</w:t>
            </w:r>
            <w:r>
              <w:rPr>
                <w:rFonts w:cs="Calibri"/>
                <w:sz w:val="17"/>
                <w:szCs w:val="17"/>
              </w:rPr>
              <w:t xml:space="preserve"> </w:t>
            </w:r>
            <w:r w:rsidRPr="008224D4">
              <w:rPr>
                <w:rFonts w:cs="Calibri"/>
                <w:sz w:val="17"/>
                <w:szCs w:val="17"/>
              </w:rPr>
              <w:t>Suppliers (Cash Flow Statement)</w:t>
            </w:r>
          </w:p>
        </w:tc>
      </w:tr>
      <w:tr w:rsidR="008835EB" w:rsidRPr="008224D4" w:rsidTr="007E3F2E">
        <w:trPr>
          <w:trHeight w:val="198"/>
        </w:trPr>
        <w:tc>
          <w:tcPr>
            <w:tcW w:w="4826" w:type="dxa"/>
            <w:gridSpan w:val="2"/>
            <w:tcBorders>
              <w:top w:val="single" w:sz="4" w:space="0" w:color="auto"/>
              <w:left w:val="nil"/>
              <w:bottom w:val="single" w:sz="4" w:space="0" w:color="auto"/>
              <w:right w:val="single" w:sz="4" w:space="0" w:color="auto"/>
            </w:tcBorders>
            <w:shd w:val="clear" w:color="FFFFFF" w:fill="FFFFFF"/>
          </w:tcPr>
          <w:p w:rsidR="008835EB" w:rsidRPr="008224D4" w:rsidRDefault="008835EB" w:rsidP="007E3F2E">
            <w:pPr>
              <w:spacing w:line="240" w:lineRule="auto"/>
              <w:rPr>
                <w:rFonts w:cs="Calibri"/>
                <w:bCs/>
                <w:sz w:val="17"/>
                <w:szCs w:val="17"/>
              </w:rPr>
            </w:pPr>
            <w:r w:rsidRPr="008224D4">
              <w:rPr>
                <w:rFonts w:cs="Calibri"/>
                <w:bCs/>
                <w:sz w:val="17"/>
                <w:szCs w:val="17"/>
              </w:rPr>
              <w:t>The lower depreciation and amortisation expense compared to budget was mainly due to leases ending and extension of leases.</w:t>
            </w:r>
          </w:p>
        </w:tc>
        <w:tc>
          <w:tcPr>
            <w:tcW w:w="4252" w:type="dxa"/>
            <w:tcBorders>
              <w:top w:val="single" w:sz="4" w:space="0" w:color="auto"/>
              <w:left w:val="single" w:sz="4" w:space="0" w:color="auto"/>
              <w:bottom w:val="single" w:sz="4" w:space="0" w:color="auto"/>
              <w:right w:val="nil"/>
            </w:tcBorders>
            <w:shd w:val="clear" w:color="FFFFFF" w:fill="FFFFFF"/>
            <w:noWrap/>
            <w:tcMar>
              <w:left w:w="57" w:type="dxa"/>
            </w:tcMar>
          </w:tcPr>
          <w:p w:rsidR="008835EB" w:rsidRPr="008224D4" w:rsidRDefault="008835EB" w:rsidP="007E3F2E">
            <w:pPr>
              <w:spacing w:line="240" w:lineRule="auto"/>
              <w:rPr>
                <w:rFonts w:cs="Calibri"/>
                <w:sz w:val="17"/>
                <w:szCs w:val="17"/>
              </w:rPr>
            </w:pPr>
            <w:r w:rsidRPr="008224D4">
              <w:rPr>
                <w:rFonts w:cs="Calibri"/>
                <w:sz w:val="17"/>
                <w:szCs w:val="17"/>
              </w:rPr>
              <w:t>Depreciation and amortisation (Statement of Comprehensive Income)</w:t>
            </w:r>
          </w:p>
        </w:tc>
      </w:tr>
      <w:tr w:rsidR="008835EB" w:rsidRPr="008224D4" w:rsidTr="007E3F2E">
        <w:trPr>
          <w:trHeight w:val="198"/>
        </w:trPr>
        <w:tc>
          <w:tcPr>
            <w:tcW w:w="4826" w:type="dxa"/>
            <w:gridSpan w:val="2"/>
            <w:tcBorders>
              <w:top w:val="single" w:sz="4" w:space="0" w:color="auto"/>
              <w:left w:val="nil"/>
              <w:bottom w:val="single" w:sz="4" w:space="0" w:color="auto"/>
              <w:right w:val="single" w:sz="4" w:space="0" w:color="auto"/>
            </w:tcBorders>
            <w:shd w:val="clear" w:color="FFFFFF" w:fill="FFFFFF"/>
          </w:tcPr>
          <w:p w:rsidR="008835EB" w:rsidRPr="008224D4" w:rsidRDefault="008835EB" w:rsidP="007E3F2E">
            <w:pPr>
              <w:spacing w:line="240" w:lineRule="auto"/>
              <w:rPr>
                <w:rFonts w:cs="Calibri"/>
                <w:bCs/>
                <w:sz w:val="17"/>
                <w:szCs w:val="17"/>
              </w:rPr>
            </w:pPr>
            <w:r w:rsidRPr="008224D4">
              <w:rPr>
                <w:rFonts w:cs="Calibri"/>
                <w:bCs/>
                <w:sz w:val="17"/>
                <w:szCs w:val="17"/>
              </w:rPr>
              <w:t>Revenue from services and property sub leases contributed to the higher than expected own-source revenue.</w:t>
            </w:r>
          </w:p>
        </w:tc>
        <w:tc>
          <w:tcPr>
            <w:tcW w:w="4252" w:type="dxa"/>
            <w:tcBorders>
              <w:top w:val="single" w:sz="4" w:space="0" w:color="auto"/>
              <w:left w:val="single" w:sz="4" w:space="0" w:color="auto"/>
              <w:bottom w:val="single" w:sz="4" w:space="0" w:color="auto"/>
              <w:right w:val="nil"/>
            </w:tcBorders>
            <w:shd w:val="clear" w:color="FFFFFF" w:fill="FFFFFF"/>
            <w:noWrap/>
            <w:tcMar>
              <w:left w:w="57" w:type="dxa"/>
            </w:tcMar>
          </w:tcPr>
          <w:p w:rsidR="008835EB" w:rsidRPr="008224D4" w:rsidRDefault="008835EB" w:rsidP="007E3F2E">
            <w:pPr>
              <w:spacing w:line="240" w:lineRule="auto"/>
              <w:rPr>
                <w:rFonts w:cs="Calibri"/>
                <w:sz w:val="17"/>
                <w:szCs w:val="17"/>
              </w:rPr>
            </w:pPr>
            <w:r w:rsidRPr="008224D4">
              <w:rPr>
                <w:rFonts w:cs="Calibri"/>
                <w:sz w:val="17"/>
                <w:szCs w:val="17"/>
              </w:rPr>
              <w:t>Own-source of revenue (Statement of Comprehensive income), Sale of goods and rendering of services (Cash Flow Statement).</w:t>
            </w:r>
          </w:p>
        </w:tc>
      </w:tr>
      <w:tr w:rsidR="008835EB" w:rsidRPr="008224D4" w:rsidTr="007E3F2E">
        <w:trPr>
          <w:trHeight w:val="198"/>
        </w:trPr>
        <w:tc>
          <w:tcPr>
            <w:tcW w:w="4826" w:type="dxa"/>
            <w:gridSpan w:val="2"/>
            <w:tcBorders>
              <w:top w:val="single" w:sz="4" w:space="0" w:color="auto"/>
              <w:left w:val="nil"/>
              <w:bottom w:val="single" w:sz="4" w:space="0" w:color="auto"/>
              <w:right w:val="single" w:sz="4" w:space="0" w:color="auto"/>
            </w:tcBorders>
            <w:shd w:val="clear" w:color="FFFFFF" w:fill="FFFFFF"/>
          </w:tcPr>
          <w:p w:rsidR="008835EB" w:rsidRPr="008224D4" w:rsidRDefault="008835EB" w:rsidP="007E3F2E">
            <w:pPr>
              <w:spacing w:line="240" w:lineRule="auto"/>
              <w:rPr>
                <w:rFonts w:cs="Calibri"/>
                <w:bCs/>
                <w:sz w:val="17"/>
                <w:szCs w:val="17"/>
              </w:rPr>
            </w:pPr>
            <w:r w:rsidRPr="008224D4">
              <w:rPr>
                <w:rFonts w:cs="Calibri"/>
                <w:bCs/>
                <w:sz w:val="17"/>
                <w:szCs w:val="17"/>
              </w:rPr>
              <w:t xml:space="preserve">The Other gains </w:t>
            </w:r>
            <w:proofErr w:type="gramStart"/>
            <w:r w:rsidRPr="008224D4">
              <w:rPr>
                <w:rFonts w:cs="Calibri"/>
                <w:bCs/>
                <w:sz w:val="17"/>
                <w:szCs w:val="17"/>
              </w:rPr>
              <w:t>variance is due to the write back of surplus lease, property ownership movements due to Machinery of Government changes and write</w:t>
            </w:r>
            <w:proofErr w:type="gramEnd"/>
            <w:r w:rsidRPr="008224D4">
              <w:rPr>
                <w:rFonts w:cs="Calibri"/>
                <w:bCs/>
                <w:sz w:val="17"/>
                <w:szCs w:val="17"/>
              </w:rPr>
              <w:t xml:space="preserve"> off of a provision no longer required. These are one off revenues that were not budgeted for.</w:t>
            </w:r>
          </w:p>
        </w:tc>
        <w:tc>
          <w:tcPr>
            <w:tcW w:w="4252" w:type="dxa"/>
            <w:tcBorders>
              <w:top w:val="single" w:sz="4" w:space="0" w:color="auto"/>
              <w:left w:val="single" w:sz="4" w:space="0" w:color="auto"/>
              <w:bottom w:val="single" w:sz="4" w:space="0" w:color="auto"/>
              <w:right w:val="nil"/>
            </w:tcBorders>
            <w:shd w:val="clear" w:color="FFFFFF" w:fill="FFFFFF"/>
            <w:noWrap/>
            <w:tcMar>
              <w:left w:w="57" w:type="dxa"/>
            </w:tcMar>
          </w:tcPr>
          <w:p w:rsidR="008835EB" w:rsidRPr="008224D4" w:rsidRDefault="008835EB" w:rsidP="007E3F2E">
            <w:pPr>
              <w:spacing w:line="240" w:lineRule="auto"/>
              <w:rPr>
                <w:rFonts w:cs="Calibri"/>
                <w:sz w:val="17"/>
                <w:szCs w:val="17"/>
              </w:rPr>
            </w:pPr>
            <w:r w:rsidRPr="008224D4">
              <w:rPr>
                <w:rFonts w:cs="Calibri"/>
                <w:sz w:val="17"/>
                <w:szCs w:val="17"/>
              </w:rPr>
              <w:t>Other gains (Statement of Comprehensive income)</w:t>
            </w:r>
          </w:p>
        </w:tc>
      </w:tr>
      <w:tr w:rsidR="008835EB" w:rsidRPr="008224D4" w:rsidTr="007E3F2E">
        <w:trPr>
          <w:gridBefore w:val="1"/>
          <w:wBefore w:w="6" w:type="dxa"/>
          <w:trHeight w:val="198"/>
        </w:trPr>
        <w:tc>
          <w:tcPr>
            <w:tcW w:w="4820" w:type="dxa"/>
            <w:tcBorders>
              <w:top w:val="single" w:sz="4" w:space="0" w:color="auto"/>
              <w:left w:val="nil"/>
              <w:bottom w:val="single" w:sz="4" w:space="0" w:color="auto"/>
              <w:right w:val="single" w:sz="4" w:space="0" w:color="auto"/>
            </w:tcBorders>
            <w:shd w:val="clear" w:color="FFFFFF" w:fill="FFFFFF"/>
          </w:tcPr>
          <w:p w:rsidR="008835EB" w:rsidRPr="008224D4" w:rsidRDefault="008835EB" w:rsidP="007E3F2E">
            <w:pPr>
              <w:spacing w:line="240" w:lineRule="auto"/>
              <w:rPr>
                <w:rFonts w:cs="Calibri"/>
                <w:bCs/>
                <w:sz w:val="17"/>
                <w:szCs w:val="17"/>
              </w:rPr>
            </w:pPr>
            <w:r w:rsidRPr="008224D4">
              <w:rPr>
                <w:rFonts w:cs="Calibri"/>
                <w:bCs/>
                <w:sz w:val="17"/>
                <w:szCs w:val="17"/>
              </w:rPr>
              <w:t xml:space="preserve">This variance is due to the revaluation of the </w:t>
            </w:r>
            <w:r>
              <w:rPr>
                <w:rFonts w:cs="Calibri"/>
                <w:bCs/>
                <w:sz w:val="17"/>
                <w:szCs w:val="17"/>
              </w:rPr>
              <w:t>D</w:t>
            </w:r>
            <w:r w:rsidRPr="008224D4">
              <w:rPr>
                <w:rFonts w:cs="Calibri"/>
                <w:bCs/>
                <w:sz w:val="17"/>
                <w:szCs w:val="17"/>
              </w:rPr>
              <w:t>epartment’s assets.</w:t>
            </w:r>
          </w:p>
        </w:tc>
        <w:tc>
          <w:tcPr>
            <w:tcW w:w="4252" w:type="dxa"/>
            <w:tcBorders>
              <w:top w:val="single" w:sz="4" w:space="0" w:color="auto"/>
              <w:left w:val="single" w:sz="4" w:space="0" w:color="auto"/>
              <w:bottom w:val="single" w:sz="4" w:space="0" w:color="auto"/>
              <w:right w:val="nil"/>
            </w:tcBorders>
            <w:shd w:val="clear" w:color="FFFFFF" w:fill="FFFFFF"/>
            <w:noWrap/>
            <w:tcMar>
              <w:left w:w="57" w:type="dxa"/>
            </w:tcMar>
          </w:tcPr>
          <w:p w:rsidR="008835EB" w:rsidRPr="008224D4" w:rsidRDefault="008835EB" w:rsidP="007E3F2E">
            <w:pPr>
              <w:spacing w:line="240" w:lineRule="auto"/>
              <w:rPr>
                <w:rFonts w:cs="Calibri"/>
                <w:sz w:val="17"/>
                <w:szCs w:val="17"/>
              </w:rPr>
            </w:pPr>
            <w:r w:rsidRPr="008224D4">
              <w:rPr>
                <w:rFonts w:cs="Calibri"/>
                <w:sz w:val="17"/>
                <w:szCs w:val="17"/>
              </w:rPr>
              <w:t>Other Comprehensive income (Statement of Comprehensive income)</w:t>
            </w:r>
            <w:r>
              <w:rPr>
                <w:rFonts w:cs="Calibri"/>
                <w:sz w:val="17"/>
                <w:szCs w:val="17"/>
              </w:rPr>
              <w:t xml:space="preserve">, </w:t>
            </w:r>
            <w:r w:rsidRPr="008224D4">
              <w:rPr>
                <w:rFonts w:cs="Calibri"/>
                <w:sz w:val="17"/>
                <w:szCs w:val="17"/>
              </w:rPr>
              <w:t>Reserves</w:t>
            </w:r>
            <w:r>
              <w:rPr>
                <w:rFonts w:cs="Calibri"/>
                <w:sz w:val="17"/>
                <w:szCs w:val="17"/>
              </w:rPr>
              <w:t xml:space="preserve"> </w:t>
            </w:r>
            <w:r w:rsidRPr="008224D4">
              <w:rPr>
                <w:rFonts w:cs="Calibri"/>
                <w:sz w:val="17"/>
                <w:szCs w:val="17"/>
              </w:rPr>
              <w:t>(Statement of Financial Position)</w:t>
            </w:r>
            <w:r>
              <w:rPr>
                <w:rFonts w:cs="Calibri"/>
                <w:sz w:val="17"/>
                <w:szCs w:val="17"/>
              </w:rPr>
              <w:t xml:space="preserve">, </w:t>
            </w:r>
            <w:r>
              <w:rPr>
                <w:rFonts w:cs="Calibri"/>
                <w:sz w:val="17"/>
                <w:szCs w:val="17"/>
              </w:rPr>
              <w:br/>
            </w:r>
            <w:r w:rsidRPr="008224D4">
              <w:rPr>
                <w:rFonts w:cs="Calibri"/>
                <w:sz w:val="17"/>
                <w:szCs w:val="17"/>
              </w:rPr>
              <w:t>Asset Revaluation Surplus (Statement of Changes in Equity</w:t>
            </w:r>
          </w:p>
        </w:tc>
      </w:tr>
      <w:tr w:rsidR="008835EB" w:rsidRPr="008224D4" w:rsidTr="007E3F2E">
        <w:trPr>
          <w:gridBefore w:val="1"/>
          <w:wBefore w:w="6" w:type="dxa"/>
          <w:trHeight w:val="198"/>
        </w:trPr>
        <w:tc>
          <w:tcPr>
            <w:tcW w:w="4820" w:type="dxa"/>
            <w:tcBorders>
              <w:top w:val="single" w:sz="4" w:space="0" w:color="auto"/>
              <w:left w:val="nil"/>
              <w:bottom w:val="single" w:sz="4" w:space="0" w:color="auto"/>
              <w:right w:val="single" w:sz="4" w:space="0" w:color="auto"/>
            </w:tcBorders>
            <w:shd w:val="clear" w:color="FFFFFF" w:fill="FFFFFF"/>
          </w:tcPr>
          <w:p w:rsidR="008835EB" w:rsidRPr="008224D4" w:rsidRDefault="008835EB" w:rsidP="007E3F2E">
            <w:pPr>
              <w:spacing w:line="240" w:lineRule="auto"/>
              <w:rPr>
                <w:rFonts w:cs="Calibri"/>
                <w:bCs/>
                <w:sz w:val="17"/>
                <w:szCs w:val="17"/>
              </w:rPr>
            </w:pPr>
            <w:r w:rsidRPr="008224D4">
              <w:rPr>
                <w:rFonts w:cs="Calibri"/>
                <w:bCs/>
                <w:sz w:val="17"/>
                <w:szCs w:val="17"/>
              </w:rPr>
              <w:t>The Trade Debtors variance is due to increased appropriation receivable and lease incentives. This budget was adjusted to better reflect</w:t>
            </w:r>
            <w:r>
              <w:rPr>
                <w:rFonts w:cs="Calibri"/>
                <w:bCs/>
                <w:sz w:val="17"/>
                <w:szCs w:val="17"/>
              </w:rPr>
              <w:t xml:space="preserve"> the outcomes expected for the D</w:t>
            </w:r>
            <w:r w:rsidRPr="008224D4">
              <w:rPr>
                <w:rFonts w:cs="Calibri"/>
                <w:bCs/>
                <w:sz w:val="17"/>
                <w:szCs w:val="17"/>
              </w:rPr>
              <w:t>epartment. With this adjustment the variance relates to lease incentives.</w:t>
            </w:r>
          </w:p>
        </w:tc>
        <w:tc>
          <w:tcPr>
            <w:tcW w:w="4252" w:type="dxa"/>
            <w:tcBorders>
              <w:top w:val="single" w:sz="4" w:space="0" w:color="auto"/>
              <w:left w:val="single" w:sz="4" w:space="0" w:color="auto"/>
              <w:bottom w:val="single" w:sz="4" w:space="0" w:color="auto"/>
              <w:right w:val="nil"/>
            </w:tcBorders>
            <w:shd w:val="clear" w:color="FFFFFF" w:fill="FFFFFF"/>
            <w:noWrap/>
            <w:tcMar>
              <w:left w:w="57" w:type="dxa"/>
            </w:tcMar>
          </w:tcPr>
          <w:p w:rsidR="008835EB" w:rsidRPr="008224D4" w:rsidRDefault="008835EB" w:rsidP="007E3F2E">
            <w:pPr>
              <w:spacing w:line="240" w:lineRule="auto"/>
              <w:rPr>
                <w:rFonts w:cs="Calibri"/>
                <w:bCs/>
                <w:sz w:val="17"/>
                <w:szCs w:val="17"/>
              </w:rPr>
            </w:pPr>
            <w:r w:rsidRPr="008224D4">
              <w:rPr>
                <w:rFonts w:cs="Calibri"/>
                <w:sz w:val="17"/>
                <w:szCs w:val="17"/>
              </w:rPr>
              <w:t>Trade and other receivables</w:t>
            </w:r>
            <w:r w:rsidRPr="008224D4">
              <w:rPr>
                <w:rFonts w:cs="Calibri"/>
                <w:bCs/>
                <w:sz w:val="17"/>
                <w:szCs w:val="17"/>
              </w:rPr>
              <w:t xml:space="preserve"> (Statement of Financial Position)</w:t>
            </w:r>
          </w:p>
        </w:tc>
      </w:tr>
      <w:tr w:rsidR="008835EB" w:rsidRPr="008224D4" w:rsidTr="007E3F2E">
        <w:trPr>
          <w:gridBefore w:val="1"/>
          <w:wBefore w:w="6" w:type="dxa"/>
          <w:trHeight w:val="198"/>
        </w:trPr>
        <w:tc>
          <w:tcPr>
            <w:tcW w:w="4820" w:type="dxa"/>
            <w:tcBorders>
              <w:top w:val="single" w:sz="4" w:space="0" w:color="auto"/>
              <w:left w:val="nil"/>
              <w:bottom w:val="single" w:sz="4" w:space="0" w:color="auto"/>
              <w:right w:val="single" w:sz="4" w:space="0" w:color="auto"/>
            </w:tcBorders>
            <w:shd w:val="clear" w:color="FFFFFF" w:fill="FFFFFF"/>
          </w:tcPr>
          <w:p w:rsidR="008835EB" w:rsidRPr="008224D4" w:rsidRDefault="008835EB" w:rsidP="007E3F2E">
            <w:pPr>
              <w:spacing w:line="240" w:lineRule="auto"/>
              <w:rPr>
                <w:rFonts w:cs="Calibri"/>
                <w:sz w:val="17"/>
                <w:szCs w:val="17"/>
              </w:rPr>
            </w:pPr>
            <w:r w:rsidRPr="008224D4">
              <w:rPr>
                <w:rFonts w:cs="Calibri"/>
                <w:bCs/>
                <w:sz w:val="17"/>
                <w:szCs w:val="17"/>
              </w:rPr>
              <w:t xml:space="preserve">Accrued Revenue received is lower than expected, as less </w:t>
            </w:r>
            <w:proofErr w:type="gramStart"/>
            <w:r>
              <w:rPr>
                <w:rFonts w:cs="Calibri"/>
                <w:bCs/>
                <w:sz w:val="17"/>
                <w:szCs w:val="17"/>
              </w:rPr>
              <w:t>receivables</w:t>
            </w:r>
            <w:proofErr w:type="gramEnd"/>
            <w:r>
              <w:rPr>
                <w:rFonts w:cs="Calibri"/>
                <w:bCs/>
                <w:sz w:val="17"/>
                <w:szCs w:val="17"/>
              </w:rPr>
              <w:t xml:space="preserve"> </w:t>
            </w:r>
            <w:r w:rsidRPr="008224D4">
              <w:rPr>
                <w:rFonts w:cs="Calibri"/>
                <w:bCs/>
                <w:sz w:val="17"/>
                <w:szCs w:val="17"/>
              </w:rPr>
              <w:t>have been accrued than forecast.</w:t>
            </w:r>
          </w:p>
        </w:tc>
        <w:tc>
          <w:tcPr>
            <w:tcW w:w="4252" w:type="dxa"/>
            <w:tcBorders>
              <w:top w:val="single" w:sz="4" w:space="0" w:color="auto"/>
              <w:left w:val="single" w:sz="4" w:space="0" w:color="auto"/>
              <w:bottom w:val="single" w:sz="4" w:space="0" w:color="auto"/>
              <w:right w:val="nil"/>
            </w:tcBorders>
            <w:shd w:val="clear" w:color="FFFFFF" w:fill="FFFFFF"/>
            <w:noWrap/>
            <w:tcMar>
              <w:left w:w="57" w:type="dxa"/>
            </w:tcMar>
          </w:tcPr>
          <w:p w:rsidR="008835EB" w:rsidRPr="008224D4" w:rsidRDefault="008835EB" w:rsidP="007E3F2E">
            <w:pPr>
              <w:spacing w:line="240" w:lineRule="auto"/>
              <w:rPr>
                <w:rFonts w:cs="Calibri"/>
                <w:sz w:val="17"/>
                <w:szCs w:val="17"/>
              </w:rPr>
            </w:pPr>
            <w:r>
              <w:rPr>
                <w:rFonts w:cs="Calibri"/>
                <w:sz w:val="17"/>
                <w:szCs w:val="17"/>
              </w:rPr>
              <w:t>Assets—</w:t>
            </w:r>
            <w:r w:rsidRPr="008224D4">
              <w:rPr>
                <w:rFonts w:cs="Calibri"/>
                <w:sz w:val="17"/>
                <w:szCs w:val="17"/>
              </w:rPr>
              <w:t>Other financial assets</w:t>
            </w:r>
            <w:r w:rsidRPr="008224D4">
              <w:rPr>
                <w:rFonts w:cs="Calibri"/>
                <w:bCs/>
                <w:sz w:val="17"/>
                <w:szCs w:val="17"/>
              </w:rPr>
              <w:t xml:space="preserve"> (Statement of Financial Position)</w:t>
            </w:r>
          </w:p>
        </w:tc>
      </w:tr>
      <w:tr w:rsidR="008835EB" w:rsidRPr="008224D4" w:rsidTr="007E3F2E">
        <w:trPr>
          <w:gridBefore w:val="1"/>
          <w:wBefore w:w="6" w:type="dxa"/>
          <w:trHeight w:val="198"/>
        </w:trPr>
        <w:tc>
          <w:tcPr>
            <w:tcW w:w="4820" w:type="dxa"/>
            <w:tcBorders>
              <w:top w:val="single" w:sz="4" w:space="0" w:color="auto"/>
              <w:left w:val="nil"/>
              <w:bottom w:val="single" w:sz="4" w:space="0" w:color="auto"/>
              <w:right w:val="single" w:sz="4" w:space="0" w:color="auto"/>
            </w:tcBorders>
            <w:shd w:val="clear" w:color="FFFFFF" w:fill="FFFFFF"/>
          </w:tcPr>
          <w:p w:rsidR="008835EB" w:rsidRPr="008224D4" w:rsidRDefault="008835EB" w:rsidP="007E3F2E">
            <w:pPr>
              <w:spacing w:line="240" w:lineRule="auto"/>
              <w:rPr>
                <w:rFonts w:cs="Calibri"/>
                <w:sz w:val="17"/>
                <w:szCs w:val="17"/>
              </w:rPr>
            </w:pPr>
            <w:r w:rsidRPr="008224D4">
              <w:rPr>
                <w:rFonts w:cs="Calibri"/>
                <w:sz w:val="17"/>
                <w:szCs w:val="17"/>
              </w:rPr>
              <w:t>Leasehold asset values have been increased due to a revaluation as at 30 June 2016.</w:t>
            </w:r>
          </w:p>
        </w:tc>
        <w:tc>
          <w:tcPr>
            <w:tcW w:w="4252" w:type="dxa"/>
            <w:tcBorders>
              <w:top w:val="single" w:sz="4" w:space="0" w:color="auto"/>
              <w:left w:val="single" w:sz="4" w:space="0" w:color="auto"/>
              <w:bottom w:val="single" w:sz="4" w:space="0" w:color="auto"/>
              <w:right w:val="nil"/>
            </w:tcBorders>
            <w:shd w:val="clear" w:color="FFFFFF" w:fill="FFFFFF"/>
            <w:noWrap/>
            <w:tcMar>
              <w:left w:w="57" w:type="dxa"/>
            </w:tcMar>
          </w:tcPr>
          <w:p w:rsidR="008835EB" w:rsidRPr="008224D4" w:rsidRDefault="008835EB" w:rsidP="007E3F2E">
            <w:pPr>
              <w:spacing w:line="240" w:lineRule="auto"/>
              <w:rPr>
                <w:rFonts w:cs="Calibri"/>
                <w:sz w:val="17"/>
                <w:szCs w:val="17"/>
              </w:rPr>
            </w:pPr>
            <w:r w:rsidRPr="008224D4">
              <w:rPr>
                <w:rFonts w:cs="Calibri"/>
                <w:sz w:val="17"/>
                <w:szCs w:val="17"/>
              </w:rPr>
              <w:t>Leasehold Improvements</w:t>
            </w:r>
            <w:r>
              <w:rPr>
                <w:rFonts w:cs="Calibri"/>
                <w:sz w:val="17"/>
                <w:szCs w:val="17"/>
              </w:rPr>
              <w:t xml:space="preserve"> </w:t>
            </w:r>
            <w:r w:rsidRPr="008224D4">
              <w:rPr>
                <w:rFonts w:cs="Calibri"/>
                <w:sz w:val="17"/>
                <w:szCs w:val="17"/>
              </w:rPr>
              <w:t>(Statement of Financial Position)</w:t>
            </w:r>
          </w:p>
        </w:tc>
      </w:tr>
      <w:tr w:rsidR="008835EB" w:rsidRPr="008224D4" w:rsidTr="007E3F2E">
        <w:trPr>
          <w:gridBefore w:val="1"/>
          <w:wBefore w:w="6" w:type="dxa"/>
          <w:trHeight w:val="198"/>
        </w:trPr>
        <w:tc>
          <w:tcPr>
            <w:tcW w:w="4820" w:type="dxa"/>
            <w:tcBorders>
              <w:top w:val="single" w:sz="4" w:space="0" w:color="auto"/>
              <w:left w:val="nil"/>
              <w:bottom w:val="single" w:sz="4" w:space="0" w:color="auto"/>
              <w:right w:val="single" w:sz="4" w:space="0" w:color="auto"/>
            </w:tcBorders>
            <w:shd w:val="clear" w:color="FFFFFF" w:fill="FFFFFF"/>
          </w:tcPr>
          <w:p w:rsidR="008835EB" w:rsidRPr="008224D4" w:rsidRDefault="008835EB" w:rsidP="007E3F2E">
            <w:pPr>
              <w:spacing w:line="240" w:lineRule="auto"/>
              <w:rPr>
                <w:rFonts w:cs="Calibri"/>
                <w:sz w:val="17"/>
                <w:szCs w:val="17"/>
              </w:rPr>
            </w:pPr>
            <w:r w:rsidRPr="008224D4">
              <w:rPr>
                <w:rFonts w:cs="Calibri"/>
                <w:sz w:val="17"/>
                <w:szCs w:val="17"/>
              </w:rPr>
              <w:t>The variance relates to fit-out works planned for 2015</w:t>
            </w:r>
            <w:r>
              <w:rPr>
                <w:rFonts w:cs="Calibri"/>
                <w:sz w:val="17"/>
                <w:szCs w:val="17"/>
              </w:rPr>
              <w:t>–</w:t>
            </w:r>
            <w:r w:rsidRPr="008224D4">
              <w:rPr>
                <w:rFonts w:cs="Calibri"/>
                <w:sz w:val="17"/>
                <w:szCs w:val="17"/>
              </w:rPr>
              <w:t>16 that were delayed due to on-going lease negotiations.</w:t>
            </w:r>
          </w:p>
        </w:tc>
        <w:tc>
          <w:tcPr>
            <w:tcW w:w="4252" w:type="dxa"/>
            <w:tcBorders>
              <w:top w:val="single" w:sz="4" w:space="0" w:color="auto"/>
              <w:left w:val="single" w:sz="4" w:space="0" w:color="auto"/>
              <w:bottom w:val="single" w:sz="4" w:space="0" w:color="auto"/>
              <w:right w:val="nil"/>
            </w:tcBorders>
            <w:shd w:val="clear" w:color="FFFFFF" w:fill="FFFFFF"/>
            <w:noWrap/>
            <w:tcMar>
              <w:left w:w="57" w:type="dxa"/>
            </w:tcMar>
          </w:tcPr>
          <w:p w:rsidR="008835EB" w:rsidRPr="008224D4" w:rsidRDefault="008835EB" w:rsidP="007E3F2E">
            <w:pPr>
              <w:spacing w:line="240" w:lineRule="auto"/>
              <w:rPr>
                <w:rFonts w:cs="Calibri"/>
                <w:sz w:val="17"/>
                <w:szCs w:val="17"/>
              </w:rPr>
            </w:pPr>
            <w:r w:rsidRPr="008224D4">
              <w:rPr>
                <w:rFonts w:cs="Calibri"/>
                <w:sz w:val="17"/>
                <w:szCs w:val="17"/>
              </w:rPr>
              <w:t>Leasehold Improvements</w:t>
            </w:r>
            <w:r>
              <w:rPr>
                <w:rFonts w:cs="Calibri"/>
                <w:sz w:val="17"/>
                <w:szCs w:val="17"/>
              </w:rPr>
              <w:t xml:space="preserve"> </w:t>
            </w:r>
            <w:r w:rsidRPr="008224D4">
              <w:rPr>
                <w:rFonts w:cs="Calibri"/>
                <w:sz w:val="17"/>
                <w:szCs w:val="17"/>
              </w:rPr>
              <w:t>(Cash Flow Statement)</w:t>
            </w:r>
          </w:p>
        </w:tc>
      </w:tr>
      <w:tr w:rsidR="008835EB" w:rsidRPr="008224D4" w:rsidTr="007E3F2E">
        <w:trPr>
          <w:gridBefore w:val="1"/>
          <w:wBefore w:w="6" w:type="dxa"/>
          <w:trHeight w:val="198"/>
        </w:trPr>
        <w:tc>
          <w:tcPr>
            <w:tcW w:w="4820" w:type="dxa"/>
            <w:tcBorders>
              <w:top w:val="single" w:sz="4" w:space="0" w:color="auto"/>
              <w:left w:val="nil"/>
              <w:bottom w:val="single" w:sz="4" w:space="0" w:color="auto"/>
              <w:right w:val="single" w:sz="4" w:space="0" w:color="auto"/>
            </w:tcBorders>
            <w:shd w:val="clear" w:color="FFFFFF" w:fill="FFFFFF"/>
          </w:tcPr>
          <w:p w:rsidR="008835EB" w:rsidRPr="008224D4" w:rsidRDefault="008835EB" w:rsidP="007E3F2E">
            <w:pPr>
              <w:spacing w:line="240" w:lineRule="auto"/>
              <w:rPr>
                <w:rFonts w:cs="Calibri"/>
                <w:sz w:val="17"/>
                <w:szCs w:val="17"/>
              </w:rPr>
            </w:pPr>
            <w:r w:rsidRPr="008224D4">
              <w:rPr>
                <w:rFonts w:cs="Calibri"/>
                <w:sz w:val="17"/>
                <w:szCs w:val="17"/>
              </w:rPr>
              <w:t>Infrastructure expenditure is below budget due to delays in purchases.</w:t>
            </w:r>
          </w:p>
        </w:tc>
        <w:tc>
          <w:tcPr>
            <w:tcW w:w="4252" w:type="dxa"/>
            <w:tcBorders>
              <w:top w:val="single" w:sz="4" w:space="0" w:color="auto"/>
              <w:left w:val="single" w:sz="4" w:space="0" w:color="auto"/>
              <w:bottom w:val="single" w:sz="4" w:space="0" w:color="auto"/>
              <w:right w:val="nil"/>
            </w:tcBorders>
            <w:shd w:val="clear" w:color="FFFFFF" w:fill="FFFFFF"/>
            <w:noWrap/>
            <w:tcMar>
              <w:left w:w="57" w:type="dxa"/>
            </w:tcMar>
          </w:tcPr>
          <w:p w:rsidR="008835EB" w:rsidRPr="008224D4" w:rsidRDefault="008835EB" w:rsidP="007E3F2E">
            <w:pPr>
              <w:spacing w:line="240" w:lineRule="auto"/>
              <w:rPr>
                <w:rFonts w:cs="Calibri"/>
                <w:sz w:val="17"/>
                <w:szCs w:val="17"/>
              </w:rPr>
            </w:pPr>
            <w:r w:rsidRPr="008224D4">
              <w:rPr>
                <w:rFonts w:cs="Calibri"/>
                <w:sz w:val="17"/>
                <w:szCs w:val="17"/>
              </w:rPr>
              <w:t>Infrastructure, Plant and Equipment (Statement of Financial Position) &amp; (Cash Flow Statement)</w:t>
            </w:r>
          </w:p>
        </w:tc>
      </w:tr>
      <w:tr w:rsidR="008835EB" w:rsidRPr="008224D4" w:rsidTr="007E3F2E">
        <w:trPr>
          <w:gridBefore w:val="1"/>
          <w:wBefore w:w="6" w:type="dxa"/>
          <w:trHeight w:val="198"/>
        </w:trPr>
        <w:tc>
          <w:tcPr>
            <w:tcW w:w="4820" w:type="dxa"/>
            <w:tcBorders>
              <w:top w:val="single" w:sz="4" w:space="0" w:color="auto"/>
              <w:left w:val="nil"/>
              <w:bottom w:val="single" w:sz="4" w:space="0" w:color="auto"/>
              <w:right w:val="single" w:sz="4" w:space="0" w:color="auto"/>
            </w:tcBorders>
            <w:shd w:val="clear" w:color="FFFFFF" w:fill="FFFFFF"/>
          </w:tcPr>
          <w:p w:rsidR="008835EB" w:rsidRPr="008224D4" w:rsidRDefault="008835EB" w:rsidP="007E3F2E">
            <w:pPr>
              <w:spacing w:line="240" w:lineRule="auto"/>
              <w:rPr>
                <w:rFonts w:cs="Calibri"/>
                <w:sz w:val="17"/>
                <w:szCs w:val="17"/>
              </w:rPr>
            </w:pPr>
            <w:r w:rsidRPr="008224D4">
              <w:rPr>
                <w:rFonts w:cs="Calibri"/>
                <w:sz w:val="17"/>
                <w:szCs w:val="17"/>
              </w:rPr>
              <w:t xml:space="preserve">The variance relates to a higher value of internally developed software. </w:t>
            </w:r>
          </w:p>
        </w:tc>
        <w:tc>
          <w:tcPr>
            <w:tcW w:w="4252" w:type="dxa"/>
            <w:tcBorders>
              <w:top w:val="single" w:sz="4" w:space="0" w:color="auto"/>
              <w:left w:val="single" w:sz="4" w:space="0" w:color="auto"/>
              <w:bottom w:val="single" w:sz="4" w:space="0" w:color="auto"/>
              <w:right w:val="nil"/>
            </w:tcBorders>
            <w:shd w:val="clear" w:color="FFFFFF" w:fill="FFFFFF"/>
            <w:noWrap/>
            <w:tcMar>
              <w:left w:w="57" w:type="dxa"/>
            </w:tcMar>
          </w:tcPr>
          <w:p w:rsidR="008835EB" w:rsidRPr="008224D4" w:rsidRDefault="008835EB" w:rsidP="007E3F2E">
            <w:pPr>
              <w:spacing w:line="240" w:lineRule="auto"/>
              <w:rPr>
                <w:rFonts w:cs="Calibri"/>
                <w:sz w:val="17"/>
                <w:szCs w:val="17"/>
              </w:rPr>
            </w:pPr>
            <w:r w:rsidRPr="008224D4">
              <w:rPr>
                <w:rFonts w:cs="Calibri"/>
                <w:sz w:val="17"/>
                <w:szCs w:val="17"/>
              </w:rPr>
              <w:t>Intangibles (Statement of Financial Position) &amp; (Cash Flow Statement)</w:t>
            </w:r>
          </w:p>
        </w:tc>
      </w:tr>
      <w:tr w:rsidR="008835EB" w:rsidRPr="008224D4" w:rsidTr="007E3F2E">
        <w:trPr>
          <w:gridBefore w:val="1"/>
          <w:wBefore w:w="6" w:type="dxa"/>
          <w:trHeight w:val="198"/>
        </w:trPr>
        <w:tc>
          <w:tcPr>
            <w:tcW w:w="4820" w:type="dxa"/>
            <w:tcBorders>
              <w:top w:val="single" w:sz="4" w:space="0" w:color="auto"/>
              <w:left w:val="nil"/>
              <w:bottom w:val="single" w:sz="4" w:space="0" w:color="auto"/>
              <w:right w:val="single" w:sz="4" w:space="0" w:color="auto"/>
            </w:tcBorders>
            <w:shd w:val="clear" w:color="FFFFFF" w:fill="FFFFFF"/>
          </w:tcPr>
          <w:p w:rsidR="008835EB" w:rsidRPr="008224D4" w:rsidRDefault="008835EB" w:rsidP="007E3F2E">
            <w:pPr>
              <w:spacing w:line="240" w:lineRule="auto"/>
              <w:rPr>
                <w:rFonts w:cs="Calibri"/>
                <w:bCs/>
                <w:sz w:val="17"/>
                <w:szCs w:val="17"/>
              </w:rPr>
            </w:pPr>
            <w:r w:rsidRPr="008224D4">
              <w:rPr>
                <w:rFonts w:cs="Calibri"/>
                <w:bCs/>
                <w:sz w:val="17"/>
                <w:szCs w:val="17"/>
              </w:rPr>
              <w:t>The Suppliers payable variance is due to increased accounts payable above what was originally budgeted. This budget was adjusted in the revised budget to better reflect the outcomes expected for the department. With this adjustment, the variance is on budget.</w:t>
            </w:r>
          </w:p>
        </w:tc>
        <w:tc>
          <w:tcPr>
            <w:tcW w:w="4252" w:type="dxa"/>
            <w:tcBorders>
              <w:top w:val="single" w:sz="4" w:space="0" w:color="auto"/>
              <w:left w:val="single" w:sz="4" w:space="0" w:color="auto"/>
              <w:bottom w:val="single" w:sz="4" w:space="0" w:color="auto"/>
              <w:right w:val="nil"/>
            </w:tcBorders>
            <w:shd w:val="clear" w:color="FFFFFF" w:fill="FFFFFF"/>
            <w:noWrap/>
            <w:tcMar>
              <w:left w:w="57" w:type="dxa"/>
            </w:tcMar>
          </w:tcPr>
          <w:p w:rsidR="008835EB" w:rsidRPr="008224D4" w:rsidRDefault="008835EB" w:rsidP="007E3F2E">
            <w:pPr>
              <w:spacing w:line="240" w:lineRule="auto"/>
              <w:rPr>
                <w:rFonts w:cs="Calibri"/>
                <w:sz w:val="17"/>
                <w:szCs w:val="17"/>
              </w:rPr>
            </w:pPr>
            <w:r w:rsidRPr="008224D4">
              <w:rPr>
                <w:rFonts w:cs="Calibri"/>
                <w:sz w:val="17"/>
                <w:szCs w:val="17"/>
              </w:rPr>
              <w:t>Supplier payables</w:t>
            </w:r>
            <w:r>
              <w:rPr>
                <w:rFonts w:cs="Calibri"/>
                <w:sz w:val="17"/>
                <w:szCs w:val="17"/>
              </w:rPr>
              <w:t xml:space="preserve"> </w:t>
            </w:r>
            <w:r w:rsidRPr="008224D4">
              <w:rPr>
                <w:rFonts w:cs="Calibri"/>
                <w:sz w:val="17"/>
                <w:szCs w:val="17"/>
              </w:rPr>
              <w:t>(Statement of Financial Position)</w:t>
            </w:r>
          </w:p>
        </w:tc>
      </w:tr>
      <w:tr w:rsidR="008835EB" w:rsidRPr="008224D4" w:rsidTr="007E3F2E">
        <w:trPr>
          <w:gridBefore w:val="1"/>
          <w:wBefore w:w="6" w:type="dxa"/>
          <w:trHeight w:val="198"/>
        </w:trPr>
        <w:tc>
          <w:tcPr>
            <w:tcW w:w="4820" w:type="dxa"/>
            <w:tcBorders>
              <w:top w:val="single" w:sz="4" w:space="0" w:color="auto"/>
              <w:left w:val="nil"/>
              <w:bottom w:val="single" w:sz="4" w:space="0" w:color="auto"/>
              <w:right w:val="single" w:sz="4" w:space="0" w:color="auto"/>
            </w:tcBorders>
            <w:shd w:val="clear" w:color="FFFFFF" w:fill="FFFFFF"/>
          </w:tcPr>
          <w:p w:rsidR="008835EB" w:rsidRPr="008224D4" w:rsidRDefault="008835EB" w:rsidP="007E3F2E">
            <w:pPr>
              <w:spacing w:line="240" w:lineRule="auto"/>
              <w:rPr>
                <w:rFonts w:cs="Calibri"/>
                <w:bCs/>
                <w:sz w:val="17"/>
                <w:szCs w:val="17"/>
              </w:rPr>
            </w:pPr>
            <w:r w:rsidRPr="008224D4">
              <w:rPr>
                <w:rFonts w:cs="Calibri"/>
                <w:bCs/>
                <w:sz w:val="17"/>
                <w:szCs w:val="17"/>
              </w:rPr>
              <w:t>Other payables variance when compared to original budget is attributed to a lease incentive recognised and this has been adjusted in the revised budget. The variance to the revised budget relates to salary accruals at year end.</w:t>
            </w:r>
          </w:p>
        </w:tc>
        <w:tc>
          <w:tcPr>
            <w:tcW w:w="4252" w:type="dxa"/>
            <w:tcBorders>
              <w:top w:val="single" w:sz="4" w:space="0" w:color="auto"/>
              <w:left w:val="single" w:sz="4" w:space="0" w:color="auto"/>
              <w:bottom w:val="single" w:sz="4" w:space="0" w:color="auto"/>
              <w:right w:val="nil"/>
            </w:tcBorders>
            <w:shd w:val="clear" w:color="FFFFFF" w:fill="FFFFFF"/>
            <w:noWrap/>
            <w:tcMar>
              <w:left w:w="57" w:type="dxa"/>
            </w:tcMar>
          </w:tcPr>
          <w:p w:rsidR="008835EB" w:rsidRPr="008224D4" w:rsidRDefault="008835EB" w:rsidP="007E3F2E">
            <w:pPr>
              <w:spacing w:line="240" w:lineRule="auto"/>
              <w:rPr>
                <w:rFonts w:cs="Calibri"/>
                <w:sz w:val="17"/>
                <w:szCs w:val="17"/>
              </w:rPr>
            </w:pPr>
            <w:r w:rsidRPr="008224D4">
              <w:rPr>
                <w:rFonts w:cs="Calibri"/>
                <w:sz w:val="17"/>
                <w:szCs w:val="17"/>
              </w:rPr>
              <w:t>Other payables</w:t>
            </w:r>
            <w:r>
              <w:rPr>
                <w:rFonts w:cs="Calibri"/>
                <w:sz w:val="17"/>
                <w:szCs w:val="17"/>
              </w:rPr>
              <w:t xml:space="preserve"> </w:t>
            </w:r>
            <w:r w:rsidRPr="008224D4">
              <w:rPr>
                <w:rFonts w:cs="Calibri"/>
                <w:sz w:val="17"/>
                <w:szCs w:val="17"/>
              </w:rPr>
              <w:t>(Statement of Financial Position)</w:t>
            </w:r>
          </w:p>
        </w:tc>
      </w:tr>
      <w:tr w:rsidR="008835EB" w:rsidRPr="008224D4" w:rsidTr="007E3F2E">
        <w:trPr>
          <w:gridBefore w:val="1"/>
          <w:wBefore w:w="6" w:type="dxa"/>
          <w:trHeight w:val="198"/>
        </w:trPr>
        <w:tc>
          <w:tcPr>
            <w:tcW w:w="4820" w:type="dxa"/>
            <w:tcBorders>
              <w:top w:val="single" w:sz="4" w:space="0" w:color="auto"/>
              <w:left w:val="nil"/>
              <w:bottom w:val="single" w:sz="4" w:space="0" w:color="auto"/>
              <w:right w:val="single" w:sz="4" w:space="0" w:color="auto"/>
            </w:tcBorders>
            <w:shd w:val="clear" w:color="FFFFFF" w:fill="FFFFFF"/>
          </w:tcPr>
          <w:p w:rsidR="008835EB" w:rsidRPr="008224D4" w:rsidRDefault="008835EB" w:rsidP="007E3F2E">
            <w:pPr>
              <w:spacing w:line="240" w:lineRule="auto"/>
              <w:rPr>
                <w:rFonts w:cs="Calibri"/>
                <w:bCs/>
                <w:sz w:val="17"/>
                <w:szCs w:val="17"/>
              </w:rPr>
            </w:pPr>
            <w:r w:rsidRPr="008224D4">
              <w:rPr>
                <w:rFonts w:cs="Calibri"/>
                <w:bCs/>
                <w:sz w:val="17"/>
                <w:szCs w:val="17"/>
              </w:rPr>
              <w:t xml:space="preserve">Higher Other </w:t>
            </w:r>
            <w:proofErr w:type="gramStart"/>
            <w:r w:rsidRPr="008224D4">
              <w:rPr>
                <w:rFonts w:cs="Calibri"/>
                <w:bCs/>
                <w:sz w:val="17"/>
                <w:szCs w:val="17"/>
              </w:rPr>
              <w:t>provisions is</w:t>
            </w:r>
            <w:proofErr w:type="gramEnd"/>
            <w:r w:rsidRPr="008224D4">
              <w:rPr>
                <w:rFonts w:cs="Calibri"/>
                <w:bCs/>
                <w:sz w:val="17"/>
                <w:szCs w:val="17"/>
              </w:rPr>
              <w:t xml:space="preserve"> mainly due to a provision for surplus lease recorded in 2014</w:t>
            </w:r>
            <w:r>
              <w:rPr>
                <w:rFonts w:cs="Calibri"/>
                <w:bCs/>
                <w:sz w:val="17"/>
                <w:szCs w:val="17"/>
              </w:rPr>
              <w:t>–</w:t>
            </w:r>
            <w:r w:rsidRPr="008224D4">
              <w:rPr>
                <w:rFonts w:cs="Calibri"/>
                <w:bCs/>
                <w:sz w:val="17"/>
                <w:szCs w:val="17"/>
              </w:rPr>
              <w:t xml:space="preserve">15 and an onerous contract on a lease. </w:t>
            </w:r>
          </w:p>
        </w:tc>
        <w:tc>
          <w:tcPr>
            <w:tcW w:w="4252" w:type="dxa"/>
            <w:tcBorders>
              <w:top w:val="single" w:sz="4" w:space="0" w:color="auto"/>
              <w:left w:val="single" w:sz="4" w:space="0" w:color="auto"/>
              <w:bottom w:val="single" w:sz="4" w:space="0" w:color="auto"/>
              <w:right w:val="nil"/>
            </w:tcBorders>
            <w:shd w:val="clear" w:color="FFFFFF" w:fill="FFFFFF"/>
            <w:noWrap/>
            <w:tcMar>
              <w:left w:w="57" w:type="dxa"/>
            </w:tcMar>
          </w:tcPr>
          <w:p w:rsidR="008835EB" w:rsidRPr="008224D4" w:rsidRDefault="008835EB" w:rsidP="007E3F2E">
            <w:pPr>
              <w:spacing w:line="240" w:lineRule="auto"/>
              <w:rPr>
                <w:rFonts w:cs="Calibri"/>
                <w:sz w:val="17"/>
                <w:szCs w:val="17"/>
              </w:rPr>
            </w:pPr>
            <w:r w:rsidRPr="008224D4">
              <w:rPr>
                <w:rFonts w:cs="Calibri"/>
                <w:sz w:val="17"/>
                <w:szCs w:val="17"/>
              </w:rPr>
              <w:t>Other provisions</w:t>
            </w:r>
            <w:r>
              <w:rPr>
                <w:rFonts w:cs="Calibri"/>
                <w:sz w:val="17"/>
                <w:szCs w:val="17"/>
              </w:rPr>
              <w:t xml:space="preserve"> </w:t>
            </w:r>
            <w:r w:rsidRPr="008224D4">
              <w:rPr>
                <w:rFonts w:cs="Calibri"/>
                <w:sz w:val="17"/>
                <w:szCs w:val="17"/>
              </w:rPr>
              <w:t>(Statement of Financial Position)</w:t>
            </w:r>
          </w:p>
        </w:tc>
      </w:tr>
      <w:tr w:rsidR="008835EB" w:rsidRPr="008224D4" w:rsidTr="007E3F2E">
        <w:trPr>
          <w:gridBefore w:val="1"/>
          <w:wBefore w:w="6" w:type="dxa"/>
          <w:trHeight w:val="208"/>
        </w:trPr>
        <w:tc>
          <w:tcPr>
            <w:tcW w:w="4820" w:type="dxa"/>
            <w:tcBorders>
              <w:top w:val="single" w:sz="4" w:space="0" w:color="auto"/>
              <w:left w:val="nil"/>
              <w:bottom w:val="single" w:sz="4" w:space="0" w:color="auto"/>
              <w:right w:val="single" w:sz="4" w:space="0" w:color="auto"/>
            </w:tcBorders>
            <w:shd w:val="clear" w:color="FFFFFF" w:fill="FFFFFF"/>
          </w:tcPr>
          <w:p w:rsidR="008835EB" w:rsidRPr="008224D4" w:rsidRDefault="008835EB" w:rsidP="007E3F2E">
            <w:pPr>
              <w:spacing w:line="240" w:lineRule="auto"/>
              <w:rPr>
                <w:rFonts w:cs="Calibri"/>
                <w:bCs/>
                <w:sz w:val="17"/>
                <w:szCs w:val="17"/>
              </w:rPr>
            </w:pPr>
            <w:r w:rsidRPr="008224D4">
              <w:rPr>
                <w:rFonts w:cs="Calibri"/>
                <w:bCs/>
                <w:sz w:val="17"/>
                <w:szCs w:val="17"/>
              </w:rPr>
              <w:t>The variance relates to a small capital and operating surplus when compared to revised budget.</w:t>
            </w:r>
          </w:p>
        </w:tc>
        <w:tc>
          <w:tcPr>
            <w:tcW w:w="4252" w:type="dxa"/>
            <w:tcBorders>
              <w:top w:val="single" w:sz="4" w:space="0" w:color="auto"/>
              <w:left w:val="single" w:sz="4" w:space="0" w:color="auto"/>
              <w:bottom w:val="single" w:sz="4" w:space="0" w:color="auto"/>
              <w:right w:val="nil"/>
            </w:tcBorders>
            <w:shd w:val="clear" w:color="FFFFFF" w:fill="FFFFFF"/>
            <w:noWrap/>
            <w:tcMar>
              <w:left w:w="57" w:type="dxa"/>
            </w:tcMar>
          </w:tcPr>
          <w:p w:rsidR="008835EB" w:rsidRPr="008224D4" w:rsidRDefault="008835EB" w:rsidP="007E3F2E">
            <w:pPr>
              <w:spacing w:line="240" w:lineRule="auto"/>
              <w:rPr>
                <w:rFonts w:cs="Calibri"/>
                <w:sz w:val="17"/>
                <w:szCs w:val="17"/>
              </w:rPr>
            </w:pPr>
            <w:r w:rsidRPr="008224D4">
              <w:rPr>
                <w:rFonts w:cs="Calibri"/>
                <w:sz w:val="17"/>
                <w:szCs w:val="17"/>
              </w:rPr>
              <w:t>Accumulated deficit</w:t>
            </w:r>
            <w:r>
              <w:rPr>
                <w:rFonts w:cs="Calibri"/>
                <w:sz w:val="17"/>
                <w:szCs w:val="17"/>
              </w:rPr>
              <w:t xml:space="preserve"> </w:t>
            </w:r>
            <w:r w:rsidRPr="008224D4">
              <w:rPr>
                <w:rFonts w:cs="Calibri"/>
                <w:sz w:val="17"/>
                <w:szCs w:val="17"/>
              </w:rPr>
              <w:t>(Statement of Financial Position)</w:t>
            </w:r>
            <w:r>
              <w:rPr>
                <w:rFonts w:cs="Calibri"/>
                <w:sz w:val="17"/>
                <w:szCs w:val="17"/>
              </w:rPr>
              <w:t xml:space="preserve">, </w:t>
            </w:r>
            <w:r w:rsidRPr="008224D4">
              <w:rPr>
                <w:rFonts w:cs="Calibri"/>
                <w:sz w:val="17"/>
                <w:szCs w:val="17"/>
              </w:rPr>
              <w:t>Retained Earnings</w:t>
            </w:r>
            <w:r>
              <w:rPr>
                <w:rFonts w:cs="Calibri"/>
                <w:sz w:val="17"/>
                <w:szCs w:val="17"/>
              </w:rPr>
              <w:t xml:space="preserve"> </w:t>
            </w:r>
            <w:r w:rsidRPr="008224D4">
              <w:rPr>
                <w:rFonts w:cs="Calibri"/>
                <w:sz w:val="17"/>
                <w:szCs w:val="17"/>
              </w:rPr>
              <w:t>(Statement of Changes in Equity)</w:t>
            </w:r>
          </w:p>
        </w:tc>
      </w:tr>
      <w:tr w:rsidR="008835EB" w:rsidRPr="008224D4" w:rsidTr="007E3F2E">
        <w:trPr>
          <w:gridBefore w:val="1"/>
          <w:wBefore w:w="6" w:type="dxa"/>
          <w:trHeight w:val="198"/>
        </w:trPr>
        <w:tc>
          <w:tcPr>
            <w:tcW w:w="4820" w:type="dxa"/>
            <w:tcBorders>
              <w:top w:val="single" w:sz="4" w:space="0" w:color="auto"/>
              <w:left w:val="nil"/>
              <w:bottom w:val="single" w:sz="4" w:space="0" w:color="auto"/>
              <w:right w:val="single" w:sz="4" w:space="0" w:color="auto"/>
            </w:tcBorders>
            <w:shd w:val="clear" w:color="FFFFFF" w:fill="FFFFFF"/>
          </w:tcPr>
          <w:p w:rsidR="008835EB" w:rsidRPr="008224D4" w:rsidRDefault="008835EB" w:rsidP="007E3F2E">
            <w:pPr>
              <w:spacing w:line="240" w:lineRule="auto"/>
              <w:rPr>
                <w:rFonts w:cs="Calibri"/>
                <w:bCs/>
                <w:sz w:val="17"/>
                <w:szCs w:val="17"/>
                <w:highlight w:val="yellow"/>
              </w:rPr>
            </w:pPr>
            <w:r w:rsidRPr="008224D4">
              <w:rPr>
                <w:rFonts w:cs="Calibri"/>
                <w:bCs/>
                <w:sz w:val="17"/>
                <w:szCs w:val="17"/>
              </w:rPr>
              <w:t xml:space="preserve">The </w:t>
            </w:r>
            <w:r>
              <w:rPr>
                <w:rFonts w:cs="Calibri"/>
                <w:bCs/>
                <w:sz w:val="17"/>
                <w:szCs w:val="17"/>
              </w:rPr>
              <w:t>D</w:t>
            </w:r>
            <w:r w:rsidRPr="008224D4">
              <w:rPr>
                <w:rFonts w:cs="Calibri"/>
                <w:bCs/>
                <w:sz w:val="17"/>
                <w:szCs w:val="17"/>
              </w:rPr>
              <w:t>epartment received additional Capital and Equity injections associated with new measures. This was amended in the revised budget.</w:t>
            </w:r>
          </w:p>
        </w:tc>
        <w:tc>
          <w:tcPr>
            <w:tcW w:w="4252" w:type="dxa"/>
            <w:tcBorders>
              <w:top w:val="single" w:sz="4" w:space="0" w:color="auto"/>
              <w:left w:val="single" w:sz="4" w:space="0" w:color="auto"/>
              <w:bottom w:val="single" w:sz="4" w:space="0" w:color="auto"/>
              <w:right w:val="nil"/>
            </w:tcBorders>
            <w:shd w:val="clear" w:color="FFFFFF" w:fill="FFFFFF"/>
            <w:noWrap/>
            <w:tcMar>
              <w:left w:w="57" w:type="dxa"/>
            </w:tcMar>
          </w:tcPr>
          <w:p w:rsidR="008835EB" w:rsidRPr="008224D4" w:rsidRDefault="008835EB" w:rsidP="007E3F2E">
            <w:pPr>
              <w:spacing w:line="240" w:lineRule="auto"/>
              <w:rPr>
                <w:rFonts w:cs="Calibri"/>
                <w:sz w:val="17"/>
                <w:szCs w:val="17"/>
                <w:highlight w:val="yellow"/>
              </w:rPr>
            </w:pPr>
            <w:r w:rsidRPr="008224D4">
              <w:rPr>
                <w:rFonts w:cs="Calibri"/>
                <w:bCs/>
                <w:sz w:val="17"/>
                <w:szCs w:val="17"/>
              </w:rPr>
              <w:t xml:space="preserve">Contributed equity </w:t>
            </w:r>
            <w:r w:rsidRPr="008224D4">
              <w:rPr>
                <w:rFonts w:cs="Calibri"/>
                <w:sz w:val="17"/>
                <w:szCs w:val="17"/>
              </w:rPr>
              <w:t>(Statement of Financial Position)</w:t>
            </w:r>
            <w:r>
              <w:rPr>
                <w:rFonts w:cs="Calibri"/>
                <w:sz w:val="17"/>
                <w:szCs w:val="17"/>
              </w:rPr>
              <w:t xml:space="preserve">, </w:t>
            </w:r>
            <w:r w:rsidRPr="008224D4">
              <w:rPr>
                <w:rFonts w:cs="Calibri"/>
                <w:bCs/>
                <w:sz w:val="17"/>
                <w:szCs w:val="17"/>
              </w:rPr>
              <w:t>Contributed equity/capital</w:t>
            </w:r>
            <w:r>
              <w:rPr>
                <w:rFonts w:cs="Calibri"/>
                <w:bCs/>
                <w:sz w:val="17"/>
                <w:szCs w:val="17"/>
              </w:rPr>
              <w:t xml:space="preserve"> </w:t>
            </w:r>
            <w:r w:rsidRPr="008224D4">
              <w:rPr>
                <w:rFonts w:cs="Calibri"/>
                <w:sz w:val="17"/>
                <w:szCs w:val="17"/>
              </w:rPr>
              <w:t xml:space="preserve">(Statement of Changes in Equity) </w:t>
            </w:r>
            <w:r w:rsidRPr="008224D4">
              <w:rPr>
                <w:rFonts w:cs="Calibri"/>
                <w:bCs/>
                <w:sz w:val="17"/>
                <w:szCs w:val="17"/>
              </w:rPr>
              <w:t>Contributed equity - equity injection (Cash Flow Statement)</w:t>
            </w:r>
          </w:p>
        </w:tc>
      </w:tr>
      <w:tr w:rsidR="008835EB" w:rsidRPr="008224D4" w:rsidTr="007E3F2E">
        <w:trPr>
          <w:gridBefore w:val="1"/>
          <w:wBefore w:w="6" w:type="dxa"/>
          <w:trHeight w:val="198"/>
        </w:trPr>
        <w:tc>
          <w:tcPr>
            <w:tcW w:w="4820" w:type="dxa"/>
            <w:tcBorders>
              <w:top w:val="single" w:sz="4" w:space="0" w:color="auto"/>
              <w:left w:val="nil"/>
              <w:bottom w:val="single" w:sz="4" w:space="0" w:color="auto"/>
              <w:right w:val="single" w:sz="4" w:space="0" w:color="auto"/>
            </w:tcBorders>
            <w:shd w:val="clear" w:color="FFFFFF" w:fill="FFFFFF"/>
          </w:tcPr>
          <w:p w:rsidR="008835EB" w:rsidRPr="008224D4" w:rsidRDefault="008835EB" w:rsidP="007E3F2E">
            <w:pPr>
              <w:spacing w:line="240" w:lineRule="auto"/>
              <w:rPr>
                <w:rFonts w:cs="Calibri"/>
                <w:bCs/>
                <w:sz w:val="17"/>
                <w:szCs w:val="17"/>
                <w:highlight w:val="yellow"/>
              </w:rPr>
            </w:pPr>
            <w:r w:rsidRPr="008224D4">
              <w:rPr>
                <w:rFonts w:cs="Calibri"/>
                <w:bCs/>
                <w:sz w:val="17"/>
                <w:szCs w:val="17"/>
              </w:rPr>
              <w:t xml:space="preserve">GST received from the </w:t>
            </w:r>
            <w:proofErr w:type="spellStart"/>
            <w:r w:rsidRPr="008224D4">
              <w:rPr>
                <w:rFonts w:cs="Calibri"/>
                <w:bCs/>
                <w:sz w:val="17"/>
                <w:szCs w:val="17"/>
              </w:rPr>
              <w:t>ATO</w:t>
            </w:r>
            <w:proofErr w:type="spellEnd"/>
            <w:r w:rsidRPr="008224D4">
              <w:rPr>
                <w:rFonts w:cs="Calibri"/>
                <w:bCs/>
                <w:sz w:val="17"/>
                <w:szCs w:val="17"/>
              </w:rPr>
              <w:t xml:space="preserve"> was higher than the revised budget, </w:t>
            </w:r>
            <w:r w:rsidRPr="008224D4">
              <w:rPr>
                <w:rFonts w:cs="Calibri"/>
                <w:bCs/>
                <w:sz w:val="17"/>
                <w:szCs w:val="17"/>
              </w:rPr>
              <w:lastRenderedPageBreak/>
              <w:t>mainly due to higher than planned Supplier expenses.</w:t>
            </w:r>
          </w:p>
        </w:tc>
        <w:tc>
          <w:tcPr>
            <w:tcW w:w="4252" w:type="dxa"/>
            <w:tcBorders>
              <w:top w:val="single" w:sz="4" w:space="0" w:color="auto"/>
              <w:left w:val="single" w:sz="4" w:space="0" w:color="auto"/>
              <w:bottom w:val="single" w:sz="4" w:space="0" w:color="auto"/>
              <w:right w:val="nil"/>
            </w:tcBorders>
            <w:shd w:val="clear" w:color="FFFFFF" w:fill="FFFFFF"/>
            <w:noWrap/>
            <w:tcMar>
              <w:left w:w="57" w:type="dxa"/>
            </w:tcMar>
          </w:tcPr>
          <w:p w:rsidR="008835EB" w:rsidRPr="008224D4" w:rsidRDefault="008835EB" w:rsidP="007E3F2E">
            <w:pPr>
              <w:spacing w:line="240" w:lineRule="auto"/>
              <w:rPr>
                <w:rFonts w:cs="Calibri"/>
                <w:sz w:val="17"/>
                <w:szCs w:val="17"/>
              </w:rPr>
            </w:pPr>
            <w:r w:rsidRPr="008224D4">
              <w:rPr>
                <w:rFonts w:cs="Calibri"/>
                <w:sz w:val="17"/>
                <w:szCs w:val="17"/>
              </w:rPr>
              <w:lastRenderedPageBreak/>
              <w:t xml:space="preserve">Net GST received </w:t>
            </w:r>
          </w:p>
          <w:p w:rsidR="008835EB" w:rsidRPr="008224D4" w:rsidRDefault="008835EB" w:rsidP="007E3F2E">
            <w:pPr>
              <w:spacing w:line="240" w:lineRule="auto"/>
              <w:rPr>
                <w:rFonts w:cs="Calibri"/>
                <w:sz w:val="17"/>
                <w:szCs w:val="17"/>
                <w:highlight w:val="yellow"/>
              </w:rPr>
            </w:pPr>
            <w:r w:rsidRPr="008224D4">
              <w:rPr>
                <w:rFonts w:cs="Calibri"/>
                <w:sz w:val="17"/>
                <w:szCs w:val="17"/>
              </w:rPr>
              <w:lastRenderedPageBreak/>
              <w:t>(Cash Flow Statement)</w:t>
            </w:r>
          </w:p>
        </w:tc>
      </w:tr>
      <w:tr w:rsidR="008835EB" w:rsidRPr="008224D4" w:rsidTr="007E3F2E">
        <w:trPr>
          <w:gridBefore w:val="1"/>
          <w:wBefore w:w="6" w:type="dxa"/>
          <w:trHeight w:val="198"/>
        </w:trPr>
        <w:tc>
          <w:tcPr>
            <w:tcW w:w="4820" w:type="dxa"/>
            <w:tcBorders>
              <w:top w:val="single" w:sz="4" w:space="0" w:color="auto"/>
              <w:left w:val="nil"/>
              <w:bottom w:val="single" w:sz="4" w:space="0" w:color="auto"/>
              <w:right w:val="single" w:sz="4" w:space="0" w:color="auto"/>
            </w:tcBorders>
            <w:shd w:val="clear" w:color="FFFFFF" w:fill="FFFFFF"/>
          </w:tcPr>
          <w:p w:rsidR="008835EB" w:rsidRPr="008224D4" w:rsidRDefault="008835EB" w:rsidP="007E3F2E">
            <w:pPr>
              <w:spacing w:line="240" w:lineRule="auto"/>
              <w:rPr>
                <w:rFonts w:cs="Calibri"/>
                <w:bCs/>
                <w:sz w:val="17"/>
                <w:szCs w:val="17"/>
              </w:rPr>
            </w:pPr>
            <w:r w:rsidRPr="008224D4">
              <w:rPr>
                <w:rFonts w:cs="Calibri"/>
                <w:bCs/>
                <w:sz w:val="17"/>
                <w:szCs w:val="17"/>
              </w:rPr>
              <w:lastRenderedPageBreak/>
              <w:t xml:space="preserve">There is no budget for the transfer of cash to the </w:t>
            </w:r>
            <w:proofErr w:type="spellStart"/>
            <w:r w:rsidRPr="008224D4">
              <w:rPr>
                <w:rFonts w:cs="Calibri"/>
                <w:bCs/>
                <w:sz w:val="17"/>
                <w:szCs w:val="17"/>
              </w:rPr>
              <w:t>OPA</w:t>
            </w:r>
            <w:proofErr w:type="spellEnd"/>
            <w:r w:rsidRPr="008224D4">
              <w:rPr>
                <w:rFonts w:cs="Calibri"/>
                <w:bCs/>
                <w:sz w:val="17"/>
                <w:szCs w:val="17"/>
              </w:rPr>
              <w:t xml:space="preserve"> from revenue received under Section 74 of the </w:t>
            </w:r>
            <w:r w:rsidRPr="008224D4">
              <w:rPr>
                <w:rFonts w:cs="Calibri"/>
                <w:bCs/>
                <w:i/>
                <w:sz w:val="17"/>
                <w:szCs w:val="17"/>
              </w:rPr>
              <w:t>Public Governance, Performance and Accountability Act 2013.</w:t>
            </w:r>
          </w:p>
        </w:tc>
        <w:tc>
          <w:tcPr>
            <w:tcW w:w="4252" w:type="dxa"/>
            <w:tcBorders>
              <w:top w:val="single" w:sz="4" w:space="0" w:color="auto"/>
              <w:left w:val="single" w:sz="4" w:space="0" w:color="auto"/>
              <w:bottom w:val="single" w:sz="4" w:space="0" w:color="auto"/>
              <w:right w:val="nil"/>
            </w:tcBorders>
            <w:shd w:val="clear" w:color="FFFFFF" w:fill="FFFFFF"/>
            <w:noWrap/>
            <w:tcMar>
              <w:left w:w="57" w:type="dxa"/>
            </w:tcMar>
          </w:tcPr>
          <w:p w:rsidR="008835EB" w:rsidRPr="008224D4" w:rsidRDefault="008835EB" w:rsidP="007E3F2E">
            <w:pPr>
              <w:spacing w:line="240" w:lineRule="auto"/>
              <w:rPr>
                <w:rFonts w:cs="Calibri"/>
                <w:sz w:val="17"/>
                <w:szCs w:val="17"/>
              </w:rPr>
            </w:pPr>
            <w:r w:rsidRPr="008224D4">
              <w:rPr>
                <w:rFonts w:cs="Calibri"/>
                <w:sz w:val="17"/>
                <w:szCs w:val="17"/>
              </w:rPr>
              <w:t xml:space="preserve">Section 74 transfers to the </w:t>
            </w:r>
            <w:proofErr w:type="spellStart"/>
            <w:r w:rsidRPr="008224D4">
              <w:rPr>
                <w:rFonts w:cs="Calibri"/>
                <w:sz w:val="17"/>
                <w:szCs w:val="17"/>
              </w:rPr>
              <w:t>OPA</w:t>
            </w:r>
            <w:proofErr w:type="spellEnd"/>
            <w:r w:rsidRPr="008224D4">
              <w:rPr>
                <w:rFonts w:cs="Calibri"/>
                <w:sz w:val="17"/>
                <w:szCs w:val="17"/>
              </w:rPr>
              <w:t xml:space="preserve"> (Cash Flow Statement)</w:t>
            </w:r>
          </w:p>
        </w:tc>
      </w:tr>
    </w:tbl>
    <w:p w:rsidR="008835EB" w:rsidRDefault="008835EB" w:rsidP="008835EB">
      <w:pPr>
        <w:spacing w:line="240" w:lineRule="auto"/>
        <w:rPr>
          <w:rFonts w:asciiTheme="minorHAnsi" w:hAnsiTheme="minorHAnsi"/>
          <w:b/>
          <w:sz w:val="20"/>
          <w:u w:val="single"/>
        </w:rPr>
      </w:pPr>
      <w:bookmarkStart w:id="99" w:name="RANGE!D7:D45"/>
      <w:bookmarkStart w:id="100" w:name="RANGE!D7:D44"/>
      <w:bookmarkStart w:id="101" w:name="RANGE!D7:D42"/>
      <w:bookmarkStart w:id="102" w:name="RANGE!D7:D53"/>
      <w:bookmarkStart w:id="103" w:name="RANGE!D7:D54"/>
      <w:bookmarkEnd w:id="99"/>
      <w:bookmarkEnd w:id="100"/>
      <w:bookmarkEnd w:id="101"/>
      <w:bookmarkEnd w:id="102"/>
      <w:bookmarkEnd w:id="103"/>
      <w:r>
        <w:br w:type="page"/>
      </w:r>
    </w:p>
    <w:p w:rsidR="008835EB" w:rsidRDefault="008835EB" w:rsidP="008835EB">
      <w:pPr>
        <w:pStyle w:val="NotesHeading-Level1"/>
        <w:rPr>
          <w:rFonts w:cs="Arial"/>
          <w:szCs w:val="18"/>
          <w:lang w:eastAsia="en-AU"/>
        </w:rPr>
      </w:pPr>
      <w:r>
        <w:lastRenderedPageBreak/>
        <w:t>Administered</w:t>
      </w:r>
      <w:r w:rsidRPr="00F444B9">
        <w:t xml:space="preserve"> Major Budget Variances for 2016</w:t>
      </w:r>
    </w:p>
    <w:p w:rsidR="008835EB" w:rsidRDefault="008835EB" w:rsidP="008835EB">
      <w:pPr>
        <w:spacing w:line="240" w:lineRule="auto"/>
        <w:rPr>
          <w:rFonts w:asciiTheme="minorHAnsi" w:hAnsiTheme="minorHAnsi" w:cs="Arial"/>
          <w:szCs w:val="18"/>
          <w:lang w:eastAsia="en-AU"/>
        </w:rPr>
      </w:pPr>
    </w:p>
    <w:tbl>
      <w:tblPr>
        <w:tblW w:w="9072" w:type="dxa"/>
        <w:tblInd w:w="6" w:type="dxa"/>
        <w:tblLayout w:type="fixed"/>
        <w:tblCellMar>
          <w:left w:w="28" w:type="dxa"/>
          <w:right w:w="28" w:type="dxa"/>
        </w:tblCellMar>
        <w:tblLook w:val="04A0" w:firstRow="1" w:lastRow="0" w:firstColumn="1" w:lastColumn="0" w:noHBand="0" w:noVBand="1"/>
      </w:tblPr>
      <w:tblGrid>
        <w:gridCol w:w="4820"/>
        <w:gridCol w:w="4252"/>
      </w:tblGrid>
      <w:tr w:rsidR="008835EB" w:rsidRPr="00805AD7" w:rsidTr="007E3F2E">
        <w:trPr>
          <w:trHeight w:val="198"/>
        </w:trPr>
        <w:tc>
          <w:tcPr>
            <w:tcW w:w="4820" w:type="dxa"/>
            <w:tcBorders>
              <w:top w:val="single" w:sz="4" w:space="0" w:color="auto"/>
              <w:left w:val="nil"/>
              <w:bottom w:val="single" w:sz="4" w:space="0" w:color="auto"/>
              <w:right w:val="single" w:sz="4" w:space="0" w:color="auto"/>
            </w:tcBorders>
            <w:shd w:val="clear" w:color="FFFFFF" w:fill="FFFFFF"/>
            <w:vAlign w:val="bottom"/>
          </w:tcPr>
          <w:p w:rsidR="008835EB" w:rsidRDefault="008835EB" w:rsidP="007E3F2E">
            <w:pPr>
              <w:spacing w:line="240" w:lineRule="auto"/>
              <w:rPr>
                <w:rFonts w:cs="Calibri"/>
                <w:b/>
                <w:bCs/>
                <w:szCs w:val="18"/>
              </w:rPr>
            </w:pPr>
            <w:r>
              <w:rPr>
                <w:rFonts w:cs="Calibri"/>
                <w:b/>
                <w:bCs/>
                <w:szCs w:val="18"/>
              </w:rPr>
              <w:t>Explanations of major variances</w:t>
            </w:r>
          </w:p>
        </w:tc>
        <w:tc>
          <w:tcPr>
            <w:tcW w:w="4252" w:type="dxa"/>
            <w:tcBorders>
              <w:top w:val="single" w:sz="4" w:space="0" w:color="auto"/>
              <w:left w:val="single" w:sz="4" w:space="0" w:color="auto"/>
              <w:bottom w:val="single" w:sz="4" w:space="0" w:color="auto"/>
              <w:right w:val="nil"/>
            </w:tcBorders>
            <w:shd w:val="clear" w:color="FFFFFF" w:fill="FFFFFF"/>
            <w:noWrap/>
            <w:vAlign w:val="bottom"/>
          </w:tcPr>
          <w:p w:rsidR="008835EB" w:rsidRDefault="008835EB" w:rsidP="007E3F2E">
            <w:pPr>
              <w:spacing w:line="240" w:lineRule="auto"/>
              <w:rPr>
                <w:rFonts w:cs="Calibri"/>
                <w:b/>
                <w:bCs/>
                <w:szCs w:val="18"/>
              </w:rPr>
            </w:pPr>
            <w:r>
              <w:rPr>
                <w:rFonts w:cs="Calibri"/>
                <w:b/>
                <w:bCs/>
                <w:szCs w:val="18"/>
              </w:rPr>
              <w:t>Affected line items (and schedule)</w:t>
            </w:r>
          </w:p>
        </w:tc>
      </w:tr>
      <w:tr w:rsidR="008835EB" w:rsidRPr="00805AD7" w:rsidTr="007E3F2E">
        <w:trPr>
          <w:trHeight w:val="198"/>
        </w:trPr>
        <w:tc>
          <w:tcPr>
            <w:tcW w:w="4820" w:type="dxa"/>
            <w:tcBorders>
              <w:top w:val="single" w:sz="4" w:space="0" w:color="auto"/>
              <w:left w:val="nil"/>
              <w:bottom w:val="single" w:sz="4" w:space="0" w:color="auto"/>
              <w:right w:val="single" w:sz="4" w:space="0" w:color="auto"/>
            </w:tcBorders>
            <w:shd w:val="clear" w:color="auto" w:fill="BFBFBF" w:themeFill="background1" w:themeFillShade="BF"/>
          </w:tcPr>
          <w:p w:rsidR="008835EB" w:rsidRPr="00DD7160" w:rsidRDefault="008835EB" w:rsidP="007E3F2E">
            <w:pPr>
              <w:spacing w:line="240" w:lineRule="atLeast"/>
              <w:rPr>
                <w:rFonts w:cs="Calibri"/>
                <w:b/>
                <w:bCs/>
                <w:szCs w:val="18"/>
              </w:rPr>
            </w:pPr>
            <w:r>
              <w:rPr>
                <w:rFonts w:cs="Calibri"/>
                <w:bCs/>
                <w:szCs w:val="18"/>
              </w:rPr>
              <w:t xml:space="preserve">The </w:t>
            </w:r>
            <w:r w:rsidRPr="00DD7160">
              <w:rPr>
                <w:rFonts w:cs="Calibri"/>
                <w:bCs/>
                <w:szCs w:val="18"/>
              </w:rPr>
              <w:t xml:space="preserve">Supplier </w:t>
            </w:r>
            <w:r>
              <w:rPr>
                <w:rFonts w:cs="Calibri"/>
                <w:bCs/>
                <w:szCs w:val="18"/>
              </w:rPr>
              <w:t xml:space="preserve">and Subsidies </w:t>
            </w:r>
            <w:r w:rsidRPr="00DD7160">
              <w:rPr>
                <w:rFonts w:cs="Calibri"/>
                <w:bCs/>
                <w:szCs w:val="18"/>
              </w:rPr>
              <w:t>expense</w:t>
            </w:r>
            <w:r>
              <w:rPr>
                <w:rFonts w:cs="Calibri"/>
                <w:bCs/>
                <w:szCs w:val="18"/>
              </w:rPr>
              <w:t xml:space="preserve"> variance</w:t>
            </w:r>
            <w:r w:rsidRPr="00DD7160">
              <w:rPr>
                <w:rFonts w:cs="Calibri"/>
                <w:bCs/>
                <w:szCs w:val="18"/>
              </w:rPr>
              <w:t xml:space="preserve"> primarily relates to lower than </w:t>
            </w:r>
            <w:r>
              <w:rPr>
                <w:rFonts w:cs="Calibri"/>
                <w:bCs/>
                <w:szCs w:val="18"/>
              </w:rPr>
              <w:t>planned</w:t>
            </w:r>
            <w:r w:rsidRPr="00DD7160">
              <w:rPr>
                <w:rFonts w:cs="Calibri"/>
                <w:bCs/>
                <w:szCs w:val="18"/>
              </w:rPr>
              <w:t xml:space="preserve"> job seeker commencements in jobactive due </w:t>
            </w:r>
            <w:r>
              <w:rPr>
                <w:rFonts w:cs="Calibri"/>
                <w:bCs/>
                <w:szCs w:val="18"/>
              </w:rPr>
              <w:t>to lower than forecast unemployment rate.</w:t>
            </w:r>
          </w:p>
        </w:tc>
        <w:tc>
          <w:tcPr>
            <w:tcW w:w="4252" w:type="dxa"/>
            <w:tcBorders>
              <w:top w:val="single" w:sz="4" w:space="0" w:color="auto"/>
              <w:left w:val="single" w:sz="4" w:space="0" w:color="auto"/>
              <w:bottom w:val="single" w:sz="4" w:space="0" w:color="auto"/>
              <w:right w:val="nil"/>
            </w:tcBorders>
            <w:shd w:val="clear" w:color="auto" w:fill="BFBFBF" w:themeFill="background1" w:themeFillShade="BF"/>
            <w:noWrap/>
            <w:tcMar>
              <w:left w:w="57" w:type="dxa"/>
            </w:tcMar>
          </w:tcPr>
          <w:p w:rsidR="008835EB" w:rsidRPr="00DD7160" w:rsidRDefault="008835EB" w:rsidP="007E3F2E">
            <w:pPr>
              <w:spacing w:line="240" w:lineRule="auto"/>
              <w:rPr>
                <w:rFonts w:cs="Calibri"/>
              </w:rPr>
            </w:pPr>
            <w:r w:rsidRPr="00DD7160">
              <w:t xml:space="preserve">Suppliers </w:t>
            </w:r>
            <w:r>
              <w:t>&amp; Subsidies</w:t>
            </w:r>
            <w:r w:rsidRPr="00DD7160">
              <w:t>(Administered Schedule of Comprehensive Income)</w:t>
            </w:r>
          </w:p>
        </w:tc>
      </w:tr>
      <w:tr w:rsidR="008835EB" w:rsidRPr="00805AD7" w:rsidTr="007E3F2E">
        <w:trPr>
          <w:trHeight w:val="936"/>
        </w:trPr>
        <w:tc>
          <w:tcPr>
            <w:tcW w:w="4820" w:type="dxa"/>
            <w:tcBorders>
              <w:top w:val="single" w:sz="4" w:space="0" w:color="auto"/>
              <w:left w:val="nil"/>
              <w:bottom w:val="single" w:sz="4" w:space="0" w:color="auto"/>
              <w:right w:val="single" w:sz="4" w:space="0" w:color="auto"/>
            </w:tcBorders>
            <w:shd w:val="clear" w:color="auto" w:fill="BFBFBF" w:themeFill="background1" w:themeFillShade="BF"/>
          </w:tcPr>
          <w:p w:rsidR="008835EB" w:rsidRPr="00DD7160" w:rsidRDefault="008835EB" w:rsidP="007E3F2E">
            <w:pPr>
              <w:spacing w:line="240" w:lineRule="atLeast"/>
              <w:rPr>
                <w:rFonts w:cs="Calibri"/>
                <w:bCs/>
                <w:szCs w:val="18"/>
              </w:rPr>
            </w:pPr>
            <w:r w:rsidRPr="00DD7160">
              <w:rPr>
                <w:rFonts w:cs="Calibri"/>
                <w:bCs/>
                <w:szCs w:val="18"/>
              </w:rPr>
              <w:t xml:space="preserve">Monthly levy collections for the </w:t>
            </w:r>
            <w:r w:rsidRPr="00DD7160">
              <w:rPr>
                <w:rFonts w:cs="Calibri"/>
                <w:bCs/>
                <w:i/>
                <w:szCs w:val="18"/>
              </w:rPr>
              <w:t>Coal Mining Industry</w:t>
            </w:r>
            <w:r w:rsidRPr="00DD7160">
              <w:rPr>
                <w:rFonts w:cs="Calibri"/>
                <w:bCs/>
                <w:szCs w:val="18"/>
              </w:rPr>
              <w:t xml:space="preserve"> (</w:t>
            </w:r>
            <w:r w:rsidRPr="00DD7160">
              <w:rPr>
                <w:rFonts w:cs="Calibri"/>
                <w:bCs/>
                <w:i/>
                <w:szCs w:val="18"/>
              </w:rPr>
              <w:t>LSL</w:t>
            </w:r>
            <w:r w:rsidRPr="00DD7160">
              <w:rPr>
                <w:rFonts w:cs="Calibri"/>
                <w:bCs/>
                <w:szCs w:val="18"/>
              </w:rPr>
              <w:t xml:space="preserve">) </w:t>
            </w:r>
            <w:r w:rsidRPr="00A837BF">
              <w:rPr>
                <w:rFonts w:cs="Calibri"/>
                <w:bCs/>
                <w:i/>
                <w:szCs w:val="18"/>
              </w:rPr>
              <w:t>Act</w:t>
            </w:r>
            <w:r w:rsidRPr="004260AD">
              <w:rPr>
                <w:rFonts w:cs="Calibri"/>
                <w:bCs/>
                <w:i/>
                <w:szCs w:val="18"/>
              </w:rPr>
              <w:t xml:space="preserve"> 1992</w:t>
            </w:r>
            <w:r w:rsidRPr="00DD7160">
              <w:rPr>
                <w:rFonts w:cs="Calibri"/>
                <w:bCs/>
                <w:szCs w:val="18"/>
              </w:rPr>
              <w:t xml:space="preserve"> (</w:t>
            </w:r>
            <w:proofErr w:type="spellStart"/>
            <w:r w:rsidRPr="00DD7160">
              <w:rPr>
                <w:rFonts w:cs="Calibri"/>
                <w:bCs/>
                <w:szCs w:val="18"/>
              </w:rPr>
              <w:t>CMIC</w:t>
            </w:r>
            <w:proofErr w:type="spellEnd"/>
            <w:r w:rsidRPr="00DD7160">
              <w:rPr>
                <w:rFonts w:cs="Calibri"/>
                <w:bCs/>
                <w:szCs w:val="18"/>
              </w:rPr>
              <w:t>) have been impacted by the reduced numbers of employees</w:t>
            </w:r>
            <w:r>
              <w:rPr>
                <w:rFonts w:cs="Calibri"/>
                <w:bCs/>
                <w:szCs w:val="18"/>
              </w:rPr>
              <w:t xml:space="preserve"> in the sector</w:t>
            </w:r>
            <w:r w:rsidRPr="00DD7160">
              <w:rPr>
                <w:rFonts w:cs="Calibri"/>
                <w:bCs/>
                <w:szCs w:val="18"/>
              </w:rPr>
              <w:t>. This is due to the industry moving from an expansion and construction phase to a more steady production phase.</w:t>
            </w:r>
          </w:p>
        </w:tc>
        <w:tc>
          <w:tcPr>
            <w:tcW w:w="4252" w:type="dxa"/>
            <w:tcBorders>
              <w:top w:val="single" w:sz="4" w:space="0" w:color="auto"/>
              <w:left w:val="single" w:sz="4" w:space="0" w:color="auto"/>
              <w:bottom w:val="single" w:sz="4" w:space="0" w:color="auto"/>
              <w:right w:val="nil"/>
            </w:tcBorders>
            <w:shd w:val="clear" w:color="auto" w:fill="BFBFBF" w:themeFill="background1" w:themeFillShade="BF"/>
            <w:noWrap/>
            <w:tcMar>
              <w:left w:w="57" w:type="dxa"/>
            </w:tcMar>
          </w:tcPr>
          <w:p w:rsidR="008835EB" w:rsidRPr="00F44C2A" w:rsidRDefault="008835EB" w:rsidP="007E3F2E">
            <w:pPr>
              <w:spacing w:line="240" w:lineRule="auto"/>
            </w:pPr>
            <w:r w:rsidRPr="00DD7160">
              <w:t>Subsidies and Other Taxes (Administered Schedule of Comprehensive Income)</w:t>
            </w:r>
          </w:p>
        </w:tc>
      </w:tr>
      <w:tr w:rsidR="008835EB" w:rsidRPr="00805AD7" w:rsidTr="007E3F2E">
        <w:trPr>
          <w:trHeight w:val="198"/>
        </w:trPr>
        <w:tc>
          <w:tcPr>
            <w:tcW w:w="4820" w:type="dxa"/>
            <w:tcBorders>
              <w:top w:val="single" w:sz="4" w:space="0" w:color="auto"/>
              <w:left w:val="nil"/>
              <w:bottom w:val="single" w:sz="4" w:space="0" w:color="auto"/>
              <w:right w:val="single" w:sz="4" w:space="0" w:color="auto"/>
            </w:tcBorders>
            <w:shd w:val="clear" w:color="auto" w:fill="BFBFBF" w:themeFill="background1" w:themeFillShade="BF"/>
          </w:tcPr>
          <w:p w:rsidR="008835EB" w:rsidRPr="00DD7160" w:rsidRDefault="008835EB" w:rsidP="007E3F2E">
            <w:pPr>
              <w:spacing w:line="240" w:lineRule="atLeast"/>
              <w:rPr>
                <w:rFonts w:cs="Calibri"/>
                <w:bCs/>
                <w:szCs w:val="18"/>
              </w:rPr>
            </w:pPr>
            <w:r w:rsidRPr="00DD7160">
              <w:rPr>
                <w:rFonts w:cs="Calibri"/>
                <w:bCs/>
                <w:szCs w:val="18"/>
              </w:rPr>
              <w:t xml:space="preserve">Higher than planned Personal </w:t>
            </w:r>
            <w:r>
              <w:rPr>
                <w:rFonts w:cs="Calibri"/>
                <w:bCs/>
                <w:szCs w:val="18"/>
              </w:rPr>
              <w:t>B</w:t>
            </w:r>
            <w:r w:rsidRPr="00DD7160">
              <w:rPr>
                <w:rFonts w:cs="Calibri"/>
                <w:bCs/>
                <w:szCs w:val="18"/>
              </w:rPr>
              <w:t>enefits expense primarily relates to the Fair Entitlements Guarantee Program (</w:t>
            </w:r>
            <w:proofErr w:type="spellStart"/>
            <w:r w:rsidRPr="00DD7160">
              <w:rPr>
                <w:rFonts w:cs="Calibri"/>
                <w:bCs/>
                <w:szCs w:val="18"/>
              </w:rPr>
              <w:t>FEG</w:t>
            </w:r>
            <w:proofErr w:type="spellEnd"/>
            <w:r w:rsidRPr="00DD7160">
              <w:rPr>
                <w:rFonts w:cs="Calibri"/>
                <w:bCs/>
                <w:szCs w:val="18"/>
              </w:rPr>
              <w:t xml:space="preserve">). </w:t>
            </w:r>
            <w:r>
              <w:rPr>
                <w:rFonts w:cs="Calibri"/>
                <w:bCs/>
                <w:szCs w:val="18"/>
              </w:rPr>
              <w:t>T</w:t>
            </w:r>
            <w:r w:rsidRPr="00DD7160">
              <w:rPr>
                <w:rFonts w:cs="Calibri"/>
                <w:bCs/>
                <w:szCs w:val="18"/>
              </w:rPr>
              <w:t xml:space="preserve">he </w:t>
            </w:r>
            <w:r>
              <w:rPr>
                <w:rFonts w:cs="Calibri"/>
                <w:bCs/>
                <w:szCs w:val="18"/>
              </w:rPr>
              <w:t>average cost per claim was higher than the original budget estimate.</w:t>
            </w:r>
          </w:p>
        </w:tc>
        <w:tc>
          <w:tcPr>
            <w:tcW w:w="4252" w:type="dxa"/>
            <w:tcBorders>
              <w:top w:val="single" w:sz="4" w:space="0" w:color="auto"/>
              <w:left w:val="single" w:sz="4" w:space="0" w:color="auto"/>
              <w:bottom w:val="single" w:sz="4" w:space="0" w:color="auto"/>
              <w:right w:val="nil"/>
            </w:tcBorders>
            <w:shd w:val="clear" w:color="auto" w:fill="BFBFBF" w:themeFill="background1" w:themeFillShade="BF"/>
            <w:noWrap/>
            <w:tcMar>
              <w:left w:w="57" w:type="dxa"/>
            </w:tcMar>
          </w:tcPr>
          <w:p w:rsidR="008835EB" w:rsidRPr="00F44C2A" w:rsidRDefault="008835EB" w:rsidP="007E3F2E">
            <w:pPr>
              <w:spacing w:line="240" w:lineRule="auto"/>
            </w:pPr>
            <w:r w:rsidRPr="00DD7160">
              <w:t>Personal Benefits (Administered Schedule of Comprehensive Income)</w:t>
            </w:r>
          </w:p>
        </w:tc>
      </w:tr>
      <w:tr w:rsidR="008835EB" w:rsidRPr="00805AD7" w:rsidTr="007E3F2E">
        <w:trPr>
          <w:trHeight w:val="198"/>
        </w:trPr>
        <w:tc>
          <w:tcPr>
            <w:tcW w:w="4820" w:type="dxa"/>
            <w:tcBorders>
              <w:top w:val="single" w:sz="4" w:space="0" w:color="auto"/>
              <w:left w:val="nil"/>
              <w:bottom w:val="single" w:sz="4" w:space="0" w:color="auto"/>
              <w:right w:val="single" w:sz="4" w:space="0" w:color="auto"/>
            </w:tcBorders>
            <w:shd w:val="clear" w:color="auto" w:fill="BFBFBF" w:themeFill="background1" w:themeFillShade="BF"/>
          </w:tcPr>
          <w:p w:rsidR="008835EB" w:rsidRPr="00DD7160" w:rsidRDefault="008835EB" w:rsidP="007E3F2E">
            <w:pPr>
              <w:spacing w:line="240" w:lineRule="atLeast"/>
              <w:rPr>
                <w:rFonts w:cs="Calibri"/>
                <w:bCs/>
                <w:szCs w:val="18"/>
              </w:rPr>
            </w:pPr>
            <w:r w:rsidRPr="00DD7160">
              <w:rPr>
                <w:rFonts w:cs="Calibri"/>
                <w:bCs/>
                <w:szCs w:val="18"/>
              </w:rPr>
              <w:t xml:space="preserve">The majority of </w:t>
            </w:r>
            <w:r>
              <w:rPr>
                <w:rFonts w:cs="Calibri"/>
                <w:bCs/>
                <w:szCs w:val="18"/>
              </w:rPr>
              <w:t>the</w:t>
            </w:r>
            <w:r w:rsidRPr="00DD7160">
              <w:rPr>
                <w:rFonts w:cs="Calibri"/>
                <w:bCs/>
                <w:szCs w:val="18"/>
              </w:rPr>
              <w:t xml:space="preserve"> variance </w:t>
            </w:r>
            <w:r>
              <w:rPr>
                <w:rFonts w:cs="Calibri"/>
                <w:bCs/>
                <w:szCs w:val="18"/>
              </w:rPr>
              <w:t xml:space="preserve">to budget </w:t>
            </w:r>
            <w:r w:rsidRPr="00DD7160">
              <w:rPr>
                <w:rFonts w:cs="Calibri"/>
                <w:bCs/>
                <w:szCs w:val="18"/>
              </w:rPr>
              <w:t xml:space="preserve">relates to one debt that was recognised </w:t>
            </w:r>
            <w:r>
              <w:rPr>
                <w:rFonts w:cs="Calibri"/>
                <w:bCs/>
                <w:szCs w:val="18"/>
              </w:rPr>
              <w:t xml:space="preserve">as doubtful </w:t>
            </w:r>
            <w:r w:rsidRPr="00DD7160">
              <w:rPr>
                <w:rFonts w:cs="Calibri"/>
                <w:bCs/>
                <w:szCs w:val="18"/>
              </w:rPr>
              <w:t xml:space="preserve">after the finalisation of </w:t>
            </w:r>
            <w:r>
              <w:rPr>
                <w:rFonts w:cs="Calibri"/>
                <w:bCs/>
                <w:szCs w:val="18"/>
              </w:rPr>
              <w:t>an</w:t>
            </w:r>
            <w:r w:rsidRPr="00DD7160">
              <w:rPr>
                <w:rFonts w:cs="Calibri"/>
                <w:bCs/>
                <w:szCs w:val="18"/>
              </w:rPr>
              <w:t xml:space="preserve"> insolvency process. </w:t>
            </w:r>
          </w:p>
        </w:tc>
        <w:tc>
          <w:tcPr>
            <w:tcW w:w="4252" w:type="dxa"/>
            <w:tcBorders>
              <w:top w:val="single" w:sz="4" w:space="0" w:color="auto"/>
              <w:left w:val="single" w:sz="4" w:space="0" w:color="auto"/>
              <w:bottom w:val="single" w:sz="4" w:space="0" w:color="auto"/>
              <w:right w:val="nil"/>
            </w:tcBorders>
            <w:shd w:val="clear" w:color="auto" w:fill="BFBFBF" w:themeFill="background1" w:themeFillShade="BF"/>
            <w:noWrap/>
            <w:tcMar>
              <w:left w:w="57" w:type="dxa"/>
            </w:tcMar>
          </w:tcPr>
          <w:p w:rsidR="008835EB" w:rsidRPr="00DD7160" w:rsidRDefault="008835EB" w:rsidP="007E3F2E">
            <w:pPr>
              <w:spacing w:line="240" w:lineRule="auto"/>
            </w:pPr>
            <w:r w:rsidRPr="00DD7160">
              <w:t xml:space="preserve">Write-down and impairment of Assets (Administered Schedule of Comprehensive Income), </w:t>
            </w:r>
          </w:p>
        </w:tc>
      </w:tr>
      <w:tr w:rsidR="008835EB" w:rsidRPr="00805AD7" w:rsidTr="007E3F2E">
        <w:trPr>
          <w:trHeight w:val="198"/>
        </w:trPr>
        <w:tc>
          <w:tcPr>
            <w:tcW w:w="4820" w:type="dxa"/>
            <w:tcBorders>
              <w:top w:val="single" w:sz="4" w:space="0" w:color="auto"/>
              <w:left w:val="nil"/>
              <w:bottom w:val="single" w:sz="4" w:space="0" w:color="auto"/>
              <w:right w:val="single" w:sz="4" w:space="0" w:color="auto"/>
            </w:tcBorders>
            <w:shd w:val="clear" w:color="auto" w:fill="BFBFBF" w:themeFill="background1" w:themeFillShade="BF"/>
          </w:tcPr>
          <w:p w:rsidR="008835EB" w:rsidRPr="00DD7160" w:rsidRDefault="008835EB" w:rsidP="007E3F2E">
            <w:pPr>
              <w:spacing w:line="240" w:lineRule="atLeast"/>
              <w:rPr>
                <w:rFonts w:cs="Calibri"/>
                <w:bCs/>
                <w:szCs w:val="18"/>
              </w:rPr>
            </w:pPr>
            <w:r>
              <w:rPr>
                <w:rFonts w:cs="Calibri"/>
                <w:bCs/>
                <w:szCs w:val="18"/>
              </w:rPr>
              <w:t xml:space="preserve">The variance relates to higher than planned recoveries relating to the </w:t>
            </w:r>
            <w:proofErr w:type="spellStart"/>
            <w:r>
              <w:rPr>
                <w:rFonts w:cs="Calibri"/>
                <w:bCs/>
                <w:szCs w:val="18"/>
              </w:rPr>
              <w:t>FEG</w:t>
            </w:r>
            <w:proofErr w:type="spellEnd"/>
            <w:r>
              <w:rPr>
                <w:rFonts w:cs="Calibri"/>
                <w:bCs/>
                <w:szCs w:val="18"/>
              </w:rPr>
              <w:t xml:space="preserve"> program including activities under the </w:t>
            </w:r>
            <w:proofErr w:type="spellStart"/>
            <w:r>
              <w:rPr>
                <w:rFonts w:cs="Calibri"/>
                <w:bCs/>
                <w:szCs w:val="18"/>
              </w:rPr>
              <w:t>FEG</w:t>
            </w:r>
            <w:proofErr w:type="spellEnd"/>
            <w:r>
              <w:rPr>
                <w:rFonts w:cs="Calibri"/>
                <w:bCs/>
                <w:szCs w:val="18"/>
              </w:rPr>
              <w:t xml:space="preserve"> Recovery program.</w:t>
            </w:r>
          </w:p>
        </w:tc>
        <w:tc>
          <w:tcPr>
            <w:tcW w:w="4252" w:type="dxa"/>
            <w:tcBorders>
              <w:top w:val="single" w:sz="4" w:space="0" w:color="auto"/>
              <w:left w:val="single" w:sz="4" w:space="0" w:color="auto"/>
              <w:bottom w:val="single" w:sz="4" w:space="0" w:color="auto"/>
              <w:right w:val="nil"/>
            </w:tcBorders>
            <w:shd w:val="clear" w:color="auto" w:fill="BFBFBF" w:themeFill="background1" w:themeFillShade="BF"/>
            <w:noWrap/>
            <w:tcMar>
              <w:left w:w="57" w:type="dxa"/>
            </w:tcMar>
          </w:tcPr>
          <w:p w:rsidR="008835EB" w:rsidRPr="00DD7160" w:rsidRDefault="008835EB" w:rsidP="007E3F2E">
            <w:pPr>
              <w:spacing w:line="240" w:lineRule="auto"/>
              <w:rPr>
                <w:rFonts w:cs="Calibri"/>
              </w:rPr>
            </w:pPr>
            <w:r w:rsidRPr="00DD7160">
              <w:t>Commonwealth Asset Recoveries</w:t>
            </w:r>
            <w:r>
              <w:t xml:space="preserve"> </w:t>
            </w:r>
            <w:r w:rsidRPr="00DD7160">
              <w:t>(Administered Schedule of Comprehensive Income), Trade and Other receivables (Administered Schedule of Assets and Liabilities)</w:t>
            </w:r>
          </w:p>
        </w:tc>
      </w:tr>
      <w:tr w:rsidR="008835EB" w:rsidRPr="00805AD7" w:rsidTr="007E3F2E">
        <w:trPr>
          <w:trHeight w:val="198"/>
        </w:trPr>
        <w:tc>
          <w:tcPr>
            <w:tcW w:w="4820" w:type="dxa"/>
            <w:tcBorders>
              <w:top w:val="single" w:sz="4" w:space="0" w:color="auto"/>
              <w:left w:val="nil"/>
              <w:bottom w:val="single" w:sz="4" w:space="0" w:color="auto"/>
              <w:right w:val="single" w:sz="4" w:space="0" w:color="auto"/>
            </w:tcBorders>
            <w:shd w:val="clear" w:color="auto" w:fill="BFBFBF" w:themeFill="background1" w:themeFillShade="BF"/>
          </w:tcPr>
          <w:p w:rsidR="008835EB" w:rsidRPr="00DD7160" w:rsidRDefault="008835EB" w:rsidP="007E3F2E">
            <w:pPr>
              <w:spacing w:line="240" w:lineRule="atLeast"/>
              <w:rPr>
                <w:rFonts w:cs="Calibri"/>
                <w:bCs/>
                <w:szCs w:val="18"/>
              </w:rPr>
            </w:pPr>
            <w:r w:rsidRPr="00DD7160">
              <w:rPr>
                <w:rFonts w:cs="Calibri"/>
                <w:bCs/>
                <w:szCs w:val="18"/>
              </w:rPr>
              <w:t xml:space="preserve">Higher than planned Other Revenue relates to recoveries of asbestos settlement claims from </w:t>
            </w:r>
            <w:r>
              <w:rPr>
                <w:rFonts w:cs="Calibri"/>
                <w:bCs/>
                <w:szCs w:val="18"/>
              </w:rPr>
              <w:t>e</w:t>
            </w:r>
            <w:r w:rsidRPr="00DD7160">
              <w:rPr>
                <w:rFonts w:cs="Calibri"/>
                <w:bCs/>
                <w:szCs w:val="18"/>
              </w:rPr>
              <w:t xml:space="preserve">mployers for costs paid by the Commonwealth under the </w:t>
            </w:r>
            <w:r w:rsidRPr="004260AD">
              <w:rPr>
                <w:rFonts w:cs="Calibri"/>
                <w:bCs/>
                <w:i/>
                <w:szCs w:val="18"/>
              </w:rPr>
              <w:t>Asbestos Related Claims Act 2005</w:t>
            </w:r>
            <w:r w:rsidRPr="00DD7160">
              <w:rPr>
                <w:rFonts w:cs="Calibri"/>
                <w:bCs/>
                <w:szCs w:val="18"/>
              </w:rPr>
              <w:t xml:space="preserve">. The original budget was based on prior year outcomes, however by their </w:t>
            </w:r>
            <w:proofErr w:type="gramStart"/>
            <w:r w:rsidRPr="00DD7160">
              <w:rPr>
                <w:rFonts w:cs="Calibri"/>
                <w:bCs/>
                <w:szCs w:val="18"/>
              </w:rPr>
              <w:t>nature,</w:t>
            </w:r>
            <w:proofErr w:type="gramEnd"/>
            <w:r w:rsidRPr="00DD7160">
              <w:rPr>
                <w:rFonts w:cs="Calibri"/>
                <w:bCs/>
                <w:szCs w:val="18"/>
              </w:rPr>
              <w:t xml:space="preserve"> the recoveries vary from year to year.</w:t>
            </w:r>
          </w:p>
        </w:tc>
        <w:tc>
          <w:tcPr>
            <w:tcW w:w="4252" w:type="dxa"/>
            <w:tcBorders>
              <w:top w:val="single" w:sz="4" w:space="0" w:color="auto"/>
              <w:left w:val="single" w:sz="4" w:space="0" w:color="auto"/>
              <w:bottom w:val="single" w:sz="4" w:space="0" w:color="auto"/>
              <w:right w:val="nil"/>
            </w:tcBorders>
            <w:shd w:val="clear" w:color="auto" w:fill="BFBFBF" w:themeFill="background1" w:themeFillShade="BF"/>
            <w:noWrap/>
            <w:tcMar>
              <w:left w:w="57" w:type="dxa"/>
            </w:tcMar>
          </w:tcPr>
          <w:p w:rsidR="008835EB" w:rsidRPr="00DD7160" w:rsidRDefault="008835EB" w:rsidP="007E3F2E">
            <w:pPr>
              <w:spacing w:line="240" w:lineRule="atLeast"/>
              <w:rPr>
                <w:rFonts w:cs="Calibri"/>
                <w:szCs w:val="18"/>
              </w:rPr>
            </w:pPr>
            <w:r w:rsidRPr="00DD7160">
              <w:t>Other Revenue</w:t>
            </w:r>
            <w:r>
              <w:t xml:space="preserve"> </w:t>
            </w:r>
            <w:r w:rsidRPr="00DD7160">
              <w:t>(Administered Schedule of Comprehensive Income)</w:t>
            </w:r>
          </w:p>
        </w:tc>
      </w:tr>
      <w:tr w:rsidR="008835EB" w:rsidRPr="00805AD7" w:rsidTr="007E3F2E">
        <w:trPr>
          <w:trHeight w:val="198"/>
        </w:trPr>
        <w:tc>
          <w:tcPr>
            <w:tcW w:w="4820" w:type="dxa"/>
            <w:tcBorders>
              <w:top w:val="single" w:sz="4" w:space="0" w:color="auto"/>
              <w:left w:val="nil"/>
              <w:bottom w:val="single" w:sz="4" w:space="0" w:color="auto"/>
              <w:right w:val="single" w:sz="4" w:space="0" w:color="auto"/>
            </w:tcBorders>
            <w:shd w:val="clear" w:color="auto" w:fill="BFBFBF" w:themeFill="background1" w:themeFillShade="BF"/>
          </w:tcPr>
          <w:p w:rsidR="008835EB" w:rsidRPr="00DD7160" w:rsidRDefault="008835EB" w:rsidP="007E3F2E">
            <w:pPr>
              <w:spacing w:line="240" w:lineRule="atLeast"/>
              <w:rPr>
                <w:rFonts w:cs="Calibri"/>
                <w:bCs/>
                <w:szCs w:val="18"/>
              </w:rPr>
            </w:pPr>
            <w:r>
              <w:rPr>
                <w:rFonts w:cs="Calibri"/>
                <w:bCs/>
                <w:szCs w:val="18"/>
              </w:rPr>
              <w:t>Other revenue was higher than planned due to expenditure estimates from 2014–15 being lower in 2015–16 than expected. As such residual estimates to cover the expenditure have been moved from expenses.</w:t>
            </w:r>
          </w:p>
        </w:tc>
        <w:tc>
          <w:tcPr>
            <w:tcW w:w="4252" w:type="dxa"/>
            <w:tcBorders>
              <w:top w:val="single" w:sz="4" w:space="0" w:color="auto"/>
              <w:left w:val="single" w:sz="4" w:space="0" w:color="auto"/>
              <w:bottom w:val="single" w:sz="4" w:space="0" w:color="auto"/>
              <w:right w:val="nil"/>
            </w:tcBorders>
            <w:shd w:val="clear" w:color="auto" w:fill="BFBFBF" w:themeFill="background1" w:themeFillShade="BF"/>
            <w:noWrap/>
            <w:tcMar>
              <w:left w:w="57" w:type="dxa"/>
            </w:tcMar>
          </w:tcPr>
          <w:p w:rsidR="008835EB" w:rsidRPr="00DD7160" w:rsidRDefault="008835EB" w:rsidP="007E3F2E">
            <w:pPr>
              <w:spacing w:line="240" w:lineRule="atLeast"/>
            </w:pPr>
            <w:r w:rsidRPr="00DD7160">
              <w:t>Other Revenue</w:t>
            </w:r>
            <w:r>
              <w:t xml:space="preserve"> </w:t>
            </w:r>
            <w:r w:rsidRPr="00DD7160">
              <w:t>(Administered Schedule of Comprehensive Income)</w:t>
            </w:r>
          </w:p>
        </w:tc>
      </w:tr>
      <w:tr w:rsidR="008835EB" w:rsidRPr="00805AD7" w:rsidTr="007E3F2E">
        <w:trPr>
          <w:trHeight w:val="43"/>
        </w:trPr>
        <w:tc>
          <w:tcPr>
            <w:tcW w:w="4820" w:type="dxa"/>
            <w:tcBorders>
              <w:top w:val="single" w:sz="4" w:space="0" w:color="auto"/>
              <w:left w:val="nil"/>
              <w:bottom w:val="single" w:sz="4" w:space="0" w:color="auto"/>
              <w:right w:val="single" w:sz="4" w:space="0" w:color="auto"/>
            </w:tcBorders>
            <w:shd w:val="clear" w:color="auto" w:fill="BFBFBF" w:themeFill="background1" w:themeFillShade="BF"/>
          </w:tcPr>
          <w:p w:rsidR="008835EB" w:rsidRPr="00DD7160" w:rsidRDefault="008835EB" w:rsidP="007E3F2E">
            <w:pPr>
              <w:spacing w:line="240" w:lineRule="atLeast"/>
              <w:rPr>
                <w:rFonts w:cs="Calibri"/>
                <w:b/>
                <w:bCs/>
                <w:szCs w:val="18"/>
              </w:rPr>
            </w:pPr>
            <w:r w:rsidRPr="00DD7160">
              <w:rPr>
                <w:rFonts w:cs="Calibri"/>
                <w:bCs/>
                <w:szCs w:val="18"/>
              </w:rPr>
              <w:t xml:space="preserve">Higher than planned Other Investments relates to the Government's holdings in </w:t>
            </w:r>
            <w:proofErr w:type="spellStart"/>
            <w:r>
              <w:rPr>
                <w:rFonts w:cs="Calibri"/>
                <w:bCs/>
                <w:szCs w:val="18"/>
              </w:rPr>
              <w:t>CMIC</w:t>
            </w:r>
            <w:proofErr w:type="spellEnd"/>
            <w:r w:rsidRPr="00DD7160">
              <w:rPr>
                <w:rFonts w:cs="Calibri"/>
                <w:bCs/>
                <w:szCs w:val="18"/>
              </w:rPr>
              <w:t xml:space="preserve">. </w:t>
            </w:r>
          </w:p>
        </w:tc>
        <w:tc>
          <w:tcPr>
            <w:tcW w:w="4252" w:type="dxa"/>
            <w:tcBorders>
              <w:top w:val="single" w:sz="4" w:space="0" w:color="auto"/>
              <w:left w:val="single" w:sz="4" w:space="0" w:color="auto"/>
              <w:bottom w:val="single" w:sz="4" w:space="0" w:color="auto"/>
              <w:right w:val="nil"/>
            </w:tcBorders>
            <w:shd w:val="clear" w:color="auto" w:fill="BFBFBF" w:themeFill="background1" w:themeFillShade="BF"/>
            <w:noWrap/>
            <w:tcMar>
              <w:left w:w="57" w:type="dxa"/>
            </w:tcMar>
          </w:tcPr>
          <w:p w:rsidR="008835EB" w:rsidRPr="00DD7160" w:rsidRDefault="008835EB" w:rsidP="007E3F2E">
            <w:pPr>
              <w:spacing w:line="240" w:lineRule="atLeast"/>
            </w:pPr>
            <w:r w:rsidRPr="00DD7160">
              <w:t>Other Investments (Administered Schedule of Assets and Liabilities), Other Comprehensive Income</w:t>
            </w:r>
          </w:p>
          <w:p w:rsidR="008835EB" w:rsidRPr="00DD7160" w:rsidRDefault="008835EB" w:rsidP="007E3F2E">
            <w:pPr>
              <w:spacing w:line="240" w:lineRule="atLeast"/>
              <w:rPr>
                <w:rFonts w:cs="Calibri"/>
                <w:szCs w:val="18"/>
              </w:rPr>
            </w:pPr>
            <w:r w:rsidRPr="00DD7160">
              <w:t>(Administered Schedule of Comprehensive Income)</w:t>
            </w:r>
          </w:p>
        </w:tc>
      </w:tr>
      <w:tr w:rsidR="008835EB" w:rsidRPr="00805AD7" w:rsidTr="007E3F2E">
        <w:trPr>
          <w:trHeight w:val="198"/>
        </w:trPr>
        <w:tc>
          <w:tcPr>
            <w:tcW w:w="4820" w:type="dxa"/>
            <w:tcBorders>
              <w:top w:val="single" w:sz="4" w:space="0" w:color="auto"/>
              <w:left w:val="nil"/>
              <w:bottom w:val="single" w:sz="4" w:space="0" w:color="auto"/>
              <w:right w:val="single" w:sz="4" w:space="0" w:color="auto"/>
            </w:tcBorders>
            <w:shd w:val="clear" w:color="auto" w:fill="BFBFBF" w:themeFill="background1" w:themeFillShade="BF"/>
          </w:tcPr>
          <w:p w:rsidR="008835EB" w:rsidRPr="00DD7160" w:rsidRDefault="008835EB" w:rsidP="007E3F2E">
            <w:pPr>
              <w:spacing w:line="240" w:lineRule="atLeast"/>
              <w:rPr>
                <w:rFonts w:cs="Calibri"/>
                <w:bCs/>
                <w:szCs w:val="18"/>
              </w:rPr>
            </w:pPr>
            <w:r w:rsidRPr="00DD7160">
              <w:rPr>
                <w:rFonts w:cs="Calibri"/>
                <w:bCs/>
                <w:szCs w:val="18"/>
              </w:rPr>
              <w:t xml:space="preserve">Supplier payables relate to jobactive accruals for Wage Subsidies and Outcome Fees. The budget was </w:t>
            </w:r>
            <w:r>
              <w:rPr>
                <w:rFonts w:cs="Calibri"/>
                <w:bCs/>
                <w:szCs w:val="18"/>
              </w:rPr>
              <w:t xml:space="preserve">amended </w:t>
            </w:r>
            <w:r w:rsidRPr="00DD7160">
              <w:rPr>
                <w:rFonts w:cs="Calibri"/>
                <w:bCs/>
                <w:szCs w:val="18"/>
              </w:rPr>
              <w:t xml:space="preserve">at the </w:t>
            </w:r>
            <w:r>
              <w:rPr>
                <w:rFonts w:cs="Calibri"/>
                <w:bCs/>
                <w:szCs w:val="18"/>
              </w:rPr>
              <w:t xml:space="preserve">revised budget which was </w:t>
            </w:r>
            <w:r w:rsidRPr="00DD7160">
              <w:rPr>
                <w:rFonts w:cs="Calibri"/>
                <w:bCs/>
                <w:szCs w:val="18"/>
              </w:rPr>
              <w:t xml:space="preserve">based on previous year’s result. The accrual for jobactive is less than the </w:t>
            </w:r>
            <w:r>
              <w:rPr>
                <w:rFonts w:cs="Calibri"/>
                <w:bCs/>
                <w:szCs w:val="18"/>
              </w:rPr>
              <w:t xml:space="preserve">revised budget </w:t>
            </w:r>
            <w:r w:rsidRPr="00DD7160">
              <w:rPr>
                <w:rFonts w:cs="Calibri"/>
                <w:bCs/>
                <w:szCs w:val="18"/>
              </w:rPr>
              <w:t xml:space="preserve">mainly due to changes in the way outcome fees are </w:t>
            </w:r>
            <w:r>
              <w:rPr>
                <w:rFonts w:cs="Calibri"/>
                <w:bCs/>
                <w:szCs w:val="18"/>
              </w:rPr>
              <w:t>structured</w:t>
            </w:r>
            <w:r w:rsidRPr="00DD7160">
              <w:rPr>
                <w:rFonts w:cs="Calibri"/>
                <w:bCs/>
                <w:szCs w:val="18"/>
              </w:rPr>
              <w:t xml:space="preserve"> </w:t>
            </w:r>
            <w:r>
              <w:rPr>
                <w:rFonts w:cs="Calibri"/>
                <w:bCs/>
                <w:szCs w:val="18"/>
              </w:rPr>
              <w:t>under</w:t>
            </w:r>
            <w:r w:rsidRPr="00DD7160">
              <w:rPr>
                <w:rFonts w:cs="Calibri"/>
                <w:bCs/>
                <w:szCs w:val="18"/>
              </w:rPr>
              <w:t xml:space="preserve"> the new jobactive program</w:t>
            </w:r>
            <w:r>
              <w:rPr>
                <w:rFonts w:cs="Calibri"/>
                <w:bCs/>
                <w:szCs w:val="18"/>
              </w:rPr>
              <w:t>.</w:t>
            </w:r>
          </w:p>
        </w:tc>
        <w:tc>
          <w:tcPr>
            <w:tcW w:w="4252" w:type="dxa"/>
            <w:tcBorders>
              <w:top w:val="single" w:sz="4" w:space="0" w:color="auto"/>
              <w:left w:val="single" w:sz="4" w:space="0" w:color="auto"/>
              <w:bottom w:val="single" w:sz="4" w:space="0" w:color="auto"/>
              <w:right w:val="nil"/>
            </w:tcBorders>
            <w:shd w:val="clear" w:color="auto" w:fill="BFBFBF" w:themeFill="background1" w:themeFillShade="BF"/>
            <w:noWrap/>
            <w:tcMar>
              <w:left w:w="57" w:type="dxa"/>
            </w:tcMar>
          </w:tcPr>
          <w:p w:rsidR="008835EB" w:rsidRPr="00DD7160" w:rsidRDefault="008835EB" w:rsidP="007E3F2E">
            <w:pPr>
              <w:spacing w:line="240" w:lineRule="atLeast"/>
              <w:rPr>
                <w:rFonts w:cs="Calibri"/>
                <w:szCs w:val="18"/>
              </w:rPr>
            </w:pPr>
            <w:r w:rsidRPr="00DD7160">
              <w:rPr>
                <w:szCs w:val="18"/>
              </w:rPr>
              <w:t>Suppliers Payable</w:t>
            </w:r>
            <w:r w:rsidRPr="00DD7160">
              <w:rPr>
                <w:rFonts w:cs="Calibri"/>
                <w:szCs w:val="18"/>
              </w:rPr>
              <w:t>(Administered Schedule of Assets and Liabilities)</w:t>
            </w:r>
          </w:p>
          <w:p w:rsidR="008835EB" w:rsidRPr="00DD7160" w:rsidRDefault="008835EB" w:rsidP="007E3F2E">
            <w:pPr>
              <w:spacing w:line="240" w:lineRule="atLeast"/>
              <w:rPr>
                <w:rFonts w:cs="Calibri"/>
                <w:szCs w:val="18"/>
              </w:rPr>
            </w:pPr>
          </w:p>
        </w:tc>
      </w:tr>
      <w:tr w:rsidR="008835EB" w:rsidRPr="00805AD7" w:rsidTr="007E3F2E">
        <w:trPr>
          <w:trHeight w:val="198"/>
        </w:trPr>
        <w:tc>
          <w:tcPr>
            <w:tcW w:w="4820" w:type="dxa"/>
            <w:tcBorders>
              <w:top w:val="single" w:sz="4" w:space="0" w:color="auto"/>
              <w:left w:val="nil"/>
              <w:bottom w:val="single" w:sz="4" w:space="0" w:color="auto"/>
              <w:right w:val="single" w:sz="4" w:space="0" w:color="auto"/>
            </w:tcBorders>
            <w:shd w:val="clear" w:color="auto" w:fill="BFBFBF" w:themeFill="background1" w:themeFillShade="BF"/>
          </w:tcPr>
          <w:p w:rsidR="008835EB" w:rsidRPr="00DD7160" w:rsidRDefault="008835EB" w:rsidP="007E3F2E">
            <w:pPr>
              <w:spacing w:line="240" w:lineRule="atLeast"/>
              <w:rPr>
                <w:rFonts w:cs="Calibri"/>
                <w:bCs/>
                <w:szCs w:val="18"/>
              </w:rPr>
            </w:pPr>
            <w:r>
              <w:rPr>
                <w:rFonts w:cs="Calibri"/>
                <w:bCs/>
                <w:szCs w:val="18"/>
              </w:rPr>
              <w:t xml:space="preserve">Subsidies payable relates to a higher than expected end of year accruals when compared to original budget. This was updated at the revised budget and the actuals are now on budget. </w:t>
            </w:r>
          </w:p>
        </w:tc>
        <w:tc>
          <w:tcPr>
            <w:tcW w:w="4252" w:type="dxa"/>
            <w:tcBorders>
              <w:top w:val="single" w:sz="4" w:space="0" w:color="auto"/>
              <w:left w:val="single" w:sz="4" w:space="0" w:color="auto"/>
              <w:bottom w:val="single" w:sz="4" w:space="0" w:color="auto"/>
              <w:right w:val="nil"/>
            </w:tcBorders>
            <w:shd w:val="clear" w:color="auto" w:fill="BFBFBF" w:themeFill="background1" w:themeFillShade="BF"/>
            <w:noWrap/>
            <w:tcMar>
              <w:left w:w="57" w:type="dxa"/>
            </w:tcMar>
          </w:tcPr>
          <w:p w:rsidR="008835EB" w:rsidRPr="00DD7160" w:rsidRDefault="008835EB" w:rsidP="007E3F2E">
            <w:pPr>
              <w:spacing w:line="240" w:lineRule="atLeast"/>
              <w:rPr>
                <w:rFonts w:cs="Calibri"/>
                <w:szCs w:val="18"/>
              </w:rPr>
            </w:pPr>
            <w:r w:rsidRPr="00DD7160">
              <w:rPr>
                <w:szCs w:val="18"/>
              </w:rPr>
              <w:t xml:space="preserve">Subsidies Payable </w:t>
            </w:r>
            <w:r w:rsidRPr="00DD7160">
              <w:rPr>
                <w:rFonts w:cs="Calibri"/>
                <w:szCs w:val="18"/>
              </w:rPr>
              <w:t>(Administered Schedule of Assets and Liabilities)</w:t>
            </w:r>
          </w:p>
        </w:tc>
      </w:tr>
      <w:tr w:rsidR="008835EB" w:rsidRPr="00805AD7" w:rsidTr="007E3F2E">
        <w:trPr>
          <w:trHeight w:val="198"/>
        </w:trPr>
        <w:tc>
          <w:tcPr>
            <w:tcW w:w="4820" w:type="dxa"/>
            <w:tcBorders>
              <w:top w:val="single" w:sz="4" w:space="0" w:color="auto"/>
              <w:left w:val="nil"/>
              <w:bottom w:val="single" w:sz="4" w:space="0" w:color="auto"/>
              <w:right w:val="single" w:sz="4" w:space="0" w:color="auto"/>
            </w:tcBorders>
            <w:shd w:val="clear" w:color="auto" w:fill="BFBFBF" w:themeFill="background1" w:themeFillShade="BF"/>
          </w:tcPr>
          <w:p w:rsidR="008835EB" w:rsidRPr="00DD7160" w:rsidRDefault="008835EB" w:rsidP="007E3F2E">
            <w:pPr>
              <w:spacing w:line="240" w:lineRule="atLeast"/>
              <w:rPr>
                <w:rFonts w:cs="Calibri"/>
                <w:bCs/>
                <w:szCs w:val="18"/>
              </w:rPr>
            </w:pPr>
            <w:r w:rsidRPr="00DD7160">
              <w:rPr>
                <w:rFonts w:cs="Calibri"/>
                <w:bCs/>
                <w:szCs w:val="18"/>
              </w:rPr>
              <w:t>Due to changes in payment</w:t>
            </w:r>
            <w:r>
              <w:rPr>
                <w:rFonts w:cs="Calibri"/>
                <w:bCs/>
                <w:szCs w:val="18"/>
              </w:rPr>
              <w:t xml:space="preserve"> processing in 2016–</w:t>
            </w:r>
            <w:r w:rsidRPr="00DD7160">
              <w:rPr>
                <w:rFonts w:cs="Calibri"/>
                <w:bCs/>
                <w:szCs w:val="18"/>
              </w:rPr>
              <w:t xml:space="preserve">17 under the </w:t>
            </w:r>
            <w:proofErr w:type="spellStart"/>
            <w:r w:rsidRPr="00DD7160">
              <w:rPr>
                <w:rFonts w:cs="Calibri"/>
                <w:bCs/>
                <w:szCs w:val="18"/>
              </w:rPr>
              <w:t>FEG</w:t>
            </w:r>
            <w:proofErr w:type="spellEnd"/>
            <w:r w:rsidRPr="00DD7160">
              <w:rPr>
                <w:rFonts w:cs="Calibri"/>
                <w:bCs/>
                <w:szCs w:val="18"/>
              </w:rPr>
              <w:t xml:space="preserve"> program, all approved claims were paid in 2015</w:t>
            </w:r>
            <w:r>
              <w:rPr>
                <w:rFonts w:cs="Calibri"/>
                <w:bCs/>
                <w:szCs w:val="18"/>
              </w:rPr>
              <w:t>–</w:t>
            </w:r>
            <w:r w:rsidRPr="00DD7160">
              <w:rPr>
                <w:rFonts w:cs="Calibri"/>
                <w:bCs/>
                <w:szCs w:val="18"/>
              </w:rPr>
              <w:t>16 and there are no accruals in 2015</w:t>
            </w:r>
            <w:r>
              <w:rPr>
                <w:rFonts w:cs="Calibri"/>
                <w:bCs/>
                <w:szCs w:val="18"/>
              </w:rPr>
              <w:t>–</w:t>
            </w:r>
            <w:r w:rsidRPr="00DD7160">
              <w:rPr>
                <w:rFonts w:cs="Calibri"/>
                <w:bCs/>
                <w:szCs w:val="18"/>
              </w:rPr>
              <w:t>16.</w:t>
            </w:r>
          </w:p>
        </w:tc>
        <w:tc>
          <w:tcPr>
            <w:tcW w:w="4252" w:type="dxa"/>
            <w:tcBorders>
              <w:top w:val="single" w:sz="4" w:space="0" w:color="auto"/>
              <w:left w:val="single" w:sz="4" w:space="0" w:color="auto"/>
              <w:bottom w:val="single" w:sz="4" w:space="0" w:color="auto"/>
              <w:right w:val="nil"/>
            </w:tcBorders>
            <w:shd w:val="clear" w:color="auto" w:fill="BFBFBF" w:themeFill="background1" w:themeFillShade="BF"/>
            <w:noWrap/>
            <w:tcMar>
              <w:left w:w="57" w:type="dxa"/>
            </w:tcMar>
          </w:tcPr>
          <w:p w:rsidR="008835EB" w:rsidRPr="00DD7160" w:rsidRDefault="008835EB" w:rsidP="007E3F2E">
            <w:pPr>
              <w:spacing w:line="240" w:lineRule="atLeast"/>
              <w:rPr>
                <w:szCs w:val="18"/>
              </w:rPr>
            </w:pPr>
            <w:r w:rsidRPr="00DD7160">
              <w:rPr>
                <w:szCs w:val="18"/>
              </w:rPr>
              <w:t xml:space="preserve">Personal Benefits Payable </w:t>
            </w:r>
            <w:r w:rsidRPr="00DD7160">
              <w:rPr>
                <w:rFonts w:cs="Calibri"/>
                <w:szCs w:val="18"/>
              </w:rPr>
              <w:t>(Administered Schedule of Assets and Liabilities)</w:t>
            </w:r>
          </w:p>
        </w:tc>
      </w:tr>
      <w:tr w:rsidR="008835EB" w:rsidRPr="00805AD7" w:rsidTr="007E3F2E">
        <w:trPr>
          <w:trHeight w:val="198"/>
        </w:trPr>
        <w:tc>
          <w:tcPr>
            <w:tcW w:w="4820" w:type="dxa"/>
            <w:tcBorders>
              <w:top w:val="single" w:sz="4" w:space="0" w:color="auto"/>
              <w:left w:val="nil"/>
              <w:bottom w:val="single" w:sz="4" w:space="0" w:color="auto"/>
              <w:right w:val="single" w:sz="4" w:space="0" w:color="auto"/>
            </w:tcBorders>
            <w:shd w:val="clear" w:color="auto" w:fill="BFBFBF" w:themeFill="background1" w:themeFillShade="BF"/>
          </w:tcPr>
          <w:p w:rsidR="008835EB" w:rsidRPr="00DD7160" w:rsidRDefault="008835EB" w:rsidP="007E3F2E">
            <w:pPr>
              <w:spacing w:line="240" w:lineRule="atLeast"/>
              <w:rPr>
                <w:rFonts w:cs="Calibri"/>
                <w:bCs/>
                <w:szCs w:val="18"/>
              </w:rPr>
            </w:pPr>
            <w:r w:rsidRPr="00DD7160">
              <w:rPr>
                <w:rFonts w:cs="Calibri"/>
                <w:bCs/>
                <w:szCs w:val="18"/>
              </w:rPr>
              <w:t>Grants payable actuals reflects grants that have been awarded but not yet paid. It was expected that the majority of the initial milestones would be paid by the end of the financial year.</w:t>
            </w:r>
          </w:p>
        </w:tc>
        <w:tc>
          <w:tcPr>
            <w:tcW w:w="4252" w:type="dxa"/>
            <w:tcBorders>
              <w:top w:val="single" w:sz="4" w:space="0" w:color="auto"/>
              <w:left w:val="single" w:sz="4" w:space="0" w:color="auto"/>
              <w:bottom w:val="single" w:sz="4" w:space="0" w:color="auto"/>
              <w:right w:val="nil"/>
            </w:tcBorders>
            <w:shd w:val="clear" w:color="auto" w:fill="BFBFBF" w:themeFill="background1" w:themeFillShade="BF"/>
            <w:noWrap/>
            <w:tcMar>
              <w:left w:w="57" w:type="dxa"/>
            </w:tcMar>
          </w:tcPr>
          <w:p w:rsidR="008835EB" w:rsidRPr="00DD7160" w:rsidRDefault="008835EB" w:rsidP="007E3F2E">
            <w:pPr>
              <w:spacing w:line="240" w:lineRule="atLeast"/>
              <w:rPr>
                <w:szCs w:val="18"/>
              </w:rPr>
            </w:pPr>
            <w:r w:rsidRPr="00DD7160">
              <w:rPr>
                <w:szCs w:val="18"/>
              </w:rPr>
              <w:t xml:space="preserve">Grants Payable </w:t>
            </w:r>
            <w:r w:rsidRPr="00DD7160">
              <w:rPr>
                <w:rFonts w:cs="Calibri"/>
                <w:szCs w:val="18"/>
              </w:rPr>
              <w:t>(Administered Schedule of Assets and Liabilities)</w:t>
            </w:r>
          </w:p>
        </w:tc>
      </w:tr>
    </w:tbl>
    <w:p w:rsidR="008835EB" w:rsidRPr="006405D6" w:rsidRDefault="008835EB" w:rsidP="008835EB">
      <w:pPr>
        <w:rPr>
          <w:lang w:eastAsia="en-AU"/>
        </w:rPr>
      </w:pPr>
      <w:r w:rsidRPr="006405D6">
        <w:br w:type="page"/>
      </w:r>
    </w:p>
    <w:p w:rsidR="008835EB" w:rsidRDefault="008835EB" w:rsidP="008835EB">
      <w:pPr>
        <w:spacing w:line="240" w:lineRule="auto"/>
        <w:sectPr w:rsidR="008835EB" w:rsidSect="00F74C23">
          <w:headerReference w:type="default" r:id="rId43"/>
          <w:footerReference w:type="default" r:id="rId44"/>
          <w:pgSz w:w="11906" w:h="16838"/>
          <w:pgMar w:top="1134" w:right="1134" w:bottom="1134" w:left="1134" w:header="958" w:footer="737" w:gutter="0"/>
          <w:cols w:space="720"/>
        </w:sectPr>
      </w:pPr>
    </w:p>
    <w:p w:rsidR="00FA455C" w:rsidRDefault="00FA455C" w:rsidP="008835EB">
      <w:pPr>
        <w:spacing w:line="240" w:lineRule="auto"/>
        <w:rPr>
          <w:rFonts w:asciiTheme="minorHAnsi" w:hAnsiTheme="minorHAnsi" w:cstheme="minorHAnsi"/>
        </w:rPr>
      </w:pPr>
      <w:r>
        <w:rPr>
          <w:rFonts w:asciiTheme="minorHAnsi" w:hAnsiTheme="minorHAnsi" w:cstheme="minorHAnsi"/>
        </w:rPr>
        <w:lastRenderedPageBreak/>
        <w:t>Budgetary Reports and Explanations of Major Variances</w:t>
      </w:r>
      <w:r>
        <w:rPr>
          <w:rFonts w:asciiTheme="minorHAnsi" w:hAnsiTheme="minorHAnsi" w:cstheme="minorHAnsi"/>
        </w:rPr>
        <w:tab/>
        <w:t>120</w:t>
      </w:r>
    </w:p>
    <w:p w:rsidR="00FA455C" w:rsidRDefault="00FA455C" w:rsidP="008835EB">
      <w:pPr>
        <w:spacing w:line="240" w:lineRule="auto"/>
        <w:rPr>
          <w:rFonts w:asciiTheme="minorHAnsi" w:hAnsiTheme="minorHAnsi" w:cstheme="minorHAnsi"/>
        </w:rPr>
      </w:pPr>
      <w:r>
        <w:rPr>
          <w:rFonts w:asciiTheme="minorHAnsi" w:hAnsiTheme="minorHAnsi" w:cstheme="minorHAnsi"/>
        </w:rPr>
        <w:t>Overview</w:t>
      </w:r>
      <w:r>
        <w:rPr>
          <w:rFonts w:asciiTheme="minorHAnsi" w:hAnsiTheme="minorHAnsi" w:cstheme="minorHAnsi"/>
        </w:rPr>
        <w:tab/>
      </w:r>
      <w:r>
        <w:rPr>
          <w:rFonts w:asciiTheme="minorHAnsi" w:hAnsiTheme="minorHAnsi" w:cstheme="minorHAnsi"/>
        </w:rPr>
        <w:tab/>
        <w:t>123</w:t>
      </w:r>
    </w:p>
    <w:p w:rsidR="00FA455C" w:rsidRDefault="00FA455C" w:rsidP="008835EB">
      <w:pPr>
        <w:spacing w:line="240" w:lineRule="auto"/>
        <w:rPr>
          <w:rFonts w:asciiTheme="minorHAnsi" w:hAnsiTheme="minorHAnsi" w:cstheme="minorHAnsi"/>
        </w:rPr>
      </w:pPr>
      <w:r>
        <w:rPr>
          <w:rFonts w:asciiTheme="minorHAnsi" w:hAnsiTheme="minorHAnsi" w:cstheme="minorHAnsi"/>
        </w:rPr>
        <w:t>1. Departmental Financial Performance</w:t>
      </w:r>
      <w:r>
        <w:rPr>
          <w:rFonts w:asciiTheme="minorHAnsi" w:hAnsiTheme="minorHAnsi" w:cstheme="minorHAnsi"/>
        </w:rPr>
        <w:tab/>
        <w:t xml:space="preserve">125 </w:t>
      </w:r>
    </w:p>
    <w:p w:rsidR="00FA455C" w:rsidRDefault="00FA455C" w:rsidP="008835EB">
      <w:pPr>
        <w:spacing w:line="240" w:lineRule="auto"/>
        <w:rPr>
          <w:rFonts w:asciiTheme="minorHAnsi" w:hAnsiTheme="minorHAnsi" w:cstheme="minorHAnsi"/>
        </w:rPr>
      </w:pPr>
      <w:r>
        <w:rPr>
          <w:rFonts w:asciiTheme="minorHAnsi" w:hAnsiTheme="minorHAnsi" w:cstheme="minorHAnsi"/>
        </w:rPr>
        <w:t>1.1.</w:t>
      </w:r>
      <w:r>
        <w:rPr>
          <w:rFonts w:asciiTheme="minorHAnsi" w:hAnsiTheme="minorHAnsi" w:cstheme="minorHAnsi"/>
        </w:rPr>
        <w:tab/>
        <w:t>Expenses</w:t>
      </w:r>
      <w:r>
        <w:rPr>
          <w:rFonts w:asciiTheme="minorHAnsi" w:hAnsiTheme="minorHAnsi" w:cstheme="minorHAnsi"/>
        </w:rPr>
        <w:tab/>
        <w:t xml:space="preserve">125 </w:t>
      </w:r>
    </w:p>
    <w:p w:rsidR="00FA455C" w:rsidRDefault="00FA455C" w:rsidP="008835EB">
      <w:pPr>
        <w:spacing w:line="240" w:lineRule="auto"/>
        <w:rPr>
          <w:rFonts w:asciiTheme="minorHAnsi" w:hAnsiTheme="minorHAnsi" w:cstheme="minorHAnsi"/>
        </w:rPr>
      </w:pPr>
      <w:r>
        <w:rPr>
          <w:rFonts w:asciiTheme="minorHAnsi" w:hAnsiTheme="minorHAnsi" w:cstheme="minorHAnsi"/>
        </w:rPr>
        <w:t>1.2.</w:t>
      </w:r>
      <w:r>
        <w:rPr>
          <w:rFonts w:asciiTheme="minorHAnsi" w:hAnsiTheme="minorHAnsi" w:cstheme="minorHAnsi"/>
        </w:rPr>
        <w:tab/>
        <w:t>Income</w:t>
      </w:r>
      <w:r>
        <w:rPr>
          <w:rFonts w:asciiTheme="minorHAnsi" w:hAnsiTheme="minorHAnsi" w:cstheme="minorHAnsi"/>
        </w:rPr>
        <w:tab/>
        <w:t>127</w:t>
      </w:r>
    </w:p>
    <w:p w:rsidR="00FA455C" w:rsidRDefault="00FA455C" w:rsidP="008835EB">
      <w:pPr>
        <w:spacing w:line="240" w:lineRule="auto"/>
        <w:rPr>
          <w:rFonts w:asciiTheme="minorHAnsi" w:hAnsiTheme="minorHAnsi" w:cstheme="minorHAnsi"/>
        </w:rPr>
      </w:pPr>
      <w:r>
        <w:rPr>
          <w:rFonts w:asciiTheme="minorHAnsi" w:hAnsiTheme="minorHAnsi" w:cstheme="minorHAnsi"/>
        </w:rPr>
        <w:t>2. Income and Expenses Administered on Behalf of Government</w:t>
      </w:r>
      <w:r>
        <w:rPr>
          <w:rFonts w:asciiTheme="minorHAnsi" w:hAnsiTheme="minorHAnsi" w:cstheme="minorHAnsi"/>
        </w:rPr>
        <w:tab/>
        <w:t>129</w:t>
      </w:r>
    </w:p>
    <w:p w:rsidR="00FA455C" w:rsidRDefault="00FA455C" w:rsidP="008835EB">
      <w:pPr>
        <w:spacing w:line="240" w:lineRule="auto"/>
        <w:rPr>
          <w:rFonts w:asciiTheme="minorHAnsi" w:hAnsiTheme="minorHAnsi" w:cstheme="minorHAnsi"/>
        </w:rPr>
      </w:pPr>
      <w:r>
        <w:rPr>
          <w:rFonts w:asciiTheme="minorHAnsi" w:hAnsiTheme="minorHAnsi" w:cstheme="minorHAnsi"/>
        </w:rPr>
        <w:t>2.1.</w:t>
      </w:r>
      <w:r>
        <w:rPr>
          <w:rFonts w:asciiTheme="minorHAnsi" w:hAnsiTheme="minorHAnsi" w:cstheme="minorHAnsi"/>
        </w:rPr>
        <w:tab/>
        <w:t>Administered—Expenses</w:t>
      </w:r>
      <w:r>
        <w:rPr>
          <w:rFonts w:asciiTheme="minorHAnsi" w:hAnsiTheme="minorHAnsi" w:cstheme="minorHAnsi"/>
        </w:rPr>
        <w:tab/>
        <w:t xml:space="preserve">129 </w:t>
      </w:r>
    </w:p>
    <w:p w:rsidR="00FA455C" w:rsidRDefault="00FA455C" w:rsidP="008835EB">
      <w:pPr>
        <w:spacing w:line="240" w:lineRule="auto"/>
        <w:rPr>
          <w:rFonts w:asciiTheme="minorHAnsi" w:hAnsiTheme="minorHAnsi" w:cstheme="minorHAnsi"/>
        </w:rPr>
      </w:pPr>
      <w:r>
        <w:rPr>
          <w:rFonts w:asciiTheme="minorHAnsi" w:hAnsiTheme="minorHAnsi" w:cstheme="minorHAnsi"/>
        </w:rPr>
        <w:t>3. Departmental Financial Position</w:t>
      </w:r>
      <w:r>
        <w:rPr>
          <w:rFonts w:asciiTheme="minorHAnsi" w:hAnsiTheme="minorHAnsi" w:cstheme="minorHAnsi"/>
        </w:rPr>
        <w:tab/>
        <w:t xml:space="preserve">130 </w:t>
      </w:r>
    </w:p>
    <w:p w:rsidR="00FA455C" w:rsidRDefault="00FA455C" w:rsidP="008835EB">
      <w:pPr>
        <w:spacing w:line="240" w:lineRule="auto"/>
        <w:rPr>
          <w:rFonts w:asciiTheme="minorHAnsi" w:hAnsiTheme="minorHAnsi" w:cstheme="minorHAnsi"/>
        </w:rPr>
      </w:pPr>
      <w:r>
        <w:rPr>
          <w:rFonts w:asciiTheme="minorHAnsi" w:hAnsiTheme="minorHAnsi" w:cstheme="minorHAnsi"/>
        </w:rPr>
        <w:t>3.1.</w:t>
      </w:r>
      <w:r>
        <w:rPr>
          <w:rFonts w:asciiTheme="minorHAnsi" w:hAnsiTheme="minorHAnsi" w:cstheme="minorHAnsi"/>
        </w:rPr>
        <w:tab/>
        <w:t xml:space="preserve">Financial Assets </w:t>
      </w:r>
      <w:r>
        <w:rPr>
          <w:rFonts w:asciiTheme="minorHAnsi" w:hAnsiTheme="minorHAnsi" w:cstheme="minorHAnsi"/>
        </w:rPr>
        <w:tab/>
        <w:t xml:space="preserve">130 </w:t>
      </w:r>
    </w:p>
    <w:p w:rsidR="00FA455C" w:rsidRDefault="00FA455C" w:rsidP="008835EB">
      <w:pPr>
        <w:spacing w:line="240" w:lineRule="auto"/>
        <w:rPr>
          <w:rFonts w:asciiTheme="minorHAnsi" w:hAnsiTheme="minorHAnsi" w:cstheme="minorHAnsi"/>
        </w:rPr>
      </w:pPr>
      <w:r>
        <w:rPr>
          <w:rFonts w:asciiTheme="minorHAnsi" w:hAnsiTheme="minorHAnsi" w:cstheme="minorHAnsi"/>
        </w:rPr>
        <w:t>3.2.</w:t>
      </w:r>
      <w:r>
        <w:rPr>
          <w:rFonts w:asciiTheme="minorHAnsi" w:hAnsiTheme="minorHAnsi" w:cstheme="minorHAnsi"/>
        </w:rPr>
        <w:tab/>
        <w:t>Non-Financial Assets</w:t>
      </w:r>
      <w:r>
        <w:rPr>
          <w:rFonts w:asciiTheme="minorHAnsi" w:hAnsiTheme="minorHAnsi" w:cstheme="minorHAnsi"/>
        </w:rPr>
        <w:tab/>
        <w:t xml:space="preserve">132 </w:t>
      </w:r>
    </w:p>
    <w:p w:rsidR="00FA455C" w:rsidRDefault="00FA455C" w:rsidP="008835EB">
      <w:pPr>
        <w:spacing w:line="240" w:lineRule="auto"/>
        <w:rPr>
          <w:rFonts w:asciiTheme="minorHAnsi" w:hAnsiTheme="minorHAnsi" w:cstheme="minorHAnsi"/>
        </w:rPr>
      </w:pPr>
      <w:r>
        <w:rPr>
          <w:rFonts w:asciiTheme="minorHAnsi" w:hAnsiTheme="minorHAnsi" w:cstheme="minorHAnsi"/>
        </w:rPr>
        <w:t>3.3.</w:t>
      </w:r>
      <w:r>
        <w:rPr>
          <w:rFonts w:asciiTheme="minorHAnsi" w:hAnsiTheme="minorHAnsi" w:cstheme="minorHAnsi"/>
        </w:rPr>
        <w:tab/>
        <w:t>Payables</w:t>
      </w:r>
      <w:r>
        <w:rPr>
          <w:rFonts w:asciiTheme="minorHAnsi" w:hAnsiTheme="minorHAnsi" w:cstheme="minorHAnsi"/>
        </w:rPr>
        <w:tab/>
        <w:t xml:space="preserve">137 </w:t>
      </w:r>
    </w:p>
    <w:p w:rsidR="00FA455C" w:rsidRDefault="00FA455C" w:rsidP="008835EB">
      <w:pPr>
        <w:spacing w:line="240" w:lineRule="auto"/>
        <w:rPr>
          <w:rFonts w:asciiTheme="minorHAnsi" w:hAnsiTheme="minorHAnsi" w:cstheme="minorHAnsi"/>
        </w:rPr>
      </w:pPr>
      <w:r>
        <w:rPr>
          <w:rFonts w:asciiTheme="minorHAnsi" w:hAnsiTheme="minorHAnsi" w:cstheme="minorHAnsi"/>
        </w:rPr>
        <w:t>3.4.</w:t>
      </w:r>
      <w:r>
        <w:rPr>
          <w:rFonts w:asciiTheme="minorHAnsi" w:hAnsiTheme="minorHAnsi" w:cstheme="minorHAnsi"/>
        </w:rPr>
        <w:tab/>
        <w:t>Other Provisions</w:t>
      </w:r>
      <w:r>
        <w:rPr>
          <w:rFonts w:asciiTheme="minorHAnsi" w:hAnsiTheme="minorHAnsi" w:cstheme="minorHAnsi"/>
        </w:rPr>
        <w:tab/>
        <w:t xml:space="preserve">138 </w:t>
      </w:r>
    </w:p>
    <w:p w:rsidR="00FA455C" w:rsidRDefault="00FA455C" w:rsidP="008835EB">
      <w:pPr>
        <w:spacing w:line="240" w:lineRule="auto"/>
        <w:rPr>
          <w:rFonts w:asciiTheme="minorHAnsi" w:hAnsiTheme="minorHAnsi" w:cstheme="minorHAnsi"/>
        </w:rPr>
      </w:pPr>
      <w:r>
        <w:rPr>
          <w:rFonts w:asciiTheme="minorHAnsi" w:hAnsiTheme="minorHAnsi" w:cstheme="minorHAnsi"/>
        </w:rPr>
        <w:t>4. Assets and Liabilities Administered on Behalf of Government</w:t>
      </w:r>
      <w:r>
        <w:rPr>
          <w:rFonts w:asciiTheme="minorHAnsi" w:hAnsiTheme="minorHAnsi" w:cstheme="minorHAnsi"/>
        </w:rPr>
        <w:tab/>
        <w:t xml:space="preserve">139 </w:t>
      </w:r>
    </w:p>
    <w:p w:rsidR="00FA455C" w:rsidRDefault="00FA455C" w:rsidP="008835EB">
      <w:pPr>
        <w:spacing w:line="240" w:lineRule="auto"/>
        <w:rPr>
          <w:rFonts w:asciiTheme="minorHAnsi" w:hAnsiTheme="minorHAnsi" w:cstheme="minorHAnsi"/>
        </w:rPr>
      </w:pPr>
      <w:r>
        <w:rPr>
          <w:rFonts w:asciiTheme="minorHAnsi" w:hAnsiTheme="minorHAnsi" w:cstheme="minorHAnsi"/>
        </w:rPr>
        <w:t>4.1.</w:t>
      </w:r>
      <w:r>
        <w:rPr>
          <w:rFonts w:asciiTheme="minorHAnsi" w:hAnsiTheme="minorHAnsi" w:cstheme="minorHAnsi"/>
        </w:rPr>
        <w:tab/>
        <w:t>Administered—Financial Assets</w:t>
      </w:r>
      <w:r>
        <w:rPr>
          <w:rFonts w:asciiTheme="minorHAnsi" w:hAnsiTheme="minorHAnsi" w:cstheme="minorHAnsi"/>
        </w:rPr>
        <w:tab/>
        <w:t xml:space="preserve">139 </w:t>
      </w:r>
    </w:p>
    <w:p w:rsidR="00FA455C" w:rsidRDefault="00FA455C" w:rsidP="008835EB">
      <w:pPr>
        <w:spacing w:line="240" w:lineRule="auto"/>
        <w:rPr>
          <w:rFonts w:asciiTheme="minorHAnsi" w:hAnsiTheme="minorHAnsi" w:cstheme="minorHAnsi"/>
        </w:rPr>
      </w:pPr>
      <w:r>
        <w:rPr>
          <w:rFonts w:asciiTheme="minorHAnsi" w:hAnsiTheme="minorHAnsi" w:cstheme="minorHAnsi"/>
        </w:rPr>
        <w:t>4.2.</w:t>
      </w:r>
      <w:r>
        <w:rPr>
          <w:rFonts w:asciiTheme="minorHAnsi" w:hAnsiTheme="minorHAnsi" w:cstheme="minorHAnsi"/>
        </w:rPr>
        <w:tab/>
        <w:t>Administered—Payables</w:t>
      </w:r>
      <w:r>
        <w:rPr>
          <w:rFonts w:asciiTheme="minorHAnsi" w:hAnsiTheme="minorHAnsi" w:cstheme="minorHAnsi"/>
        </w:rPr>
        <w:tab/>
        <w:t xml:space="preserve">140 </w:t>
      </w:r>
    </w:p>
    <w:p w:rsidR="00FA455C" w:rsidRDefault="00FA455C" w:rsidP="008835EB">
      <w:pPr>
        <w:spacing w:line="240" w:lineRule="auto"/>
        <w:rPr>
          <w:rFonts w:asciiTheme="minorHAnsi" w:hAnsiTheme="minorHAnsi" w:cstheme="minorHAnsi"/>
        </w:rPr>
      </w:pPr>
      <w:r>
        <w:rPr>
          <w:rFonts w:asciiTheme="minorHAnsi" w:hAnsiTheme="minorHAnsi" w:cstheme="minorHAnsi"/>
        </w:rPr>
        <w:t>5. Funding</w:t>
      </w:r>
      <w:r>
        <w:rPr>
          <w:rFonts w:asciiTheme="minorHAnsi" w:hAnsiTheme="minorHAnsi" w:cstheme="minorHAnsi"/>
        </w:rPr>
        <w:tab/>
      </w:r>
      <w:r>
        <w:rPr>
          <w:rFonts w:asciiTheme="minorHAnsi" w:hAnsiTheme="minorHAnsi" w:cstheme="minorHAnsi"/>
        </w:rPr>
        <w:tab/>
        <w:t xml:space="preserve">142 </w:t>
      </w:r>
    </w:p>
    <w:p w:rsidR="00FA455C" w:rsidRDefault="00FA455C" w:rsidP="008835EB">
      <w:pPr>
        <w:spacing w:line="240" w:lineRule="auto"/>
        <w:rPr>
          <w:rFonts w:asciiTheme="minorHAnsi" w:hAnsiTheme="minorHAnsi" w:cstheme="minorHAnsi"/>
        </w:rPr>
      </w:pPr>
      <w:r>
        <w:rPr>
          <w:rFonts w:asciiTheme="minorHAnsi" w:hAnsiTheme="minorHAnsi" w:cstheme="minorHAnsi"/>
        </w:rPr>
        <w:t>5.1.</w:t>
      </w:r>
      <w:r>
        <w:rPr>
          <w:rFonts w:asciiTheme="minorHAnsi" w:hAnsiTheme="minorHAnsi" w:cstheme="minorHAnsi"/>
        </w:rPr>
        <w:tab/>
        <w:t>Appropriations</w:t>
      </w:r>
      <w:r>
        <w:rPr>
          <w:rFonts w:asciiTheme="minorHAnsi" w:hAnsiTheme="minorHAnsi" w:cstheme="minorHAnsi"/>
        </w:rPr>
        <w:tab/>
        <w:t xml:space="preserve">142 </w:t>
      </w:r>
    </w:p>
    <w:p w:rsidR="00FA455C" w:rsidRDefault="00FA455C" w:rsidP="008835EB">
      <w:pPr>
        <w:spacing w:line="240" w:lineRule="auto"/>
        <w:rPr>
          <w:rFonts w:asciiTheme="minorHAnsi" w:hAnsiTheme="minorHAnsi" w:cstheme="minorHAnsi"/>
        </w:rPr>
      </w:pPr>
      <w:r>
        <w:rPr>
          <w:rFonts w:asciiTheme="minorHAnsi" w:hAnsiTheme="minorHAnsi" w:cstheme="minorHAnsi"/>
        </w:rPr>
        <w:t>5.2.</w:t>
      </w:r>
      <w:r>
        <w:rPr>
          <w:rFonts w:asciiTheme="minorHAnsi" w:hAnsiTheme="minorHAnsi" w:cstheme="minorHAnsi"/>
        </w:rPr>
        <w:tab/>
        <w:t>Net Cash Appropriation Arrangements</w:t>
      </w:r>
      <w:r>
        <w:rPr>
          <w:rFonts w:asciiTheme="minorHAnsi" w:hAnsiTheme="minorHAnsi" w:cstheme="minorHAnsi"/>
        </w:rPr>
        <w:tab/>
        <w:t xml:space="preserve">146 </w:t>
      </w:r>
    </w:p>
    <w:p w:rsidR="00FA455C" w:rsidRDefault="00FA455C" w:rsidP="008835EB">
      <w:pPr>
        <w:spacing w:line="240" w:lineRule="auto"/>
        <w:rPr>
          <w:rFonts w:asciiTheme="minorHAnsi" w:hAnsiTheme="minorHAnsi" w:cstheme="minorHAnsi"/>
        </w:rPr>
      </w:pPr>
      <w:r>
        <w:rPr>
          <w:rFonts w:asciiTheme="minorHAnsi" w:hAnsiTheme="minorHAnsi" w:cstheme="minorHAnsi"/>
        </w:rPr>
        <w:t>5.3.</w:t>
      </w:r>
      <w:r>
        <w:rPr>
          <w:rFonts w:asciiTheme="minorHAnsi" w:hAnsiTheme="minorHAnsi" w:cstheme="minorHAnsi"/>
        </w:rPr>
        <w:tab/>
        <w:t>Cash Flow Reconciliation</w:t>
      </w:r>
      <w:r>
        <w:rPr>
          <w:rFonts w:asciiTheme="minorHAnsi" w:hAnsiTheme="minorHAnsi" w:cstheme="minorHAnsi"/>
        </w:rPr>
        <w:tab/>
        <w:t xml:space="preserve">147 </w:t>
      </w:r>
    </w:p>
    <w:p w:rsidR="00FA455C" w:rsidRDefault="00FA455C" w:rsidP="008835EB">
      <w:pPr>
        <w:spacing w:line="240" w:lineRule="auto"/>
        <w:rPr>
          <w:rFonts w:asciiTheme="minorHAnsi" w:hAnsiTheme="minorHAnsi" w:cstheme="minorHAnsi"/>
        </w:rPr>
      </w:pPr>
      <w:r>
        <w:rPr>
          <w:rFonts w:asciiTheme="minorHAnsi" w:hAnsiTheme="minorHAnsi" w:cstheme="minorHAnsi"/>
        </w:rPr>
        <w:t>6. People and Relationships</w:t>
      </w:r>
      <w:r>
        <w:rPr>
          <w:rFonts w:asciiTheme="minorHAnsi" w:hAnsiTheme="minorHAnsi" w:cstheme="minorHAnsi"/>
        </w:rPr>
        <w:tab/>
        <w:t xml:space="preserve">148 </w:t>
      </w:r>
    </w:p>
    <w:p w:rsidR="00FA455C" w:rsidRDefault="00FA455C" w:rsidP="008835EB">
      <w:pPr>
        <w:spacing w:line="240" w:lineRule="auto"/>
        <w:rPr>
          <w:rFonts w:asciiTheme="minorHAnsi" w:hAnsiTheme="minorHAnsi" w:cstheme="minorHAnsi"/>
        </w:rPr>
      </w:pPr>
      <w:r>
        <w:rPr>
          <w:rFonts w:asciiTheme="minorHAnsi" w:hAnsiTheme="minorHAnsi" w:cstheme="minorHAnsi"/>
        </w:rPr>
        <w:t>6.1.</w:t>
      </w:r>
      <w:r>
        <w:rPr>
          <w:rFonts w:asciiTheme="minorHAnsi" w:hAnsiTheme="minorHAnsi" w:cstheme="minorHAnsi"/>
        </w:rPr>
        <w:tab/>
        <w:t>Employee Provisions</w:t>
      </w:r>
      <w:r>
        <w:rPr>
          <w:rFonts w:asciiTheme="minorHAnsi" w:hAnsiTheme="minorHAnsi" w:cstheme="minorHAnsi"/>
        </w:rPr>
        <w:tab/>
        <w:t xml:space="preserve">148 </w:t>
      </w:r>
    </w:p>
    <w:p w:rsidR="00FA455C" w:rsidRDefault="00FA455C" w:rsidP="008835EB">
      <w:pPr>
        <w:spacing w:line="240" w:lineRule="auto"/>
        <w:rPr>
          <w:rFonts w:asciiTheme="minorHAnsi" w:hAnsiTheme="minorHAnsi" w:cstheme="minorHAnsi"/>
        </w:rPr>
      </w:pPr>
      <w:r>
        <w:rPr>
          <w:rFonts w:asciiTheme="minorHAnsi" w:hAnsiTheme="minorHAnsi" w:cstheme="minorHAnsi"/>
        </w:rPr>
        <w:t>6.2.</w:t>
      </w:r>
      <w:r>
        <w:rPr>
          <w:rFonts w:asciiTheme="minorHAnsi" w:hAnsiTheme="minorHAnsi" w:cstheme="minorHAnsi"/>
        </w:rPr>
        <w:tab/>
        <w:t>Senior Management Personnel Remuneration</w:t>
      </w:r>
      <w:r>
        <w:rPr>
          <w:rFonts w:asciiTheme="minorHAnsi" w:hAnsiTheme="minorHAnsi" w:cstheme="minorHAnsi"/>
        </w:rPr>
        <w:tab/>
        <w:t xml:space="preserve">149 </w:t>
      </w:r>
    </w:p>
    <w:p w:rsidR="00FA455C" w:rsidRDefault="00FA455C" w:rsidP="008835EB">
      <w:pPr>
        <w:spacing w:line="240" w:lineRule="auto"/>
        <w:rPr>
          <w:rFonts w:asciiTheme="minorHAnsi" w:hAnsiTheme="minorHAnsi" w:cstheme="minorHAnsi"/>
        </w:rPr>
      </w:pPr>
      <w:r>
        <w:rPr>
          <w:rFonts w:asciiTheme="minorHAnsi" w:hAnsiTheme="minorHAnsi" w:cstheme="minorHAnsi"/>
        </w:rPr>
        <w:t>7. Managing Uncertainties</w:t>
      </w:r>
      <w:r>
        <w:rPr>
          <w:rFonts w:asciiTheme="minorHAnsi" w:hAnsiTheme="minorHAnsi" w:cstheme="minorHAnsi"/>
        </w:rPr>
        <w:tab/>
        <w:t xml:space="preserve">150 </w:t>
      </w:r>
    </w:p>
    <w:p w:rsidR="00FA455C" w:rsidRDefault="00FA455C" w:rsidP="008835EB">
      <w:pPr>
        <w:spacing w:line="240" w:lineRule="auto"/>
        <w:rPr>
          <w:rFonts w:asciiTheme="minorHAnsi" w:hAnsiTheme="minorHAnsi" w:cstheme="minorHAnsi"/>
        </w:rPr>
      </w:pPr>
      <w:r>
        <w:rPr>
          <w:rFonts w:asciiTheme="minorHAnsi" w:hAnsiTheme="minorHAnsi" w:cstheme="minorHAnsi"/>
        </w:rPr>
        <w:t>7.1.</w:t>
      </w:r>
      <w:r>
        <w:rPr>
          <w:rFonts w:asciiTheme="minorHAnsi" w:hAnsiTheme="minorHAnsi" w:cstheme="minorHAnsi"/>
        </w:rPr>
        <w:tab/>
        <w:t>Contingent Assets and Liabilities</w:t>
      </w:r>
      <w:r>
        <w:rPr>
          <w:rFonts w:asciiTheme="minorHAnsi" w:hAnsiTheme="minorHAnsi" w:cstheme="minorHAnsi"/>
        </w:rPr>
        <w:tab/>
        <w:t xml:space="preserve">151 </w:t>
      </w:r>
    </w:p>
    <w:p w:rsidR="00FA455C" w:rsidRDefault="00FA455C" w:rsidP="008835EB">
      <w:pPr>
        <w:spacing w:line="240" w:lineRule="auto"/>
        <w:rPr>
          <w:rFonts w:asciiTheme="minorHAnsi" w:hAnsiTheme="minorHAnsi" w:cstheme="minorHAnsi"/>
        </w:rPr>
      </w:pPr>
      <w:r>
        <w:rPr>
          <w:rFonts w:asciiTheme="minorHAnsi" w:hAnsiTheme="minorHAnsi" w:cstheme="minorHAnsi"/>
        </w:rPr>
        <w:t>7.2.</w:t>
      </w:r>
      <w:r>
        <w:rPr>
          <w:rFonts w:asciiTheme="minorHAnsi" w:hAnsiTheme="minorHAnsi" w:cstheme="minorHAnsi"/>
        </w:rPr>
        <w:tab/>
        <w:t>Financial Instruments</w:t>
      </w:r>
      <w:r>
        <w:rPr>
          <w:rFonts w:asciiTheme="minorHAnsi" w:hAnsiTheme="minorHAnsi" w:cstheme="minorHAnsi"/>
        </w:rPr>
        <w:tab/>
        <w:t xml:space="preserve">152 </w:t>
      </w:r>
    </w:p>
    <w:p w:rsidR="00FA455C" w:rsidRDefault="00FA455C" w:rsidP="008835EB">
      <w:pPr>
        <w:spacing w:line="240" w:lineRule="auto"/>
        <w:rPr>
          <w:rFonts w:asciiTheme="minorHAnsi" w:hAnsiTheme="minorHAnsi" w:cstheme="minorHAnsi"/>
        </w:rPr>
      </w:pPr>
      <w:r>
        <w:rPr>
          <w:rFonts w:asciiTheme="minorHAnsi" w:hAnsiTheme="minorHAnsi" w:cstheme="minorHAnsi"/>
        </w:rPr>
        <w:t>7.3.</w:t>
      </w:r>
      <w:r>
        <w:rPr>
          <w:rFonts w:asciiTheme="minorHAnsi" w:hAnsiTheme="minorHAnsi" w:cstheme="minorHAnsi"/>
        </w:rPr>
        <w:tab/>
        <w:t xml:space="preserve">Administered—Financial Instruments </w:t>
      </w:r>
      <w:r>
        <w:rPr>
          <w:rFonts w:asciiTheme="minorHAnsi" w:hAnsiTheme="minorHAnsi" w:cstheme="minorHAnsi"/>
        </w:rPr>
        <w:tab/>
        <w:t xml:space="preserve">156 </w:t>
      </w:r>
    </w:p>
    <w:p w:rsidR="00FA455C" w:rsidRDefault="00FA455C" w:rsidP="008835EB">
      <w:pPr>
        <w:spacing w:line="240" w:lineRule="auto"/>
        <w:rPr>
          <w:rFonts w:asciiTheme="minorHAnsi" w:hAnsiTheme="minorHAnsi" w:cstheme="minorHAnsi"/>
        </w:rPr>
      </w:pPr>
      <w:r>
        <w:rPr>
          <w:rFonts w:asciiTheme="minorHAnsi" w:hAnsiTheme="minorHAnsi" w:cstheme="minorHAnsi"/>
        </w:rPr>
        <w:t>7.4.</w:t>
      </w:r>
      <w:r>
        <w:rPr>
          <w:rFonts w:asciiTheme="minorHAnsi" w:hAnsiTheme="minorHAnsi" w:cstheme="minorHAnsi"/>
        </w:rPr>
        <w:tab/>
        <w:t>Fair Value Measurement</w:t>
      </w:r>
      <w:r>
        <w:rPr>
          <w:rFonts w:asciiTheme="minorHAnsi" w:hAnsiTheme="minorHAnsi" w:cstheme="minorHAnsi"/>
        </w:rPr>
        <w:tab/>
        <w:t xml:space="preserve">159 </w:t>
      </w:r>
    </w:p>
    <w:p w:rsidR="00FA455C" w:rsidRDefault="00FA455C" w:rsidP="008835EB">
      <w:pPr>
        <w:spacing w:line="240" w:lineRule="auto"/>
        <w:rPr>
          <w:rFonts w:asciiTheme="minorHAnsi" w:hAnsiTheme="minorHAnsi" w:cstheme="minorHAnsi"/>
        </w:rPr>
      </w:pPr>
      <w:r>
        <w:rPr>
          <w:rFonts w:asciiTheme="minorHAnsi" w:hAnsiTheme="minorHAnsi" w:cstheme="minorHAnsi"/>
        </w:rPr>
        <w:t>7.5.</w:t>
      </w:r>
      <w:r>
        <w:rPr>
          <w:rFonts w:asciiTheme="minorHAnsi" w:hAnsiTheme="minorHAnsi" w:cstheme="minorHAnsi"/>
        </w:rPr>
        <w:tab/>
        <w:t>Administered—Fair Value Measurement</w:t>
      </w:r>
      <w:r>
        <w:rPr>
          <w:rFonts w:asciiTheme="minorHAnsi" w:hAnsiTheme="minorHAnsi" w:cstheme="minorHAnsi"/>
        </w:rPr>
        <w:tab/>
        <w:t xml:space="preserve">162 </w:t>
      </w:r>
    </w:p>
    <w:p w:rsidR="00FA455C" w:rsidRDefault="00FA455C" w:rsidP="008835EB">
      <w:pPr>
        <w:spacing w:line="240" w:lineRule="auto"/>
        <w:rPr>
          <w:rFonts w:asciiTheme="minorHAnsi" w:hAnsiTheme="minorHAnsi" w:cstheme="minorHAnsi"/>
        </w:rPr>
      </w:pPr>
      <w:r>
        <w:rPr>
          <w:rFonts w:asciiTheme="minorHAnsi" w:hAnsiTheme="minorHAnsi" w:cstheme="minorHAnsi"/>
        </w:rPr>
        <w:t>8. Other Information</w:t>
      </w:r>
      <w:r>
        <w:rPr>
          <w:rFonts w:asciiTheme="minorHAnsi" w:hAnsiTheme="minorHAnsi" w:cstheme="minorHAnsi"/>
        </w:rPr>
        <w:tab/>
        <w:t xml:space="preserve">163 </w:t>
      </w:r>
    </w:p>
    <w:p w:rsidR="00FA455C" w:rsidRDefault="00FA455C" w:rsidP="008835EB">
      <w:pPr>
        <w:spacing w:line="240" w:lineRule="auto"/>
        <w:rPr>
          <w:rFonts w:asciiTheme="minorHAnsi" w:hAnsiTheme="minorHAnsi" w:cstheme="minorHAnsi"/>
        </w:rPr>
      </w:pPr>
      <w:r>
        <w:rPr>
          <w:rFonts w:asciiTheme="minorHAnsi" w:hAnsiTheme="minorHAnsi" w:cstheme="minorHAnsi"/>
        </w:rPr>
        <w:t>8.1.</w:t>
      </w:r>
      <w:r>
        <w:rPr>
          <w:rFonts w:asciiTheme="minorHAnsi" w:hAnsiTheme="minorHAnsi" w:cstheme="minorHAnsi"/>
        </w:rPr>
        <w:tab/>
        <w:t xml:space="preserve">Reporting of Outcomes </w:t>
      </w:r>
      <w:r>
        <w:rPr>
          <w:rFonts w:asciiTheme="minorHAnsi" w:hAnsiTheme="minorHAnsi" w:cstheme="minorHAnsi"/>
        </w:rPr>
        <w:tab/>
        <w:t xml:space="preserve">163 </w:t>
      </w:r>
    </w:p>
    <w:p w:rsidR="008835EB" w:rsidRPr="00EB0969" w:rsidRDefault="008835EB" w:rsidP="008835EB">
      <w:pPr>
        <w:spacing w:line="240" w:lineRule="auto"/>
        <w:rPr>
          <w:rFonts w:asciiTheme="minorHAnsi" w:hAnsiTheme="minorHAnsi" w:cstheme="minorHAnsi"/>
        </w:rPr>
      </w:pPr>
    </w:p>
    <w:p w:rsidR="008835EB" w:rsidRDefault="008835EB" w:rsidP="008835EB">
      <w:pPr>
        <w:spacing w:line="240" w:lineRule="auto"/>
        <w:sectPr w:rsidR="008835EB" w:rsidSect="00F74C23">
          <w:headerReference w:type="even" r:id="rId45"/>
          <w:headerReference w:type="default" r:id="rId46"/>
          <w:footerReference w:type="default" r:id="rId47"/>
          <w:headerReference w:type="first" r:id="rId48"/>
          <w:type w:val="continuous"/>
          <w:pgSz w:w="11906" w:h="16838"/>
          <w:pgMar w:top="1134" w:right="964" w:bottom="1134" w:left="1134" w:header="958" w:footer="737" w:gutter="0"/>
          <w:cols w:space="720"/>
          <w:docGrid w:linePitch="245"/>
        </w:sectPr>
      </w:pPr>
      <w:r>
        <w:rPr>
          <w:rFonts w:asciiTheme="minorHAnsi" w:hAnsiTheme="minorHAnsi" w:cstheme="minorHAnsi"/>
        </w:rPr>
        <w:br w:type="page"/>
      </w:r>
    </w:p>
    <w:p w:rsidR="008835EB" w:rsidRDefault="008835EB" w:rsidP="008835EB">
      <w:pPr>
        <w:pStyle w:val="SectionHeading"/>
        <w:numPr>
          <w:ilvl w:val="0"/>
          <w:numId w:val="0"/>
        </w:numPr>
      </w:pPr>
      <w:bookmarkStart w:id="104" w:name="_Toc456689840"/>
      <w:r>
        <w:lastRenderedPageBreak/>
        <w:t>Overview</w:t>
      </w:r>
      <w:bookmarkEnd w:id="104"/>
      <w:r>
        <w:t xml:space="preserve"> </w:t>
      </w:r>
    </w:p>
    <w:p w:rsidR="008835EB" w:rsidRPr="00F257CA" w:rsidRDefault="008835EB" w:rsidP="008835EB">
      <w:pPr>
        <w:pStyle w:val="Finnotesheading1"/>
      </w:pPr>
      <w:r w:rsidRPr="00F257CA">
        <w:t xml:space="preserve">Objectives of the </w:t>
      </w:r>
      <w:r w:rsidR="00FA455C">
        <w:t>Department of Employment</w:t>
      </w:r>
    </w:p>
    <w:p w:rsidR="008835EB" w:rsidRPr="00200687" w:rsidRDefault="008835EB" w:rsidP="008835EB">
      <w:pPr>
        <w:pStyle w:val="ReportText"/>
      </w:pPr>
      <w:r w:rsidRPr="00200687">
        <w:t xml:space="preserve">The </w:t>
      </w:r>
      <w:r w:rsidR="00FA455C">
        <w:t>Department of Employment</w:t>
      </w:r>
      <w:r w:rsidRPr="00200687">
        <w:t xml:space="preserve"> is an Australian</w:t>
      </w:r>
      <w:r>
        <w:t xml:space="preserve"> Government controlled entity. </w:t>
      </w:r>
      <w:r w:rsidRPr="00200687">
        <w:t>It is a not-for-profit entity.</w:t>
      </w:r>
    </w:p>
    <w:p w:rsidR="008835EB" w:rsidRPr="00200687" w:rsidRDefault="008835EB" w:rsidP="008835EB">
      <w:pPr>
        <w:pStyle w:val="ReportText"/>
      </w:pPr>
      <w:r>
        <w:t>The D</w:t>
      </w:r>
      <w:r w:rsidRPr="00200687">
        <w:t xml:space="preserve">epartment provides advice to the Government and administers programs to achieve the Government’s objectives to create more jobs and increase productivity. The </w:t>
      </w:r>
      <w:r>
        <w:t>D</w:t>
      </w:r>
      <w:r w:rsidRPr="00200687">
        <w:t xml:space="preserve">epartment works in partnership with the states and territories, </w:t>
      </w:r>
      <w:r>
        <w:br/>
      </w:r>
      <w:r w:rsidRPr="00200687">
        <w:t>non-gov</w:t>
      </w:r>
      <w:r>
        <w:t>ernment authorities, jobactive</w:t>
      </w:r>
      <w:r w:rsidRPr="00200687">
        <w:t xml:space="preserve"> providers and industry.</w:t>
      </w:r>
    </w:p>
    <w:p w:rsidR="008835EB" w:rsidRPr="00200687" w:rsidRDefault="008835EB" w:rsidP="008835EB">
      <w:pPr>
        <w:pStyle w:val="ReportText"/>
      </w:pPr>
      <w:r>
        <w:t>The D</w:t>
      </w:r>
      <w:r w:rsidRPr="00200687">
        <w:t>epartment is structured to meet the following outcomes:</w:t>
      </w:r>
    </w:p>
    <w:p w:rsidR="008835EB" w:rsidRPr="00EB056B" w:rsidRDefault="008835EB" w:rsidP="008835EB">
      <w:pPr>
        <w:pStyle w:val="ReportText"/>
        <w:ind w:left="1418" w:hanging="851"/>
      </w:pPr>
      <w:r w:rsidRPr="00EB056B">
        <w:t xml:space="preserve">Outcome 1: Fostering a productive and competitive labour market </w:t>
      </w:r>
      <w:r>
        <w:t xml:space="preserve">through employment policies and programs </w:t>
      </w:r>
      <w:r w:rsidRPr="00EB056B">
        <w:t>that assist job seekers into work, meet employer needs and</w:t>
      </w:r>
      <w:r>
        <w:t xml:space="preserve"> increase Australia’s workforce </w:t>
      </w:r>
      <w:r w:rsidRPr="00EB056B">
        <w:t>participation.</w:t>
      </w:r>
    </w:p>
    <w:p w:rsidR="008835EB" w:rsidRPr="00EB056B" w:rsidRDefault="008835EB" w:rsidP="008835EB">
      <w:pPr>
        <w:pStyle w:val="ReportText"/>
        <w:ind w:left="851" w:hanging="284"/>
      </w:pPr>
      <w:r w:rsidRPr="00EB056B">
        <w:t>Outcome 2: Facilitating jobs growth through policies that promote fair, productive and safe workplaces.</w:t>
      </w:r>
    </w:p>
    <w:p w:rsidR="008835EB" w:rsidRPr="00200687" w:rsidRDefault="008835EB" w:rsidP="008835EB">
      <w:pPr>
        <w:pStyle w:val="ReportText"/>
      </w:pPr>
      <w:r w:rsidRPr="00200687">
        <w:t>The continued existence of the department in its present form and with its present programs is dependent on Government policy and on continuing funding by Parliament for the department’s administration and programs.</w:t>
      </w:r>
    </w:p>
    <w:p w:rsidR="008835EB" w:rsidRPr="00200687" w:rsidRDefault="008835EB" w:rsidP="008835EB">
      <w:pPr>
        <w:pStyle w:val="ReportText"/>
        <w:ind w:right="567"/>
      </w:pPr>
      <w:r w:rsidRPr="00200687">
        <w:t xml:space="preserve">The </w:t>
      </w:r>
      <w:r>
        <w:t>D</w:t>
      </w:r>
      <w:r w:rsidRPr="00200687">
        <w:t>epartment’s activities contributing toward these outcomes are classified as either</w:t>
      </w:r>
      <w:r>
        <w:t xml:space="preserve"> departmental or administered. </w:t>
      </w:r>
      <w:r w:rsidRPr="00200687">
        <w:t>Departmental activities involve the use of assets, liabilities, income and expenses controlled or incurred by th</w:t>
      </w:r>
      <w:r>
        <w:t xml:space="preserve">e Department in its own right. </w:t>
      </w:r>
      <w:r w:rsidRPr="00200687">
        <w:t>Administered activities involve the management or oversight by the department, on behalf of the Government, of items controlled or incurred by the Government.</w:t>
      </w:r>
    </w:p>
    <w:p w:rsidR="008835EB" w:rsidRPr="00393F4E" w:rsidRDefault="008835EB" w:rsidP="008835EB">
      <w:pPr>
        <w:pStyle w:val="ReportText"/>
      </w:pPr>
      <w:r>
        <w:t>The D</w:t>
      </w:r>
      <w:r w:rsidRPr="00393F4E">
        <w:t>epartment conducts the following administered activities on behalf of the Government:</w:t>
      </w:r>
    </w:p>
    <w:p w:rsidR="008835EB" w:rsidRPr="00412C66" w:rsidRDefault="008835EB" w:rsidP="008835EB">
      <w:pPr>
        <w:pStyle w:val="ReportText"/>
        <w:numPr>
          <w:ilvl w:val="0"/>
          <w:numId w:val="12"/>
        </w:numPr>
        <w:tabs>
          <w:tab w:val="clear" w:pos="340"/>
          <w:tab w:val="num" w:pos="567"/>
        </w:tabs>
        <w:ind w:left="567"/>
      </w:pPr>
      <w:proofErr w:type="gramStart"/>
      <w:r w:rsidRPr="00412C66">
        <w:t>aid</w:t>
      </w:r>
      <w:proofErr w:type="gramEnd"/>
      <w:r w:rsidRPr="00412C66">
        <w:t xml:space="preserve"> the gaining of paid employment, delivering benefits for individuals, their families and t</w:t>
      </w:r>
      <w:r>
        <w:t>he community through jobactive</w:t>
      </w:r>
      <w:r w:rsidRPr="00412C66">
        <w:t xml:space="preserve"> providers.</w:t>
      </w:r>
    </w:p>
    <w:p w:rsidR="008835EB" w:rsidRPr="00412C66" w:rsidRDefault="008835EB" w:rsidP="008835EB">
      <w:pPr>
        <w:pStyle w:val="ReportText"/>
        <w:numPr>
          <w:ilvl w:val="0"/>
          <w:numId w:val="12"/>
        </w:numPr>
        <w:tabs>
          <w:tab w:val="clear" w:pos="340"/>
          <w:tab w:val="num" w:pos="567"/>
        </w:tabs>
        <w:ind w:left="567"/>
      </w:pPr>
      <w:proofErr w:type="gramStart"/>
      <w:r w:rsidRPr="00412C66">
        <w:t>provide</w:t>
      </w:r>
      <w:proofErr w:type="gramEnd"/>
      <w:r w:rsidRPr="00412C66">
        <w:t xml:space="preserve"> advice and support on the national workplace relations system that encourages employers and employees to agree, and productive and competitive working arrangements to support jobs growth, and advise on workplace health and safety and workers compensation.</w:t>
      </w:r>
    </w:p>
    <w:p w:rsidR="008835EB" w:rsidRPr="00F257CA" w:rsidRDefault="008835EB" w:rsidP="008835EB">
      <w:pPr>
        <w:pStyle w:val="Finnotesheading1"/>
      </w:pPr>
      <w:r w:rsidRPr="00F257CA">
        <w:t>Basis of Preparation of the Financial Statements</w:t>
      </w:r>
    </w:p>
    <w:p w:rsidR="008835EB" w:rsidRPr="00200687" w:rsidRDefault="008835EB" w:rsidP="008835EB">
      <w:pPr>
        <w:pStyle w:val="ReportText"/>
      </w:pPr>
      <w:r w:rsidRPr="00200687">
        <w:t xml:space="preserve">The financial statements are general purpose financial statements and are required by section 42 of the </w:t>
      </w:r>
      <w:r w:rsidRPr="00BD571A">
        <w:rPr>
          <w:i/>
        </w:rPr>
        <w:t>Public Governance, Performance and Accountability Act 2013</w:t>
      </w:r>
      <w:r w:rsidRPr="00200687">
        <w:t>.</w:t>
      </w:r>
    </w:p>
    <w:p w:rsidR="008835EB" w:rsidRPr="00200687" w:rsidRDefault="008835EB" w:rsidP="008835EB">
      <w:pPr>
        <w:pStyle w:val="ReportText"/>
      </w:pPr>
      <w:r w:rsidRPr="00200687">
        <w:t>The financial statements and notes have been prepared in accordance with:</w:t>
      </w:r>
    </w:p>
    <w:p w:rsidR="008835EB" w:rsidRPr="00200687" w:rsidRDefault="008835EB" w:rsidP="008835EB">
      <w:pPr>
        <w:pStyle w:val="ReportText"/>
        <w:numPr>
          <w:ilvl w:val="0"/>
          <w:numId w:val="11"/>
        </w:numPr>
        <w:tabs>
          <w:tab w:val="clear" w:pos="340"/>
          <w:tab w:val="num" w:pos="709"/>
        </w:tabs>
        <w:ind w:left="567"/>
      </w:pPr>
      <w:r w:rsidRPr="00200687">
        <w:t>Financial Reporting Rule (</w:t>
      </w:r>
      <w:proofErr w:type="spellStart"/>
      <w:r w:rsidRPr="00200687">
        <w:t>FRR</w:t>
      </w:r>
      <w:proofErr w:type="spellEnd"/>
      <w:r w:rsidRPr="00200687">
        <w:t>) for reporting period</w:t>
      </w:r>
      <w:r>
        <w:t xml:space="preserve">s ending on or after 1 July 2015; </w:t>
      </w:r>
      <w:r w:rsidRPr="00200687">
        <w:t>and</w:t>
      </w:r>
    </w:p>
    <w:p w:rsidR="008835EB" w:rsidRPr="00200687" w:rsidRDefault="008835EB" w:rsidP="008835EB">
      <w:pPr>
        <w:pStyle w:val="ReportText"/>
        <w:numPr>
          <w:ilvl w:val="0"/>
          <w:numId w:val="11"/>
        </w:numPr>
        <w:tabs>
          <w:tab w:val="clear" w:pos="340"/>
          <w:tab w:val="num" w:pos="709"/>
        </w:tabs>
        <w:ind w:left="567"/>
      </w:pPr>
      <w:r w:rsidRPr="00200687">
        <w:t>Australian Accounting Standards and Interpretations issued by the Australian Accounting Standards Board (</w:t>
      </w:r>
      <w:proofErr w:type="spellStart"/>
      <w:r w:rsidRPr="00200687">
        <w:t>AASB</w:t>
      </w:r>
      <w:proofErr w:type="spellEnd"/>
      <w:r w:rsidRPr="00200687">
        <w:t>) that apply for the reporting period.</w:t>
      </w:r>
    </w:p>
    <w:p w:rsidR="008835EB" w:rsidRPr="00EC4298" w:rsidRDefault="008835EB" w:rsidP="008835EB">
      <w:pPr>
        <w:pStyle w:val="ReportText"/>
      </w:pPr>
      <w:r w:rsidRPr="00EC4298">
        <w:t>The financial statements have been prepared on an accrual basis and are in accordance with the historical cost convention, except for certain assets and liabilities at fair value. Except where stated, no allowance is made for the effect of changing prices on the results or the financial position.</w:t>
      </w:r>
    </w:p>
    <w:p w:rsidR="008835EB" w:rsidRPr="00EC4298" w:rsidRDefault="008835EB" w:rsidP="008835EB">
      <w:pPr>
        <w:pStyle w:val="ReportText"/>
      </w:pPr>
      <w:r w:rsidRPr="00EC4298">
        <w:t>The financial statements are presented in Australian dollars and values are rounded to the nearest thousand dollars unless otherwise specified.</w:t>
      </w:r>
    </w:p>
    <w:p w:rsidR="008835EB" w:rsidRPr="00EC4298" w:rsidRDefault="008835EB" w:rsidP="008835EB">
      <w:pPr>
        <w:pStyle w:val="ReportText"/>
        <w:ind w:right="567"/>
      </w:pPr>
      <w:r w:rsidRPr="00EC4298">
        <w:t xml:space="preserve">Unless an alternative treatment is specifically required by an accounting standard or the </w:t>
      </w:r>
      <w:proofErr w:type="spellStart"/>
      <w:r w:rsidRPr="00EC4298">
        <w:t>FRRs</w:t>
      </w:r>
      <w:proofErr w:type="spellEnd"/>
      <w:r w:rsidRPr="00EC4298">
        <w:t>, assets and liabilities are recognised in the Statement of Financial Position when and only when it is probable that future economic benefits will flow to the department or a future sacrifice of economic benefits will be required and the amounts of the assets or liabil</w:t>
      </w:r>
      <w:r>
        <w:t>ities can be reliably measured.</w:t>
      </w:r>
      <w:r w:rsidRPr="00EC4298">
        <w:t xml:space="preserve"> However, assets and liabilities arising under executor contracts are not recognised unless required by an acco</w:t>
      </w:r>
      <w:r>
        <w:t>unting standard.</w:t>
      </w:r>
      <w:r w:rsidRPr="00EC4298">
        <w:t xml:space="preserve"> Liabilities and assets that are unrecognised are reported in the Schedule of Commitments or the Contingencies note.</w:t>
      </w:r>
    </w:p>
    <w:p w:rsidR="008835EB" w:rsidRDefault="008835EB" w:rsidP="008835EB">
      <w:pPr>
        <w:pStyle w:val="ReportText"/>
      </w:pPr>
      <w:proofErr w:type="gramStart"/>
      <w:r w:rsidRPr="00200687">
        <w:t>Unless alternative treatment is specifically required by an accounting standard, income and expenses are recognised in the Statement of Comprehensive Income when and only when the flow, consumption or loss of economic benefits has occurred and can be reliably measured.</w:t>
      </w:r>
      <w:proofErr w:type="gramEnd"/>
    </w:p>
    <w:p w:rsidR="008835EB" w:rsidRPr="00F257CA" w:rsidRDefault="008835EB" w:rsidP="008835EB">
      <w:pPr>
        <w:pStyle w:val="Finnotesheading1"/>
      </w:pPr>
      <w:r w:rsidRPr="00F257CA">
        <w:t>Significant Acco</w:t>
      </w:r>
      <w:r>
        <w:t>unting Judgements and Estimates</w:t>
      </w:r>
    </w:p>
    <w:p w:rsidR="008835EB" w:rsidRPr="00306508" w:rsidRDefault="008835EB" w:rsidP="008835EB">
      <w:pPr>
        <w:pStyle w:val="ReportText"/>
      </w:pPr>
      <w:r w:rsidRPr="00200687">
        <w:t>In the process of applying the accounting policies listed in this note, the department has made</w:t>
      </w:r>
      <w:r>
        <w:t xml:space="preserve"> and relied on </w:t>
      </w:r>
      <w:r w:rsidRPr="00200687">
        <w:t xml:space="preserve">the following judgements </w:t>
      </w:r>
      <w:r w:rsidRPr="00306508">
        <w:t>that have the most significant impact on the amounts recorded in the financial statements:</w:t>
      </w:r>
    </w:p>
    <w:p w:rsidR="008835EB" w:rsidRPr="00306508" w:rsidRDefault="008835EB" w:rsidP="008835EB">
      <w:pPr>
        <w:pStyle w:val="ReportText"/>
        <w:numPr>
          <w:ilvl w:val="0"/>
          <w:numId w:val="12"/>
        </w:numPr>
        <w:tabs>
          <w:tab w:val="clear" w:pos="340"/>
          <w:tab w:val="num" w:pos="567"/>
        </w:tabs>
        <w:spacing w:before="0" w:after="0"/>
        <w:ind w:left="567"/>
      </w:pPr>
      <w:r w:rsidRPr="00306508">
        <w:t>the fair value of leasehold improvements and infrastructure, plant and equipment has been taken to be the market value of similar items as determin</w:t>
      </w:r>
      <w:r>
        <w:t xml:space="preserve">ed by an independent </w:t>
      </w:r>
      <w:proofErr w:type="spellStart"/>
      <w:r>
        <w:t>valuer</w:t>
      </w:r>
      <w:proofErr w:type="spellEnd"/>
      <w:r>
        <w:t xml:space="preserve">; </w:t>
      </w:r>
    </w:p>
    <w:p w:rsidR="008835EB" w:rsidRDefault="008835EB" w:rsidP="008835EB">
      <w:pPr>
        <w:pStyle w:val="ReportText"/>
        <w:numPr>
          <w:ilvl w:val="0"/>
          <w:numId w:val="12"/>
        </w:numPr>
        <w:tabs>
          <w:tab w:val="clear" w:pos="340"/>
          <w:tab w:val="num" w:pos="567"/>
        </w:tabs>
        <w:spacing w:before="0" w:after="0"/>
        <w:ind w:left="567"/>
      </w:pPr>
      <w:proofErr w:type="gramStart"/>
      <w:r w:rsidRPr="00306508">
        <w:t>the</w:t>
      </w:r>
      <w:proofErr w:type="gramEnd"/>
      <w:r w:rsidRPr="00306508">
        <w:t xml:space="preserve"> liability for long service leave has been estimated using an actuarial assessment </w:t>
      </w:r>
      <w:r>
        <w:t xml:space="preserve">based on the </w:t>
      </w:r>
      <w:proofErr w:type="spellStart"/>
      <w:r>
        <w:t>FRR</w:t>
      </w:r>
      <w:proofErr w:type="spellEnd"/>
      <w:r>
        <w:t xml:space="preserve"> requirements. </w:t>
      </w:r>
      <w:r w:rsidRPr="00306508">
        <w:t>This takes into account expected salary growth, attrition and future discounting using the government bo</w:t>
      </w:r>
      <w:r>
        <w:t xml:space="preserve">nd rates; </w:t>
      </w:r>
    </w:p>
    <w:p w:rsidR="008835EB" w:rsidRDefault="008835EB" w:rsidP="008835EB">
      <w:pPr>
        <w:pStyle w:val="ReportText"/>
        <w:numPr>
          <w:ilvl w:val="0"/>
          <w:numId w:val="12"/>
        </w:numPr>
        <w:tabs>
          <w:tab w:val="clear" w:pos="340"/>
          <w:tab w:val="num" w:pos="567"/>
        </w:tabs>
        <w:spacing w:before="0" w:after="0"/>
        <w:ind w:left="567"/>
      </w:pPr>
      <w:r w:rsidRPr="00983425">
        <w:t xml:space="preserve">the jobactive and the Job Commitment Bonus accruals </w:t>
      </w:r>
      <w:r>
        <w:t xml:space="preserve">for Supplier and Subsidies expense, </w:t>
      </w:r>
      <w:r w:rsidRPr="00983425">
        <w:t>developed by the Department have been reviewed by an independent</w:t>
      </w:r>
      <w:r>
        <w:t xml:space="preserve"> actuary;</w:t>
      </w:r>
    </w:p>
    <w:p w:rsidR="008835EB" w:rsidRDefault="008835EB" w:rsidP="008835EB">
      <w:pPr>
        <w:pStyle w:val="ReportText"/>
        <w:numPr>
          <w:ilvl w:val="0"/>
          <w:numId w:val="12"/>
        </w:numPr>
        <w:tabs>
          <w:tab w:val="clear" w:pos="340"/>
          <w:tab w:val="num" w:pos="567"/>
        </w:tabs>
        <w:spacing w:before="0" w:after="0"/>
        <w:ind w:left="567"/>
      </w:pPr>
      <w:r>
        <w:lastRenderedPageBreak/>
        <w:t xml:space="preserve">the Department relies on the work of actuaries engaged by </w:t>
      </w:r>
      <w:proofErr w:type="spellStart"/>
      <w:r>
        <w:t>Comcare</w:t>
      </w:r>
      <w:proofErr w:type="spellEnd"/>
      <w:r>
        <w:t xml:space="preserve"> relating to balances for Other Payables; and</w:t>
      </w:r>
    </w:p>
    <w:p w:rsidR="008835EB" w:rsidRDefault="008835EB" w:rsidP="008835EB">
      <w:pPr>
        <w:pStyle w:val="ReportText"/>
        <w:numPr>
          <w:ilvl w:val="0"/>
          <w:numId w:val="12"/>
        </w:numPr>
        <w:tabs>
          <w:tab w:val="clear" w:pos="340"/>
          <w:tab w:val="num" w:pos="567"/>
        </w:tabs>
        <w:spacing w:before="0" w:after="0"/>
        <w:ind w:left="567"/>
      </w:pPr>
      <w:proofErr w:type="gramStart"/>
      <w:r>
        <w:t>the</w:t>
      </w:r>
      <w:proofErr w:type="gramEnd"/>
      <w:r>
        <w:t xml:space="preserve"> Department relies on the net asset position of the Coal Mining Industry Corporation for Other Investments.</w:t>
      </w:r>
    </w:p>
    <w:p w:rsidR="008835EB" w:rsidRDefault="008835EB" w:rsidP="008835EB">
      <w:pPr>
        <w:pStyle w:val="ReportText"/>
      </w:pPr>
      <w:r>
        <w:t>The D</w:t>
      </w:r>
      <w:r w:rsidRPr="00306508">
        <w:t>epartment made no other assumptions or estimates identified as having a significant risk of causing a material adjustment to the carrying amounts of assets and liabilities within the next reporting period.</w:t>
      </w:r>
    </w:p>
    <w:p w:rsidR="008835EB" w:rsidRPr="00EC4298" w:rsidRDefault="008835EB" w:rsidP="008835EB">
      <w:pPr>
        <w:pStyle w:val="GreyShadeTableBreak"/>
        <w:spacing w:before="120" w:after="120"/>
        <w:rPr>
          <w:rFonts w:asciiTheme="minorHAnsi" w:hAnsiTheme="minorHAnsi"/>
          <w:b/>
          <w:color w:val="00746B"/>
          <w:sz w:val="20"/>
        </w:rPr>
      </w:pPr>
      <w:r w:rsidRPr="00EC4298">
        <w:rPr>
          <w:rFonts w:asciiTheme="minorHAnsi" w:hAnsiTheme="minorHAnsi"/>
          <w:b/>
          <w:color w:val="00746B"/>
          <w:sz w:val="20"/>
        </w:rPr>
        <w:t xml:space="preserve">Reporting of Administered Activities </w:t>
      </w:r>
    </w:p>
    <w:p w:rsidR="008835EB" w:rsidRPr="005149D4" w:rsidRDefault="008835EB" w:rsidP="008835EB">
      <w:pPr>
        <w:pStyle w:val="GreyShadeTableBreak"/>
        <w:spacing w:after="120"/>
      </w:pPr>
      <w:r w:rsidRPr="005149D4">
        <w:t>Administered revenues, expenses, assets, liabilities and cash flows are disclosed in the administered schedules and related notes.</w:t>
      </w:r>
    </w:p>
    <w:p w:rsidR="008835EB" w:rsidRPr="002317D9" w:rsidRDefault="008835EB" w:rsidP="008835EB">
      <w:pPr>
        <w:pStyle w:val="GreyShadeTableBreak"/>
      </w:pPr>
      <w:r w:rsidRPr="005149D4">
        <w:t>Except where otherwise stated, administered items are accounted for on the same basis and using the same policies as for departmental items, including the application of Australian Accounting Standards.</w:t>
      </w:r>
    </w:p>
    <w:p w:rsidR="008835EB" w:rsidRPr="00F257CA" w:rsidRDefault="008835EB" w:rsidP="008835EB">
      <w:pPr>
        <w:pStyle w:val="Finnotesheading1"/>
      </w:pPr>
      <w:r w:rsidRPr="00F257CA">
        <w:t>New Australian Accounting Standards</w:t>
      </w:r>
    </w:p>
    <w:p w:rsidR="008835EB" w:rsidRPr="00306508" w:rsidRDefault="008835EB" w:rsidP="008835EB">
      <w:pPr>
        <w:pStyle w:val="ReportText"/>
        <w:rPr>
          <w:i/>
          <w:u w:val="single"/>
        </w:rPr>
      </w:pPr>
      <w:r w:rsidRPr="00306508">
        <w:rPr>
          <w:i/>
          <w:u w:val="single"/>
        </w:rPr>
        <w:t>Adoption of New Australian Accounting Standard Requirements</w:t>
      </w:r>
    </w:p>
    <w:p w:rsidR="008835EB" w:rsidRPr="00306508" w:rsidRDefault="008835EB" w:rsidP="008835EB">
      <w:pPr>
        <w:pStyle w:val="ReportText"/>
      </w:pPr>
      <w:r>
        <w:t>No</w:t>
      </w:r>
      <w:r w:rsidRPr="00306508">
        <w:t xml:space="preserve"> new and amended standards were issued prior to the signing of the statement by the </w:t>
      </w:r>
      <w:proofErr w:type="gramStart"/>
      <w:r w:rsidRPr="00306508">
        <w:t>accountable</w:t>
      </w:r>
      <w:proofErr w:type="gramEnd"/>
      <w:r w:rsidRPr="00306508">
        <w:t xml:space="preserve"> authority and chief financial officer, were applicable to the current reporting period and had a material effect on th</w:t>
      </w:r>
      <w:r>
        <w:t>e entity’s financial statements.</w:t>
      </w:r>
    </w:p>
    <w:p w:rsidR="008835EB" w:rsidRPr="00306508" w:rsidRDefault="008835EB" w:rsidP="008835EB">
      <w:pPr>
        <w:pStyle w:val="ReportText"/>
      </w:pPr>
      <w:r w:rsidRPr="00306508">
        <w:t xml:space="preserve">All other accounting standards that were issued prior to the sign-off date and are applicable to the current reporting period did not have a material effect, and are not expected to have a </w:t>
      </w:r>
      <w:r>
        <w:t>future material effect, on the D</w:t>
      </w:r>
      <w:r w:rsidRPr="00306508">
        <w:t>epartment’s financial statements.</w:t>
      </w:r>
    </w:p>
    <w:p w:rsidR="008835EB" w:rsidRPr="00306508" w:rsidRDefault="008835EB" w:rsidP="008835EB">
      <w:pPr>
        <w:pStyle w:val="ReportText"/>
        <w:rPr>
          <w:i/>
          <w:u w:val="single"/>
        </w:rPr>
      </w:pPr>
      <w:r w:rsidRPr="00306508">
        <w:rPr>
          <w:i/>
          <w:u w:val="single"/>
        </w:rPr>
        <w:t>Future Australian Accounting Standard Requirements</w:t>
      </w:r>
    </w:p>
    <w:p w:rsidR="008835EB" w:rsidRDefault="008835EB" w:rsidP="008835EB">
      <w:pPr>
        <w:pStyle w:val="ReportText"/>
      </w:pPr>
      <w:r w:rsidRPr="00306508">
        <w:t xml:space="preserve">The following new standards, revised standards, interpretations and amending standards were issued by the Australian Accounting Standards Board prior to the sign-off date and apply to future reporting periods, which are expected to have a material impact on the </w:t>
      </w:r>
      <w:r>
        <w:t>D</w:t>
      </w:r>
      <w:r w:rsidRPr="00306508">
        <w:t>epartment</w:t>
      </w:r>
      <w:r>
        <w:t>’</w:t>
      </w:r>
      <w:r w:rsidRPr="00306508">
        <w:t>s financial statements for future reporting periods: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513"/>
      </w:tblGrid>
      <w:tr w:rsidR="008835EB" w:rsidTr="007E3F2E">
        <w:trPr>
          <w:trHeight w:val="497"/>
        </w:trPr>
        <w:tc>
          <w:tcPr>
            <w:tcW w:w="1809" w:type="dxa"/>
          </w:tcPr>
          <w:p w:rsidR="008835EB" w:rsidRDefault="008835EB" w:rsidP="007E3F2E">
            <w:pPr>
              <w:pStyle w:val="ReportText"/>
              <w:spacing w:before="0" w:after="0"/>
              <w:ind w:right="567"/>
            </w:pPr>
            <w:proofErr w:type="spellStart"/>
            <w:r w:rsidRPr="00DB2EC7">
              <w:rPr>
                <w:rFonts w:cstheme="minorHAnsi"/>
                <w:color w:val="000000"/>
              </w:rPr>
              <w:t>AASB</w:t>
            </w:r>
            <w:proofErr w:type="spellEnd"/>
            <w:r w:rsidRPr="00DB2EC7">
              <w:rPr>
                <w:rFonts w:cstheme="minorHAnsi"/>
                <w:color w:val="000000"/>
              </w:rPr>
              <w:t xml:space="preserve"> 2015-6, </w:t>
            </w:r>
            <w:r w:rsidRPr="00DB2EC7">
              <w:rPr>
                <w:rFonts w:cstheme="minorHAnsi"/>
                <w:color w:val="000000"/>
              </w:rPr>
              <w:br/>
            </w:r>
            <w:proofErr w:type="spellStart"/>
            <w:r w:rsidRPr="00DB2EC7">
              <w:rPr>
                <w:rFonts w:cstheme="minorHAnsi"/>
                <w:color w:val="000000"/>
              </w:rPr>
              <w:t>AASB</w:t>
            </w:r>
            <w:proofErr w:type="spellEnd"/>
            <w:r w:rsidRPr="00DB2EC7">
              <w:rPr>
                <w:rFonts w:cstheme="minorHAnsi"/>
                <w:color w:val="000000"/>
              </w:rPr>
              <w:t xml:space="preserve"> 124</w:t>
            </w:r>
          </w:p>
        </w:tc>
        <w:tc>
          <w:tcPr>
            <w:tcW w:w="7513" w:type="dxa"/>
          </w:tcPr>
          <w:p w:rsidR="008835EB" w:rsidRDefault="008835EB" w:rsidP="007E3F2E">
            <w:pPr>
              <w:pStyle w:val="ReportText"/>
              <w:spacing w:before="0" w:after="0"/>
              <w:ind w:right="175"/>
            </w:pPr>
            <w:r w:rsidRPr="00DB2EC7">
              <w:rPr>
                <w:rFonts w:cstheme="minorHAnsi"/>
                <w:i/>
                <w:color w:val="000000"/>
              </w:rPr>
              <w:t>Amendments to Aust</w:t>
            </w:r>
            <w:r>
              <w:rPr>
                <w:rFonts w:cstheme="minorHAnsi"/>
                <w:i/>
                <w:color w:val="000000"/>
              </w:rPr>
              <w:t>ralian Accounting Standards—</w:t>
            </w:r>
            <w:r w:rsidRPr="00DB2EC7">
              <w:rPr>
                <w:rFonts w:cstheme="minorHAnsi"/>
                <w:i/>
                <w:color w:val="000000"/>
              </w:rPr>
              <w:t xml:space="preserve">Extending Related Party Disclosures to </w:t>
            </w:r>
            <w:r>
              <w:rPr>
                <w:rFonts w:cstheme="minorHAnsi"/>
                <w:i/>
                <w:color w:val="000000"/>
              </w:rPr>
              <w:br/>
            </w:r>
            <w:r w:rsidRPr="00DB2EC7">
              <w:rPr>
                <w:rFonts w:cstheme="minorHAnsi"/>
                <w:i/>
                <w:color w:val="000000"/>
              </w:rPr>
              <w:t>Not-for-Profit Public Sector Entities</w:t>
            </w:r>
          </w:p>
        </w:tc>
      </w:tr>
      <w:tr w:rsidR="008835EB" w:rsidTr="007E3F2E">
        <w:trPr>
          <w:trHeight w:val="451"/>
        </w:trPr>
        <w:tc>
          <w:tcPr>
            <w:tcW w:w="1809" w:type="dxa"/>
          </w:tcPr>
          <w:p w:rsidR="008835EB" w:rsidRDefault="008835EB" w:rsidP="007E3F2E">
            <w:pPr>
              <w:pStyle w:val="ReportText"/>
              <w:spacing w:before="0" w:after="0"/>
              <w:ind w:right="567"/>
            </w:pPr>
            <w:proofErr w:type="spellStart"/>
            <w:r w:rsidRPr="00DB2EC7">
              <w:rPr>
                <w:rFonts w:cstheme="minorHAnsi"/>
                <w:color w:val="000000"/>
              </w:rPr>
              <w:t>AASB</w:t>
            </w:r>
            <w:proofErr w:type="spellEnd"/>
            <w:r w:rsidRPr="00DB2EC7">
              <w:rPr>
                <w:rFonts w:cstheme="minorHAnsi"/>
                <w:color w:val="000000"/>
              </w:rPr>
              <w:t xml:space="preserve"> 15</w:t>
            </w:r>
          </w:p>
        </w:tc>
        <w:tc>
          <w:tcPr>
            <w:tcW w:w="7513" w:type="dxa"/>
          </w:tcPr>
          <w:p w:rsidR="008835EB" w:rsidRDefault="008835EB" w:rsidP="007E3F2E">
            <w:pPr>
              <w:pStyle w:val="ReportText"/>
              <w:spacing w:before="0" w:after="0"/>
              <w:ind w:right="34"/>
            </w:pPr>
            <w:r w:rsidRPr="00DB2EC7">
              <w:rPr>
                <w:rFonts w:cstheme="minorHAnsi"/>
                <w:i/>
                <w:color w:val="000000"/>
              </w:rPr>
              <w:t>Revenue from Contracts with Customers</w:t>
            </w:r>
            <w:r>
              <w:rPr>
                <w:rFonts w:cstheme="minorHAnsi"/>
                <w:color w:val="000000"/>
              </w:rPr>
              <w:t>—</w:t>
            </w:r>
            <w:r w:rsidRPr="00DB2EC7">
              <w:rPr>
                <w:rFonts w:cstheme="minorHAnsi"/>
                <w:color w:val="000000"/>
              </w:rPr>
              <w:t>specifies the accounting treatment for all revenue arising from contracts with customers</w:t>
            </w:r>
          </w:p>
        </w:tc>
      </w:tr>
      <w:tr w:rsidR="008835EB" w:rsidTr="007E3F2E">
        <w:trPr>
          <w:trHeight w:val="203"/>
        </w:trPr>
        <w:tc>
          <w:tcPr>
            <w:tcW w:w="1809" w:type="dxa"/>
          </w:tcPr>
          <w:p w:rsidR="008835EB" w:rsidRDefault="008835EB" w:rsidP="007E3F2E">
            <w:pPr>
              <w:pStyle w:val="ReportText"/>
              <w:spacing w:before="0" w:after="0"/>
              <w:ind w:right="567"/>
            </w:pPr>
            <w:proofErr w:type="spellStart"/>
            <w:r w:rsidRPr="00DB2EC7">
              <w:rPr>
                <w:rFonts w:cstheme="minorHAnsi"/>
                <w:color w:val="000000"/>
              </w:rPr>
              <w:t>AASB</w:t>
            </w:r>
            <w:proofErr w:type="spellEnd"/>
            <w:r w:rsidRPr="00DB2EC7">
              <w:rPr>
                <w:rFonts w:cstheme="minorHAnsi"/>
                <w:color w:val="000000"/>
              </w:rPr>
              <w:t xml:space="preserve"> 16</w:t>
            </w:r>
          </w:p>
        </w:tc>
        <w:tc>
          <w:tcPr>
            <w:tcW w:w="7513" w:type="dxa"/>
          </w:tcPr>
          <w:p w:rsidR="008835EB" w:rsidRDefault="008835EB" w:rsidP="007E3F2E">
            <w:pPr>
              <w:pStyle w:val="ReportText"/>
              <w:spacing w:before="0" w:after="0"/>
              <w:ind w:right="175"/>
            </w:pPr>
            <w:r w:rsidRPr="00223F8D">
              <w:rPr>
                <w:rFonts w:cstheme="minorHAnsi"/>
                <w:i/>
                <w:color w:val="000000"/>
              </w:rPr>
              <w:t>Leases</w:t>
            </w:r>
          </w:p>
        </w:tc>
      </w:tr>
    </w:tbl>
    <w:p w:rsidR="008835EB" w:rsidRPr="00306508" w:rsidRDefault="008835EB" w:rsidP="008835EB">
      <w:pPr>
        <w:pStyle w:val="ReportText"/>
      </w:pPr>
      <w:r w:rsidRPr="00306508">
        <w:t>All other new standards and interpretations that were issued prior to the sign-off date and are applicable to future reporting periods are not expected to have a future material impact on the entity’s financial statements.</w:t>
      </w:r>
    </w:p>
    <w:p w:rsidR="008835EB" w:rsidRDefault="008835EB" w:rsidP="008835EB">
      <w:pPr>
        <w:pStyle w:val="Finnotesheading1"/>
      </w:pPr>
      <w:r w:rsidRPr="00F257CA">
        <w:t>Taxation</w:t>
      </w:r>
    </w:p>
    <w:p w:rsidR="008835EB" w:rsidRPr="00200687" w:rsidRDefault="008835EB" w:rsidP="008835EB">
      <w:pPr>
        <w:pStyle w:val="ReportText"/>
      </w:pPr>
      <w:r>
        <w:t>The D</w:t>
      </w:r>
      <w:r w:rsidRPr="00200687">
        <w:t>epartment is exempt from all forms of taxation except Fringe Benefits Tax (</w:t>
      </w:r>
      <w:proofErr w:type="spellStart"/>
      <w:r w:rsidRPr="00200687">
        <w:t>FBT</w:t>
      </w:r>
      <w:proofErr w:type="spellEnd"/>
      <w:r w:rsidRPr="00200687">
        <w:t>) and the Goods and Services Tax (GST).</w:t>
      </w:r>
    </w:p>
    <w:p w:rsidR="008835EB" w:rsidRPr="00200687" w:rsidRDefault="008835EB" w:rsidP="008835EB">
      <w:pPr>
        <w:pStyle w:val="ReportText"/>
      </w:pPr>
      <w:r w:rsidRPr="00200687">
        <w:t>Revenues, expenses and non-financial assets are recognised net of GST except:</w:t>
      </w:r>
      <w:r w:rsidRPr="00200687">
        <w:tab/>
      </w:r>
    </w:p>
    <w:p w:rsidR="008835EB" w:rsidRPr="00EA7B71" w:rsidRDefault="008835EB" w:rsidP="008835EB">
      <w:pPr>
        <w:pStyle w:val="ReportText"/>
        <w:numPr>
          <w:ilvl w:val="0"/>
          <w:numId w:val="11"/>
        </w:numPr>
        <w:tabs>
          <w:tab w:val="clear" w:pos="340"/>
          <w:tab w:val="num" w:pos="709"/>
        </w:tabs>
        <w:spacing w:before="0" w:after="0"/>
        <w:ind w:left="567"/>
      </w:pPr>
      <w:r w:rsidRPr="00EA7B71">
        <w:t>where the amount of GST incurred is not recoverable from the Australian Taxation Office; and</w:t>
      </w:r>
    </w:p>
    <w:p w:rsidR="008835EB" w:rsidRPr="00714E45" w:rsidRDefault="008835EB" w:rsidP="008835EB">
      <w:pPr>
        <w:pStyle w:val="ReportText"/>
        <w:numPr>
          <w:ilvl w:val="0"/>
          <w:numId w:val="11"/>
        </w:numPr>
        <w:tabs>
          <w:tab w:val="clear" w:pos="340"/>
          <w:tab w:val="num" w:pos="709"/>
        </w:tabs>
        <w:spacing w:before="0" w:after="0"/>
        <w:ind w:left="567"/>
      </w:pPr>
      <w:proofErr w:type="gramStart"/>
      <w:r w:rsidRPr="00EA7B71">
        <w:t>for</w:t>
      </w:r>
      <w:proofErr w:type="gramEnd"/>
      <w:r w:rsidRPr="00EA7B71">
        <w:t xml:space="preserve"> receivables and payables.</w:t>
      </w:r>
    </w:p>
    <w:p w:rsidR="008835EB" w:rsidRPr="00F5487D" w:rsidRDefault="008835EB" w:rsidP="008835EB">
      <w:pPr>
        <w:pStyle w:val="Finnotesheading1"/>
      </w:pPr>
      <w:r>
        <w:t xml:space="preserve">2014–15 </w:t>
      </w:r>
      <w:r w:rsidRPr="00F5487D">
        <w:t xml:space="preserve">Comparatives </w:t>
      </w:r>
    </w:p>
    <w:p w:rsidR="008835EB" w:rsidRDefault="008835EB" w:rsidP="008835EB">
      <w:pPr>
        <w:spacing w:before="100" w:after="100" w:line="240" w:lineRule="auto"/>
        <w:rPr>
          <w:rFonts w:asciiTheme="minorHAnsi" w:hAnsiTheme="minorHAnsi" w:cs="Arial"/>
          <w:bCs/>
          <w:lang w:eastAsia="en-AU"/>
        </w:rPr>
      </w:pPr>
      <w:r>
        <w:rPr>
          <w:rFonts w:asciiTheme="minorHAnsi" w:hAnsiTheme="minorHAnsi" w:cs="Arial"/>
          <w:bCs/>
          <w:lang w:eastAsia="en-AU"/>
        </w:rPr>
        <w:t xml:space="preserve">Comparatives for the 2014–15 financial </w:t>
      </w:r>
      <w:proofErr w:type="gramStart"/>
      <w:r>
        <w:rPr>
          <w:rFonts w:asciiTheme="minorHAnsi" w:hAnsiTheme="minorHAnsi" w:cs="Arial"/>
          <w:bCs/>
          <w:lang w:eastAsia="en-AU"/>
        </w:rPr>
        <w:t>year</w:t>
      </w:r>
      <w:proofErr w:type="gramEnd"/>
      <w:r>
        <w:rPr>
          <w:rFonts w:asciiTheme="minorHAnsi" w:hAnsiTheme="minorHAnsi" w:cs="Arial"/>
          <w:bCs/>
          <w:lang w:eastAsia="en-AU"/>
        </w:rPr>
        <w:t xml:space="preserve"> have been amended. The changes relate to the mapping of General Ledger accounts only and have not changed the results for the 2014–15 financial </w:t>
      </w:r>
      <w:proofErr w:type="gramStart"/>
      <w:r>
        <w:rPr>
          <w:rFonts w:asciiTheme="minorHAnsi" w:hAnsiTheme="minorHAnsi" w:cs="Arial"/>
          <w:bCs/>
          <w:lang w:eastAsia="en-AU"/>
        </w:rPr>
        <w:t>year</w:t>
      </w:r>
      <w:proofErr w:type="gramEnd"/>
      <w:r>
        <w:rPr>
          <w:rFonts w:asciiTheme="minorHAnsi" w:hAnsiTheme="minorHAnsi" w:cs="Arial"/>
          <w:bCs/>
          <w:lang w:eastAsia="en-AU"/>
        </w:rPr>
        <w:t>. The main changes are:</w:t>
      </w:r>
    </w:p>
    <w:p w:rsidR="008835EB" w:rsidRPr="006A69B1" w:rsidRDefault="008835EB" w:rsidP="008835EB">
      <w:pPr>
        <w:pStyle w:val="ReportText"/>
        <w:numPr>
          <w:ilvl w:val="0"/>
          <w:numId w:val="11"/>
        </w:numPr>
        <w:tabs>
          <w:tab w:val="clear" w:pos="340"/>
          <w:tab w:val="num" w:pos="709"/>
        </w:tabs>
        <w:spacing w:before="0" w:after="0"/>
        <w:ind w:left="567"/>
      </w:pPr>
      <w:r w:rsidRPr="006A69B1">
        <w:t>balances were adjusted between Leave and other Entitlements and Wages and Salaries in the Employee benefits category in the Departmental Statement of Comprehensive Income;</w:t>
      </w:r>
    </w:p>
    <w:p w:rsidR="008835EB" w:rsidRDefault="008835EB" w:rsidP="008835EB">
      <w:pPr>
        <w:pStyle w:val="ReportText"/>
        <w:numPr>
          <w:ilvl w:val="0"/>
          <w:numId w:val="11"/>
        </w:numPr>
        <w:tabs>
          <w:tab w:val="clear" w:pos="340"/>
          <w:tab w:val="num" w:pos="709"/>
        </w:tabs>
        <w:spacing w:before="0" w:after="0"/>
        <w:ind w:left="567"/>
      </w:pPr>
      <w:r w:rsidRPr="006A69B1">
        <w:t>balances were adjusted between Suppliers and Subsidies in the Administered Schedule of Comprehensive Income;</w:t>
      </w:r>
    </w:p>
    <w:p w:rsidR="008835EB" w:rsidRPr="00EA33F9" w:rsidRDefault="008835EB" w:rsidP="008835EB">
      <w:pPr>
        <w:pStyle w:val="ReportText"/>
        <w:numPr>
          <w:ilvl w:val="0"/>
          <w:numId w:val="11"/>
        </w:numPr>
        <w:tabs>
          <w:tab w:val="clear" w:pos="340"/>
          <w:tab w:val="num" w:pos="709"/>
        </w:tabs>
        <w:spacing w:before="0" w:after="0"/>
        <w:ind w:left="567"/>
      </w:pPr>
      <w:r>
        <w:t xml:space="preserve">there have been prior year adjustments to the Short-term employee benefits category in the in the </w:t>
      </w:r>
      <w:r w:rsidRPr="00EA33F9">
        <w:t>Senior Management Personnel Remuneration</w:t>
      </w:r>
      <w:r>
        <w:t xml:space="preserve"> note;</w:t>
      </w:r>
    </w:p>
    <w:p w:rsidR="008835EB" w:rsidRPr="006A69B1" w:rsidRDefault="008835EB" w:rsidP="008835EB">
      <w:pPr>
        <w:pStyle w:val="ReportText"/>
        <w:numPr>
          <w:ilvl w:val="0"/>
          <w:numId w:val="11"/>
        </w:numPr>
        <w:tabs>
          <w:tab w:val="clear" w:pos="340"/>
          <w:tab w:val="num" w:pos="709"/>
        </w:tabs>
        <w:spacing w:before="0"/>
        <w:ind w:left="567"/>
      </w:pPr>
      <w:proofErr w:type="gramStart"/>
      <w:r w:rsidRPr="006A69B1">
        <w:t>there</w:t>
      </w:r>
      <w:proofErr w:type="gramEnd"/>
      <w:r w:rsidRPr="006A69B1">
        <w:t xml:space="preserve"> were other minor adjustments in the Departmental Statement of Comprehensive Income</w:t>
      </w:r>
      <w:r>
        <w:t>.</w:t>
      </w:r>
    </w:p>
    <w:p w:rsidR="008835EB" w:rsidRPr="005149D4" w:rsidRDefault="008835EB" w:rsidP="008835EB">
      <w:pPr>
        <w:pStyle w:val="Finnotesheading1"/>
      </w:pPr>
      <w:r>
        <w:t>Events a</w:t>
      </w:r>
      <w:r w:rsidRPr="005149D4">
        <w:t>fter the Reporting Period</w:t>
      </w:r>
    </w:p>
    <w:p w:rsidR="008835EB" w:rsidRPr="00306508" w:rsidRDefault="008835EB" w:rsidP="008835EB">
      <w:pPr>
        <w:pStyle w:val="ReportText"/>
      </w:pPr>
      <w:r>
        <w:t xml:space="preserve">There have been no events after balance </w:t>
      </w:r>
      <w:proofErr w:type="gramStart"/>
      <w:r>
        <w:t>date that have</w:t>
      </w:r>
      <w:proofErr w:type="gramEnd"/>
      <w:r>
        <w:t xml:space="preserve"> the potential to significantly affect the ongoing structure and financial activities of the Department.</w:t>
      </w:r>
      <w:bookmarkStart w:id="105" w:name="_Toc444065770"/>
      <w:bookmarkStart w:id="106" w:name="_Toc444077332"/>
      <w:r>
        <w:br w:type="page"/>
      </w:r>
    </w:p>
    <w:p w:rsidR="008835EB" w:rsidRPr="009E424E" w:rsidRDefault="008835EB" w:rsidP="008835EB">
      <w:pPr>
        <w:pStyle w:val="SectionHeading"/>
      </w:pPr>
      <w:bookmarkStart w:id="107" w:name="_Toc456689841"/>
      <w:r>
        <w:lastRenderedPageBreak/>
        <w:t xml:space="preserve">Departmental </w:t>
      </w:r>
      <w:r w:rsidRPr="00233767">
        <w:t>Financial</w:t>
      </w:r>
      <w:r>
        <w:t xml:space="preserve"> </w:t>
      </w:r>
      <w:r w:rsidRPr="00BE05B2">
        <w:t>Performance</w:t>
      </w:r>
      <w:bookmarkEnd w:id="105"/>
      <w:bookmarkEnd w:id="106"/>
      <w:bookmarkEnd w:id="107"/>
    </w:p>
    <w:p w:rsidR="008835EB" w:rsidRPr="00294B2B" w:rsidRDefault="008835EB" w:rsidP="008835EB">
      <w:pPr>
        <w:spacing w:after="120"/>
      </w:pPr>
      <w:bookmarkStart w:id="108" w:name="_Toc444065771"/>
      <w:r w:rsidRPr="00AE64B6">
        <w:t xml:space="preserve">This section analyses the financial performance of the </w:t>
      </w:r>
      <w:r w:rsidR="00FA455C">
        <w:t>Department of Employment</w:t>
      </w:r>
      <w:r w:rsidRPr="00AE64B6">
        <w:t xml:space="preserve"> for the year </w:t>
      </w:r>
      <w:r w:rsidRPr="00BE05B2">
        <w:t>ended</w:t>
      </w:r>
      <w:r>
        <w:t xml:space="preserve"> </w:t>
      </w:r>
      <w:r w:rsidR="00FA455C">
        <w:t>2016</w:t>
      </w:r>
      <w:r w:rsidRPr="00AE64B6">
        <w:t>.</w:t>
      </w:r>
      <w:bookmarkEnd w:id="108"/>
      <w:r>
        <w:t xml:space="preserve"> </w:t>
      </w:r>
    </w:p>
    <w:p w:rsidR="008835EB" w:rsidRDefault="008835EB" w:rsidP="008835EB">
      <w:pPr>
        <w:pStyle w:val="SubHeading"/>
      </w:pPr>
      <w:bookmarkStart w:id="109" w:name="_Toc443469523"/>
      <w:bookmarkStart w:id="110" w:name="_Toc444065772"/>
      <w:bookmarkStart w:id="111" w:name="_Toc444077333"/>
      <w:bookmarkStart w:id="112" w:name="_Toc456689842"/>
      <w:r w:rsidRPr="00BE05B2">
        <w:t>Expenses</w:t>
      </w:r>
      <w:bookmarkEnd w:id="109"/>
      <w:bookmarkEnd w:id="110"/>
      <w:bookmarkEnd w:id="111"/>
      <w:bookmarkEnd w:id="112"/>
    </w:p>
    <w:tbl>
      <w:tblPr>
        <w:tblW w:w="9087" w:type="dxa"/>
        <w:tblInd w:w="80" w:type="dxa"/>
        <w:tblLayout w:type="fixed"/>
        <w:tblLook w:val="04A0" w:firstRow="1" w:lastRow="0" w:firstColumn="1" w:lastColumn="0" w:noHBand="0" w:noVBand="1"/>
      </w:tblPr>
      <w:tblGrid>
        <w:gridCol w:w="6346"/>
        <w:gridCol w:w="1252"/>
        <w:gridCol w:w="239"/>
        <w:gridCol w:w="1250"/>
      </w:tblGrid>
      <w:tr w:rsidR="008835EB" w:rsidTr="007E3F2E">
        <w:trPr>
          <w:trHeight w:val="98"/>
        </w:trPr>
        <w:tc>
          <w:tcPr>
            <w:tcW w:w="634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bookmarkStart w:id="113" w:name="RANGE!D7:D19"/>
            <w:bookmarkStart w:id="114" w:name="Note_EEXTABLE1" w:colFirst="0" w:colLast="0"/>
            <w:r>
              <w:rPr>
                <w:rFonts w:cs="Calibri"/>
                <w:szCs w:val="18"/>
              </w:rPr>
              <w:t> </w:t>
            </w:r>
            <w:bookmarkEnd w:id="113"/>
          </w:p>
        </w:tc>
        <w:tc>
          <w:tcPr>
            <w:tcW w:w="1252"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0"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 </w:t>
            </w:r>
          </w:p>
        </w:tc>
      </w:tr>
      <w:bookmarkEnd w:id="114"/>
      <w:tr w:rsidR="008835EB" w:rsidTr="007E3F2E">
        <w:trPr>
          <w:trHeight w:val="240"/>
        </w:trPr>
        <w:tc>
          <w:tcPr>
            <w:tcW w:w="634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2016</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2015</w:t>
            </w:r>
          </w:p>
        </w:tc>
      </w:tr>
      <w:tr w:rsidR="008835EB" w:rsidTr="007E3F2E">
        <w:trPr>
          <w:trHeight w:val="240"/>
        </w:trPr>
        <w:tc>
          <w:tcPr>
            <w:tcW w:w="634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$'000</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40"/>
        </w:trPr>
        <w:tc>
          <w:tcPr>
            <w:tcW w:w="6346" w:type="dxa"/>
            <w:tcBorders>
              <w:top w:val="nil"/>
              <w:left w:val="nil"/>
              <w:bottom w:val="nil"/>
              <w:right w:val="nil"/>
            </w:tcBorders>
            <w:shd w:val="clear" w:color="FFFFFF" w:fill="FFFFFF"/>
            <w:noWrap/>
            <w:vAlign w:val="bottom"/>
            <w:hideMark/>
          </w:tcPr>
          <w:p w:rsidR="008835EB" w:rsidRDefault="008835EB" w:rsidP="007E3F2E">
            <w:pPr>
              <w:pStyle w:val="NotesHeading-Level1"/>
            </w:pPr>
            <w:r>
              <w:t xml:space="preserve">Note </w:t>
            </w:r>
            <w:proofErr w:type="spellStart"/>
            <w:r>
              <w:t>1.1A</w:t>
            </w:r>
            <w:proofErr w:type="spellEnd"/>
            <w:r>
              <w:t>: Employee Benefits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40"/>
        </w:trPr>
        <w:tc>
          <w:tcPr>
            <w:tcW w:w="6346" w:type="dxa"/>
            <w:tcBorders>
              <w:top w:val="nil"/>
              <w:left w:val="nil"/>
              <w:bottom w:val="nil"/>
              <w:right w:val="nil"/>
            </w:tcBorders>
            <w:shd w:val="clear" w:color="FFFFFF" w:fill="FFFFFF"/>
            <w:noWrap/>
            <w:vAlign w:val="bottom"/>
            <w:hideMark/>
          </w:tcPr>
          <w:p w:rsidR="008835EB" w:rsidRDefault="008835EB" w:rsidP="007E3F2E">
            <w:pPr>
              <w:rPr>
                <w:rFonts w:cs="Calibri"/>
                <w:b/>
                <w:bCs/>
                <w:szCs w:val="18"/>
              </w:rPr>
            </w:pPr>
            <w:r>
              <w:rPr>
                <w:rFonts w:cs="Calibri"/>
                <w:b/>
                <w:bCs/>
                <w:szCs w:val="18"/>
              </w:rPr>
              <w:t> </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40"/>
        </w:trPr>
        <w:tc>
          <w:tcPr>
            <w:tcW w:w="634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Wages and salaries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147,518</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135,974</w:t>
            </w:r>
          </w:p>
        </w:tc>
      </w:tr>
      <w:tr w:rsidR="008835EB" w:rsidTr="007E3F2E">
        <w:trPr>
          <w:trHeight w:val="240"/>
        </w:trPr>
        <w:tc>
          <w:tcPr>
            <w:tcW w:w="634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Superannuation</w:t>
            </w:r>
          </w:p>
        </w:tc>
        <w:tc>
          <w:tcPr>
            <w:tcW w:w="125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40"/>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Defined contribution plans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14,144</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12,392</w:t>
            </w:r>
          </w:p>
        </w:tc>
      </w:tr>
      <w:tr w:rsidR="008835EB" w:rsidTr="007E3F2E">
        <w:trPr>
          <w:trHeight w:val="240"/>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Defined benefit plans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17,577</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16,391</w:t>
            </w:r>
          </w:p>
        </w:tc>
      </w:tr>
      <w:tr w:rsidR="008835EB" w:rsidTr="007E3F2E">
        <w:trPr>
          <w:trHeight w:val="240"/>
        </w:trPr>
        <w:tc>
          <w:tcPr>
            <w:tcW w:w="634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Leave and other entitlements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19,132</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14,989</w:t>
            </w:r>
          </w:p>
        </w:tc>
      </w:tr>
      <w:tr w:rsidR="008835EB" w:rsidTr="007E3F2E">
        <w:trPr>
          <w:trHeight w:val="240"/>
        </w:trPr>
        <w:tc>
          <w:tcPr>
            <w:tcW w:w="634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Separations and redundancies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3,167</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540</w:t>
            </w:r>
          </w:p>
        </w:tc>
      </w:tr>
      <w:tr w:rsidR="008835EB" w:rsidTr="007E3F2E">
        <w:trPr>
          <w:trHeight w:val="240"/>
        </w:trPr>
        <w:tc>
          <w:tcPr>
            <w:tcW w:w="634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Other employee expenses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1,737</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1,393</w:t>
            </w:r>
          </w:p>
        </w:tc>
      </w:tr>
      <w:tr w:rsidR="008835EB" w:rsidTr="007E3F2E">
        <w:trPr>
          <w:trHeight w:val="240"/>
        </w:trPr>
        <w:tc>
          <w:tcPr>
            <w:tcW w:w="6346" w:type="dxa"/>
            <w:tcBorders>
              <w:top w:val="nil"/>
              <w:left w:val="nil"/>
              <w:bottom w:val="nil"/>
              <w:right w:val="nil"/>
            </w:tcBorders>
            <w:shd w:val="clear" w:color="FFFFFF" w:fill="FFFFFF"/>
            <w:noWrap/>
            <w:vAlign w:val="bottom"/>
            <w:hideMark/>
          </w:tcPr>
          <w:p w:rsidR="008835EB" w:rsidRDefault="008835EB" w:rsidP="007E3F2E">
            <w:pPr>
              <w:rPr>
                <w:rFonts w:cs="Calibri"/>
                <w:b/>
                <w:bCs/>
                <w:i/>
                <w:iCs/>
                <w:szCs w:val="18"/>
              </w:rPr>
            </w:pPr>
            <w:r>
              <w:rPr>
                <w:rFonts w:cs="Calibri"/>
                <w:b/>
                <w:bCs/>
                <w:i/>
                <w:iCs/>
                <w:szCs w:val="18"/>
              </w:rPr>
              <w:t>Total employee benefits</w:t>
            </w:r>
          </w:p>
        </w:tc>
        <w:tc>
          <w:tcPr>
            <w:tcW w:w="1252"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203,275</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181,679</w:t>
            </w:r>
          </w:p>
        </w:tc>
      </w:tr>
    </w:tbl>
    <w:p w:rsidR="008835EB" w:rsidRDefault="008835EB" w:rsidP="008835EB"/>
    <w:p w:rsidR="008835EB" w:rsidRPr="004A43F1" w:rsidRDefault="008835EB" w:rsidP="008835EB">
      <w:pPr>
        <w:pStyle w:val="PolicyheadingDept"/>
      </w:pPr>
      <w:r w:rsidRPr="004A43F1">
        <w:t>Accounting Policy</w:t>
      </w:r>
    </w:p>
    <w:p w:rsidR="008835EB" w:rsidRPr="00BD045B" w:rsidRDefault="008835EB" w:rsidP="008835EB">
      <w:pPr>
        <w:pStyle w:val="PolicytextDept"/>
      </w:pPr>
      <w:r>
        <w:t>Accounting policies for employee related expenses is contained in the People and Relationships section.</w:t>
      </w:r>
    </w:p>
    <w:p w:rsidR="008835EB" w:rsidRDefault="008835EB" w:rsidP="008835EB">
      <w:pPr>
        <w:spacing w:line="240" w:lineRule="auto"/>
      </w:pPr>
    </w:p>
    <w:tbl>
      <w:tblPr>
        <w:tblW w:w="9087" w:type="dxa"/>
        <w:tblInd w:w="80" w:type="dxa"/>
        <w:tblLayout w:type="fixed"/>
        <w:tblLook w:val="04A0" w:firstRow="1" w:lastRow="0" w:firstColumn="1" w:lastColumn="0" w:noHBand="0" w:noVBand="1"/>
      </w:tblPr>
      <w:tblGrid>
        <w:gridCol w:w="6346"/>
        <w:gridCol w:w="1252"/>
        <w:gridCol w:w="239"/>
        <w:gridCol w:w="1250"/>
      </w:tblGrid>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bookmarkStart w:id="115" w:name="Note_SXPTABLE1" w:colFirst="0" w:colLast="0"/>
            <w:r>
              <w:rPr>
                <w:rFonts w:cs="Calibri"/>
                <w:szCs w:val="18"/>
              </w:rPr>
              <w:t> </w:t>
            </w:r>
          </w:p>
        </w:tc>
        <w:tc>
          <w:tcPr>
            <w:tcW w:w="1252"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2016</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2015</w:t>
            </w:r>
          </w:p>
        </w:tc>
      </w:tr>
      <w:bookmarkEnd w:id="115"/>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2"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7E3F2E">
            <w:pPr>
              <w:pStyle w:val="NotesHeading-Level1"/>
            </w:pPr>
            <w:r>
              <w:t xml:space="preserve">Note </w:t>
            </w:r>
            <w:proofErr w:type="spellStart"/>
            <w:r>
              <w:t>1.1B</w:t>
            </w:r>
            <w:proofErr w:type="spellEnd"/>
            <w:r>
              <w:t>: Suppliers</w:t>
            </w:r>
          </w:p>
        </w:tc>
        <w:tc>
          <w:tcPr>
            <w:tcW w:w="1252"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7E3F2E">
            <w:pPr>
              <w:rPr>
                <w:rFonts w:cs="Calibri"/>
                <w:b/>
                <w:bCs/>
                <w:szCs w:val="18"/>
              </w:rPr>
            </w:pPr>
            <w:r>
              <w:rPr>
                <w:rFonts w:cs="Calibri"/>
                <w:b/>
                <w:bCs/>
                <w:szCs w:val="18"/>
              </w:rPr>
              <w:t> </w:t>
            </w:r>
          </w:p>
        </w:tc>
        <w:tc>
          <w:tcPr>
            <w:tcW w:w="1252"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 </w:t>
            </w: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Goods and services supplied or rendered</w:t>
            </w:r>
          </w:p>
        </w:tc>
        <w:tc>
          <w:tcPr>
            <w:tcW w:w="125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Consultants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15,464</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8,854</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Contractors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12,393</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8,980</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Travel</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3,881</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4,512</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IT services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19,273</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23,896</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Property</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3,176</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8,896</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Resources provided free of charge</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460</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460</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Legal</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2,501</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2,896</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Other</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14,192</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14,332</w:t>
            </w: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Total goods and services supplied or rendered</w:t>
            </w:r>
          </w:p>
        </w:tc>
        <w:tc>
          <w:tcPr>
            <w:tcW w:w="1252"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71,340</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72,826</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Provision of goods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1,667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2,099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Rendering of services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69,673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70,727 </w:t>
            </w: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Total goods and services supplied or rendered</w:t>
            </w:r>
          </w:p>
        </w:tc>
        <w:tc>
          <w:tcPr>
            <w:tcW w:w="1252"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71,340</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72,826</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Expenses paid on behalf of portfolio agency</w:t>
            </w:r>
          </w:p>
        </w:tc>
        <w:tc>
          <w:tcPr>
            <w:tcW w:w="1252"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19,315</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Other suppliers</w:t>
            </w:r>
          </w:p>
        </w:tc>
        <w:tc>
          <w:tcPr>
            <w:tcW w:w="125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Operating lease rentals in connection with</w:t>
            </w:r>
          </w:p>
        </w:tc>
        <w:tc>
          <w:tcPr>
            <w:tcW w:w="125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Minimum lease repayments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29,247</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27,938</w:t>
            </w: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Workers compensation expenses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1,260</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3,441</w:t>
            </w: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Total other suppliers</w:t>
            </w:r>
          </w:p>
        </w:tc>
        <w:tc>
          <w:tcPr>
            <w:tcW w:w="1252"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30,507</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31,379</w:t>
            </w:r>
          </w:p>
        </w:tc>
      </w:tr>
      <w:tr w:rsidR="008835EB" w:rsidTr="007E3F2E">
        <w:trPr>
          <w:trHeight w:val="270"/>
        </w:trPr>
        <w:tc>
          <w:tcPr>
            <w:tcW w:w="6346"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suppliers</w:t>
            </w:r>
          </w:p>
        </w:tc>
        <w:tc>
          <w:tcPr>
            <w:tcW w:w="1252" w:type="dxa"/>
            <w:tcBorders>
              <w:top w:val="nil"/>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101,847</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123,520</w:t>
            </w:r>
          </w:p>
        </w:tc>
      </w:tr>
      <w:tr w:rsidR="008835EB" w:rsidTr="007E3F2E">
        <w:trPr>
          <w:trHeight w:val="270"/>
        </w:trPr>
        <w:tc>
          <w:tcPr>
            <w:tcW w:w="634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bl>
    <w:p w:rsidR="008835EB" w:rsidRDefault="008835EB" w:rsidP="008835EB">
      <w:r>
        <w:br w:type="page"/>
      </w:r>
    </w:p>
    <w:tbl>
      <w:tblPr>
        <w:tblW w:w="9087" w:type="dxa"/>
        <w:tblInd w:w="80" w:type="dxa"/>
        <w:tblLayout w:type="fixed"/>
        <w:tblLook w:val="04A0" w:firstRow="1" w:lastRow="0" w:firstColumn="1" w:lastColumn="0" w:noHBand="0" w:noVBand="1"/>
      </w:tblPr>
      <w:tblGrid>
        <w:gridCol w:w="6346"/>
        <w:gridCol w:w="1252"/>
        <w:gridCol w:w="239"/>
        <w:gridCol w:w="1250"/>
      </w:tblGrid>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lastRenderedPageBreak/>
              <w:t>Leasing commitments</w:t>
            </w:r>
          </w:p>
        </w:tc>
        <w:tc>
          <w:tcPr>
            <w:tcW w:w="125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300"/>
        </w:trPr>
        <w:tc>
          <w:tcPr>
            <w:tcW w:w="9087" w:type="dxa"/>
            <w:gridSpan w:val="4"/>
            <w:tcBorders>
              <w:top w:val="nil"/>
              <w:left w:val="nil"/>
              <w:bottom w:val="nil"/>
              <w:right w:val="nil"/>
            </w:tcBorders>
            <w:shd w:val="clear" w:color="auto" w:fill="auto"/>
            <w:vAlign w:val="bottom"/>
            <w:hideMark/>
          </w:tcPr>
          <w:p w:rsidR="008835EB" w:rsidRDefault="008835EB" w:rsidP="007E3F2E">
            <w:pPr>
              <w:rPr>
                <w:rFonts w:cs="Calibri"/>
                <w:szCs w:val="18"/>
              </w:rPr>
            </w:pPr>
            <w:r>
              <w:rPr>
                <w:rFonts w:cs="Calibri"/>
                <w:szCs w:val="18"/>
              </w:rPr>
              <w:t>Leases for office accommodation. Lease payments are subject to periodic market value or indexed increases.</w:t>
            </w:r>
          </w:p>
        </w:tc>
      </w:tr>
      <w:tr w:rsidR="008835EB" w:rsidTr="007E3F2E">
        <w:trPr>
          <w:trHeight w:val="165"/>
        </w:trPr>
        <w:tc>
          <w:tcPr>
            <w:tcW w:w="9087" w:type="dxa"/>
            <w:gridSpan w:val="4"/>
            <w:tcBorders>
              <w:top w:val="nil"/>
              <w:left w:val="nil"/>
              <w:bottom w:val="nil"/>
              <w:right w:val="nil"/>
            </w:tcBorders>
            <w:shd w:val="clear" w:color="auto" w:fill="auto"/>
            <w:vAlign w:val="bottom"/>
            <w:hideMark/>
          </w:tcPr>
          <w:p w:rsidR="008835EB" w:rsidRDefault="008835EB" w:rsidP="007E3F2E">
            <w:pPr>
              <w:rPr>
                <w:rFonts w:cs="Calibri"/>
                <w:szCs w:val="18"/>
              </w:rPr>
            </w:pP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 </w:t>
            </w:r>
          </w:p>
        </w:tc>
        <w:tc>
          <w:tcPr>
            <w:tcW w:w="1252"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2016</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2015</w:t>
            </w: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 </w:t>
            </w:r>
          </w:p>
        </w:tc>
        <w:tc>
          <w:tcPr>
            <w:tcW w:w="1252"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$'000</w:t>
            </w:r>
          </w:p>
        </w:tc>
      </w:tr>
      <w:tr w:rsidR="008835EB" w:rsidTr="007E3F2E">
        <w:trPr>
          <w:trHeight w:val="480"/>
        </w:trPr>
        <w:tc>
          <w:tcPr>
            <w:tcW w:w="6346"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Commitments for minimum lease payments in relation to non-cancellable operating leases are payable as follows:</w:t>
            </w:r>
          </w:p>
        </w:tc>
        <w:tc>
          <w:tcPr>
            <w:tcW w:w="1252"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 </w:t>
            </w:r>
          </w:p>
        </w:tc>
        <w:tc>
          <w:tcPr>
            <w:tcW w:w="239"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 </w:t>
            </w:r>
          </w:p>
        </w:tc>
        <w:tc>
          <w:tcPr>
            <w:tcW w:w="1250"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Within 1 year</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26,596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30,806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Between 1 to 5 years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84,475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78,273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More than 5 years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69,836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82,882 </w:t>
            </w: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Total operating lease commitments</w:t>
            </w:r>
          </w:p>
        </w:tc>
        <w:tc>
          <w:tcPr>
            <w:tcW w:w="1252"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180,907</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191,961</w:t>
            </w:r>
          </w:p>
        </w:tc>
      </w:tr>
    </w:tbl>
    <w:p w:rsidR="008835EB" w:rsidRDefault="008835EB" w:rsidP="008835EB">
      <w:pPr>
        <w:spacing w:line="240" w:lineRule="auto"/>
        <w:rPr>
          <w:rFonts w:cs="Calibri"/>
          <w:szCs w:val="18"/>
        </w:rPr>
      </w:pPr>
      <w:bookmarkStart w:id="116" w:name="RANGE!D9:G45"/>
      <w:bookmarkStart w:id="117" w:name="RANGE!D7:G43"/>
      <w:bookmarkStart w:id="118" w:name="RANGE!D7:G41"/>
      <w:bookmarkStart w:id="119" w:name="RANGE!D7:G35"/>
      <w:bookmarkStart w:id="120" w:name="RANGE!D7:G34"/>
      <w:bookmarkStart w:id="121" w:name="RANGE!D7:G37"/>
      <w:bookmarkStart w:id="122" w:name="RANGE!D7:G32"/>
      <w:bookmarkStart w:id="123" w:name="RANGE!D6:G35"/>
      <w:bookmarkStart w:id="124" w:name="RANGE!D6:D34"/>
      <w:bookmarkStart w:id="125" w:name="RANGE!D6:G34"/>
      <w:bookmarkEnd w:id="116"/>
      <w:bookmarkEnd w:id="117"/>
      <w:bookmarkEnd w:id="118"/>
      <w:bookmarkEnd w:id="119"/>
      <w:bookmarkEnd w:id="120"/>
      <w:bookmarkEnd w:id="121"/>
      <w:bookmarkEnd w:id="122"/>
      <w:bookmarkEnd w:id="123"/>
      <w:bookmarkEnd w:id="124"/>
      <w:bookmarkEnd w:id="125"/>
    </w:p>
    <w:p w:rsidR="008835EB" w:rsidRPr="004A43F1" w:rsidRDefault="008835EB" w:rsidP="008835EB">
      <w:pPr>
        <w:pStyle w:val="PolicyheadingDept"/>
      </w:pPr>
      <w:r w:rsidRPr="004A43F1">
        <w:t>Accounting Policy</w:t>
      </w:r>
    </w:p>
    <w:p w:rsidR="008835EB" w:rsidRDefault="008835EB" w:rsidP="008835EB">
      <w:pPr>
        <w:pStyle w:val="Policytextunderline"/>
      </w:pPr>
      <w:r>
        <w:t>Leases</w:t>
      </w:r>
    </w:p>
    <w:p w:rsidR="008835EB" w:rsidRPr="00BD045B" w:rsidRDefault="008835EB" w:rsidP="008835EB">
      <w:pPr>
        <w:pStyle w:val="Policytextunderline"/>
        <w:rPr>
          <w:i w:val="0"/>
          <w:u w:val="none"/>
        </w:rPr>
      </w:pPr>
      <w:r w:rsidRPr="00BD045B">
        <w:rPr>
          <w:i w:val="0"/>
          <w:u w:val="none"/>
        </w:rPr>
        <w:t>An operating lease is a lease that is not a finance lease and where the lessor effectively retains substantially all such risks and benefits.</w:t>
      </w:r>
    </w:p>
    <w:p w:rsidR="008835EB" w:rsidRPr="00BD045B" w:rsidRDefault="008835EB" w:rsidP="008835EB">
      <w:pPr>
        <w:pStyle w:val="Policytextunderline"/>
        <w:rPr>
          <w:i w:val="0"/>
          <w:u w:val="none"/>
        </w:rPr>
      </w:pPr>
      <w:r w:rsidRPr="00BD045B">
        <w:rPr>
          <w:i w:val="0"/>
          <w:u w:val="none"/>
        </w:rPr>
        <w:t>Operating lease payments are expensed on a straight-line basis which is representative of the pattern of benefits derived from the leased assets.</w:t>
      </w:r>
      <w:r>
        <w:rPr>
          <w:i w:val="0"/>
          <w:u w:val="none"/>
        </w:rPr>
        <w:t xml:space="preserve"> </w:t>
      </w:r>
    </w:p>
    <w:p w:rsidR="008835EB" w:rsidRDefault="008835EB" w:rsidP="008835EB">
      <w:pPr>
        <w:spacing w:line="240" w:lineRule="auto"/>
        <w:rPr>
          <w:rFonts w:cs="Calibri"/>
          <w:szCs w:val="18"/>
        </w:rPr>
      </w:pPr>
    </w:p>
    <w:tbl>
      <w:tblPr>
        <w:tblW w:w="9087" w:type="dxa"/>
        <w:tblInd w:w="80" w:type="dxa"/>
        <w:tblLayout w:type="fixed"/>
        <w:tblLook w:val="04A0" w:firstRow="1" w:lastRow="0" w:firstColumn="1" w:lastColumn="0" w:noHBand="0" w:noVBand="1"/>
      </w:tblPr>
      <w:tblGrid>
        <w:gridCol w:w="6346"/>
        <w:gridCol w:w="1252"/>
        <w:gridCol w:w="239"/>
        <w:gridCol w:w="1250"/>
      </w:tblGrid>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bookmarkStart w:id="126" w:name="RANGE!D7:D14"/>
            <w:bookmarkStart w:id="127" w:name="Note_GRXTABLE1" w:colFirst="0" w:colLast="0"/>
            <w:r>
              <w:rPr>
                <w:rFonts w:cs="Calibri"/>
                <w:szCs w:val="18"/>
              </w:rPr>
              <w:t> </w:t>
            </w:r>
            <w:bookmarkEnd w:id="126"/>
          </w:p>
        </w:tc>
        <w:tc>
          <w:tcPr>
            <w:tcW w:w="1238"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2016</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2015</w:t>
            </w:r>
          </w:p>
        </w:tc>
      </w:tr>
      <w:bookmarkEnd w:id="127"/>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8"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pStyle w:val="NotesHeading-Level1"/>
            </w:pPr>
            <w:r>
              <w:t xml:space="preserve">Note </w:t>
            </w:r>
            <w:proofErr w:type="spellStart"/>
            <w:r>
              <w:t>1.1C</w:t>
            </w:r>
            <w:proofErr w:type="spellEnd"/>
            <w:r>
              <w:t>: Grants</w:t>
            </w:r>
          </w:p>
        </w:tc>
        <w:tc>
          <w:tcPr>
            <w:tcW w:w="1238"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Private sector</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Non-profit organisations</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215</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423</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Other</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85</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1,016</w:t>
            </w:r>
          </w:p>
        </w:tc>
      </w:tr>
      <w:tr w:rsidR="008835EB" w:rsidTr="007E3F2E">
        <w:trPr>
          <w:trHeight w:val="270"/>
        </w:trPr>
        <w:tc>
          <w:tcPr>
            <w:tcW w:w="6272"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grants</w:t>
            </w:r>
          </w:p>
        </w:tc>
        <w:tc>
          <w:tcPr>
            <w:tcW w:w="1238"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300</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1,439</w:t>
            </w:r>
          </w:p>
        </w:tc>
      </w:tr>
    </w:tbl>
    <w:p w:rsidR="008835EB" w:rsidRDefault="008835EB" w:rsidP="008835EB">
      <w:bookmarkStart w:id="128" w:name="RANGE!D6:D20"/>
      <w:bookmarkStart w:id="129" w:name="RANGE!D6:G20"/>
      <w:bookmarkStart w:id="130" w:name="RANGE!D7:G14"/>
      <w:bookmarkStart w:id="131" w:name="RANGE!D7:G10"/>
      <w:bookmarkStart w:id="132" w:name="RANGE!D6:G8"/>
      <w:bookmarkStart w:id="133" w:name="RANGE!D6:D13"/>
      <w:bookmarkStart w:id="134" w:name="RANGE!D6:G13"/>
      <w:bookmarkEnd w:id="128"/>
      <w:bookmarkEnd w:id="129"/>
      <w:bookmarkEnd w:id="130"/>
      <w:bookmarkEnd w:id="131"/>
      <w:bookmarkEnd w:id="132"/>
      <w:bookmarkEnd w:id="133"/>
      <w:bookmarkEnd w:id="134"/>
    </w:p>
    <w:tbl>
      <w:tblPr>
        <w:tblW w:w="9087" w:type="dxa"/>
        <w:tblInd w:w="80" w:type="dxa"/>
        <w:tblLayout w:type="fixed"/>
        <w:tblLook w:val="04A0" w:firstRow="1" w:lastRow="0" w:firstColumn="1" w:lastColumn="0" w:noHBand="0" w:noVBand="1"/>
      </w:tblPr>
      <w:tblGrid>
        <w:gridCol w:w="6346"/>
        <w:gridCol w:w="1252"/>
        <w:gridCol w:w="239"/>
        <w:gridCol w:w="1250"/>
      </w:tblGrid>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pStyle w:val="NotesHeading-Level1"/>
            </w:pPr>
            <w:bookmarkStart w:id="135" w:name="Note_FCETABLE1" w:colFirst="0" w:colLast="0"/>
            <w:r>
              <w:t xml:space="preserve">Note </w:t>
            </w:r>
            <w:proofErr w:type="spellStart"/>
            <w:r>
              <w:t>1.1D</w:t>
            </w:r>
            <w:proofErr w:type="spellEnd"/>
            <w:r>
              <w:t>: Finance Costs</w:t>
            </w:r>
          </w:p>
        </w:tc>
        <w:tc>
          <w:tcPr>
            <w:tcW w:w="1238"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bookmarkEnd w:id="135"/>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85"/>
        </w:trPr>
        <w:tc>
          <w:tcPr>
            <w:tcW w:w="6272"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Discount for restoration</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17</w:t>
            </w:r>
          </w:p>
        </w:tc>
      </w:tr>
      <w:tr w:rsidR="008835EB" w:rsidTr="007E3F2E">
        <w:trPr>
          <w:trHeight w:val="285"/>
        </w:trPr>
        <w:tc>
          <w:tcPr>
            <w:tcW w:w="6272"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Discount for surplus lease space</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95</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53</w:t>
            </w:r>
          </w:p>
        </w:tc>
      </w:tr>
      <w:tr w:rsidR="008835EB" w:rsidTr="007E3F2E">
        <w:trPr>
          <w:trHeight w:val="285"/>
        </w:trPr>
        <w:tc>
          <w:tcPr>
            <w:tcW w:w="6272"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Discount for lease incentives</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404</w:t>
            </w:r>
          </w:p>
        </w:tc>
      </w:tr>
      <w:tr w:rsidR="008835EB" w:rsidTr="007E3F2E">
        <w:trPr>
          <w:trHeight w:val="270"/>
        </w:trPr>
        <w:tc>
          <w:tcPr>
            <w:tcW w:w="6272"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finance costs</w:t>
            </w:r>
          </w:p>
        </w:tc>
        <w:tc>
          <w:tcPr>
            <w:tcW w:w="1238"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95</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474</w:t>
            </w:r>
          </w:p>
        </w:tc>
      </w:tr>
    </w:tbl>
    <w:p w:rsidR="008835EB" w:rsidRDefault="008835EB" w:rsidP="008835EB"/>
    <w:tbl>
      <w:tblPr>
        <w:tblW w:w="9087" w:type="dxa"/>
        <w:tblInd w:w="80" w:type="dxa"/>
        <w:tblLayout w:type="fixed"/>
        <w:tblLook w:val="04A0" w:firstRow="1" w:lastRow="0" w:firstColumn="1" w:lastColumn="0" w:noHBand="0" w:noVBand="1"/>
      </w:tblPr>
      <w:tblGrid>
        <w:gridCol w:w="6346"/>
        <w:gridCol w:w="1252"/>
        <w:gridCol w:w="239"/>
        <w:gridCol w:w="1250"/>
      </w:tblGrid>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pStyle w:val="NotesHeading-Level1"/>
            </w:pPr>
            <w:bookmarkStart w:id="136" w:name="Note_WDATABLE1" w:colFirst="0" w:colLast="0"/>
            <w:r>
              <w:t xml:space="preserve">Note </w:t>
            </w:r>
            <w:proofErr w:type="spellStart"/>
            <w:r>
              <w:t>1.1E</w:t>
            </w:r>
            <w:proofErr w:type="spellEnd"/>
            <w:r>
              <w:t>: Write-Down and Impairment of Assets</w:t>
            </w:r>
          </w:p>
        </w:tc>
        <w:tc>
          <w:tcPr>
            <w:tcW w:w="1238"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bookmarkEnd w:id="136"/>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Asset write-downs and impairments from</w:t>
            </w:r>
          </w:p>
        </w:tc>
        <w:tc>
          <w:tcPr>
            <w:tcW w:w="1238"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Write-off of receivables—goods and services</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8</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Impairment of receivables—goods and services</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10</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Impairment of leasehold improvements</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51</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689</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Write-off of leasehold improvements</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170</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2</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Write-off of infrastructure, plant and equipment</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81</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Write-off of intangibles</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144</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58</w:t>
            </w:r>
          </w:p>
        </w:tc>
      </w:tr>
      <w:tr w:rsidR="008835EB" w:rsidTr="007E3F2E">
        <w:trPr>
          <w:trHeight w:val="270"/>
        </w:trPr>
        <w:tc>
          <w:tcPr>
            <w:tcW w:w="6272"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write-down and impairment of assets</w:t>
            </w:r>
          </w:p>
        </w:tc>
        <w:tc>
          <w:tcPr>
            <w:tcW w:w="1238"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371</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848</w:t>
            </w:r>
          </w:p>
        </w:tc>
      </w:tr>
    </w:tbl>
    <w:p w:rsidR="008835EB" w:rsidRDefault="008835EB" w:rsidP="008835EB">
      <w:pPr>
        <w:spacing w:line="240" w:lineRule="auto"/>
      </w:pPr>
      <w:bookmarkStart w:id="137" w:name="RANGE!D7:G18"/>
      <w:bookmarkStart w:id="138" w:name="RANGE!D6:D17"/>
      <w:bookmarkStart w:id="139" w:name="RANGE!D6:G17"/>
      <w:bookmarkStart w:id="140" w:name="RANGE!D6:D10"/>
      <w:bookmarkStart w:id="141" w:name="RANGE!D6:G10"/>
      <w:bookmarkEnd w:id="137"/>
      <w:bookmarkEnd w:id="138"/>
      <w:bookmarkEnd w:id="139"/>
      <w:bookmarkEnd w:id="140"/>
      <w:bookmarkEnd w:id="141"/>
    </w:p>
    <w:p w:rsidR="008835EB" w:rsidRDefault="008835EB" w:rsidP="008835EB">
      <w:pPr>
        <w:spacing w:line="240" w:lineRule="auto"/>
      </w:pPr>
      <w:r>
        <w:br w:type="page"/>
      </w:r>
    </w:p>
    <w:p w:rsidR="008835EB" w:rsidRDefault="008835EB" w:rsidP="008835EB">
      <w:pPr>
        <w:pStyle w:val="SubHeading"/>
      </w:pPr>
      <w:bookmarkStart w:id="142" w:name="RANGE!D6:G37"/>
      <w:bookmarkStart w:id="143" w:name="RANGE!D6:D38"/>
      <w:bookmarkStart w:id="144" w:name="RANGE!D6:G38"/>
      <w:bookmarkStart w:id="145" w:name="_Toc456689843"/>
      <w:bookmarkEnd w:id="142"/>
      <w:bookmarkEnd w:id="143"/>
      <w:bookmarkEnd w:id="144"/>
      <w:r>
        <w:lastRenderedPageBreak/>
        <w:t>Income</w:t>
      </w:r>
      <w:bookmarkEnd w:id="145"/>
    </w:p>
    <w:tbl>
      <w:tblPr>
        <w:tblW w:w="9087" w:type="dxa"/>
        <w:tblInd w:w="80" w:type="dxa"/>
        <w:tblLayout w:type="fixed"/>
        <w:tblLook w:val="04A0" w:firstRow="1" w:lastRow="0" w:firstColumn="1" w:lastColumn="0" w:noHBand="0" w:noVBand="1"/>
      </w:tblPr>
      <w:tblGrid>
        <w:gridCol w:w="5563"/>
        <w:gridCol w:w="1585"/>
        <w:gridCol w:w="354"/>
        <w:gridCol w:w="1585"/>
      </w:tblGrid>
      <w:tr w:rsidR="008835EB" w:rsidTr="007E3F2E">
        <w:trPr>
          <w:trHeight w:val="255"/>
        </w:trPr>
        <w:tc>
          <w:tcPr>
            <w:tcW w:w="5563"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bookmarkStart w:id="146" w:name="Note_GASTABLE1" w:colFirst="0" w:colLast="0"/>
            <w:r>
              <w:rPr>
                <w:rFonts w:cs="Calibri"/>
                <w:b/>
                <w:bCs/>
                <w:szCs w:val="18"/>
              </w:rPr>
              <w:t>OWN-SOURCE REVENUE</w:t>
            </w:r>
          </w:p>
        </w:tc>
        <w:tc>
          <w:tcPr>
            <w:tcW w:w="1585"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2016</w:t>
            </w:r>
          </w:p>
        </w:tc>
        <w:tc>
          <w:tcPr>
            <w:tcW w:w="354"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585"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2015</w:t>
            </w:r>
          </w:p>
        </w:tc>
      </w:tr>
      <w:bookmarkEnd w:id="146"/>
      <w:tr w:rsidR="008835EB" w:rsidTr="007E3F2E">
        <w:trPr>
          <w:trHeight w:val="255"/>
        </w:trPr>
        <w:tc>
          <w:tcPr>
            <w:tcW w:w="5563"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 </w:t>
            </w:r>
          </w:p>
        </w:tc>
        <w:tc>
          <w:tcPr>
            <w:tcW w:w="1585"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354"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585"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5563" w:type="dxa"/>
            <w:tcBorders>
              <w:top w:val="nil"/>
              <w:left w:val="nil"/>
              <w:bottom w:val="nil"/>
              <w:right w:val="nil"/>
            </w:tcBorders>
            <w:shd w:val="clear" w:color="FFFFFF" w:fill="FFFFFF"/>
            <w:noWrap/>
            <w:vAlign w:val="bottom"/>
            <w:hideMark/>
          </w:tcPr>
          <w:p w:rsidR="008835EB" w:rsidRDefault="008835EB" w:rsidP="007E3F2E">
            <w:pPr>
              <w:pStyle w:val="NotesHeading-Level1"/>
            </w:pPr>
            <w:r>
              <w:t xml:space="preserve">Note </w:t>
            </w:r>
            <w:proofErr w:type="spellStart"/>
            <w:r>
              <w:t>1.2A</w:t>
            </w:r>
            <w:proofErr w:type="spellEnd"/>
            <w:r>
              <w:t>: Sale of Goods and Rendering of Services</w:t>
            </w:r>
          </w:p>
        </w:tc>
        <w:tc>
          <w:tcPr>
            <w:tcW w:w="1585"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354"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585"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5563"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585"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354"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585"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5563"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Sales of goods</w:t>
            </w:r>
          </w:p>
        </w:tc>
        <w:tc>
          <w:tcPr>
            <w:tcW w:w="158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42</w:t>
            </w:r>
          </w:p>
        </w:tc>
        <w:tc>
          <w:tcPr>
            <w:tcW w:w="354"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58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16</w:t>
            </w:r>
          </w:p>
        </w:tc>
      </w:tr>
      <w:tr w:rsidR="008835EB" w:rsidTr="007E3F2E">
        <w:trPr>
          <w:trHeight w:val="255"/>
        </w:trPr>
        <w:tc>
          <w:tcPr>
            <w:tcW w:w="5563"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Rendering of services</w:t>
            </w:r>
          </w:p>
        </w:tc>
        <w:tc>
          <w:tcPr>
            <w:tcW w:w="158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23,771</w:t>
            </w:r>
          </w:p>
        </w:tc>
        <w:tc>
          <w:tcPr>
            <w:tcW w:w="354"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58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26,084</w:t>
            </w:r>
          </w:p>
        </w:tc>
      </w:tr>
      <w:tr w:rsidR="008835EB" w:rsidTr="007E3F2E">
        <w:trPr>
          <w:trHeight w:val="270"/>
        </w:trPr>
        <w:tc>
          <w:tcPr>
            <w:tcW w:w="5563"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sale of goods and rendering of services</w:t>
            </w:r>
          </w:p>
        </w:tc>
        <w:tc>
          <w:tcPr>
            <w:tcW w:w="1585"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23,813</w:t>
            </w:r>
          </w:p>
        </w:tc>
        <w:tc>
          <w:tcPr>
            <w:tcW w:w="354"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585"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26,100</w:t>
            </w:r>
          </w:p>
        </w:tc>
      </w:tr>
    </w:tbl>
    <w:p w:rsidR="008835EB" w:rsidRDefault="008835EB" w:rsidP="008835EB">
      <w:bookmarkStart w:id="147" w:name="RANGE!D6:D12"/>
      <w:bookmarkStart w:id="148" w:name="RANGE!D6:G12"/>
      <w:bookmarkEnd w:id="147"/>
      <w:bookmarkEnd w:id="148"/>
    </w:p>
    <w:p w:rsidR="008835EB" w:rsidRPr="004A43F1" w:rsidRDefault="008835EB" w:rsidP="008835EB">
      <w:pPr>
        <w:pStyle w:val="PolicyheadingDept"/>
      </w:pPr>
      <w:r w:rsidRPr="004A43F1">
        <w:t>Accounting Policy</w:t>
      </w:r>
    </w:p>
    <w:p w:rsidR="008835EB" w:rsidRPr="008025EC" w:rsidRDefault="008835EB" w:rsidP="008835EB">
      <w:pPr>
        <w:pStyle w:val="PolicytextDept"/>
      </w:pPr>
      <w:r w:rsidRPr="008025EC">
        <w:rPr>
          <w:lang w:eastAsia="en-AU"/>
        </w:rPr>
        <w:t>Revenue from the sale of goods is recognised when</w:t>
      </w:r>
      <w:r w:rsidRPr="008025EC">
        <w:t>:</w:t>
      </w:r>
    </w:p>
    <w:p w:rsidR="008835EB" w:rsidRPr="008025EC" w:rsidRDefault="008835EB" w:rsidP="008835EB">
      <w:pPr>
        <w:pStyle w:val="PolicytextDept"/>
        <w:numPr>
          <w:ilvl w:val="0"/>
          <w:numId w:val="8"/>
        </w:numPr>
        <w:spacing w:after="0"/>
      </w:pPr>
      <w:r w:rsidRPr="008025EC">
        <w:t>the risks and rewards of ownership have been transferred to the buyer;</w:t>
      </w:r>
    </w:p>
    <w:p w:rsidR="008835EB" w:rsidRPr="008025EC" w:rsidRDefault="008835EB" w:rsidP="008835EB">
      <w:pPr>
        <w:pStyle w:val="PolicytextDept"/>
        <w:numPr>
          <w:ilvl w:val="0"/>
          <w:numId w:val="8"/>
        </w:numPr>
        <w:spacing w:after="0"/>
      </w:pPr>
      <w:r w:rsidRPr="008025EC">
        <w:t>the department retains no managerial involvement or effective control over the goods;</w:t>
      </w:r>
    </w:p>
    <w:p w:rsidR="008835EB" w:rsidRPr="008025EC" w:rsidRDefault="008835EB" w:rsidP="008835EB">
      <w:pPr>
        <w:pStyle w:val="PolicytextDept"/>
        <w:numPr>
          <w:ilvl w:val="0"/>
          <w:numId w:val="8"/>
        </w:numPr>
        <w:spacing w:after="0"/>
      </w:pPr>
      <w:r w:rsidRPr="008025EC">
        <w:t>the revenue and transaction costs incurred can be reliably measured; and</w:t>
      </w:r>
    </w:p>
    <w:p w:rsidR="008835EB" w:rsidRPr="008025EC" w:rsidRDefault="008835EB" w:rsidP="008835EB">
      <w:pPr>
        <w:pStyle w:val="PolicytextDept"/>
        <w:numPr>
          <w:ilvl w:val="0"/>
          <w:numId w:val="8"/>
        </w:numPr>
        <w:rPr>
          <w:rFonts w:eastAsiaTheme="minorHAnsi"/>
        </w:rPr>
      </w:pPr>
      <w:proofErr w:type="gramStart"/>
      <w:r w:rsidRPr="008025EC">
        <w:t>it</w:t>
      </w:r>
      <w:proofErr w:type="gramEnd"/>
      <w:r w:rsidRPr="008025EC">
        <w:t xml:space="preserve"> is probable that the economic benefits associated with th</w:t>
      </w:r>
      <w:r>
        <w:t>e transaction will flow to the D</w:t>
      </w:r>
      <w:r w:rsidRPr="008025EC">
        <w:t>epartment.</w:t>
      </w:r>
    </w:p>
    <w:p w:rsidR="008835EB" w:rsidRPr="008025EC" w:rsidRDefault="008835EB" w:rsidP="008835EB">
      <w:pPr>
        <w:pStyle w:val="PolicytextDept"/>
      </w:pPr>
      <w:r w:rsidRPr="008025EC">
        <w:rPr>
          <w:lang w:eastAsia="en-AU"/>
        </w:rPr>
        <w:t>Revenue from rendering of services is recognised by reference to the stage of completion of co</w:t>
      </w:r>
      <w:r>
        <w:rPr>
          <w:lang w:eastAsia="en-AU"/>
        </w:rPr>
        <w:t xml:space="preserve">ntracts at the reporting date. </w:t>
      </w:r>
      <w:r w:rsidRPr="008025EC">
        <w:rPr>
          <w:lang w:eastAsia="en-AU"/>
        </w:rPr>
        <w:t>The revenue is recognised when</w:t>
      </w:r>
      <w:r w:rsidRPr="008025EC">
        <w:t>:</w:t>
      </w:r>
    </w:p>
    <w:p w:rsidR="008835EB" w:rsidRPr="008025EC" w:rsidRDefault="008835EB" w:rsidP="008835EB">
      <w:pPr>
        <w:pStyle w:val="PolicytextDept"/>
        <w:numPr>
          <w:ilvl w:val="0"/>
          <w:numId w:val="9"/>
        </w:numPr>
        <w:spacing w:after="0"/>
      </w:pPr>
      <w:r w:rsidRPr="008025EC">
        <w:t>the amount of revenue, stage of completion and transaction costs incurred can be reliably</w:t>
      </w:r>
      <w:r w:rsidRPr="008025EC">
        <w:br/>
        <w:t>measured; and</w:t>
      </w:r>
    </w:p>
    <w:p w:rsidR="008835EB" w:rsidRPr="008025EC" w:rsidRDefault="008835EB" w:rsidP="008835EB">
      <w:pPr>
        <w:pStyle w:val="PolicytextDept"/>
        <w:numPr>
          <w:ilvl w:val="0"/>
          <w:numId w:val="9"/>
        </w:numPr>
      </w:pPr>
      <w:proofErr w:type="gramStart"/>
      <w:r w:rsidRPr="008025EC">
        <w:t>the</w:t>
      </w:r>
      <w:proofErr w:type="gramEnd"/>
      <w:r w:rsidRPr="008025EC">
        <w:t xml:space="preserve"> probable economic benefits associated with the transaction will</w:t>
      </w:r>
      <w:r>
        <w:t xml:space="preserve"> flow to the D</w:t>
      </w:r>
      <w:r w:rsidRPr="008025EC">
        <w:t>epartment.</w:t>
      </w:r>
    </w:p>
    <w:p w:rsidR="008835EB" w:rsidRDefault="008835EB" w:rsidP="008835EB">
      <w:pPr>
        <w:pStyle w:val="PolicytextDept"/>
        <w:spacing w:after="0"/>
      </w:pPr>
      <w:r w:rsidRPr="008025EC">
        <w:t xml:space="preserve">The stage of completion of contracts at the reporting date is determined by reference to the proportion that costs incurred to date bear to the estimated </w:t>
      </w:r>
      <w:r>
        <w:t>total costs of the transaction.</w:t>
      </w:r>
    </w:p>
    <w:p w:rsidR="008835EB" w:rsidRPr="00C9579D" w:rsidRDefault="008835EB" w:rsidP="008835EB"/>
    <w:tbl>
      <w:tblPr>
        <w:tblW w:w="9087" w:type="dxa"/>
        <w:tblInd w:w="80" w:type="dxa"/>
        <w:tblLayout w:type="fixed"/>
        <w:tblLook w:val="04A0" w:firstRow="1" w:lastRow="0" w:firstColumn="1" w:lastColumn="0" w:noHBand="0" w:noVBand="1"/>
      </w:tblPr>
      <w:tblGrid>
        <w:gridCol w:w="6346"/>
        <w:gridCol w:w="1252"/>
        <w:gridCol w:w="239"/>
        <w:gridCol w:w="1250"/>
      </w:tblGrid>
      <w:tr w:rsidR="008835EB" w:rsidTr="007E3F2E">
        <w:trPr>
          <w:trHeight w:val="255"/>
        </w:trPr>
        <w:tc>
          <w:tcPr>
            <w:tcW w:w="9087" w:type="dxa"/>
            <w:gridSpan w:val="4"/>
            <w:tcBorders>
              <w:top w:val="nil"/>
              <w:left w:val="nil"/>
              <w:bottom w:val="nil"/>
              <w:right w:val="nil"/>
            </w:tcBorders>
            <w:shd w:val="clear" w:color="FFFFFF" w:fill="FFFFFF"/>
            <w:vAlign w:val="bottom"/>
            <w:hideMark/>
          </w:tcPr>
          <w:p w:rsidR="008835EB" w:rsidRDefault="008835EB" w:rsidP="007E3F2E">
            <w:pPr>
              <w:rPr>
                <w:rFonts w:cs="Calibri"/>
                <w:b/>
                <w:bCs/>
                <w:szCs w:val="18"/>
              </w:rPr>
            </w:pPr>
            <w:bookmarkStart w:id="149" w:name="Note_SRCTABLE1" w:colFirst="0" w:colLast="0"/>
            <w:r>
              <w:rPr>
                <w:rFonts w:cs="Calibri"/>
                <w:b/>
                <w:bCs/>
                <w:szCs w:val="18"/>
              </w:rPr>
              <w:t>Subleasing rental income commitments</w:t>
            </w:r>
          </w:p>
        </w:tc>
      </w:tr>
      <w:bookmarkEnd w:id="149"/>
      <w:tr w:rsidR="008835EB" w:rsidTr="007E3F2E">
        <w:trPr>
          <w:trHeight w:val="527"/>
        </w:trPr>
        <w:tc>
          <w:tcPr>
            <w:tcW w:w="9087" w:type="dxa"/>
            <w:gridSpan w:val="4"/>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Sub lease revenue for office accommodation. Vacant office space is sub leased where possible. The total of future minimum lease payments expected to be received over the next five years is $3.93 million including GST.</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 </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ascii="Arial" w:hAnsi="Arial" w:cs="Arial"/>
                <w:szCs w:val="18"/>
              </w:rPr>
            </w:pPr>
            <w:r>
              <w:rPr>
                <w:rFonts w:ascii="Arial" w:hAnsi="Arial" w:cs="Arial"/>
                <w:szCs w:val="18"/>
              </w:rPr>
              <w:t>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Pr="006B7639" w:rsidRDefault="008835EB" w:rsidP="008835EB">
            <w:pPr>
              <w:ind w:firstLineChars="100" w:firstLine="180"/>
              <w:rPr>
                <w:rFonts w:cs="Calibri"/>
                <w:szCs w:val="18"/>
              </w:rPr>
            </w:pP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2016</w:t>
            </w:r>
          </w:p>
        </w:tc>
        <w:tc>
          <w:tcPr>
            <w:tcW w:w="239" w:type="dxa"/>
            <w:tcBorders>
              <w:top w:val="nil"/>
              <w:left w:val="nil"/>
              <w:bottom w:val="nil"/>
              <w:right w:val="nil"/>
            </w:tcBorders>
            <w:shd w:val="clear" w:color="FFFFFF" w:fill="FFFFFF"/>
            <w:noWrap/>
            <w:vAlign w:val="bottom"/>
            <w:hideMark/>
          </w:tcPr>
          <w:p w:rsidR="008835EB" w:rsidRPr="006B7639" w:rsidRDefault="008835EB" w:rsidP="007E3F2E">
            <w:pPr>
              <w:rPr>
                <w:rFonts w:cs="Calibri"/>
                <w:szCs w:val="18"/>
              </w:rPr>
            </w:pPr>
            <w:r w:rsidRPr="006B7639">
              <w:rPr>
                <w:rFonts w:cs="Calibri"/>
                <w:szCs w:val="18"/>
              </w:rPr>
              <w:t> </w:t>
            </w:r>
          </w:p>
        </w:tc>
        <w:tc>
          <w:tcPr>
            <w:tcW w:w="1250" w:type="dxa"/>
            <w:tcBorders>
              <w:top w:val="nil"/>
              <w:left w:val="nil"/>
              <w:bottom w:val="nil"/>
              <w:right w:val="nil"/>
            </w:tcBorders>
            <w:shd w:val="clear" w:color="FFFFFF" w:fill="FFFFFF"/>
            <w:noWrap/>
            <w:vAlign w:val="bottom"/>
            <w:hideMark/>
          </w:tcPr>
          <w:p w:rsidR="008835EB" w:rsidRPr="006B7639" w:rsidRDefault="008835EB" w:rsidP="007E3F2E">
            <w:pPr>
              <w:jc w:val="right"/>
              <w:rPr>
                <w:rFonts w:cs="Calibri"/>
                <w:szCs w:val="18"/>
              </w:rPr>
            </w:pPr>
            <w:r w:rsidRPr="006B7639">
              <w:rPr>
                <w:rFonts w:cs="Calibri"/>
                <w:szCs w:val="18"/>
              </w:rPr>
              <w:t>2015</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Pr="006B7639" w:rsidRDefault="008835EB" w:rsidP="008835EB">
            <w:pPr>
              <w:ind w:firstLineChars="100" w:firstLine="180"/>
              <w:rPr>
                <w:rFonts w:cs="Calibri"/>
                <w:szCs w:val="18"/>
              </w:rPr>
            </w:pPr>
            <w:r w:rsidRPr="006B7639">
              <w:rPr>
                <w:rFonts w:cs="Calibri"/>
                <w:szCs w:val="18"/>
              </w:rPr>
              <w:t> </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$'000</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Pr="006B7639" w:rsidRDefault="008835EB" w:rsidP="007E3F2E">
            <w:pPr>
              <w:jc w:val="right"/>
              <w:rPr>
                <w:rFonts w:cs="Calibri"/>
                <w:szCs w:val="18"/>
              </w:rPr>
            </w:pPr>
            <w:r w:rsidRPr="006B7639">
              <w:rPr>
                <w:rFonts w:cs="Calibri"/>
                <w:szCs w:val="18"/>
              </w:rPr>
              <w:t>$'000</w:t>
            </w: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Commitments for sublease rental income receivables are as follows:</w:t>
            </w:r>
          </w:p>
        </w:tc>
        <w:tc>
          <w:tcPr>
            <w:tcW w:w="125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Within 1 year</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(1,520)</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(3,359)</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Between 1 to 5 years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(2,406)</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(2,878)</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More than 5 years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(253)</w:t>
            </w:r>
          </w:p>
        </w:tc>
      </w:tr>
      <w:tr w:rsidR="008835EB" w:rsidTr="007E3F2E">
        <w:trPr>
          <w:trHeight w:val="270"/>
        </w:trPr>
        <w:tc>
          <w:tcPr>
            <w:tcW w:w="6346"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sublease rental income commitments</w:t>
            </w:r>
          </w:p>
        </w:tc>
        <w:tc>
          <w:tcPr>
            <w:tcW w:w="1252"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(3,926)</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(6,490)</w:t>
            </w:r>
          </w:p>
        </w:tc>
      </w:tr>
    </w:tbl>
    <w:p w:rsidR="008835EB" w:rsidRDefault="008835EB" w:rsidP="008835EB"/>
    <w:tbl>
      <w:tblPr>
        <w:tblW w:w="9087" w:type="dxa"/>
        <w:tblInd w:w="80" w:type="dxa"/>
        <w:tblLayout w:type="fixed"/>
        <w:tblLook w:val="04A0" w:firstRow="1" w:lastRow="0" w:firstColumn="1" w:lastColumn="0" w:noHBand="0" w:noVBand="1"/>
      </w:tblPr>
      <w:tblGrid>
        <w:gridCol w:w="6346"/>
        <w:gridCol w:w="1252"/>
        <w:gridCol w:w="239"/>
        <w:gridCol w:w="1250"/>
      </w:tblGrid>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pStyle w:val="NotesHeading-Level1"/>
            </w:pPr>
            <w:bookmarkStart w:id="150" w:name="Note_OGATABLE1" w:colFirst="0" w:colLast="0"/>
            <w:r>
              <w:t xml:space="preserve">Note </w:t>
            </w:r>
            <w:proofErr w:type="spellStart"/>
            <w:r>
              <w:t>1.2B</w:t>
            </w:r>
            <w:proofErr w:type="spellEnd"/>
            <w:r>
              <w:t>: Other Gains</w:t>
            </w:r>
          </w:p>
        </w:tc>
        <w:tc>
          <w:tcPr>
            <w:tcW w:w="1238"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bookmarkEnd w:id="150"/>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Gain on write back of restoration provision</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1,172</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229</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First time recognition of assets – infrastructure, plant and equipment</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50</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266</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Write back of provision for surplus lease space</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1,098</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11</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Write back of leaseholds impairment</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262</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155</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Write back of intangibles impairment</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18</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Other</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1,152</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700</w:t>
            </w:r>
          </w:p>
        </w:tc>
      </w:tr>
      <w:tr w:rsidR="008835EB" w:rsidTr="007E3F2E">
        <w:trPr>
          <w:trHeight w:val="270"/>
        </w:trPr>
        <w:tc>
          <w:tcPr>
            <w:tcW w:w="6272"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other gains</w:t>
            </w:r>
          </w:p>
        </w:tc>
        <w:tc>
          <w:tcPr>
            <w:tcW w:w="1238"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3,752</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1,361</w:t>
            </w:r>
          </w:p>
        </w:tc>
      </w:tr>
    </w:tbl>
    <w:p w:rsidR="008835EB" w:rsidRDefault="008835EB" w:rsidP="008835EB">
      <w:pPr>
        <w:spacing w:line="240" w:lineRule="auto"/>
        <w:rPr>
          <w:rFonts w:ascii="Arial" w:hAnsi="Arial" w:cs="Arial"/>
          <w:b/>
          <w:bCs/>
          <w:szCs w:val="18"/>
        </w:rPr>
      </w:pPr>
      <w:bookmarkStart w:id="151" w:name="RANGE!D6:D14"/>
      <w:bookmarkStart w:id="152" w:name="RANGE!D6:G14"/>
      <w:bookmarkEnd w:id="151"/>
      <w:bookmarkEnd w:id="152"/>
      <w:r>
        <w:rPr>
          <w:rFonts w:ascii="Arial" w:hAnsi="Arial" w:cs="Arial"/>
          <w:b/>
          <w:bCs/>
          <w:szCs w:val="18"/>
        </w:rPr>
        <w:br w:type="page"/>
      </w:r>
    </w:p>
    <w:p w:rsidR="008835EB" w:rsidRDefault="008835EB" w:rsidP="008835EB">
      <w:pPr>
        <w:pStyle w:val="PolicyheadingDept"/>
      </w:pPr>
      <w:r>
        <w:lastRenderedPageBreak/>
        <w:t>Accounting Policy</w:t>
      </w:r>
    </w:p>
    <w:p w:rsidR="008835EB" w:rsidRPr="00200687" w:rsidRDefault="008835EB" w:rsidP="008835EB">
      <w:pPr>
        <w:pStyle w:val="Policytextunderline"/>
      </w:pPr>
      <w:r w:rsidRPr="00200687">
        <w:t>Revenue from Government</w:t>
      </w:r>
    </w:p>
    <w:p w:rsidR="008835EB" w:rsidRPr="00200687" w:rsidRDefault="008835EB" w:rsidP="008835EB">
      <w:pPr>
        <w:pStyle w:val="PolicytextDept"/>
      </w:pPr>
      <w:r w:rsidRPr="00200687">
        <w:t>Amounts appropriated for departmental appropriations for the year (adjusted for any formal additions and reductions) are recognised as Re</w:t>
      </w:r>
      <w:r>
        <w:t>venue from Government when the D</w:t>
      </w:r>
      <w:r w:rsidRPr="00200687">
        <w:t>epartment gains control of the appropriation, except for certain amounts that relate to activities that are reciprocal in nature, in which case revenue is recognised only when it has been earned. Appropriations receivable are recognised at their nominal amounts.</w:t>
      </w:r>
    </w:p>
    <w:p w:rsidR="008835EB" w:rsidRDefault="008835EB" w:rsidP="008835EB">
      <w:pPr>
        <w:pStyle w:val="PolicytextDept"/>
      </w:pPr>
      <w:r w:rsidRPr="00B0729E">
        <w:t>Funding received or receivable from non-corporate Commonwealth entities (appropriated to the non-corporate Commonwealth entity as a corporate Commonwealth entity payment item for payment to this entity) is recognised as Revenue from Government by the corporate Commonwealth entity unless the funding is in the nature of an equity injection or a loan.</w:t>
      </w:r>
    </w:p>
    <w:p w:rsidR="008835EB" w:rsidRPr="00947672" w:rsidRDefault="008835EB" w:rsidP="008835EB">
      <w:pPr>
        <w:pStyle w:val="Policytextunderline"/>
      </w:pPr>
      <w:r w:rsidRPr="00947672">
        <w:t>Resources Received Free of Charge</w:t>
      </w:r>
    </w:p>
    <w:p w:rsidR="008835EB" w:rsidRDefault="008835EB" w:rsidP="008835EB">
      <w:pPr>
        <w:pStyle w:val="PolicytextDept"/>
      </w:pPr>
      <w:r w:rsidRPr="00200687">
        <w:t>Resources received free of charge are recognised as revenue when, and only when, a fair value can be reliably determined and the services would have been purchased</w:t>
      </w:r>
      <w:r>
        <w:t xml:space="preserve"> if they had not been donated. </w:t>
      </w:r>
      <w:r w:rsidRPr="00200687">
        <w:t>Use of those resources is recognised as an expense. Resources received free of charge are recorded as either revenue or gains depending on their nature.</w:t>
      </w:r>
      <w:r>
        <w:t xml:space="preserve"> </w:t>
      </w:r>
    </w:p>
    <w:p w:rsidR="008835EB" w:rsidRPr="00200687" w:rsidRDefault="008835EB" w:rsidP="008835EB">
      <w:pPr>
        <w:pStyle w:val="PolicytextDept"/>
      </w:pPr>
      <w:r w:rsidRPr="00FB7807">
        <w:t xml:space="preserve">Contributions of assets at no cost of acquisition or for nominal consideration are recognised as gains at their fair value when the asset qualifies for recognition, unless received from another non-corporate or corporate Commonwealth entity as a consequence of a restructuring </w:t>
      </w:r>
      <w:r>
        <w:t>of administrative arrangements.</w:t>
      </w:r>
    </w:p>
    <w:p w:rsidR="008835EB" w:rsidRPr="00200687" w:rsidRDefault="008835EB" w:rsidP="008835EB">
      <w:pPr>
        <w:pStyle w:val="Policytextunderline"/>
      </w:pPr>
      <w:r>
        <w:t>Gains</w:t>
      </w:r>
    </w:p>
    <w:p w:rsidR="008835EB" w:rsidRPr="00200687" w:rsidRDefault="008835EB" w:rsidP="008835EB">
      <w:pPr>
        <w:pStyle w:val="PolicytextDept"/>
      </w:pPr>
      <w:r w:rsidRPr="00200687">
        <w:t xml:space="preserve">Contributions of assets at no cost of acquisition or for nominal consideration are recognised as gains at their fair value when the asset qualifies for recognition, unless received from another Government entity as a consequence of a restructuring of administrative arrangements (Refer to </w:t>
      </w:r>
      <w:r>
        <w:t>Accounting Policy for the Statement of Changes in Equity</w:t>
      </w:r>
      <w:r w:rsidRPr="00200687">
        <w:t>).</w:t>
      </w:r>
    </w:p>
    <w:p w:rsidR="008835EB" w:rsidRPr="00200687" w:rsidRDefault="008835EB" w:rsidP="008835EB">
      <w:pPr>
        <w:pStyle w:val="Policytextunderline"/>
      </w:pPr>
      <w:r w:rsidRPr="00200687">
        <w:t xml:space="preserve">Sale of </w:t>
      </w:r>
      <w:r>
        <w:t>A</w:t>
      </w:r>
      <w:r w:rsidRPr="00200687">
        <w:t>ssets</w:t>
      </w:r>
    </w:p>
    <w:p w:rsidR="008835EB" w:rsidRPr="00200687" w:rsidRDefault="008835EB" w:rsidP="008835EB">
      <w:pPr>
        <w:pStyle w:val="PolicytextDept"/>
      </w:pPr>
      <w:r w:rsidRPr="00200687">
        <w:rPr>
          <w:lang w:eastAsia="en-AU"/>
        </w:rPr>
        <w:t>Gains from disposal of assets are recognised when control of the asset has passed to the buyer</w:t>
      </w:r>
      <w:r w:rsidRPr="00200687">
        <w:t>.</w:t>
      </w:r>
    </w:p>
    <w:p w:rsidR="008835EB" w:rsidRDefault="008835EB" w:rsidP="008835EB">
      <w:pPr>
        <w:pStyle w:val="PolicytextDept"/>
        <w:rPr>
          <w:rFonts w:ascii="Arial" w:hAnsi="Arial" w:cs="Arial"/>
          <w:b/>
        </w:rPr>
        <w:sectPr w:rsidR="008835EB" w:rsidSect="00F74C23">
          <w:type w:val="continuous"/>
          <w:pgSz w:w="11906" w:h="16838"/>
          <w:pgMar w:top="1134" w:right="1134" w:bottom="1134" w:left="1134" w:header="958" w:footer="737" w:gutter="0"/>
          <w:cols w:space="720"/>
        </w:sectPr>
      </w:pPr>
    </w:p>
    <w:p w:rsidR="008835EB" w:rsidRDefault="008835EB" w:rsidP="008835EB">
      <w:pPr>
        <w:pStyle w:val="SectionHeading"/>
      </w:pPr>
      <w:bookmarkStart w:id="153" w:name="_Toc443469525"/>
      <w:bookmarkStart w:id="154" w:name="_Toc444065774"/>
      <w:bookmarkStart w:id="155" w:name="_Toc444077335"/>
      <w:bookmarkStart w:id="156" w:name="_Toc456689844"/>
      <w:r w:rsidRPr="00656D24">
        <w:lastRenderedPageBreak/>
        <w:t>Income</w:t>
      </w:r>
      <w:r>
        <w:t xml:space="preserve"> and Expenses Administered on Behalf of Government</w:t>
      </w:r>
      <w:bookmarkEnd w:id="153"/>
      <w:bookmarkEnd w:id="154"/>
      <w:bookmarkEnd w:id="155"/>
      <w:bookmarkEnd w:id="156"/>
    </w:p>
    <w:p w:rsidR="008835EB" w:rsidRDefault="008835EB" w:rsidP="008835EB">
      <w:pPr>
        <w:spacing w:after="120"/>
      </w:pPr>
      <w:bookmarkStart w:id="157" w:name="_Toc444065775"/>
      <w:r w:rsidRPr="00BE05B2">
        <w:t xml:space="preserve">This section analyses the activities that the </w:t>
      </w:r>
      <w:r w:rsidR="00FA455C">
        <w:t>Department of Employment</w:t>
      </w:r>
      <w:r>
        <w:t xml:space="preserve"> </w:t>
      </w:r>
      <w:r w:rsidRPr="00BE05B2">
        <w:t>does not control but administers on behalf of the Government. Unless otherwise noted, the accounting policies adopted are consistent with those applied for departmental reporting</w:t>
      </w:r>
      <w:bookmarkEnd w:id="157"/>
      <w:r>
        <w:t>.</w:t>
      </w:r>
    </w:p>
    <w:p w:rsidR="008835EB" w:rsidRDefault="008835EB" w:rsidP="008835EB">
      <w:pPr>
        <w:pStyle w:val="SubHeading"/>
      </w:pPr>
      <w:bookmarkStart w:id="158" w:name="_Toc456689845"/>
      <w:r>
        <w:t>Administered—Expenses</w:t>
      </w:r>
      <w:bookmarkEnd w:id="158"/>
    </w:p>
    <w:tbl>
      <w:tblPr>
        <w:tblW w:w="9087" w:type="dxa"/>
        <w:tblInd w:w="80" w:type="dxa"/>
        <w:tblLayout w:type="fixed"/>
        <w:tblLook w:val="04A0" w:firstRow="1" w:lastRow="0" w:firstColumn="1" w:lastColumn="0" w:noHBand="0" w:noVBand="1"/>
      </w:tblPr>
      <w:tblGrid>
        <w:gridCol w:w="6346"/>
        <w:gridCol w:w="1252"/>
        <w:gridCol w:w="239"/>
        <w:gridCol w:w="1250"/>
      </w:tblGrid>
      <w:tr w:rsidR="008835EB" w:rsidTr="007E3F2E">
        <w:trPr>
          <w:trHeight w:val="255"/>
        </w:trPr>
        <w:tc>
          <w:tcPr>
            <w:tcW w:w="634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bookmarkStart w:id="159" w:name="Note_ASXTABLE1" w:colFirst="0" w:colLast="0"/>
            <w:r>
              <w:rPr>
                <w:rFonts w:ascii="Arial" w:hAnsi="Arial" w:cs="Arial"/>
                <w:sz w:val="16"/>
                <w:szCs w:val="16"/>
              </w:rPr>
              <w:t> </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2016</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2015</w:t>
            </w:r>
          </w:p>
        </w:tc>
      </w:tr>
      <w:bookmarkEnd w:id="159"/>
      <w:tr w:rsidR="008835EB" w:rsidTr="007E3F2E">
        <w:trPr>
          <w:trHeight w:val="255"/>
        </w:trPr>
        <w:tc>
          <w:tcPr>
            <w:tcW w:w="6346" w:type="dxa"/>
            <w:tcBorders>
              <w:top w:val="nil"/>
              <w:left w:val="nil"/>
              <w:bottom w:val="nil"/>
              <w:right w:val="nil"/>
            </w:tcBorders>
            <w:shd w:val="clear" w:color="000000" w:fill="D9D9D9"/>
            <w:noWrap/>
            <w:hideMark/>
          </w:tcPr>
          <w:p w:rsidR="008835EB" w:rsidRDefault="008835EB" w:rsidP="007E3F2E">
            <w:pPr>
              <w:rPr>
                <w:rFonts w:cs="Calibri"/>
                <w:b/>
                <w:bCs/>
                <w:szCs w:val="18"/>
                <w:u w:val="single"/>
              </w:rPr>
            </w:pPr>
            <w:r>
              <w:rPr>
                <w:rFonts w:cs="Calibri"/>
                <w:b/>
                <w:bCs/>
                <w:szCs w:val="18"/>
                <w:u w:val="single"/>
              </w:rPr>
              <w:t xml:space="preserve">Note </w:t>
            </w:r>
            <w:proofErr w:type="spellStart"/>
            <w:r>
              <w:rPr>
                <w:rFonts w:cs="Calibri"/>
                <w:b/>
                <w:bCs/>
                <w:szCs w:val="18"/>
                <w:u w:val="single"/>
              </w:rPr>
              <w:t>2.1A</w:t>
            </w:r>
            <w:proofErr w:type="spellEnd"/>
            <w:r>
              <w:rPr>
                <w:rFonts w:cs="Calibri"/>
                <w:b/>
                <w:bCs/>
                <w:szCs w:val="18"/>
                <w:u w:val="single"/>
              </w:rPr>
              <w:t>: Suppliers</w:t>
            </w:r>
          </w:p>
        </w:tc>
        <w:tc>
          <w:tcPr>
            <w:tcW w:w="1252" w:type="dxa"/>
            <w:tcBorders>
              <w:top w:val="nil"/>
              <w:left w:val="nil"/>
              <w:bottom w:val="single" w:sz="4" w:space="0" w:color="D9D9D9"/>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$'000</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$'000</w:t>
            </w:r>
          </w:p>
        </w:tc>
      </w:tr>
      <w:tr w:rsidR="008835EB" w:rsidTr="007E3F2E">
        <w:trPr>
          <w:trHeight w:val="449"/>
        </w:trPr>
        <w:tc>
          <w:tcPr>
            <w:tcW w:w="6346"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Services rendered</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6346"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Labour market assistance to job seekers and industry</w:t>
            </w:r>
          </w:p>
        </w:tc>
        <w:tc>
          <w:tcPr>
            <w:tcW w:w="1252"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983,296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1,170,216 </w:t>
            </w:r>
          </w:p>
        </w:tc>
      </w:tr>
      <w:tr w:rsidR="008835EB" w:rsidTr="007E3F2E">
        <w:trPr>
          <w:trHeight w:val="255"/>
        </w:trPr>
        <w:tc>
          <w:tcPr>
            <w:tcW w:w="6346"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Industrial relations</w:t>
            </w:r>
          </w:p>
        </w:tc>
        <w:tc>
          <w:tcPr>
            <w:tcW w:w="1252"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20,925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17,649 </w:t>
            </w:r>
          </w:p>
        </w:tc>
      </w:tr>
      <w:tr w:rsidR="008835EB" w:rsidTr="007E3F2E">
        <w:trPr>
          <w:trHeight w:val="270"/>
        </w:trPr>
        <w:tc>
          <w:tcPr>
            <w:tcW w:w="6346" w:type="dxa"/>
            <w:tcBorders>
              <w:top w:val="single" w:sz="4" w:space="0" w:color="D9D9D9"/>
              <w:left w:val="nil"/>
              <w:bottom w:val="single" w:sz="24" w:space="0" w:color="D8D8D8"/>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Total suppliers</w:t>
            </w:r>
          </w:p>
        </w:tc>
        <w:tc>
          <w:tcPr>
            <w:tcW w:w="1252"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1,004,221</w:t>
            </w:r>
          </w:p>
        </w:tc>
        <w:tc>
          <w:tcPr>
            <w:tcW w:w="239" w:type="dxa"/>
            <w:tcBorders>
              <w:top w:val="single" w:sz="4" w:space="0" w:color="D9D9D9"/>
              <w:left w:val="nil"/>
              <w:bottom w:val="single" w:sz="24" w:space="0" w:color="D8D8D8"/>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 </w:t>
            </w:r>
          </w:p>
        </w:tc>
        <w:tc>
          <w:tcPr>
            <w:tcW w:w="1250"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1,187,865</w:t>
            </w:r>
          </w:p>
        </w:tc>
      </w:tr>
    </w:tbl>
    <w:p w:rsidR="008835EB" w:rsidRDefault="008835EB" w:rsidP="008835EB">
      <w:pPr>
        <w:pStyle w:val="GreyShadeTableBreak"/>
      </w:pPr>
      <w:bookmarkStart w:id="160" w:name="RANGE!D7:G21"/>
      <w:bookmarkEnd w:id="160"/>
    </w:p>
    <w:tbl>
      <w:tblPr>
        <w:tblW w:w="9087" w:type="dxa"/>
        <w:tblInd w:w="80" w:type="dxa"/>
        <w:tblLayout w:type="fixed"/>
        <w:tblLook w:val="04A0" w:firstRow="1" w:lastRow="0" w:firstColumn="1" w:lastColumn="0" w:noHBand="0" w:noVBand="1"/>
      </w:tblPr>
      <w:tblGrid>
        <w:gridCol w:w="6346"/>
        <w:gridCol w:w="1252"/>
        <w:gridCol w:w="239"/>
        <w:gridCol w:w="1250"/>
      </w:tblGrid>
      <w:tr w:rsidR="008835EB" w:rsidTr="007E3F2E">
        <w:trPr>
          <w:trHeight w:val="255"/>
        </w:trPr>
        <w:tc>
          <w:tcPr>
            <w:tcW w:w="6346" w:type="dxa"/>
            <w:tcBorders>
              <w:top w:val="nil"/>
              <w:left w:val="nil"/>
              <w:bottom w:val="nil"/>
              <w:right w:val="nil"/>
            </w:tcBorders>
            <w:shd w:val="clear" w:color="000000" w:fill="D9D9D9"/>
            <w:noWrap/>
            <w:hideMark/>
          </w:tcPr>
          <w:p w:rsidR="008835EB" w:rsidRDefault="008835EB" w:rsidP="007E3F2E">
            <w:pPr>
              <w:rPr>
                <w:rFonts w:cs="Calibri"/>
                <w:b/>
                <w:bCs/>
                <w:szCs w:val="18"/>
                <w:u w:val="single"/>
              </w:rPr>
            </w:pPr>
            <w:bookmarkStart w:id="161" w:name="RANGE!D7:D12"/>
            <w:bookmarkStart w:id="162" w:name="Note_ASUTABLE1" w:colFirst="0" w:colLast="0"/>
            <w:r>
              <w:rPr>
                <w:rFonts w:cs="Calibri"/>
                <w:b/>
                <w:bCs/>
                <w:szCs w:val="18"/>
                <w:u w:val="single"/>
              </w:rPr>
              <w:t xml:space="preserve">Note </w:t>
            </w:r>
            <w:proofErr w:type="spellStart"/>
            <w:r>
              <w:rPr>
                <w:rFonts w:cs="Calibri"/>
                <w:b/>
                <w:bCs/>
                <w:szCs w:val="18"/>
                <w:u w:val="single"/>
              </w:rPr>
              <w:t>2.1B</w:t>
            </w:r>
            <w:proofErr w:type="spellEnd"/>
            <w:r>
              <w:rPr>
                <w:rFonts w:cs="Calibri"/>
                <w:b/>
                <w:bCs/>
                <w:szCs w:val="18"/>
                <w:u w:val="single"/>
              </w:rPr>
              <w:t>: Subsidies</w:t>
            </w:r>
            <w:bookmarkEnd w:id="161"/>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r>
      <w:bookmarkEnd w:id="162"/>
      <w:tr w:rsidR="008835EB" w:rsidTr="007E3F2E">
        <w:trPr>
          <w:trHeight w:val="447"/>
        </w:trPr>
        <w:tc>
          <w:tcPr>
            <w:tcW w:w="6346"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Subsidies in connection with</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6346"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Labour market assistance to job seekers and industry</w:t>
            </w:r>
          </w:p>
        </w:tc>
        <w:tc>
          <w:tcPr>
            <w:tcW w:w="1252"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20,234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121,944 </w:t>
            </w:r>
          </w:p>
        </w:tc>
      </w:tr>
      <w:tr w:rsidR="008835EB" w:rsidTr="007E3F2E">
        <w:trPr>
          <w:trHeight w:val="255"/>
        </w:trPr>
        <w:tc>
          <w:tcPr>
            <w:tcW w:w="6346"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Industrial relations</w:t>
            </w:r>
          </w:p>
        </w:tc>
        <w:tc>
          <w:tcPr>
            <w:tcW w:w="1252"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144,931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159,401 </w:t>
            </w:r>
          </w:p>
        </w:tc>
      </w:tr>
      <w:tr w:rsidR="008835EB" w:rsidTr="007E3F2E">
        <w:trPr>
          <w:trHeight w:val="270"/>
        </w:trPr>
        <w:tc>
          <w:tcPr>
            <w:tcW w:w="6346" w:type="dxa"/>
            <w:tcBorders>
              <w:top w:val="single" w:sz="4" w:space="0" w:color="D9D9D9"/>
              <w:left w:val="nil"/>
              <w:bottom w:val="single" w:sz="24" w:space="0" w:color="D8D8D8"/>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Total subsidies</w:t>
            </w:r>
          </w:p>
        </w:tc>
        <w:tc>
          <w:tcPr>
            <w:tcW w:w="1252"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165,165</w:t>
            </w:r>
          </w:p>
        </w:tc>
        <w:tc>
          <w:tcPr>
            <w:tcW w:w="239" w:type="dxa"/>
            <w:tcBorders>
              <w:top w:val="single" w:sz="4" w:space="0" w:color="D9D9D9"/>
              <w:left w:val="nil"/>
              <w:bottom w:val="single" w:sz="24" w:space="0" w:color="D8D8D8"/>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 </w:t>
            </w:r>
          </w:p>
        </w:tc>
        <w:tc>
          <w:tcPr>
            <w:tcW w:w="1250"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281,345</w:t>
            </w:r>
          </w:p>
        </w:tc>
      </w:tr>
    </w:tbl>
    <w:p w:rsidR="008835EB" w:rsidRDefault="008835EB" w:rsidP="008835EB">
      <w:pPr>
        <w:pStyle w:val="GreyShadeTableBreak"/>
      </w:pPr>
      <w:bookmarkStart w:id="163" w:name="RANGE!D7:G16"/>
      <w:bookmarkEnd w:id="163"/>
    </w:p>
    <w:tbl>
      <w:tblPr>
        <w:tblW w:w="9087" w:type="dxa"/>
        <w:tblInd w:w="80" w:type="dxa"/>
        <w:tblLayout w:type="fixed"/>
        <w:tblLook w:val="04A0" w:firstRow="1" w:lastRow="0" w:firstColumn="1" w:lastColumn="0" w:noHBand="0" w:noVBand="1"/>
      </w:tblPr>
      <w:tblGrid>
        <w:gridCol w:w="6346"/>
        <w:gridCol w:w="1252"/>
        <w:gridCol w:w="239"/>
        <w:gridCol w:w="1250"/>
      </w:tblGrid>
      <w:tr w:rsidR="008835EB" w:rsidTr="007E3F2E">
        <w:trPr>
          <w:trHeight w:val="255"/>
        </w:trPr>
        <w:tc>
          <w:tcPr>
            <w:tcW w:w="6346" w:type="dxa"/>
            <w:tcBorders>
              <w:top w:val="nil"/>
              <w:left w:val="nil"/>
              <w:bottom w:val="nil"/>
              <w:right w:val="nil"/>
            </w:tcBorders>
            <w:shd w:val="clear" w:color="000000" w:fill="D9D9D9"/>
            <w:noWrap/>
            <w:hideMark/>
          </w:tcPr>
          <w:p w:rsidR="008835EB" w:rsidRDefault="008835EB" w:rsidP="007E3F2E">
            <w:pPr>
              <w:rPr>
                <w:rFonts w:cs="Calibri"/>
                <w:b/>
                <w:bCs/>
                <w:szCs w:val="18"/>
                <w:u w:val="single"/>
              </w:rPr>
            </w:pPr>
            <w:bookmarkStart w:id="164" w:name="Note_APBTABLE1" w:colFirst="0" w:colLast="0"/>
            <w:r>
              <w:rPr>
                <w:rFonts w:cs="Calibri"/>
                <w:b/>
                <w:bCs/>
                <w:szCs w:val="18"/>
                <w:u w:val="single"/>
              </w:rPr>
              <w:t xml:space="preserve">Note </w:t>
            </w:r>
            <w:proofErr w:type="spellStart"/>
            <w:r>
              <w:rPr>
                <w:rFonts w:cs="Calibri"/>
                <w:b/>
                <w:bCs/>
                <w:szCs w:val="18"/>
                <w:u w:val="single"/>
              </w:rPr>
              <w:t>2.1C</w:t>
            </w:r>
            <w:proofErr w:type="spellEnd"/>
            <w:r>
              <w:rPr>
                <w:rFonts w:cs="Calibri"/>
                <w:b/>
                <w:bCs/>
                <w:szCs w:val="18"/>
                <w:u w:val="single"/>
              </w:rPr>
              <w:t>: Personal Benefits</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single" w:sz="8" w:space="0" w:color="D9D9D9"/>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bookmarkEnd w:id="164"/>
      <w:tr w:rsidR="008835EB" w:rsidTr="007E3F2E">
        <w:trPr>
          <w:trHeight w:val="417"/>
        </w:trPr>
        <w:tc>
          <w:tcPr>
            <w:tcW w:w="6346" w:type="dxa"/>
            <w:tcBorders>
              <w:top w:val="nil"/>
              <w:left w:val="nil"/>
              <w:bottom w:val="single" w:sz="4" w:space="0" w:color="D9D9D9"/>
              <w:right w:val="nil"/>
            </w:tcBorders>
            <w:shd w:val="clear" w:color="000000" w:fill="D9D9D9"/>
            <w:noWrap/>
            <w:vAlign w:val="bottom"/>
            <w:hideMark/>
          </w:tcPr>
          <w:p w:rsidR="008835EB" w:rsidRPr="006874D5" w:rsidRDefault="008835EB" w:rsidP="007E3F2E">
            <w:pPr>
              <w:rPr>
                <w:rFonts w:cs="Calibri"/>
                <w:b/>
                <w:bCs/>
                <w:szCs w:val="18"/>
              </w:rPr>
            </w:pPr>
            <w:r w:rsidRPr="006874D5">
              <w:rPr>
                <w:rFonts w:cs="Calibri"/>
                <w:b/>
                <w:bCs/>
                <w:szCs w:val="18"/>
              </w:rPr>
              <w:t>Direct</w:t>
            </w:r>
          </w:p>
        </w:tc>
        <w:tc>
          <w:tcPr>
            <w:tcW w:w="1252"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6346"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 xml:space="preserve">Labour market assistance to job seekers and industry </w:t>
            </w:r>
          </w:p>
        </w:tc>
        <w:tc>
          <w:tcPr>
            <w:tcW w:w="1252"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56,183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72,515 </w:t>
            </w:r>
          </w:p>
        </w:tc>
      </w:tr>
      <w:tr w:rsidR="008835EB" w:rsidTr="007E3F2E">
        <w:trPr>
          <w:trHeight w:val="255"/>
        </w:trPr>
        <w:tc>
          <w:tcPr>
            <w:tcW w:w="6346"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b/>
                <w:bCs/>
                <w:szCs w:val="18"/>
              </w:rPr>
            </w:pPr>
            <w:r>
              <w:rPr>
                <w:rFonts w:cs="Calibri"/>
                <w:b/>
                <w:bCs/>
                <w:szCs w:val="18"/>
              </w:rPr>
              <w:t>Indirect</w:t>
            </w:r>
          </w:p>
        </w:tc>
        <w:tc>
          <w:tcPr>
            <w:tcW w:w="1252"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55"/>
        </w:trPr>
        <w:tc>
          <w:tcPr>
            <w:tcW w:w="6346"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 xml:space="preserve">Industrial relations </w:t>
            </w:r>
          </w:p>
        </w:tc>
        <w:tc>
          <w:tcPr>
            <w:tcW w:w="1252"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281,631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312,444 </w:t>
            </w:r>
          </w:p>
        </w:tc>
      </w:tr>
      <w:tr w:rsidR="008835EB" w:rsidTr="007E3F2E">
        <w:trPr>
          <w:trHeight w:val="270"/>
        </w:trPr>
        <w:tc>
          <w:tcPr>
            <w:tcW w:w="6346" w:type="dxa"/>
            <w:tcBorders>
              <w:top w:val="single" w:sz="4" w:space="0" w:color="D9D9D9"/>
              <w:left w:val="nil"/>
              <w:bottom w:val="single" w:sz="24" w:space="0" w:color="D8D8D8"/>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Total personal benefits</w:t>
            </w:r>
          </w:p>
        </w:tc>
        <w:tc>
          <w:tcPr>
            <w:tcW w:w="1252"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337,814</w:t>
            </w:r>
          </w:p>
        </w:tc>
        <w:tc>
          <w:tcPr>
            <w:tcW w:w="239" w:type="dxa"/>
            <w:tcBorders>
              <w:top w:val="single" w:sz="4" w:space="0" w:color="D9D9D9"/>
              <w:left w:val="nil"/>
              <w:bottom w:val="single" w:sz="24" w:space="0" w:color="D8D8D8"/>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 </w:t>
            </w:r>
          </w:p>
        </w:tc>
        <w:tc>
          <w:tcPr>
            <w:tcW w:w="1250"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384,959</w:t>
            </w:r>
          </w:p>
        </w:tc>
      </w:tr>
    </w:tbl>
    <w:p w:rsidR="008835EB" w:rsidRPr="008B022A" w:rsidRDefault="008835EB" w:rsidP="008835EB">
      <w:pPr>
        <w:pStyle w:val="Policytextadminbold"/>
        <w:spacing w:after="60"/>
      </w:pPr>
      <w:bookmarkStart w:id="165" w:name="RANGE!D7:G25"/>
      <w:bookmarkEnd w:id="165"/>
      <w:r>
        <w:t>Accounting Policy</w:t>
      </w:r>
    </w:p>
    <w:p w:rsidR="008835EB" w:rsidRDefault="008835EB" w:rsidP="008835EB">
      <w:pPr>
        <w:pStyle w:val="PolicyTextAdmin"/>
        <w:spacing w:after="0"/>
      </w:pPr>
      <w:r w:rsidRPr="008B022A">
        <w:t>The department admini</w:t>
      </w:r>
      <w:r>
        <w:t>sters personal benefit program</w:t>
      </w:r>
      <w:r w:rsidRPr="008B022A">
        <w:t>s on behalf of the government that pr</w:t>
      </w:r>
      <w:r>
        <w:t>ovide entitlements to i</w:t>
      </w:r>
      <w:r w:rsidRPr="008B022A">
        <w:t xml:space="preserve">ndividuals.  Payments are determined in accordance with provisions of the </w:t>
      </w:r>
      <w:r w:rsidRPr="008B022A">
        <w:rPr>
          <w:i/>
        </w:rPr>
        <w:t xml:space="preserve">Fair Entitlements Guarantee Act 2012 </w:t>
      </w:r>
      <w:r w:rsidRPr="008B022A">
        <w:t>and the funding agreement</w:t>
      </w:r>
      <w:r w:rsidRPr="008B022A">
        <w:rPr>
          <w:i/>
        </w:rPr>
        <w:t xml:space="preserve"> </w:t>
      </w:r>
      <w:r w:rsidRPr="008B022A">
        <w:t>for the New Enterprise Incentive Scheme</w:t>
      </w:r>
      <w:r>
        <w:t xml:space="preserve"> under jobactive.</w:t>
      </w:r>
    </w:p>
    <w:tbl>
      <w:tblPr>
        <w:tblW w:w="9087" w:type="dxa"/>
        <w:tblInd w:w="80" w:type="dxa"/>
        <w:tblLayout w:type="fixed"/>
        <w:tblLook w:val="04A0" w:firstRow="1" w:lastRow="0" w:firstColumn="1" w:lastColumn="0" w:noHBand="0" w:noVBand="1"/>
      </w:tblPr>
      <w:tblGrid>
        <w:gridCol w:w="6346"/>
        <w:gridCol w:w="1252"/>
        <w:gridCol w:w="239"/>
        <w:gridCol w:w="1250"/>
      </w:tblGrid>
      <w:tr w:rsidR="008835EB" w:rsidTr="007E3F2E">
        <w:trPr>
          <w:trHeight w:val="255"/>
        </w:trPr>
        <w:tc>
          <w:tcPr>
            <w:tcW w:w="6346" w:type="dxa"/>
            <w:tcBorders>
              <w:top w:val="nil"/>
              <w:left w:val="nil"/>
              <w:bottom w:val="nil"/>
              <w:right w:val="nil"/>
            </w:tcBorders>
            <w:shd w:val="clear" w:color="000000" w:fill="D9D9D9"/>
            <w:noWrap/>
          </w:tcPr>
          <w:p w:rsidR="008835EB" w:rsidRPr="00086429" w:rsidRDefault="008835EB" w:rsidP="007E3F2E">
            <w:pPr>
              <w:rPr>
                <w:rFonts w:cs="Calibri"/>
                <w:b/>
                <w:bCs/>
                <w:szCs w:val="18"/>
                <w:u w:val="single"/>
              </w:rPr>
            </w:pPr>
          </w:p>
        </w:tc>
        <w:tc>
          <w:tcPr>
            <w:tcW w:w="1252" w:type="dxa"/>
            <w:tcBorders>
              <w:top w:val="nil"/>
              <w:left w:val="nil"/>
              <w:bottom w:val="single" w:sz="4" w:space="0" w:color="D9D9D9"/>
              <w:right w:val="nil"/>
            </w:tcBorders>
            <w:shd w:val="clear" w:color="000000" w:fill="D9D9D9"/>
            <w:noWrap/>
            <w:vAlign w:val="bottom"/>
            <w:hideMark/>
          </w:tcPr>
          <w:p w:rsidR="008835EB" w:rsidRPr="00086429" w:rsidRDefault="008835EB" w:rsidP="007E3F2E">
            <w:pPr>
              <w:jc w:val="right"/>
              <w:rPr>
                <w:rFonts w:cs="Calibri"/>
                <w:b/>
                <w:bCs/>
                <w:szCs w:val="18"/>
              </w:rPr>
            </w:pPr>
            <w:r w:rsidRPr="00086429">
              <w:rPr>
                <w:rFonts w:cs="Calibri"/>
                <w:b/>
                <w:bCs/>
                <w:szCs w:val="18"/>
              </w:rPr>
              <w:t>2016</w:t>
            </w:r>
          </w:p>
        </w:tc>
        <w:tc>
          <w:tcPr>
            <w:tcW w:w="239" w:type="dxa"/>
            <w:tcBorders>
              <w:top w:val="nil"/>
              <w:left w:val="nil"/>
              <w:bottom w:val="single" w:sz="4" w:space="0" w:color="D9D9D9"/>
              <w:right w:val="nil"/>
            </w:tcBorders>
            <w:shd w:val="clear" w:color="000000" w:fill="D9D9D9"/>
            <w:noWrap/>
            <w:vAlign w:val="bottom"/>
            <w:hideMark/>
          </w:tcPr>
          <w:p w:rsidR="008835EB" w:rsidRPr="00086429" w:rsidRDefault="008835EB" w:rsidP="007E3F2E">
            <w:pPr>
              <w:jc w:val="right"/>
              <w:rPr>
                <w:rFonts w:cs="Calibri"/>
                <w:b/>
                <w:bCs/>
                <w:szCs w:val="18"/>
              </w:rPr>
            </w:pPr>
            <w:r w:rsidRPr="00086429">
              <w:rPr>
                <w:rFonts w:cs="Calibri"/>
                <w:b/>
                <w:bCs/>
                <w:szCs w:val="18"/>
              </w:rPr>
              <w:t> </w:t>
            </w:r>
          </w:p>
        </w:tc>
        <w:tc>
          <w:tcPr>
            <w:tcW w:w="1250" w:type="dxa"/>
            <w:tcBorders>
              <w:top w:val="nil"/>
              <w:left w:val="nil"/>
              <w:bottom w:val="single" w:sz="4" w:space="0" w:color="D9D9D9"/>
              <w:right w:val="nil"/>
            </w:tcBorders>
            <w:shd w:val="clear" w:color="000000" w:fill="D9D9D9"/>
            <w:noWrap/>
            <w:vAlign w:val="bottom"/>
            <w:hideMark/>
          </w:tcPr>
          <w:p w:rsidR="008835EB" w:rsidRPr="00086429" w:rsidRDefault="008835EB" w:rsidP="007E3F2E">
            <w:pPr>
              <w:jc w:val="right"/>
              <w:rPr>
                <w:rFonts w:cs="Calibri"/>
                <w:bCs/>
                <w:szCs w:val="18"/>
              </w:rPr>
            </w:pPr>
            <w:r w:rsidRPr="00086429">
              <w:rPr>
                <w:rFonts w:cs="Calibri"/>
                <w:bCs/>
                <w:szCs w:val="18"/>
              </w:rPr>
              <w:t>2015</w:t>
            </w:r>
          </w:p>
        </w:tc>
      </w:tr>
      <w:tr w:rsidR="008835EB" w:rsidTr="007E3F2E">
        <w:trPr>
          <w:trHeight w:val="255"/>
        </w:trPr>
        <w:tc>
          <w:tcPr>
            <w:tcW w:w="6346" w:type="dxa"/>
            <w:tcBorders>
              <w:top w:val="nil"/>
              <w:left w:val="nil"/>
              <w:bottom w:val="nil"/>
              <w:right w:val="nil"/>
            </w:tcBorders>
            <w:shd w:val="clear" w:color="000000" w:fill="D9D9D9"/>
            <w:noWrap/>
          </w:tcPr>
          <w:p w:rsidR="008835EB" w:rsidRDefault="008835EB" w:rsidP="007E3F2E">
            <w:pPr>
              <w:rPr>
                <w:rFonts w:cs="Calibri"/>
                <w:b/>
                <w:bCs/>
                <w:szCs w:val="18"/>
                <w:u w:val="single"/>
              </w:rPr>
            </w:pPr>
          </w:p>
        </w:tc>
        <w:tc>
          <w:tcPr>
            <w:tcW w:w="1252" w:type="dxa"/>
            <w:tcBorders>
              <w:top w:val="nil"/>
              <w:left w:val="nil"/>
              <w:bottom w:val="single" w:sz="4" w:space="0" w:color="D9D9D9"/>
              <w:right w:val="nil"/>
            </w:tcBorders>
            <w:shd w:val="clear" w:color="000000" w:fill="D9D9D9"/>
            <w:noWrap/>
            <w:vAlign w:val="bottom"/>
            <w:hideMark/>
          </w:tcPr>
          <w:p w:rsidR="008835EB" w:rsidRPr="00086429" w:rsidRDefault="008835EB" w:rsidP="007E3F2E">
            <w:pPr>
              <w:jc w:val="right"/>
              <w:rPr>
                <w:rFonts w:cs="Calibri"/>
                <w:b/>
                <w:bCs/>
                <w:szCs w:val="18"/>
              </w:rPr>
            </w:pPr>
            <w:r w:rsidRPr="00086429">
              <w:rPr>
                <w:rFonts w:cs="Calibri"/>
                <w:b/>
                <w:bCs/>
                <w:szCs w:val="18"/>
              </w:rPr>
              <w:t>$'000</w:t>
            </w:r>
          </w:p>
        </w:tc>
        <w:tc>
          <w:tcPr>
            <w:tcW w:w="239" w:type="dxa"/>
            <w:tcBorders>
              <w:top w:val="nil"/>
              <w:left w:val="nil"/>
              <w:bottom w:val="single" w:sz="4" w:space="0" w:color="D9D9D9"/>
              <w:right w:val="nil"/>
            </w:tcBorders>
            <w:shd w:val="clear" w:color="000000" w:fill="D9D9D9"/>
            <w:noWrap/>
            <w:vAlign w:val="bottom"/>
            <w:hideMark/>
          </w:tcPr>
          <w:p w:rsidR="008835EB" w:rsidRPr="00086429" w:rsidRDefault="008835EB" w:rsidP="007E3F2E">
            <w:pPr>
              <w:jc w:val="right"/>
              <w:rPr>
                <w:rFonts w:cs="Calibri"/>
                <w:b/>
                <w:bCs/>
                <w:szCs w:val="18"/>
              </w:rPr>
            </w:pPr>
            <w:r w:rsidRPr="00086429">
              <w:rPr>
                <w:rFonts w:cs="Calibri"/>
                <w:b/>
                <w:bCs/>
                <w:szCs w:val="18"/>
              </w:rPr>
              <w:t> </w:t>
            </w:r>
          </w:p>
        </w:tc>
        <w:tc>
          <w:tcPr>
            <w:tcW w:w="1250" w:type="dxa"/>
            <w:tcBorders>
              <w:top w:val="nil"/>
              <w:left w:val="nil"/>
              <w:bottom w:val="single" w:sz="4" w:space="0" w:color="D9D9D9"/>
              <w:right w:val="nil"/>
            </w:tcBorders>
            <w:shd w:val="clear" w:color="000000" w:fill="D9D9D9"/>
            <w:noWrap/>
            <w:vAlign w:val="bottom"/>
            <w:hideMark/>
          </w:tcPr>
          <w:p w:rsidR="008835EB" w:rsidRPr="00086429" w:rsidRDefault="008835EB" w:rsidP="007E3F2E">
            <w:pPr>
              <w:jc w:val="right"/>
              <w:rPr>
                <w:rFonts w:cs="Calibri"/>
                <w:bCs/>
                <w:szCs w:val="18"/>
              </w:rPr>
            </w:pPr>
            <w:r w:rsidRPr="00086429">
              <w:rPr>
                <w:rFonts w:cs="Calibri"/>
                <w:bCs/>
                <w:szCs w:val="18"/>
              </w:rPr>
              <w:t>$'000</w:t>
            </w:r>
          </w:p>
        </w:tc>
      </w:tr>
      <w:tr w:rsidR="008835EB" w:rsidTr="007E3F2E">
        <w:trPr>
          <w:trHeight w:val="255"/>
        </w:trPr>
        <w:tc>
          <w:tcPr>
            <w:tcW w:w="6346" w:type="dxa"/>
            <w:tcBorders>
              <w:top w:val="nil"/>
              <w:left w:val="nil"/>
              <w:bottom w:val="nil"/>
              <w:right w:val="nil"/>
            </w:tcBorders>
            <w:shd w:val="clear" w:color="000000" w:fill="D9D9D9"/>
            <w:noWrap/>
            <w:hideMark/>
          </w:tcPr>
          <w:p w:rsidR="008835EB" w:rsidRDefault="008835EB" w:rsidP="007E3F2E">
            <w:pPr>
              <w:rPr>
                <w:rFonts w:cs="Calibri"/>
                <w:b/>
                <w:bCs/>
                <w:szCs w:val="18"/>
                <w:u w:val="single"/>
              </w:rPr>
            </w:pPr>
            <w:bookmarkStart w:id="166" w:name="Note_AGRTABLE1" w:colFirst="0" w:colLast="0"/>
            <w:r>
              <w:rPr>
                <w:rFonts w:cs="Calibri"/>
                <w:b/>
                <w:bCs/>
                <w:szCs w:val="18"/>
                <w:u w:val="single"/>
              </w:rPr>
              <w:t xml:space="preserve">Note </w:t>
            </w:r>
            <w:proofErr w:type="spellStart"/>
            <w:r>
              <w:rPr>
                <w:rFonts w:cs="Calibri"/>
                <w:b/>
                <w:bCs/>
                <w:szCs w:val="18"/>
                <w:u w:val="single"/>
              </w:rPr>
              <w:t>2.1D</w:t>
            </w:r>
            <w:proofErr w:type="spellEnd"/>
            <w:r>
              <w:rPr>
                <w:rFonts w:cs="Calibri"/>
                <w:b/>
                <w:bCs/>
                <w:szCs w:val="18"/>
                <w:u w:val="single"/>
              </w:rPr>
              <w:t>: Grants</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bookmarkEnd w:id="166"/>
      <w:tr w:rsidR="008835EB" w:rsidTr="007E3F2E">
        <w:trPr>
          <w:trHeight w:val="423"/>
        </w:trPr>
        <w:tc>
          <w:tcPr>
            <w:tcW w:w="6346"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Public sector</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634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Australian Government entities</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78,812</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84,299</w:t>
            </w:r>
          </w:p>
        </w:tc>
      </w:tr>
      <w:tr w:rsidR="008835EB" w:rsidTr="007E3F2E">
        <w:trPr>
          <w:trHeight w:val="255"/>
        </w:trPr>
        <w:tc>
          <w:tcPr>
            <w:tcW w:w="6346"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Private sector</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b/>
                <w:bCs/>
                <w:szCs w:val="18"/>
              </w:rPr>
            </w:pPr>
            <w:r>
              <w:rPr>
                <w:rFonts w:cs="Calibri"/>
                <w:b/>
                <w:bCs/>
                <w:szCs w:val="18"/>
              </w:rPr>
              <w:t>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634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Non-profit organisations</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7,641</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957</w:t>
            </w:r>
          </w:p>
        </w:tc>
      </w:tr>
      <w:tr w:rsidR="008835EB" w:rsidTr="007E3F2E">
        <w:trPr>
          <w:trHeight w:val="255"/>
        </w:trPr>
        <w:tc>
          <w:tcPr>
            <w:tcW w:w="634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Other</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4,380</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4,517</w:t>
            </w:r>
          </w:p>
        </w:tc>
      </w:tr>
      <w:tr w:rsidR="008835EB" w:rsidTr="007E3F2E">
        <w:trPr>
          <w:trHeight w:val="270"/>
        </w:trPr>
        <w:tc>
          <w:tcPr>
            <w:tcW w:w="6346" w:type="dxa"/>
            <w:tcBorders>
              <w:top w:val="single" w:sz="4" w:space="0" w:color="D9D9D9"/>
              <w:left w:val="nil"/>
              <w:bottom w:val="single" w:sz="24" w:space="0" w:color="D8D8D8"/>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Total grants</w:t>
            </w:r>
          </w:p>
        </w:tc>
        <w:tc>
          <w:tcPr>
            <w:tcW w:w="1252"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90,833</w:t>
            </w:r>
          </w:p>
        </w:tc>
        <w:tc>
          <w:tcPr>
            <w:tcW w:w="239" w:type="dxa"/>
            <w:tcBorders>
              <w:top w:val="single" w:sz="4" w:space="0" w:color="D9D9D9"/>
              <w:left w:val="nil"/>
              <w:bottom w:val="single" w:sz="24" w:space="0" w:color="D8D8D8"/>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 </w:t>
            </w:r>
          </w:p>
        </w:tc>
        <w:tc>
          <w:tcPr>
            <w:tcW w:w="1250"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89,773</w:t>
            </w:r>
          </w:p>
        </w:tc>
      </w:tr>
    </w:tbl>
    <w:p w:rsidR="008835EB" w:rsidRDefault="008835EB" w:rsidP="008835EB">
      <w:pPr>
        <w:pStyle w:val="Policytextadminbold"/>
        <w:spacing w:after="60"/>
      </w:pPr>
      <w:bookmarkStart w:id="167" w:name="RANGE!D7:G11"/>
      <w:bookmarkStart w:id="168" w:name="RANGE!D6:G9"/>
      <w:bookmarkEnd w:id="167"/>
      <w:bookmarkEnd w:id="168"/>
      <w:r>
        <w:t>Accounting Policy</w:t>
      </w:r>
    </w:p>
    <w:p w:rsidR="008835EB" w:rsidRPr="008B022A" w:rsidRDefault="008835EB" w:rsidP="008835EB">
      <w:pPr>
        <w:pStyle w:val="PolicyTextAdmin"/>
        <w:spacing w:after="60"/>
      </w:pPr>
      <w:r w:rsidRPr="008B022A">
        <w:t>The department administers a number of grant and subsidy schemes on behalf of the Government.</w:t>
      </w:r>
    </w:p>
    <w:p w:rsidR="008835EB" w:rsidRPr="008B022A" w:rsidRDefault="008835EB" w:rsidP="008835EB">
      <w:pPr>
        <w:pStyle w:val="PolicyTextAdmin"/>
        <w:spacing w:after="0"/>
      </w:pPr>
      <w:r w:rsidRPr="008B022A">
        <w:t>Grant and subsidy liabilities are recognised to the extent that:</w:t>
      </w:r>
    </w:p>
    <w:p w:rsidR="008835EB" w:rsidRPr="008B022A" w:rsidRDefault="008835EB" w:rsidP="008835EB">
      <w:pPr>
        <w:pStyle w:val="PolicyTextAdmin"/>
        <w:tabs>
          <w:tab w:val="left" w:pos="284"/>
        </w:tabs>
        <w:spacing w:after="0"/>
      </w:pPr>
      <w:r>
        <w:t>—</w:t>
      </w:r>
      <w:r>
        <w:tab/>
      </w:r>
      <w:proofErr w:type="gramStart"/>
      <w:r w:rsidRPr="008B022A">
        <w:t>the</w:t>
      </w:r>
      <w:proofErr w:type="gramEnd"/>
      <w:r w:rsidRPr="008B022A">
        <w:t xml:space="preserve"> services required to be performed by the grantee have been performed; or </w:t>
      </w:r>
    </w:p>
    <w:p w:rsidR="008835EB" w:rsidRDefault="008835EB" w:rsidP="008835EB">
      <w:pPr>
        <w:pStyle w:val="PolicyTextAdmin"/>
        <w:tabs>
          <w:tab w:val="left" w:pos="284"/>
        </w:tabs>
        <w:spacing w:after="60"/>
        <w:ind w:left="284" w:hanging="284"/>
      </w:pPr>
      <w:r>
        <w:t>—</w:t>
      </w:r>
      <w:r>
        <w:tab/>
      </w:r>
      <w:proofErr w:type="gramStart"/>
      <w:r w:rsidRPr="008B022A">
        <w:t>the</w:t>
      </w:r>
      <w:proofErr w:type="gramEnd"/>
      <w:r w:rsidRPr="008B022A">
        <w:t xml:space="preserve"> grant eligibility criteria have been satisfied, but payments </w:t>
      </w:r>
      <w:r>
        <w:t xml:space="preserve">due have not been made. </w:t>
      </w:r>
      <w:r w:rsidRPr="008B022A">
        <w:t>A</w:t>
      </w:r>
      <w:r>
        <w:t xml:space="preserve"> commitment is recorded </w:t>
      </w:r>
      <w:r w:rsidRPr="008B022A">
        <w:t>when the Government enters into an agreement to make these grants but</w:t>
      </w:r>
      <w:r>
        <w:t xml:space="preserve"> </w:t>
      </w:r>
      <w:r w:rsidRPr="008B022A">
        <w:t>services have not been performed or criteria satisfied.</w:t>
      </w:r>
    </w:p>
    <w:p w:rsidR="008835EB" w:rsidRPr="00BD2972" w:rsidRDefault="008835EB" w:rsidP="008835EB">
      <w:pPr>
        <w:pStyle w:val="PolicyTextAdmin"/>
        <w:spacing w:after="0"/>
      </w:pPr>
      <w:r w:rsidRPr="008B022A">
        <w:t xml:space="preserve">The Australian Government continues to have regard to developments in case law, including the High Court’s most recent decision on Commonwealth expenditure in </w:t>
      </w:r>
      <w:r w:rsidRPr="008B022A">
        <w:rPr>
          <w:i/>
        </w:rPr>
        <w:t>Williams v Commonwealth [2014] HCA 23</w:t>
      </w:r>
      <w:r w:rsidRPr="008B022A">
        <w:t>, as they contribute to the larger body of law relevant to the development of Commonwealth programs. In accordance with its general practice, the Government will continue to monitor and assess risk and decide on any appropriate actions to respond to risks of expenditure not being consistent with constitution</w:t>
      </w:r>
      <w:r>
        <w:t>al or other legal requirements.</w:t>
      </w:r>
    </w:p>
    <w:p w:rsidR="008835EB" w:rsidRDefault="008835EB" w:rsidP="008835EB">
      <w:pPr>
        <w:rPr>
          <w:rFonts w:ascii="Arial" w:hAnsi="Arial" w:cs="Arial"/>
          <w:b/>
          <w:bCs/>
          <w:szCs w:val="18"/>
        </w:rPr>
        <w:sectPr w:rsidR="008835EB" w:rsidSect="00F74C23">
          <w:pgSz w:w="11906" w:h="16838"/>
          <w:pgMar w:top="1134" w:right="1134" w:bottom="1134" w:left="1134" w:header="958" w:footer="737" w:gutter="0"/>
          <w:cols w:space="720"/>
        </w:sectPr>
      </w:pPr>
    </w:p>
    <w:p w:rsidR="008835EB" w:rsidRDefault="008835EB" w:rsidP="008835EB">
      <w:pPr>
        <w:pStyle w:val="SectionHeading"/>
      </w:pPr>
      <w:bookmarkStart w:id="169" w:name="_Toc443469528"/>
      <w:bookmarkStart w:id="170" w:name="_Toc444065778"/>
      <w:bookmarkStart w:id="171" w:name="_Toc444077338"/>
      <w:bookmarkStart w:id="172" w:name="_Toc456689846"/>
      <w:r>
        <w:lastRenderedPageBreak/>
        <w:t xml:space="preserve">Departmental Financial </w:t>
      </w:r>
      <w:r w:rsidRPr="009E424E">
        <w:t>Position</w:t>
      </w:r>
      <w:bookmarkEnd w:id="169"/>
      <w:bookmarkEnd w:id="170"/>
      <w:bookmarkEnd w:id="171"/>
      <w:bookmarkEnd w:id="172"/>
    </w:p>
    <w:p w:rsidR="008835EB" w:rsidRPr="00BE05B2" w:rsidRDefault="008835EB" w:rsidP="008835EB">
      <w:pPr>
        <w:ind w:right="566"/>
      </w:pPr>
      <w:bookmarkStart w:id="173" w:name="_Toc444065779"/>
      <w:r w:rsidRPr="00BE05B2">
        <w:t>This section analyses the</w:t>
      </w:r>
      <w:r>
        <w:t xml:space="preserve"> </w:t>
      </w:r>
      <w:r w:rsidR="00FA455C">
        <w:t>Department of Employment</w:t>
      </w:r>
      <w:r>
        <w:t xml:space="preserve">’s </w:t>
      </w:r>
      <w:r w:rsidRPr="00BE05B2">
        <w:t xml:space="preserve">assets used to </w:t>
      </w:r>
      <w:r>
        <w:t>conduct its operations</w:t>
      </w:r>
      <w:r w:rsidRPr="00BE05B2">
        <w:t xml:space="preserve"> and the operating liabilities incurred as a result.</w:t>
      </w:r>
      <w:bookmarkEnd w:id="173"/>
    </w:p>
    <w:p w:rsidR="008835EB" w:rsidRDefault="008835EB" w:rsidP="008835EB">
      <w:pPr>
        <w:spacing w:after="120"/>
      </w:pPr>
      <w:bookmarkStart w:id="174" w:name="_Toc444065780"/>
      <w:r w:rsidRPr="00BE05B2">
        <w:t>Employee related information is disclosed in the People and Relationships section.</w:t>
      </w:r>
      <w:bookmarkEnd w:id="174"/>
    </w:p>
    <w:p w:rsidR="008835EB" w:rsidRDefault="008835EB" w:rsidP="008835EB">
      <w:pPr>
        <w:pStyle w:val="SubHeading"/>
      </w:pPr>
      <w:bookmarkStart w:id="175" w:name="_Toc456689847"/>
      <w:r>
        <w:t>Financial Assets</w:t>
      </w:r>
      <w:bookmarkEnd w:id="175"/>
    </w:p>
    <w:tbl>
      <w:tblPr>
        <w:tblW w:w="9087" w:type="dxa"/>
        <w:tblInd w:w="80" w:type="dxa"/>
        <w:tblLayout w:type="fixed"/>
        <w:tblLook w:val="04A0" w:firstRow="1" w:lastRow="0" w:firstColumn="1" w:lastColumn="0" w:noHBand="0" w:noVBand="1"/>
      </w:tblPr>
      <w:tblGrid>
        <w:gridCol w:w="6346"/>
        <w:gridCol w:w="1252"/>
        <w:gridCol w:w="239"/>
        <w:gridCol w:w="1250"/>
      </w:tblGrid>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bookmarkStart w:id="176" w:name="Note_RECTABLE1" w:colFirst="0" w:colLast="0"/>
            <w:r>
              <w:rPr>
                <w:rFonts w:cs="Calibri"/>
                <w:szCs w:val="18"/>
              </w:rPr>
              <w:t> </w:t>
            </w:r>
          </w:p>
        </w:tc>
        <w:tc>
          <w:tcPr>
            <w:tcW w:w="1252"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2016</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2015</w:t>
            </w:r>
          </w:p>
        </w:tc>
      </w:tr>
      <w:bookmarkEnd w:id="176"/>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2"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$'000</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$'000</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b/>
                <w:bCs/>
                <w:szCs w:val="18"/>
                <w:u w:val="single"/>
              </w:rPr>
            </w:pPr>
            <w:r>
              <w:rPr>
                <w:rFonts w:cs="Calibri"/>
                <w:b/>
                <w:bCs/>
                <w:szCs w:val="18"/>
                <w:u w:val="single"/>
              </w:rPr>
              <w:t xml:space="preserve">Note </w:t>
            </w:r>
            <w:proofErr w:type="spellStart"/>
            <w:r>
              <w:rPr>
                <w:rFonts w:cs="Calibri"/>
                <w:b/>
                <w:bCs/>
                <w:szCs w:val="18"/>
                <w:u w:val="single"/>
              </w:rPr>
              <w:t>3.1A</w:t>
            </w:r>
            <w:proofErr w:type="spellEnd"/>
            <w:r>
              <w:rPr>
                <w:rFonts w:cs="Calibri"/>
                <w:b/>
                <w:bCs/>
                <w:szCs w:val="18"/>
                <w:u w:val="single"/>
              </w:rPr>
              <w:t>: Trade and Other Receivables</w:t>
            </w:r>
          </w:p>
        </w:tc>
        <w:tc>
          <w:tcPr>
            <w:tcW w:w="1252"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b/>
                <w:bCs/>
                <w:szCs w:val="18"/>
              </w:rPr>
            </w:pPr>
            <w:r>
              <w:rPr>
                <w:rFonts w:cs="Calibri"/>
                <w:b/>
                <w:bCs/>
                <w:szCs w:val="18"/>
              </w:rPr>
              <w:t> </w:t>
            </w:r>
          </w:p>
        </w:tc>
        <w:tc>
          <w:tcPr>
            <w:tcW w:w="1252"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spacing w:line="240" w:lineRule="auto"/>
              <w:ind w:firstLineChars="100" w:firstLine="180"/>
              <w:rPr>
                <w:rFonts w:cs="Calibri"/>
                <w:szCs w:val="18"/>
              </w:rPr>
            </w:pPr>
            <w:r>
              <w:rPr>
                <w:rFonts w:cs="Calibri"/>
                <w:szCs w:val="18"/>
              </w:rPr>
              <w:t>Goods and services</w:t>
            </w:r>
          </w:p>
        </w:tc>
        <w:tc>
          <w:tcPr>
            <w:tcW w:w="1252"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3,873</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4,722</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spacing w:line="240" w:lineRule="auto"/>
              <w:ind w:firstLineChars="100" w:firstLine="180"/>
              <w:rPr>
                <w:rFonts w:cs="Calibri"/>
                <w:szCs w:val="18"/>
              </w:rPr>
            </w:pPr>
            <w:r>
              <w:rPr>
                <w:rFonts w:cs="Calibri"/>
                <w:szCs w:val="18"/>
              </w:rPr>
              <w:t>Appropriation receivables—for existing programs</w:t>
            </w:r>
          </w:p>
        </w:tc>
        <w:tc>
          <w:tcPr>
            <w:tcW w:w="1252"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113,140</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109,207</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spacing w:line="240" w:lineRule="auto"/>
              <w:ind w:firstLineChars="100" w:firstLine="180"/>
              <w:rPr>
                <w:rFonts w:cs="Calibri"/>
                <w:szCs w:val="18"/>
              </w:rPr>
            </w:pPr>
            <w:r>
              <w:rPr>
                <w:rFonts w:cs="Calibri"/>
                <w:szCs w:val="18"/>
              </w:rPr>
              <w:t>GST receivable from the Australian Taxation Office</w:t>
            </w:r>
          </w:p>
        </w:tc>
        <w:tc>
          <w:tcPr>
            <w:tcW w:w="1252"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2,297</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1,386</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spacing w:line="240" w:lineRule="auto"/>
              <w:ind w:firstLineChars="100" w:firstLine="180"/>
              <w:rPr>
                <w:rFonts w:cs="Calibri"/>
                <w:szCs w:val="18"/>
              </w:rPr>
            </w:pPr>
            <w:r>
              <w:rPr>
                <w:rFonts w:cs="Calibri"/>
                <w:szCs w:val="18"/>
              </w:rPr>
              <w:t>Lease incentives</w:t>
            </w:r>
          </w:p>
        </w:tc>
        <w:tc>
          <w:tcPr>
            <w:tcW w:w="1252"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7,510</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776</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spacing w:line="240" w:lineRule="auto"/>
              <w:ind w:firstLineChars="100" w:firstLine="180"/>
              <w:rPr>
                <w:rFonts w:cs="Calibri"/>
                <w:szCs w:val="18"/>
              </w:rPr>
            </w:pPr>
            <w:r>
              <w:rPr>
                <w:rFonts w:cs="Calibri"/>
                <w:szCs w:val="18"/>
              </w:rPr>
              <w:t>Other</w:t>
            </w:r>
          </w:p>
        </w:tc>
        <w:tc>
          <w:tcPr>
            <w:tcW w:w="1252"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54</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50</w:t>
            </w: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b/>
                <w:bCs/>
                <w:i/>
                <w:iCs/>
                <w:szCs w:val="18"/>
              </w:rPr>
            </w:pPr>
            <w:r>
              <w:rPr>
                <w:rFonts w:cs="Calibri"/>
                <w:b/>
                <w:bCs/>
                <w:i/>
                <w:iCs/>
                <w:szCs w:val="18"/>
              </w:rPr>
              <w:t>Total trade and other receivables (gross)</w:t>
            </w:r>
          </w:p>
        </w:tc>
        <w:tc>
          <w:tcPr>
            <w:tcW w:w="1252"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126,874</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116,141</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2"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b/>
                <w:bCs/>
                <w:szCs w:val="18"/>
              </w:rPr>
            </w:pPr>
            <w:r>
              <w:rPr>
                <w:rFonts w:cs="Calibri"/>
                <w:b/>
                <w:bCs/>
                <w:szCs w:val="18"/>
              </w:rPr>
              <w:t>Less impairment allowance account</w:t>
            </w:r>
          </w:p>
        </w:tc>
        <w:tc>
          <w:tcPr>
            <w:tcW w:w="1252"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spacing w:line="240" w:lineRule="auto"/>
              <w:ind w:firstLineChars="100" w:firstLine="180"/>
              <w:rPr>
                <w:rFonts w:cs="Calibri"/>
                <w:szCs w:val="18"/>
              </w:rPr>
            </w:pPr>
            <w:r>
              <w:rPr>
                <w:rFonts w:cs="Calibri"/>
                <w:szCs w:val="18"/>
              </w:rPr>
              <w:t>Goods and services</w:t>
            </w:r>
          </w:p>
        </w:tc>
        <w:tc>
          <w:tcPr>
            <w:tcW w:w="1252"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(3)</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(10)</w:t>
            </w: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b/>
                <w:bCs/>
                <w:szCs w:val="18"/>
              </w:rPr>
            </w:pPr>
            <w:r>
              <w:rPr>
                <w:rFonts w:cs="Calibri"/>
                <w:b/>
                <w:bCs/>
                <w:szCs w:val="18"/>
              </w:rPr>
              <w:t>Total impairment allowance account</w:t>
            </w:r>
          </w:p>
        </w:tc>
        <w:tc>
          <w:tcPr>
            <w:tcW w:w="1252"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(3)</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(10)</w:t>
            </w: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b/>
                <w:bCs/>
                <w:i/>
                <w:iCs/>
                <w:szCs w:val="18"/>
              </w:rPr>
            </w:pPr>
            <w:r>
              <w:rPr>
                <w:rFonts w:cs="Calibri"/>
                <w:b/>
                <w:bCs/>
                <w:i/>
                <w:iCs/>
                <w:szCs w:val="18"/>
              </w:rPr>
              <w:t>Total trade and other receivables (net)</w:t>
            </w:r>
          </w:p>
        </w:tc>
        <w:tc>
          <w:tcPr>
            <w:tcW w:w="1252" w:type="dxa"/>
            <w:tcBorders>
              <w:top w:val="nil"/>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126,871</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nil"/>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116,131</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2"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b/>
                <w:bCs/>
                <w:szCs w:val="18"/>
              </w:rPr>
            </w:pPr>
            <w:r>
              <w:rPr>
                <w:rFonts w:cs="Calibri"/>
                <w:b/>
                <w:bCs/>
                <w:szCs w:val="18"/>
              </w:rPr>
              <w:t>Trade and other receivables (net) expected to be recovered</w:t>
            </w:r>
          </w:p>
        </w:tc>
        <w:tc>
          <w:tcPr>
            <w:tcW w:w="1252"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spacing w:line="240" w:lineRule="auto"/>
              <w:ind w:firstLineChars="100" w:firstLine="180"/>
              <w:rPr>
                <w:rFonts w:cs="Calibri"/>
                <w:szCs w:val="18"/>
              </w:rPr>
            </w:pPr>
            <w:r>
              <w:rPr>
                <w:rFonts w:cs="Calibri"/>
                <w:szCs w:val="18"/>
              </w:rPr>
              <w:t>No more than 12 months</w:t>
            </w:r>
          </w:p>
        </w:tc>
        <w:tc>
          <w:tcPr>
            <w:tcW w:w="1252"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120,378 </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116,027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spacing w:line="240" w:lineRule="auto"/>
              <w:ind w:firstLineChars="100" w:firstLine="180"/>
              <w:rPr>
                <w:rFonts w:cs="Calibri"/>
                <w:szCs w:val="18"/>
              </w:rPr>
            </w:pPr>
            <w:r>
              <w:rPr>
                <w:rFonts w:cs="Calibri"/>
                <w:szCs w:val="18"/>
              </w:rPr>
              <w:t>More than 12 months</w:t>
            </w:r>
          </w:p>
        </w:tc>
        <w:tc>
          <w:tcPr>
            <w:tcW w:w="1252"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6,493 </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104 </w:t>
            </w: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b/>
                <w:bCs/>
                <w:i/>
                <w:iCs/>
                <w:szCs w:val="18"/>
              </w:rPr>
            </w:pPr>
            <w:r>
              <w:rPr>
                <w:rFonts w:cs="Calibri"/>
                <w:b/>
                <w:bCs/>
                <w:i/>
                <w:iCs/>
                <w:szCs w:val="18"/>
              </w:rPr>
              <w:t>Total trade and other receivables (net)</w:t>
            </w:r>
          </w:p>
        </w:tc>
        <w:tc>
          <w:tcPr>
            <w:tcW w:w="1252"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126,871</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116,131</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2"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b/>
                <w:bCs/>
                <w:szCs w:val="18"/>
              </w:rPr>
            </w:pPr>
            <w:r>
              <w:rPr>
                <w:rFonts w:cs="Calibri"/>
                <w:b/>
                <w:bCs/>
                <w:szCs w:val="18"/>
              </w:rPr>
              <w:t>Trade and other receivables (gross) aged as follows</w:t>
            </w:r>
          </w:p>
        </w:tc>
        <w:tc>
          <w:tcPr>
            <w:tcW w:w="1252"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spacing w:line="240" w:lineRule="auto"/>
              <w:ind w:firstLineChars="100" w:firstLine="180"/>
              <w:rPr>
                <w:rFonts w:cs="Calibri"/>
                <w:szCs w:val="18"/>
              </w:rPr>
            </w:pPr>
            <w:r>
              <w:rPr>
                <w:rFonts w:cs="Calibri"/>
                <w:szCs w:val="18"/>
              </w:rPr>
              <w:t>Not overdue</w:t>
            </w:r>
          </w:p>
        </w:tc>
        <w:tc>
          <w:tcPr>
            <w:tcW w:w="1252"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124,797 </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115,876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spacing w:line="240" w:lineRule="auto"/>
              <w:ind w:firstLineChars="100" w:firstLine="180"/>
              <w:rPr>
                <w:rFonts w:cs="Calibri"/>
                <w:szCs w:val="18"/>
              </w:rPr>
            </w:pPr>
            <w:r>
              <w:rPr>
                <w:rFonts w:cs="Calibri"/>
                <w:szCs w:val="18"/>
              </w:rPr>
              <w:t>Overdue by</w:t>
            </w:r>
          </w:p>
        </w:tc>
        <w:tc>
          <w:tcPr>
            <w:tcW w:w="1252"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spacing w:line="240" w:lineRule="auto"/>
              <w:ind w:firstLineChars="270" w:firstLine="486"/>
              <w:rPr>
                <w:rFonts w:cs="Calibri"/>
                <w:szCs w:val="18"/>
              </w:rPr>
            </w:pPr>
            <w:r>
              <w:rPr>
                <w:rFonts w:cs="Calibri"/>
                <w:szCs w:val="18"/>
              </w:rPr>
              <w:t>0 to 30 days</w:t>
            </w:r>
          </w:p>
        </w:tc>
        <w:tc>
          <w:tcPr>
            <w:tcW w:w="1252"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341 </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20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spacing w:line="240" w:lineRule="auto"/>
              <w:ind w:firstLineChars="270" w:firstLine="486"/>
              <w:rPr>
                <w:rFonts w:cs="Calibri"/>
                <w:szCs w:val="18"/>
              </w:rPr>
            </w:pPr>
            <w:r>
              <w:rPr>
                <w:rFonts w:cs="Calibri"/>
                <w:szCs w:val="18"/>
              </w:rPr>
              <w:t>31 to 60 days</w:t>
            </w:r>
          </w:p>
        </w:tc>
        <w:tc>
          <w:tcPr>
            <w:tcW w:w="1252"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1,058 </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60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spacing w:line="240" w:lineRule="auto"/>
              <w:ind w:firstLineChars="270" w:firstLine="486"/>
              <w:rPr>
                <w:rFonts w:cs="Calibri"/>
                <w:szCs w:val="18"/>
              </w:rPr>
            </w:pPr>
            <w:r>
              <w:rPr>
                <w:rFonts w:cs="Calibri"/>
                <w:szCs w:val="18"/>
              </w:rPr>
              <w:t>61 to 90 days</w:t>
            </w:r>
          </w:p>
        </w:tc>
        <w:tc>
          <w:tcPr>
            <w:tcW w:w="1252"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165 </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28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spacing w:line="240" w:lineRule="auto"/>
              <w:ind w:firstLineChars="270" w:firstLine="486"/>
              <w:rPr>
                <w:rFonts w:cs="Calibri"/>
                <w:szCs w:val="18"/>
              </w:rPr>
            </w:pPr>
            <w:r>
              <w:rPr>
                <w:rFonts w:cs="Calibri"/>
                <w:szCs w:val="18"/>
              </w:rPr>
              <w:t>More than 90 days</w:t>
            </w:r>
          </w:p>
        </w:tc>
        <w:tc>
          <w:tcPr>
            <w:tcW w:w="1252"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513 </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157 </w:t>
            </w: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b/>
                <w:bCs/>
                <w:i/>
                <w:iCs/>
                <w:szCs w:val="18"/>
              </w:rPr>
            </w:pPr>
            <w:r>
              <w:rPr>
                <w:rFonts w:cs="Calibri"/>
                <w:b/>
                <w:bCs/>
                <w:i/>
                <w:iCs/>
                <w:szCs w:val="18"/>
              </w:rPr>
              <w:t>Total trade and other receivables (gross)</w:t>
            </w:r>
          </w:p>
        </w:tc>
        <w:tc>
          <w:tcPr>
            <w:tcW w:w="1252"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126,874</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116,141</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1252"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w:t>
            </w: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b/>
                <w:bCs/>
                <w:szCs w:val="18"/>
              </w:rPr>
            </w:pPr>
            <w:r>
              <w:rPr>
                <w:rFonts w:cs="Calibri"/>
                <w:b/>
                <w:bCs/>
                <w:szCs w:val="18"/>
              </w:rPr>
              <w:t>Impairment allowance account aged as follows</w:t>
            </w:r>
          </w:p>
        </w:tc>
        <w:tc>
          <w:tcPr>
            <w:tcW w:w="1252"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spacing w:line="240" w:lineRule="auto"/>
              <w:ind w:firstLineChars="100" w:firstLine="180"/>
              <w:rPr>
                <w:rFonts w:cs="Calibri"/>
                <w:szCs w:val="18"/>
              </w:rPr>
            </w:pPr>
            <w:r>
              <w:rPr>
                <w:rFonts w:cs="Calibri"/>
                <w:szCs w:val="18"/>
              </w:rPr>
              <w:t>Overdue by:</w:t>
            </w:r>
          </w:p>
        </w:tc>
        <w:tc>
          <w:tcPr>
            <w:tcW w:w="1252"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spacing w:line="240" w:lineRule="auto"/>
              <w:ind w:firstLineChars="270" w:firstLine="486"/>
              <w:rPr>
                <w:rFonts w:cs="Calibri"/>
                <w:szCs w:val="18"/>
              </w:rPr>
            </w:pPr>
            <w:r>
              <w:rPr>
                <w:rFonts w:cs="Calibri"/>
                <w:szCs w:val="18"/>
              </w:rPr>
              <w:t>More than 90 days</w:t>
            </w:r>
          </w:p>
        </w:tc>
        <w:tc>
          <w:tcPr>
            <w:tcW w:w="1252"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(3)</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(10)</w:t>
            </w: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b/>
                <w:bCs/>
                <w:i/>
                <w:iCs/>
                <w:szCs w:val="18"/>
              </w:rPr>
            </w:pPr>
            <w:r>
              <w:rPr>
                <w:rFonts w:cs="Calibri"/>
                <w:b/>
                <w:bCs/>
                <w:i/>
                <w:iCs/>
                <w:szCs w:val="18"/>
              </w:rPr>
              <w:t>Total impairment allowance</w:t>
            </w:r>
          </w:p>
        </w:tc>
        <w:tc>
          <w:tcPr>
            <w:tcW w:w="1252"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(3)</w:t>
            </w:r>
          </w:p>
        </w:tc>
        <w:tc>
          <w:tcPr>
            <w:tcW w:w="239"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50"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(10)</w:t>
            </w:r>
          </w:p>
        </w:tc>
      </w:tr>
    </w:tbl>
    <w:p w:rsidR="008835EB" w:rsidRDefault="008835EB" w:rsidP="008835EB">
      <w:pPr>
        <w:spacing w:before="240" w:after="120"/>
        <w:rPr>
          <w:rFonts w:cs="Arial"/>
          <w:szCs w:val="18"/>
        </w:rPr>
      </w:pPr>
      <w:bookmarkStart w:id="177" w:name="RANGE!D7:G46"/>
      <w:bookmarkStart w:id="178" w:name="RANGE!D7:G47"/>
      <w:bookmarkStart w:id="179" w:name="RANGE!D7:G45"/>
      <w:bookmarkStart w:id="180" w:name="RANGE!D7:G58"/>
      <w:bookmarkStart w:id="181" w:name="RANGE!D7:G57"/>
      <w:bookmarkStart w:id="182" w:name="RANGE!D7:G56"/>
      <w:bookmarkStart w:id="183" w:name="RANGE!D7:G55"/>
      <w:bookmarkStart w:id="184" w:name="RANGE!D7:G49"/>
      <w:bookmarkEnd w:id="177"/>
      <w:bookmarkEnd w:id="178"/>
      <w:bookmarkEnd w:id="179"/>
      <w:bookmarkEnd w:id="180"/>
      <w:bookmarkEnd w:id="181"/>
      <w:bookmarkEnd w:id="182"/>
      <w:bookmarkEnd w:id="183"/>
      <w:bookmarkEnd w:id="184"/>
      <w:r>
        <w:rPr>
          <w:rFonts w:cs="Arial"/>
          <w:szCs w:val="18"/>
        </w:rPr>
        <w:t>Credit terms are net 30 days.</w:t>
      </w:r>
    </w:p>
    <w:p w:rsidR="008835EB" w:rsidRDefault="008835EB" w:rsidP="008835EB">
      <w:pPr>
        <w:spacing w:line="240" w:lineRule="auto"/>
      </w:pPr>
      <w:r>
        <w:br w:type="page"/>
      </w:r>
    </w:p>
    <w:tbl>
      <w:tblPr>
        <w:tblW w:w="9087" w:type="dxa"/>
        <w:tblInd w:w="80" w:type="dxa"/>
        <w:tblLayout w:type="fixed"/>
        <w:tblLook w:val="04A0" w:firstRow="1" w:lastRow="0" w:firstColumn="1" w:lastColumn="0" w:noHBand="0" w:noVBand="1"/>
      </w:tblPr>
      <w:tblGrid>
        <w:gridCol w:w="5840"/>
        <w:gridCol w:w="1715"/>
        <w:gridCol w:w="1532"/>
      </w:tblGrid>
      <w:tr w:rsidR="008835EB" w:rsidTr="007E3F2E">
        <w:trPr>
          <w:trHeight w:val="240"/>
        </w:trPr>
        <w:tc>
          <w:tcPr>
            <w:tcW w:w="5840" w:type="dxa"/>
            <w:tcBorders>
              <w:top w:val="nil"/>
              <w:left w:val="nil"/>
              <w:bottom w:val="nil"/>
              <w:right w:val="nil"/>
            </w:tcBorders>
            <w:shd w:val="clear" w:color="FFFFFF" w:fill="FFFFFF"/>
            <w:noWrap/>
            <w:vAlign w:val="bottom"/>
            <w:hideMark/>
          </w:tcPr>
          <w:p w:rsidR="008835EB" w:rsidRDefault="008835EB" w:rsidP="007E3F2E">
            <w:pPr>
              <w:rPr>
                <w:rFonts w:cs="Calibri"/>
                <w:b/>
                <w:bCs/>
                <w:szCs w:val="18"/>
              </w:rPr>
            </w:pPr>
            <w:bookmarkStart w:id="185" w:name="Note_RIATABLE1" w:colFirst="0" w:colLast="0"/>
            <w:r>
              <w:rPr>
                <w:rFonts w:cs="Calibri"/>
                <w:b/>
                <w:bCs/>
                <w:szCs w:val="18"/>
              </w:rPr>
              <w:lastRenderedPageBreak/>
              <w:t>Reconciliation of the Impairment Allowance</w:t>
            </w:r>
          </w:p>
        </w:tc>
        <w:tc>
          <w:tcPr>
            <w:tcW w:w="1715"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53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bookmarkEnd w:id="185"/>
      <w:tr w:rsidR="008835EB" w:rsidTr="007E3F2E">
        <w:trPr>
          <w:trHeight w:val="350"/>
        </w:trPr>
        <w:tc>
          <w:tcPr>
            <w:tcW w:w="5840" w:type="dxa"/>
            <w:tcBorders>
              <w:top w:val="nil"/>
              <w:left w:val="nil"/>
              <w:bottom w:val="nil"/>
              <w:right w:val="nil"/>
            </w:tcBorders>
            <w:shd w:val="clear" w:color="FFFFFF" w:fill="FFFFFF"/>
            <w:noWrap/>
            <w:vAlign w:val="bottom"/>
            <w:hideMark/>
          </w:tcPr>
          <w:p w:rsidR="008835EB" w:rsidRDefault="008835EB" w:rsidP="007E3F2E">
            <w:pPr>
              <w:rPr>
                <w:rFonts w:cs="Calibri"/>
                <w:b/>
                <w:bCs/>
                <w:szCs w:val="18"/>
              </w:rPr>
            </w:pPr>
            <w:r>
              <w:rPr>
                <w:rFonts w:cs="Calibri"/>
                <w:b/>
                <w:bCs/>
                <w:szCs w:val="18"/>
              </w:rPr>
              <w:t>Movements in relation to 2016</w:t>
            </w:r>
          </w:p>
        </w:tc>
        <w:tc>
          <w:tcPr>
            <w:tcW w:w="1715"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53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60"/>
        </w:trPr>
        <w:tc>
          <w:tcPr>
            <w:tcW w:w="5840" w:type="dxa"/>
            <w:tcBorders>
              <w:top w:val="single" w:sz="4" w:space="0" w:color="auto"/>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715" w:type="dxa"/>
            <w:tcBorders>
              <w:top w:val="single" w:sz="4" w:space="0" w:color="auto"/>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Goods and services</w:t>
            </w:r>
          </w:p>
        </w:tc>
        <w:tc>
          <w:tcPr>
            <w:tcW w:w="1532" w:type="dxa"/>
            <w:tcBorders>
              <w:top w:val="single" w:sz="4" w:space="0" w:color="auto"/>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Total</w:t>
            </w:r>
          </w:p>
        </w:tc>
      </w:tr>
      <w:tr w:rsidR="008835EB" w:rsidTr="007E3F2E">
        <w:trPr>
          <w:trHeight w:val="240"/>
        </w:trPr>
        <w:tc>
          <w:tcPr>
            <w:tcW w:w="5840" w:type="dxa"/>
            <w:tcBorders>
              <w:top w:val="nil"/>
              <w:left w:val="nil"/>
              <w:bottom w:val="single" w:sz="4" w:space="0" w:color="auto"/>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715"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1532"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r>
      <w:tr w:rsidR="008835EB" w:rsidTr="007E3F2E">
        <w:trPr>
          <w:trHeight w:val="240"/>
        </w:trPr>
        <w:tc>
          <w:tcPr>
            <w:tcW w:w="5840"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Opening balance</w:t>
            </w:r>
          </w:p>
        </w:tc>
        <w:tc>
          <w:tcPr>
            <w:tcW w:w="171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(10)</w:t>
            </w:r>
          </w:p>
        </w:tc>
        <w:tc>
          <w:tcPr>
            <w:tcW w:w="153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(10)</w:t>
            </w:r>
          </w:p>
        </w:tc>
      </w:tr>
      <w:tr w:rsidR="008835EB" w:rsidTr="007E3F2E">
        <w:trPr>
          <w:trHeight w:val="240"/>
        </w:trPr>
        <w:tc>
          <w:tcPr>
            <w:tcW w:w="5840"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Amounts written off</w:t>
            </w:r>
          </w:p>
        </w:tc>
        <w:tc>
          <w:tcPr>
            <w:tcW w:w="171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1 </w:t>
            </w:r>
          </w:p>
        </w:tc>
        <w:tc>
          <w:tcPr>
            <w:tcW w:w="153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w:t>
            </w:r>
          </w:p>
        </w:tc>
      </w:tr>
      <w:tr w:rsidR="008835EB" w:rsidTr="007E3F2E">
        <w:trPr>
          <w:trHeight w:val="240"/>
        </w:trPr>
        <w:tc>
          <w:tcPr>
            <w:tcW w:w="5840"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Amounts recovered and reversed</w:t>
            </w:r>
          </w:p>
        </w:tc>
        <w:tc>
          <w:tcPr>
            <w:tcW w:w="171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10 </w:t>
            </w:r>
          </w:p>
        </w:tc>
        <w:tc>
          <w:tcPr>
            <w:tcW w:w="153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10</w:t>
            </w:r>
          </w:p>
        </w:tc>
      </w:tr>
      <w:tr w:rsidR="008835EB" w:rsidTr="007E3F2E">
        <w:trPr>
          <w:trHeight w:val="240"/>
        </w:trPr>
        <w:tc>
          <w:tcPr>
            <w:tcW w:w="5840"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Decrease recognised in net cost of services</w:t>
            </w:r>
          </w:p>
        </w:tc>
        <w:tc>
          <w:tcPr>
            <w:tcW w:w="171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(4)</w:t>
            </w:r>
          </w:p>
        </w:tc>
        <w:tc>
          <w:tcPr>
            <w:tcW w:w="153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(4)</w:t>
            </w:r>
          </w:p>
        </w:tc>
      </w:tr>
      <w:tr w:rsidR="008835EB" w:rsidTr="007E3F2E">
        <w:trPr>
          <w:trHeight w:val="240"/>
        </w:trPr>
        <w:tc>
          <w:tcPr>
            <w:tcW w:w="5840" w:type="dxa"/>
            <w:tcBorders>
              <w:top w:val="single" w:sz="4" w:space="0" w:color="auto"/>
              <w:left w:val="nil"/>
              <w:bottom w:val="single" w:sz="4" w:space="0" w:color="auto"/>
              <w:right w:val="nil"/>
            </w:tcBorders>
            <w:shd w:val="clear" w:color="FFFFFF" w:fill="FFFFFF"/>
            <w:vAlign w:val="bottom"/>
            <w:hideMark/>
          </w:tcPr>
          <w:p w:rsidR="008835EB" w:rsidRDefault="008835EB" w:rsidP="007E3F2E">
            <w:pPr>
              <w:rPr>
                <w:rFonts w:cs="Calibri"/>
                <w:b/>
                <w:bCs/>
                <w:szCs w:val="18"/>
              </w:rPr>
            </w:pPr>
            <w:r>
              <w:rPr>
                <w:rFonts w:cs="Calibri"/>
                <w:b/>
                <w:bCs/>
                <w:szCs w:val="18"/>
              </w:rPr>
              <w:t>Closing balance</w:t>
            </w:r>
          </w:p>
        </w:tc>
        <w:tc>
          <w:tcPr>
            <w:tcW w:w="1715"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w:t>
            </w:r>
          </w:p>
        </w:tc>
        <w:tc>
          <w:tcPr>
            <w:tcW w:w="1532"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w:t>
            </w:r>
          </w:p>
        </w:tc>
      </w:tr>
      <w:tr w:rsidR="008835EB" w:rsidRPr="00543B5D" w:rsidTr="007E3F2E">
        <w:trPr>
          <w:trHeight w:val="431"/>
        </w:trPr>
        <w:tc>
          <w:tcPr>
            <w:tcW w:w="5840" w:type="dxa"/>
            <w:tcBorders>
              <w:top w:val="nil"/>
              <w:left w:val="nil"/>
              <w:bottom w:val="nil"/>
              <w:right w:val="nil"/>
            </w:tcBorders>
            <w:shd w:val="clear" w:color="FFFFFF" w:fill="FFFFFF"/>
            <w:vAlign w:val="bottom"/>
            <w:hideMark/>
          </w:tcPr>
          <w:p w:rsidR="008835EB" w:rsidRPr="00543B5D" w:rsidRDefault="008835EB" w:rsidP="007E3F2E">
            <w:pPr>
              <w:rPr>
                <w:rFonts w:cs="Calibri"/>
                <w:bCs/>
                <w:szCs w:val="18"/>
              </w:rPr>
            </w:pPr>
            <w:r w:rsidRPr="00543B5D">
              <w:rPr>
                <w:rFonts w:cs="Calibri"/>
                <w:bCs/>
                <w:szCs w:val="18"/>
              </w:rPr>
              <w:t>Movements in relation to 2015</w:t>
            </w:r>
          </w:p>
        </w:tc>
        <w:tc>
          <w:tcPr>
            <w:tcW w:w="1715" w:type="dxa"/>
            <w:tcBorders>
              <w:top w:val="nil"/>
              <w:left w:val="nil"/>
              <w:bottom w:val="nil"/>
              <w:right w:val="nil"/>
            </w:tcBorders>
            <w:shd w:val="clear" w:color="FFFFFF" w:fill="FFFFFF"/>
            <w:noWrap/>
            <w:vAlign w:val="bottom"/>
            <w:hideMark/>
          </w:tcPr>
          <w:p w:rsidR="008835EB" w:rsidRPr="00543B5D" w:rsidRDefault="008835EB" w:rsidP="007E3F2E">
            <w:pPr>
              <w:rPr>
                <w:rFonts w:cs="Calibri"/>
                <w:szCs w:val="18"/>
              </w:rPr>
            </w:pPr>
            <w:r w:rsidRPr="00543B5D">
              <w:rPr>
                <w:rFonts w:cs="Calibri"/>
                <w:szCs w:val="18"/>
              </w:rPr>
              <w:t> </w:t>
            </w:r>
          </w:p>
        </w:tc>
        <w:tc>
          <w:tcPr>
            <w:tcW w:w="1532" w:type="dxa"/>
            <w:tcBorders>
              <w:top w:val="nil"/>
              <w:left w:val="nil"/>
              <w:bottom w:val="nil"/>
              <w:right w:val="nil"/>
            </w:tcBorders>
            <w:shd w:val="clear" w:color="FFFFFF" w:fill="FFFFFF"/>
            <w:noWrap/>
            <w:vAlign w:val="bottom"/>
            <w:hideMark/>
          </w:tcPr>
          <w:p w:rsidR="008835EB" w:rsidRPr="00543B5D" w:rsidRDefault="008835EB" w:rsidP="007E3F2E">
            <w:pPr>
              <w:rPr>
                <w:rFonts w:cs="Calibri"/>
                <w:szCs w:val="18"/>
              </w:rPr>
            </w:pPr>
            <w:r w:rsidRPr="00543B5D">
              <w:rPr>
                <w:rFonts w:cs="Calibri"/>
                <w:szCs w:val="18"/>
              </w:rPr>
              <w:t> </w:t>
            </w:r>
          </w:p>
        </w:tc>
      </w:tr>
      <w:tr w:rsidR="008835EB" w:rsidRPr="00543B5D" w:rsidTr="007E3F2E">
        <w:trPr>
          <w:trHeight w:val="250"/>
        </w:trPr>
        <w:tc>
          <w:tcPr>
            <w:tcW w:w="5840" w:type="dxa"/>
            <w:tcBorders>
              <w:top w:val="single" w:sz="4" w:space="0" w:color="auto"/>
              <w:left w:val="nil"/>
              <w:bottom w:val="nil"/>
              <w:right w:val="nil"/>
            </w:tcBorders>
            <w:shd w:val="clear" w:color="FFFFFF" w:fill="FFFFFF"/>
            <w:noWrap/>
            <w:vAlign w:val="bottom"/>
            <w:hideMark/>
          </w:tcPr>
          <w:p w:rsidR="008835EB" w:rsidRPr="00543B5D" w:rsidRDefault="008835EB" w:rsidP="007E3F2E">
            <w:pPr>
              <w:rPr>
                <w:rFonts w:cs="Calibri"/>
                <w:szCs w:val="18"/>
              </w:rPr>
            </w:pPr>
            <w:r w:rsidRPr="00543B5D">
              <w:rPr>
                <w:rFonts w:cs="Calibri"/>
                <w:szCs w:val="18"/>
              </w:rPr>
              <w:t> </w:t>
            </w:r>
          </w:p>
        </w:tc>
        <w:tc>
          <w:tcPr>
            <w:tcW w:w="1715" w:type="dxa"/>
            <w:tcBorders>
              <w:top w:val="single" w:sz="4" w:space="0" w:color="auto"/>
              <w:left w:val="nil"/>
              <w:bottom w:val="nil"/>
              <w:right w:val="nil"/>
            </w:tcBorders>
            <w:shd w:val="clear" w:color="FFFFFF" w:fill="FFFFFF"/>
            <w:vAlign w:val="bottom"/>
            <w:hideMark/>
          </w:tcPr>
          <w:p w:rsidR="008835EB" w:rsidRPr="00543B5D" w:rsidRDefault="008835EB" w:rsidP="007E3F2E">
            <w:pPr>
              <w:jc w:val="right"/>
              <w:rPr>
                <w:rFonts w:cs="Calibri"/>
                <w:szCs w:val="18"/>
              </w:rPr>
            </w:pPr>
            <w:r w:rsidRPr="00543B5D">
              <w:rPr>
                <w:rFonts w:cs="Calibri"/>
                <w:szCs w:val="18"/>
              </w:rPr>
              <w:t>Goods and services</w:t>
            </w:r>
          </w:p>
        </w:tc>
        <w:tc>
          <w:tcPr>
            <w:tcW w:w="1532" w:type="dxa"/>
            <w:tcBorders>
              <w:top w:val="single" w:sz="4" w:space="0" w:color="auto"/>
              <w:left w:val="nil"/>
              <w:bottom w:val="nil"/>
              <w:right w:val="nil"/>
            </w:tcBorders>
            <w:shd w:val="clear" w:color="FFFFFF" w:fill="FFFFFF"/>
            <w:vAlign w:val="bottom"/>
            <w:hideMark/>
          </w:tcPr>
          <w:p w:rsidR="008835EB" w:rsidRPr="00543B5D" w:rsidRDefault="008835EB" w:rsidP="007E3F2E">
            <w:pPr>
              <w:jc w:val="right"/>
              <w:rPr>
                <w:rFonts w:cs="Calibri"/>
                <w:szCs w:val="18"/>
              </w:rPr>
            </w:pPr>
            <w:r w:rsidRPr="00543B5D">
              <w:rPr>
                <w:rFonts w:cs="Calibri"/>
                <w:szCs w:val="18"/>
              </w:rPr>
              <w:t>Total</w:t>
            </w:r>
          </w:p>
        </w:tc>
      </w:tr>
      <w:tr w:rsidR="008835EB" w:rsidRPr="00543B5D" w:rsidTr="007E3F2E">
        <w:trPr>
          <w:trHeight w:val="240"/>
        </w:trPr>
        <w:tc>
          <w:tcPr>
            <w:tcW w:w="5840" w:type="dxa"/>
            <w:tcBorders>
              <w:top w:val="nil"/>
              <w:left w:val="nil"/>
              <w:bottom w:val="single" w:sz="4" w:space="0" w:color="auto"/>
              <w:right w:val="nil"/>
            </w:tcBorders>
            <w:shd w:val="clear" w:color="FFFFFF" w:fill="FFFFFF"/>
            <w:noWrap/>
            <w:vAlign w:val="bottom"/>
            <w:hideMark/>
          </w:tcPr>
          <w:p w:rsidR="008835EB" w:rsidRPr="00543B5D" w:rsidRDefault="008835EB" w:rsidP="007E3F2E">
            <w:pPr>
              <w:rPr>
                <w:rFonts w:cs="Calibri"/>
                <w:szCs w:val="18"/>
              </w:rPr>
            </w:pPr>
            <w:r w:rsidRPr="00543B5D">
              <w:rPr>
                <w:rFonts w:cs="Calibri"/>
                <w:szCs w:val="18"/>
              </w:rPr>
              <w:t> </w:t>
            </w:r>
          </w:p>
        </w:tc>
        <w:tc>
          <w:tcPr>
            <w:tcW w:w="1715" w:type="dxa"/>
            <w:tcBorders>
              <w:top w:val="nil"/>
              <w:left w:val="nil"/>
              <w:bottom w:val="single" w:sz="4" w:space="0" w:color="auto"/>
              <w:right w:val="nil"/>
            </w:tcBorders>
            <w:shd w:val="clear" w:color="FFFFFF" w:fill="FFFFFF"/>
            <w:vAlign w:val="bottom"/>
            <w:hideMark/>
          </w:tcPr>
          <w:p w:rsidR="008835EB" w:rsidRPr="00543B5D" w:rsidRDefault="008835EB" w:rsidP="007E3F2E">
            <w:pPr>
              <w:jc w:val="right"/>
              <w:rPr>
                <w:rFonts w:cs="Calibri"/>
                <w:szCs w:val="18"/>
              </w:rPr>
            </w:pPr>
            <w:r w:rsidRPr="00543B5D">
              <w:rPr>
                <w:rFonts w:cs="Calibri"/>
                <w:szCs w:val="18"/>
              </w:rPr>
              <w:t>$'000</w:t>
            </w:r>
          </w:p>
        </w:tc>
        <w:tc>
          <w:tcPr>
            <w:tcW w:w="1532" w:type="dxa"/>
            <w:tcBorders>
              <w:top w:val="nil"/>
              <w:left w:val="nil"/>
              <w:bottom w:val="single" w:sz="4" w:space="0" w:color="auto"/>
              <w:right w:val="nil"/>
            </w:tcBorders>
            <w:shd w:val="clear" w:color="FFFFFF" w:fill="FFFFFF"/>
            <w:vAlign w:val="bottom"/>
            <w:hideMark/>
          </w:tcPr>
          <w:p w:rsidR="008835EB" w:rsidRPr="00543B5D" w:rsidRDefault="008835EB" w:rsidP="007E3F2E">
            <w:pPr>
              <w:jc w:val="right"/>
              <w:rPr>
                <w:rFonts w:cs="Calibri"/>
                <w:szCs w:val="18"/>
              </w:rPr>
            </w:pPr>
            <w:r w:rsidRPr="00543B5D">
              <w:rPr>
                <w:rFonts w:cs="Calibri"/>
                <w:szCs w:val="18"/>
              </w:rPr>
              <w:t>$'000</w:t>
            </w:r>
          </w:p>
        </w:tc>
      </w:tr>
      <w:tr w:rsidR="008835EB" w:rsidRPr="00543B5D" w:rsidTr="007E3F2E">
        <w:trPr>
          <w:trHeight w:val="240"/>
        </w:trPr>
        <w:tc>
          <w:tcPr>
            <w:tcW w:w="5840" w:type="dxa"/>
            <w:tcBorders>
              <w:top w:val="nil"/>
              <w:left w:val="nil"/>
              <w:bottom w:val="nil"/>
              <w:right w:val="nil"/>
            </w:tcBorders>
            <w:shd w:val="clear" w:color="FFFFFF" w:fill="FFFFFF"/>
            <w:vAlign w:val="bottom"/>
            <w:hideMark/>
          </w:tcPr>
          <w:p w:rsidR="008835EB" w:rsidRPr="00543B5D" w:rsidRDefault="008835EB" w:rsidP="007E3F2E">
            <w:pPr>
              <w:rPr>
                <w:rFonts w:cs="Calibri"/>
                <w:bCs/>
                <w:szCs w:val="18"/>
              </w:rPr>
            </w:pPr>
            <w:r w:rsidRPr="00543B5D">
              <w:rPr>
                <w:rFonts w:cs="Calibri"/>
                <w:bCs/>
                <w:szCs w:val="18"/>
              </w:rPr>
              <w:t>Opening balance</w:t>
            </w:r>
          </w:p>
        </w:tc>
        <w:tc>
          <w:tcPr>
            <w:tcW w:w="1715" w:type="dxa"/>
            <w:tcBorders>
              <w:top w:val="nil"/>
              <w:left w:val="nil"/>
              <w:bottom w:val="nil"/>
              <w:right w:val="nil"/>
            </w:tcBorders>
            <w:shd w:val="clear" w:color="FFFFFF" w:fill="FFFFFF"/>
            <w:noWrap/>
            <w:vAlign w:val="bottom"/>
            <w:hideMark/>
          </w:tcPr>
          <w:p w:rsidR="008835EB" w:rsidRPr="00543B5D" w:rsidRDefault="008835EB" w:rsidP="007E3F2E">
            <w:pPr>
              <w:jc w:val="right"/>
              <w:rPr>
                <w:rFonts w:cs="Calibri"/>
                <w:szCs w:val="18"/>
              </w:rPr>
            </w:pPr>
            <w:r w:rsidRPr="00543B5D">
              <w:rPr>
                <w:rFonts w:cs="Calibri"/>
                <w:szCs w:val="18"/>
              </w:rPr>
              <w:t>(10)</w:t>
            </w:r>
          </w:p>
        </w:tc>
        <w:tc>
          <w:tcPr>
            <w:tcW w:w="1532" w:type="dxa"/>
            <w:tcBorders>
              <w:top w:val="nil"/>
              <w:left w:val="nil"/>
              <w:bottom w:val="nil"/>
              <w:right w:val="nil"/>
            </w:tcBorders>
            <w:shd w:val="clear" w:color="FFFFFF" w:fill="FFFFFF"/>
            <w:noWrap/>
            <w:vAlign w:val="bottom"/>
            <w:hideMark/>
          </w:tcPr>
          <w:p w:rsidR="008835EB" w:rsidRPr="00543B5D" w:rsidRDefault="008835EB" w:rsidP="007E3F2E">
            <w:pPr>
              <w:jc w:val="right"/>
              <w:rPr>
                <w:rFonts w:cs="Calibri"/>
                <w:szCs w:val="18"/>
              </w:rPr>
            </w:pPr>
            <w:r w:rsidRPr="00543B5D">
              <w:rPr>
                <w:rFonts w:cs="Calibri"/>
                <w:szCs w:val="18"/>
              </w:rPr>
              <w:t>(10)</w:t>
            </w:r>
          </w:p>
        </w:tc>
      </w:tr>
      <w:tr w:rsidR="008835EB" w:rsidRPr="00543B5D" w:rsidTr="007E3F2E">
        <w:trPr>
          <w:trHeight w:val="240"/>
        </w:trPr>
        <w:tc>
          <w:tcPr>
            <w:tcW w:w="5840" w:type="dxa"/>
            <w:tcBorders>
              <w:top w:val="nil"/>
              <w:left w:val="nil"/>
              <w:bottom w:val="nil"/>
              <w:right w:val="nil"/>
            </w:tcBorders>
            <w:shd w:val="clear" w:color="FFFFFF" w:fill="FFFFFF"/>
            <w:noWrap/>
            <w:vAlign w:val="bottom"/>
            <w:hideMark/>
          </w:tcPr>
          <w:p w:rsidR="008835EB" w:rsidRPr="00543B5D" w:rsidRDefault="008835EB" w:rsidP="008835EB">
            <w:pPr>
              <w:ind w:firstLineChars="100" w:firstLine="180"/>
              <w:rPr>
                <w:rFonts w:cs="Calibri"/>
                <w:szCs w:val="18"/>
              </w:rPr>
            </w:pPr>
            <w:r w:rsidRPr="00543B5D">
              <w:rPr>
                <w:rFonts w:cs="Calibri"/>
                <w:szCs w:val="18"/>
              </w:rPr>
              <w:t>Amounts written off</w:t>
            </w:r>
          </w:p>
        </w:tc>
        <w:tc>
          <w:tcPr>
            <w:tcW w:w="1715" w:type="dxa"/>
            <w:tcBorders>
              <w:top w:val="nil"/>
              <w:left w:val="nil"/>
              <w:bottom w:val="nil"/>
              <w:right w:val="nil"/>
            </w:tcBorders>
            <w:shd w:val="clear" w:color="FFFFFF" w:fill="FFFFFF"/>
            <w:noWrap/>
            <w:vAlign w:val="bottom"/>
            <w:hideMark/>
          </w:tcPr>
          <w:p w:rsidR="008835EB" w:rsidRPr="00543B5D" w:rsidRDefault="008835EB" w:rsidP="007E3F2E">
            <w:pPr>
              <w:jc w:val="right"/>
              <w:rPr>
                <w:rFonts w:cs="Calibri"/>
                <w:szCs w:val="18"/>
              </w:rPr>
            </w:pPr>
            <w:r w:rsidRPr="00543B5D">
              <w:rPr>
                <w:rFonts w:cs="Calibri"/>
                <w:szCs w:val="18"/>
              </w:rPr>
              <w:t xml:space="preserve">10 </w:t>
            </w:r>
          </w:p>
        </w:tc>
        <w:tc>
          <w:tcPr>
            <w:tcW w:w="1532" w:type="dxa"/>
            <w:tcBorders>
              <w:top w:val="nil"/>
              <w:left w:val="nil"/>
              <w:bottom w:val="nil"/>
              <w:right w:val="nil"/>
            </w:tcBorders>
            <w:shd w:val="clear" w:color="FFFFFF" w:fill="FFFFFF"/>
            <w:noWrap/>
            <w:vAlign w:val="bottom"/>
            <w:hideMark/>
          </w:tcPr>
          <w:p w:rsidR="008835EB" w:rsidRPr="00543B5D" w:rsidRDefault="008835EB" w:rsidP="007E3F2E">
            <w:pPr>
              <w:jc w:val="right"/>
              <w:rPr>
                <w:rFonts w:cs="Calibri"/>
                <w:szCs w:val="18"/>
              </w:rPr>
            </w:pPr>
            <w:r w:rsidRPr="00543B5D">
              <w:rPr>
                <w:rFonts w:cs="Calibri"/>
                <w:szCs w:val="18"/>
              </w:rPr>
              <w:t>10</w:t>
            </w:r>
          </w:p>
        </w:tc>
      </w:tr>
      <w:tr w:rsidR="008835EB" w:rsidRPr="00543B5D" w:rsidTr="007E3F2E">
        <w:trPr>
          <w:trHeight w:val="240"/>
        </w:trPr>
        <w:tc>
          <w:tcPr>
            <w:tcW w:w="5840" w:type="dxa"/>
            <w:tcBorders>
              <w:top w:val="nil"/>
              <w:left w:val="nil"/>
              <w:bottom w:val="nil"/>
              <w:right w:val="nil"/>
            </w:tcBorders>
            <w:shd w:val="clear" w:color="FFFFFF" w:fill="FFFFFF"/>
            <w:noWrap/>
            <w:vAlign w:val="bottom"/>
            <w:hideMark/>
          </w:tcPr>
          <w:p w:rsidR="008835EB" w:rsidRPr="00543B5D" w:rsidRDefault="008835EB" w:rsidP="008835EB">
            <w:pPr>
              <w:ind w:firstLineChars="100" w:firstLine="180"/>
              <w:rPr>
                <w:rFonts w:cs="Calibri"/>
                <w:szCs w:val="18"/>
              </w:rPr>
            </w:pPr>
            <w:r w:rsidRPr="00543B5D">
              <w:rPr>
                <w:rFonts w:cs="Calibri"/>
                <w:szCs w:val="18"/>
              </w:rPr>
              <w:t>Amounts recovered and reversed</w:t>
            </w:r>
          </w:p>
        </w:tc>
        <w:tc>
          <w:tcPr>
            <w:tcW w:w="1715" w:type="dxa"/>
            <w:tcBorders>
              <w:top w:val="nil"/>
              <w:left w:val="nil"/>
              <w:bottom w:val="nil"/>
              <w:right w:val="nil"/>
            </w:tcBorders>
            <w:shd w:val="clear" w:color="FFFFFF" w:fill="FFFFFF"/>
            <w:noWrap/>
            <w:vAlign w:val="bottom"/>
            <w:hideMark/>
          </w:tcPr>
          <w:p w:rsidR="008835EB" w:rsidRPr="00543B5D" w:rsidRDefault="008835EB" w:rsidP="007E3F2E">
            <w:pPr>
              <w:jc w:val="right"/>
              <w:rPr>
                <w:rFonts w:cs="Calibri"/>
                <w:szCs w:val="18"/>
              </w:rPr>
            </w:pPr>
            <w:r w:rsidRPr="00543B5D">
              <w:rPr>
                <w:rFonts w:cs="Calibri"/>
                <w:szCs w:val="18"/>
              </w:rPr>
              <w:t xml:space="preserve"> -</w:t>
            </w:r>
          </w:p>
        </w:tc>
        <w:tc>
          <w:tcPr>
            <w:tcW w:w="1532" w:type="dxa"/>
            <w:tcBorders>
              <w:top w:val="nil"/>
              <w:left w:val="nil"/>
              <w:bottom w:val="nil"/>
              <w:right w:val="nil"/>
            </w:tcBorders>
            <w:shd w:val="clear" w:color="FFFFFF" w:fill="FFFFFF"/>
            <w:noWrap/>
            <w:vAlign w:val="bottom"/>
            <w:hideMark/>
          </w:tcPr>
          <w:p w:rsidR="008835EB" w:rsidRPr="00543B5D" w:rsidRDefault="008835EB" w:rsidP="007E3F2E">
            <w:pPr>
              <w:jc w:val="right"/>
              <w:rPr>
                <w:rFonts w:cs="Calibri"/>
                <w:szCs w:val="18"/>
              </w:rPr>
            </w:pPr>
            <w:r w:rsidRPr="00543B5D">
              <w:rPr>
                <w:rFonts w:cs="Calibri"/>
                <w:szCs w:val="18"/>
              </w:rPr>
              <w:t>-</w:t>
            </w:r>
          </w:p>
        </w:tc>
      </w:tr>
      <w:tr w:rsidR="008835EB" w:rsidRPr="00543B5D" w:rsidTr="007E3F2E">
        <w:trPr>
          <w:trHeight w:val="240"/>
        </w:trPr>
        <w:tc>
          <w:tcPr>
            <w:tcW w:w="5840" w:type="dxa"/>
            <w:tcBorders>
              <w:top w:val="nil"/>
              <w:left w:val="nil"/>
              <w:bottom w:val="nil"/>
              <w:right w:val="nil"/>
            </w:tcBorders>
            <w:shd w:val="clear" w:color="FFFFFF" w:fill="FFFFFF"/>
            <w:noWrap/>
            <w:vAlign w:val="bottom"/>
            <w:hideMark/>
          </w:tcPr>
          <w:p w:rsidR="008835EB" w:rsidRPr="00543B5D" w:rsidRDefault="008835EB" w:rsidP="008835EB">
            <w:pPr>
              <w:ind w:firstLineChars="100" w:firstLine="180"/>
              <w:rPr>
                <w:rFonts w:cs="Calibri"/>
                <w:szCs w:val="18"/>
              </w:rPr>
            </w:pPr>
            <w:r w:rsidRPr="00543B5D">
              <w:rPr>
                <w:rFonts w:cs="Calibri"/>
                <w:szCs w:val="18"/>
              </w:rPr>
              <w:t>Decrease recognised in net cost of services</w:t>
            </w:r>
          </w:p>
        </w:tc>
        <w:tc>
          <w:tcPr>
            <w:tcW w:w="1715" w:type="dxa"/>
            <w:tcBorders>
              <w:top w:val="nil"/>
              <w:left w:val="nil"/>
              <w:bottom w:val="nil"/>
              <w:right w:val="nil"/>
            </w:tcBorders>
            <w:shd w:val="clear" w:color="FFFFFF" w:fill="FFFFFF"/>
            <w:noWrap/>
            <w:vAlign w:val="bottom"/>
            <w:hideMark/>
          </w:tcPr>
          <w:p w:rsidR="008835EB" w:rsidRPr="00543B5D" w:rsidRDefault="008835EB" w:rsidP="007E3F2E">
            <w:pPr>
              <w:jc w:val="right"/>
              <w:rPr>
                <w:rFonts w:cs="Calibri"/>
                <w:szCs w:val="18"/>
              </w:rPr>
            </w:pPr>
            <w:r w:rsidRPr="00543B5D">
              <w:rPr>
                <w:rFonts w:cs="Calibri"/>
                <w:szCs w:val="18"/>
              </w:rPr>
              <w:t>(10)</w:t>
            </w:r>
          </w:p>
        </w:tc>
        <w:tc>
          <w:tcPr>
            <w:tcW w:w="1532" w:type="dxa"/>
            <w:tcBorders>
              <w:top w:val="nil"/>
              <w:left w:val="nil"/>
              <w:bottom w:val="nil"/>
              <w:right w:val="nil"/>
            </w:tcBorders>
            <w:shd w:val="clear" w:color="FFFFFF" w:fill="FFFFFF"/>
            <w:noWrap/>
            <w:vAlign w:val="bottom"/>
            <w:hideMark/>
          </w:tcPr>
          <w:p w:rsidR="008835EB" w:rsidRPr="00543B5D" w:rsidRDefault="008835EB" w:rsidP="007E3F2E">
            <w:pPr>
              <w:jc w:val="right"/>
              <w:rPr>
                <w:rFonts w:cs="Calibri"/>
                <w:szCs w:val="18"/>
              </w:rPr>
            </w:pPr>
            <w:r w:rsidRPr="00543B5D">
              <w:rPr>
                <w:rFonts w:cs="Calibri"/>
                <w:szCs w:val="18"/>
              </w:rPr>
              <w:t>(10)</w:t>
            </w:r>
          </w:p>
        </w:tc>
      </w:tr>
      <w:tr w:rsidR="008835EB" w:rsidRPr="00543B5D" w:rsidTr="007E3F2E">
        <w:trPr>
          <w:trHeight w:val="240"/>
        </w:trPr>
        <w:tc>
          <w:tcPr>
            <w:tcW w:w="5840" w:type="dxa"/>
            <w:tcBorders>
              <w:top w:val="single" w:sz="4" w:space="0" w:color="auto"/>
              <w:left w:val="nil"/>
              <w:bottom w:val="single" w:sz="4" w:space="0" w:color="auto"/>
              <w:right w:val="nil"/>
            </w:tcBorders>
            <w:shd w:val="clear" w:color="FFFFFF" w:fill="FFFFFF"/>
            <w:vAlign w:val="bottom"/>
            <w:hideMark/>
          </w:tcPr>
          <w:p w:rsidR="008835EB" w:rsidRPr="00543B5D" w:rsidRDefault="008835EB" w:rsidP="007E3F2E">
            <w:pPr>
              <w:rPr>
                <w:rFonts w:cs="Calibri"/>
                <w:bCs/>
                <w:szCs w:val="18"/>
              </w:rPr>
            </w:pPr>
            <w:r w:rsidRPr="00543B5D">
              <w:rPr>
                <w:rFonts w:cs="Calibri"/>
                <w:bCs/>
                <w:szCs w:val="18"/>
              </w:rPr>
              <w:t>Closing balance</w:t>
            </w:r>
          </w:p>
        </w:tc>
        <w:tc>
          <w:tcPr>
            <w:tcW w:w="1715" w:type="dxa"/>
            <w:tcBorders>
              <w:top w:val="single" w:sz="4" w:space="0" w:color="auto"/>
              <w:left w:val="nil"/>
              <w:bottom w:val="single" w:sz="4" w:space="0" w:color="auto"/>
              <w:right w:val="nil"/>
            </w:tcBorders>
            <w:shd w:val="clear" w:color="FFFFFF" w:fill="FFFFFF"/>
            <w:noWrap/>
            <w:vAlign w:val="bottom"/>
            <w:hideMark/>
          </w:tcPr>
          <w:p w:rsidR="008835EB" w:rsidRPr="00543B5D" w:rsidRDefault="008835EB" w:rsidP="007E3F2E">
            <w:pPr>
              <w:jc w:val="right"/>
              <w:rPr>
                <w:rFonts w:cs="Calibri"/>
                <w:szCs w:val="18"/>
              </w:rPr>
            </w:pPr>
            <w:r w:rsidRPr="00543B5D">
              <w:rPr>
                <w:rFonts w:cs="Calibri"/>
                <w:szCs w:val="18"/>
              </w:rPr>
              <w:t>(10)</w:t>
            </w:r>
          </w:p>
        </w:tc>
        <w:tc>
          <w:tcPr>
            <w:tcW w:w="1532" w:type="dxa"/>
            <w:tcBorders>
              <w:top w:val="single" w:sz="4" w:space="0" w:color="auto"/>
              <w:left w:val="nil"/>
              <w:bottom w:val="single" w:sz="4" w:space="0" w:color="auto"/>
              <w:right w:val="nil"/>
            </w:tcBorders>
            <w:shd w:val="clear" w:color="FFFFFF" w:fill="FFFFFF"/>
            <w:noWrap/>
            <w:vAlign w:val="bottom"/>
            <w:hideMark/>
          </w:tcPr>
          <w:p w:rsidR="008835EB" w:rsidRPr="00543B5D" w:rsidRDefault="008835EB" w:rsidP="007E3F2E">
            <w:pPr>
              <w:jc w:val="right"/>
              <w:rPr>
                <w:rFonts w:cs="Calibri"/>
                <w:szCs w:val="18"/>
              </w:rPr>
            </w:pPr>
            <w:r w:rsidRPr="00543B5D">
              <w:rPr>
                <w:rFonts w:cs="Calibri"/>
                <w:szCs w:val="18"/>
              </w:rPr>
              <w:t>(10)</w:t>
            </w:r>
          </w:p>
        </w:tc>
      </w:tr>
    </w:tbl>
    <w:p w:rsidR="008835EB" w:rsidRDefault="008835EB" w:rsidP="008835EB">
      <w:pPr>
        <w:pStyle w:val="PolicyheadingDept"/>
        <w:spacing w:before="240"/>
      </w:pPr>
      <w:r>
        <w:t>Accounting Policy</w:t>
      </w:r>
    </w:p>
    <w:p w:rsidR="008835EB" w:rsidRDefault="008835EB" w:rsidP="008835EB">
      <w:pPr>
        <w:pStyle w:val="PolicytextDept"/>
      </w:pPr>
      <w:r w:rsidRPr="00200687">
        <w:t>Receivables for goods and services, which have 30 day terms, are recognised at the nominal amounts due less any impairment allowance account. Collectability of debts is reviewed at the end of the reporting period. Allowances are made when collectability of the debt is no longer probable.</w:t>
      </w:r>
    </w:p>
    <w:p w:rsidR="008835EB" w:rsidRDefault="008835EB" w:rsidP="008835EB">
      <w:pPr>
        <w:pStyle w:val="PolicytextDept"/>
        <w:rPr>
          <w:u w:val="single"/>
        </w:rPr>
      </w:pPr>
      <w:r>
        <w:rPr>
          <w:u w:val="single"/>
        </w:rPr>
        <w:t xml:space="preserve">Cash </w:t>
      </w:r>
    </w:p>
    <w:p w:rsidR="008835EB" w:rsidRDefault="008835EB" w:rsidP="008835EB">
      <w:pPr>
        <w:pStyle w:val="PolicytextDept"/>
      </w:pPr>
      <w:r>
        <w:t>Cash is recognised at its nominal amount. Cash and cash equivalents include:</w:t>
      </w:r>
    </w:p>
    <w:p w:rsidR="008835EB" w:rsidRDefault="008835EB" w:rsidP="008835EB">
      <w:pPr>
        <w:pStyle w:val="PolicytextDept"/>
        <w:numPr>
          <w:ilvl w:val="0"/>
          <w:numId w:val="15"/>
        </w:numPr>
        <w:spacing w:after="0"/>
      </w:pPr>
      <w:r>
        <w:t>cash on hand;</w:t>
      </w:r>
    </w:p>
    <w:p w:rsidR="008835EB" w:rsidRDefault="008835EB" w:rsidP="008835EB">
      <w:pPr>
        <w:pStyle w:val="PolicytextDept"/>
        <w:numPr>
          <w:ilvl w:val="0"/>
          <w:numId w:val="15"/>
        </w:numPr>
        <w:spacing w:after="0"/>
      </w:pPr>
      <w:r>
        <w:t>cash held by outsiders; and</w:t>
      </w:r>
    </w:p>
    <w:p w:rsidR="008835EB" w:rsidRDefault="008835EB" w:rsidP="008835EB">
      <w:pPr>
        <w:pStyle w:val="PolicytextDept"/>
        <w:numPr>
          <w:ilvl w:val="0"/>
          <w:numId w:val="15"/>
        </w:numPr>
      </w:pPr>
      <w:proofErr w:type="gramStart"/>
      <w:r>
        <w:t>cash</w:t>
      </w:r>
      <w:proofErr w:type="gramEnd"/>
      <w:r>
        <w:t xml:space="preserve"> in special accounts. </w:t>
      </w:r>
    </w:p>
    <w:p w:rsidR="008835EB" w:rsidRDefault="008835EB" w:rsidP="008835EB">
      <w:pPr>
        <w:pStyle w:val="PolicytextDept"/>
      </w:pPr>
      <w:r>
        <w:rPr>
          <w:u w:val="single"/>
        </w:rPr>
        <w:t>Financial Assets</w:t>
      </w:r>
    </w:p>
    <w:p w:rsidR="008835EB" w:rsidRDefault="008835EB" w:rsidP="008835EB">
      <w:pPr>
        <w:pStyle w:val="PolicytextDept"/>
      </w:pPr>
      <w:r>
        <w:t>The Department classifies its financial assets in the following category:</w:t>
      </w:r>
    </w:p>
    <w:p w:rsidR="008835EB" w:rsidRPr="006405D6" w:rsidRDefault="008835EB" w:rsidP="008835EB">
      <w:pPr>
        <w:pStyle w:val="PolicytextDept"/>
        <w:numPr>
          <w:ilvl w:val="0"/>
          <w:numId w:val="14"/>
        </w:numPr>
      </w:pPr>
      <w:proofErr w:type="gramStart"/>
      <w:r>
        <w:t>loans</w:t>
      </w:r>
      <w:proofErr w:type="gramEnd"/>
      <w:r>
        <w:t xml:space="preserve"> and receivables.</w:t>
      </w:r>
    </w:p>
    <w:p w:rsidR="008835EB" w:rsidRDefault="008835EB" w:rsidP="008835EB">
      <w:pPr>
        <w:pStyle w:val="PolicytextDept"/>
      </w:pPr>
      <w:r>
        <w:t xml:space="preserve">The classification depends on the nature and purpose of the financial assets and is determined at the time of initial recognition. Financial assets are recognised and derecognised upon trade date. </w:t>
      </w:r>
    </w:p>
    <w:p w:rsidR="008835EB" w:rsidRPr="004A43F1" w:rsidRDefault="008835EB" w:rsidP="008835EB">
      <w:pPr>
        <w:pStyle w:val="PolicytextDept"/>
        <w:rPr>
          <w:u w:val="single"/>
        </w:rPr>
      </w:pPr>
      <w:r w:rsidRPr="004A43F1">
        <w:rPr>
          <w:u w:val="single"/>
        </w:rPr>
        <w:t>Loans and Receivables</w:t>
      </w:r>
    </w:p>
    <w:p w:rsidR="008835EB" w:rsidRDefault="008835EB" w:rsidP="008835EB">
      <w:pPr>
        <w:pStyle w:val="PolicytextDept"/>
      </w:pPr>
      <w:r>
        <w:t>Trade receivables, loans and other receivables that have fixed or determinable payments that are not quoted in an active market are classified as ‘loans and receivables’. The Department’s loans and receivables are measured at their nominal amount less impairment.</w:t>
      </w:r>
    </w:p>
    <w:p w:rsidR="008835EB" w:rsidRPr="004A43F1" w:rsidRDefault="008835EB" w:rsidP="008835EB">
      <w:pPr>
        <w:pStyle w:val="PolicytextDept"/>
        <w:rPr>
          <w:u w:val="single"/>
        </w:rPr>
      </w:pPr>
      <w:r w:rsidRPr="004A43F1">
        <w:rPr>
          <w:u w:val="single"/>
        </w:rPr>
        <w:t>Impairment of Financial Assets</w:t>
      </w:r>
    </w:p>
    <w:p w:rsidR="008835EB" w:rsidRDefault="008835EB" w:rsidP="008835EB">
      <w:pPr>
        <w:pStyle w:val="PolicytextDept"/>
      </w:pPr>
      <w:r>
        <w:t>Financial assets are assessed for impairment at the end of the reporting period.</w:t>
      </w:r>
    </w:p>
    <w:p w:rsidR="008835EB" w:rsidRPr="00200687" w:rsidRDefault="008835EB" w:rsidP="008835EB">
      <w:pPr>
        <w:pStyle w:val="PolicytextDept"/>
      </w:pPr>
      <w:r>
        <w:t>Financial assets held at cost—if there is objective evidence that an impairment loss has been incurred, the amount of the impairment loss is the difference between the carrying amount of the asset and the present value of the estimated future cash flows discounted at the current market rate for similar assets.</w:t>
      </w:r>
    </w:p>
    <w:tbl>
      <w:tblPr>
        <w:tblW w:w="9087" w:type="dxa"/>
        <w:tblInd w:w="80" w:type="dxa"/>
        <w:tblLayout w:type="fixed"/>
        <w:tblLook w:val="04A0" w:firstRow="1" w:lastRow="0" w:firstColumn="1" w:lastColumn="0" w:noHBand="0" w:noVBand="1"/>
      </w:tblPr>
      <w:tblGrid>
        <w:gridCol w:w="6346"/>
        <w:gridCol w:w="1252"/>
        <w:gridCol w:w="239"/>
        <w:gridCol w:w="1250"/>
      </w:tblGrid>
      <w:tr w:rsidR="008835EB" w:rsidTr="007E3F2E">
        <w:trPr>
          <w:trHeight w:val="240"/>
        </w:trPr>
        <w:tc>
          <w:tcPr>
            <w:tcW w:w="6346" w:type="dxa"/>
            <w:tcBorders>
              <w:top w:val="nil"/>
              <w:left w:val="nil"/>
              <w:bottom w:val="nil"/>
              <w:right w:val="nil"/>
            </w:tcBorders>
            <w:shd w:val="clear" w:color="FFFFFF" w:fill="FFFFFF"/>
            <w:noWrap/>
            <w:vAlign w:val="bottom"/>
            <w:hideMark/>
          </w:tcPr>
          <w:p w:rsidR="008835EB" w:rsidRDefault="008835EB" w:rsidP="007E3F2E">
            <w:pPr>
              <w:rPr>
                <w:rFonts w:cs="Calibri"/>
                <w:b/>
                <w:bCs/>
                <w:szCs w:val="18"/>
              </w:rPr>
            </w:pPr>
            <w:bookmarkStart w:id="186" w:name="Note_OFATABLE1" w:colFirst="0" w:colLast="0"/>
            <w:r>
              <w:rPr>
                <w:rFonts w:cs="Calibri"/>
                <w:b/>
                <w:bCs/>
                <w:szCs w:val="18"/>
              </w:rPr>
              <w:t> </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2016</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2015</w:t>
            </w:r>
          </w:p>
        </w:tc>
      </w:tr>
      <w:bookmarkEnd w:id="186"/>
      <w:tr w:rsidR="008835EB" w:rsidTr="007E3F2E">
        <w:trPr>
          <w:trHeight w:val="240"/>
        </w:trPr>
        <w:tc>
          <w:tcPr>
            <w:tcW w:w="6346" w:type="dxa"/>
            <w:tcBorders>
              <w:top w:val="nil"/>
              <w:left w:val="nil"/>
              <w:bottom w:val="nil"/>
              <w:right w:val="nil"/>
            </w:tcBorders>
            <w:shd w:val="clear" w:color="FFFFFF" w:fill="FFFFFF"/>
            <w:noWrap/>
            <w:vAlign w:val="bottom"/>
            <w:hideMark/>
          </w:tcPr>
          <w:p w:rsidR="008835EB" w:rsidRDefault="008835EB" w:rsidP="007E3F2E">
            <w:pPr>
              <w:rPr>
                <w:rFonts w:cs="Calibri"/>
                <w:b/>
                <w:bCs/>
                <w:szCs w:val="18"/>
              </w:rPr>
            </w:pPr>
            <w:r>
              <w:rPr>
                <w:rFonts w:cs="Calibri"/>
                <w:b/>
                <w:bCs/>
                <w:szCs w:val="18"/>
              </w:rPr>
              <w:t> </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$'000</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7E3F2E">
            <w:pPr>
              <w:rPr>
                <w:rFonts w:cs="Calibri"/>
                <w:b/>
                <w:bCs/>
                <w:szCs w:val="18"/>
                <w:u w:val="single"/>
              </w:rPr>
            </w:pPr>
            <w:r>
              <w:rPr>
                <w:rFonts w:cs="Calibri"/>
                <w:b/>
                <w:bCs/>
                <w:szCs w:val="18"/>
                <w:u w:val="single"/>
              </w:rPr>
              <w:t xml:space="preserve">Note </w:t>
            </w:r>
            <w:proofErr w:type="spellStart"/>
            <w:r>
              <w:rPr>
                <w:rFonts w:cs="Calibri"/>
                <w:b/>
                <w:bCs/>
                <w:szCs w:val="18"/>
                <w:u w:val="single"/>
              </w:rPr>
              <w:t>3.1B</w:t>
            </w:r>
            <w:proofErr w:type="spellEnd"/>
            <w:r>
              <w:rPr>
                <w:rFonts w:cs="Calibri"/>
                <w:b/>
                <w:bCs/>
                <w:szCs w:val="18"/>
                <w:u w:val="single"/>
              </w:rPr>
              <w:t>: Other Financial Assets</w:t>
            </w:r>
          </w:p>
        </w:tc>
        <w:tc>
          <w:tcPr>
            <w:tcW w:w="125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Accrued revenue</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1,764</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4,094</w:t>
            </w:r>
          </w:p>
        </w:tc>
      </w:tr>
      <w:tr w:rsidR="008835EB" w:rsidTr="007E3F2E">
        <w:trPr>
          <w:trHeight w:val="270"/>
        </w:trPr>
        <w:tc>
          <w:tcPr>
            <w:tcW w:w="6346"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other financial assets</w:t>
            </w:r>
          </w:p>
        </w:tc>
        <w:tc>
          <w:tcPr>
            <w:tcW w:w="1252"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1,764</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4,094</w:t>
            </w:r>
          </w:p>
        </w:tc>
      </w:tr>
    </w:tbl>
    <w:p w:rsidR="008835EB" w:rsidRDefault="008835EB" w:rsidP="008835EB">
      <w:pPr>
        <w:spacing w:line="240" w:lineRule="auto"/>
        <w:sectPr w:rsidR="008835EB" w:rsidSect="00F74C23">
          <w:pgSz w:w="11906" w:h="16838"/>
          <w:pgMar w:top="1134" w:right="1134" w:bottom="1134" w:left="1134" w:header="958" w:footer="737" w:gutter="0"/>
          <w:cols w:space="720"/>
        </w:sectPr>
      </w:pPr>
      <w:bookmarkStart w:id="187" w:name="RANGE!D7:D27"/>
      <w:bookmarkStart w:id="188" w:name="RANGE!D7:F27"/>
      <w:bookmarkStart w:id="189" w:name="RANGE!D7:D25"/>
      <w:bookmarkStart w:id="190" w:name="RANGE!D7:F25"/>
      <w:bookmarkStart w:id="191" w:name="RANGE!D8:D26"/>
      <w:bookmarkStart w:id="192" w:name="RANGE!D8:F26"/>
      <w:bookmarkStart w:id="193" w:name="RANGE!D8:G14"/>
      <w:bookmarkStart w:id="194" w:name="RANGE!D8:G16"/>
      <w:bookmarkStart w:id="195" w:name="RANGE!D7:G51"/>
      <w:bookmarkStart w:id="196" w:name="RANGE!D43:G74"/>
      <w:bookmarkStart w:id="197" w:name="RANGE!D44:G75"/>
      <w:bookmarkStart w:id="198" w:name="RANGE!D44:G74"/>
      <w:bookmarkStart w:id="199" w:name="RANGE!D44:G73"/>
      <w:bookmarkStart w:id="200" w:name="RANGE!D44:G72"/>
      <w:bookmarkStart w:id="201" w:name="RANGE!D53:H70"/>
      <w:bookmarkStart w:id="202" w:name="RANGE!D52:H69"/>
      <w:bookmarkStart w:id="203" w:name="RANGE!D59:H76"/>
      <w:bookmarkStart w:id="204" w:name="RANGE!D62:H80"/>
      <w:bookmarkStart w:id="205" w:name="RANGE!D7:G15"/>
      <w:bookmarkStart w:id="206" w:name="RANGE!D6:D63"/>
      <w:bookmarkStart w:id="207" w:name="RANGE!D6:H63"/>
      <w:bookmarkStart w:id="208" w:name="RANGE!D6:D28"/>
      <w:bookmarkStart w:id="209" w:name="RANGE!D6:H28"/>
      <w:bookmarkStart w:id="210" w:name="RANGE!D6:H13"/>
      <w:bookmarkStart w:id="211" w:name="RANGE!D6:H1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t>All accrued revenue is expected to be received in no more than 12 months.</w:t>
      </w:r>
    </w:p>
    <w:p w:rsidR="008835EB" w:rsidRPr="0053787D" w:rsidRDefault="008835EB" w:rsidP="008835EB">
      <w:pPr>
        <w:pStyle w:val="SubHeading"/>
      </w:pPr>
      <w:bookmarkStart w:id="212" w:name="_Toc456689848"/>
      <w:r>
        <w:lastRenderedPageBreak/>
        <w:t>Non-Financial Assets</w:t>
      </w:r>
      <w:bookmarkStart w:id="213" w:name="RANGE!D6:G26"/>
      <w:bookmarkStart w:id="214" w:name="RANGE!D6:D27"/>
      <w:bookmarkStart w:id="215" w:name="RANGE!D6:G27"/>
      <w:bookmarkEnd w:id="212"/>
      <w:bookmarkEnd w:id="213"/>
      <w:bookmarkEnd w:id="214"/>
      <w:bookmarkEnd w:id="215"/>
    </w:p>
    <w:tbl>
      <w:tblPr>
        <w:tblW w:w="13606" w:type="dxa"/>
        <w:tblInd w:w="80" w:type="dxa"/>
        <w:tblLayout w:type="fixed"/>
        <w:tblCellMar>
          <w:left w:w="6" w:type="dxa"/>
          <w:right w:w="6" w:type="dxa"/>
        </w:tblCellMar>
        <w:tblLook w:val="04A0" w:firstRow="1" w:lastRow="0" w:firstColumn="1" w:lastColumn="0" w:noHBand="0" w:noVBand="1"/>
      </w:tblPr>
      <w:tblGrid>
        <w:gridCol w:w="5976"/>
        <w:gridCol w:w="1526"/>
        <w:gridCol w:w="1526"/>
        <w:gridCol w:w="1526"/>
        <w:gridCol w:w="1526"/>
        <w:gridCol w:w="1526"/>
      </w:tblGrid>
      <w:tr w:rsidR="008835EB" w:rsidTr="007E3F2E">
        <w:trPr>
          <w:trHeight w:val="255"/>
        </w:trPr>
        <w:tc>
          <w:tcPr>
            <w:tcW w:w="13516" w:type="dxa"/>
            <w:gridSpan w:val="6"/>
            <w:tcBorders>
              <w:top w:val="nil"/>
              <w:left w:val="nil"/>
              <w:bottom w:val="single" w:sz="4" w:space="0" w:color="auto"/>
              <w:right w:val="nil"/>
            </w:tcBorders>
            <w:shd w:val="clear" w:color="FFFFFF" w:fill="FFFFFF"/>
            <w:noWrap/>
            <w:vAlign w:val="bottom"/>
            <w:hideMark/>
          </w:tcPr>
          <w:p w:rsidR="008835EB" w:rsidRDefault="008835EB" w:rsidP="007E3F2E">
            <w:pPr>
              <w:spacing w:line="240" w:lineRule="auto"/>
              <w:rPr>
                <w:rFonts w:cs="Calibri"/>
                <w:b/>
                <w:bCs/>
                <w:szCs w:val="18"/>
                <w:u w:val="single"/>
              </w:rPr>
            </w:pPr>
            <w:bookmarkStart w:id="216" w:name="RANGE!E7:E54"/>
            <w:bookmarkStart w:id="217" w:name="Note_MTATABLE1" w:colFirst="0" w:colLast="0"/>
            <w:r>
              <w:rPr>
                <w:rFonts w:cs="Calibri"/>
                <w:b/>
                <w:bCs/>
                <w:szCs w:val="18"/>
                <w:u w:val="single"/>
              </w:rPr>
              <w:t xml:space="preserve">Note </w:t>
            </w:r>
            <w:proofErr w:type="spellStart"/>
            <w:r>
              <w:rPr>
                <w:rFonts w:cs="Calibri"/>
                <w:b/>
                <w:bCs/>
                <w:szCs w:val="18"/>
                <w:u w:val="single"/>
              </w:rPr>
              <w:t>3.2A</w:t>
            </w:r>
            <w:proofErr w:type="spellEnd"/>
            <w:r>
              <w:rPr>
                <w:rFonts w:cs="Calibri"/>
                <w:b/>
                <w:bCs/>
                <w:szCs w:val="18"/>
                <w:u w:val="single"/>
              </w:rPr>
              <w:t>: Reconciliation of the Opening and Closing Balances of Property, Plant and Equipment and Intangibles (2015–16)</w:t>
            </w:r>
            <w:bookmarkEnd w:id="216"/>
          </w:p>
        </w:tc>
      </w:tr>
      <w:bookmarkEnd w:id="217"/>
      <w:tr w:rsidR="008835EB" w:rsidTr="007E3F2E">
        <w:trPr>
          <w:trHeight w:val="255"/>
        </w:trPr>
        <w:tc>
          <w:tcPr>
            <w:tcW w:w="59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1516" w:type="dxa"/>
            <w:tcBorders>
              <w:top w:val="nil"/>
              <w:left w:val="nil"/>
              <w:bottom w:val="nil"/>
              <w:right w:val="nil"/>
            </w:tcBorders>
            <w:shd w:val="clear" w:color="FFFFFF" w:fill="FFFFFF"/>
            <w:vAlign w:val="bottom"/>
            <w:hideMark/>
          </w:tcPr>
          <w:p w:rsidR="008835EB" w:rsidRDefault="008835EB" w:rsidP="007E3F2E">
            <w:pPr>
              <w:spacing w:line="240" w:lineRule="auto"/>
              <w:jc w:val="right"/>
              <w:rPr>
                <w:rFonts w:cs="Calibri"/>
                <w:b/>
                <w:bCs/>
                <w:szCs w:val="18"/>
              </w:rPr>
            </w:pPr>
            <w:bookmarkStart w:id="218" w:name="RANGE!F8:G8"/>
            <w:r>
              <w:rPr>
                <w:rFonts w:cs="Calibri"/>
                <w:b/>
                <w:bCs/>
                <w:szCs w:val="18"/>
              </w:rPr>
              <w:t>Leasehold improvements</w:t>
            </w:r>
            <w:bookmarkEnd w:id="218"/>
          </w:p>
        </w:tc>
        <w:tc>
          <w:tcPr>
            <w:tcW w:w="1516" w:type="dxa"/>
            <w:tcBorders>
              <w:top w:val="nil"/>
              <w:left w:val="nil"/>
              <w:bottom w:val="nil"/>
              <w:right w:val="nil"/>
            </w:tcBorders>
            <w:shd w:val="clear" w:color="FFFFFF" w:fill="FFFFFF"/>
            <w:vAlign w:val="bottom"/>
            <w:hideMark/>
          </w:tcPr>
          <w:p w:rsidR="008835EB" w:rsidRDefault="008835EB" w:rsidP="007E3F2E">
            <w:pPr>
              <w:spacing w:line="240" w:lineRule="auto"/>
              <w:jc w:val="right"/>
              <w:rPr>
                <w:rFonts w:cs="Calibri"/>
                <w:b/>
                <w:bCs/>
                <w:szCs w:val="18"/>
              </w:rPr>
            </w:pPr>
            <w:r>
              <w:rPr>
                <w:rFonts w:cs="Calibri"/>
                <w:b/>
                <w:bCs/>
                <w:szCs w:val="18"/>
              </w:rPr>
              <w:t>Other plant &amp; equipment</w:t>
            </w:r>
          </w:p>
        </w:tc>
        <w:tc>
          <w:tcPr>
            <w:tcW w:w="1516" w:type="dxa"/>
            <w:tcBorders>
              <w:top w:val="nil"/>
              <w:left w:val="nil"/>
              <w:bottom w:val="nil"/>
              <w:right w:val="nil"/>
            </w:tcBorders>
            <w:shd w:val="clear" w:color="FFFFFF" w:fill="FFFFFF"/>
            <w:vAlign w:val="bottom"/>
            <w:hideMark/>
          </w:tcPr>
          <w:p w:rsidR="008835EB" w:rsidRDefault="008835EB" w:rsidP="007E3F2E">
            <w:pPr>
              <w:spacing w:line="240" w:lineRule="auto"/>
              <w:jc w:val="right"/>
              <w:rPr>
                <w:rFonts w:cs="Calibri"/>
                <w:b/>
                <w:bCs/>
                <w:szCs w:val="18"/>
              </w:rPr>
            </w:pPr>
            <w:r>
              <w:rPr>
                <w:rFonts w:cs="Calibri"/>
                <w:b/>
                <w:bCs/>
                <w:szCs w:val="18"/>
              </w:rPr>
              <w:t>Computer software internally developed</w:t>
            </w:r>
          </w:p>
        </w:tc>
        <w:tc>
          <w:tcPr>
            <w:tcW w:w="1516" w:type="dxa"/>
            <w:tcBorders>
              <w:top w:val="nil"/>
              <w:left w:val="nil"/>
              <w:bottom w:val="nil"/>
              <w:right w:val="nil"/>
            </w:tcBorders>
            <w:shd w:val="clear" w:color="FFFFFF" w:fill="FFFFFF"/>
            <w:vAlign w:val="bottom"/>
            <w:hideMark/>
          </w:tcPr>
          <w:p w:rsidR="008835EB" w:rsidRDefault="008835EB" w:rsidP="007E3F2E">
            <w:pPr>
              <w:spacing w:line="240" w:lineRule="auto"/>
              <w:jc w:val="right"/>
              <w:rPr>
                <w:rFonts w:cs="Calibri"/>
                <w:b/>
                <w:bCs/>
                <w:szCs w:val="18"/>
              </w:rPr>
            </w:pPr>
            <w:r>
              <w:rPr>
                <w:rFonts w:cs="Calibri"/>
                <w:b/>
                <w:bCs/>
                <w:szCs w:val="18"/>
              </w:rPr>
              <w:t xml:space="preserve">Computer </w:t>
            </w:r>
            <w:r>
              <w:rPr>
                <w:rFonts w:cs="Calibri"/>
                <w:b/>
                <w:bCs/>
                <w:szCs w:val="18"/>
              </w:rPr>
              <w:br/>
              <w:t xml:space="preserve">software </w:t>
            </w:r>
            <w:r>
              <w:rPr>
                <w:rFonts w:cs="Calibri"/>
                <w:b/>
                <w:bCs/>
                <w:szCs w:val="18"/>
              </w:rPr>
              <w:br/>
              <w:t>purchased</w:t>
            </w:r>
          </w:p>
        </w:tc>
        <w:tc>
          <w:tcPr>
            <w:tcW w:w="1516" w:type="dxa"/>
            <w:tcBorders>
              <w:top w:val="nil"/>
              <w:left w:val="nil"/>
              <w:bottom w:val="nil"/>
              <w:right w:val="nil"/>
            </w:tcBorders>
            <w:shd w:val="clear" w:color="FFFFFF" w:fill="FFFFFF"/>
            <w:vAlign w:val="bottom"/>
            <w:hideMark/>
          </w:tcPr>
          <w:p w:rsidR="008835EB" w:rsidRDefault="008835EB" w:rsidP="007E3F2E">
            <w:pPr>
              <w:spacing w:line="240" w:lineRule="auto"/>
              <w:jc w:val="right"/>
              <w:rPr>
                <w:rFonts w:cs="Calibri"/>
                <w:b/>
                <w:bCs/>
                <w:szCs w:val="18"/>
              </w:rPr>
            </w:pPr>
            <w:r>
              <w:rPr>
                <w:rFonts w:cs="Calibri"/>
                <w:b/>
                <w:bCs/>
                <w:szCs w:val="18"/>
              </w:rPr>
              <w:t>Total</w:t>
            </w:r>
          </w:p>
        </w:tc>
      </w:tr>
      <w:tr w:rsidR="008835EB" w:rsidTr="007E3F2E">
        <w:trPr>
          <w:trHeight w:val="255"/>
        </w:trPr>
        <w:tc>
          <w:tcPr>
            <w:tcW w:w="5936" w:type="dxa"/>
            <w:tcBorders>
              <w:top w:val="nil"/>
              <w:left w:val="nil"/>
              <w:bottom w:val="single" w:sz="4" w:space="0" w:color="auto"/>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1516" w:type="dxa"/>
            <w:tcBorders>
              <w:top w:val="nil"/>
              <w:left w:val="nil"/>
              <w:bottom w:val="single" w:sz="4" w:space="0" w:color="auto"/>
              <w:right w:val="nil"/>
            </w:tcBorders>
            <w:shd w:val="clear" w:color="FFFFFF" w:fill="FFFFFF"/>
            <w:vAlign w:val="bottom"/>
            <w:hideMark/>
          </w:tcPr>
          <w:p w:rsidR="008835EB" w:rsidRDefault="008835EB" w:rsidP="007E3F2E">
            <w:pPr>
              <w:spacing w:line="240" w:lineRule="auto"/>
              <w:jc w:val="right"/>
              <w:rPr>
                <w:rFonts w:cs="Calibri"/>
                <w:b/>
                <w:bCs/>
                <w:szCs w:val="18"/>
              </w:rPr>
            </w:pPr>
            <w:r>
              <w:rPr>
                <w:rFonts w:cs="Calibri"/>
                <w:b/>
                <w:bCs/>
                <w:szCs w:val="18"/>
              </w:rPr>
              <w:t>$'000</w:t>
            </w:r>
          </w:p>
        </w:tc>
        <w:tc>
          <w:tcPr>
            <w:tcW w:w="1516" w:type="dxa"/>
            <w:tcBorders>
              <w:top w:val="nil"/>
              <w:left w:val="nil"/>
              <w:bottom w:val="single" w:sz="4" w:space="0" w:color="auto"/>
              <w:right w:val="nil"/>
            </w:tcBorders>
            <w:shd w:val="clear" w:color="FFFFFF" w:fill="FFFFFF"/>
            <w:vAlign w:val="bottom"/>
            <w:hideMark/>
          </w:tcPr>
          <w:p w:rsidR="008835EB" w:rsidRDefault="008835EB" w:rsidP="007E3F2E">
            <w:pPr>
              <w:spacing w:line="240" w:lineRule="auto"/>
              <w:jc w:val="right"/>
              <w:rPr>
                <w:rFonts w:cs="Calibri"/>
                <w:b/>
                <w:bCs/>
                <w:szCs w:val="18"/>
              </w:rPr>
            </w:pPr>
            <w:r>
              <w:rPr>
                <w:rFonts w:cs="Calibri"/>
                <w:b/>
                <w:bCs/>
                <w:szCs w:val="18"/>
              </w:rPr>
              <w:t>$'000</w:t>
            </w:r>
          </w:p>
        </w:tc>
        <w:tc>
          <w:tcPr>
            <w:tcW w:w="1516" w:type="dxa"/>
            <w:tcBorders>
              <w:top w:val="nil"/>
              <w:left w:val="nil"/>
              <w:bottom w:val="single" w:sz="4" w:space="0" w:color="auto"/>
              <w:right w:val="nil"/>
            </w:tcBorders>
            <w:shd w:val="clear" w:color="FFFFFF" w:fill="FFFFFF"/>
            <w:vAlign w:val="bottom"/>
            <w:hideMark/>
          </w:tcPr>
          <w:p w:rsidR="008835EB" w:rsidRDefault="008835EB" w:rsidP="007E3F2E">
            <w:pPr>
              <w:spacing w:line="240" w:lineRule="auto"/>
              <w:jc w:val="right"/>
              <w:rPr>
                <w:rFonts w:cs="Calibri"/>
                <w:b/>
                <w:bCs/>
                <w:szCs w:val="18"/>
              </w:rPr>
            </w:pPr>
            <w:r>
              <w:rPr>
                <w:rFonts w:cs="Calibri"/>
                <w:b/>
                <w:bCs/>
                <w:szCs w:val="18"/>
              </w:rPr>
              <w:t>$'000</w:t>
            </w:r>
          </w:p>
        </w:tc>
        <w:tc>
          <w:tcPr>
            <w:tcW w:w="1516" w:type="dxa"/>
            <w:tcBorders>
              <w:top w:val="nil"/>
              <w:left w:val="nil"/>
              <w:bottom w:val="single" w:sz="4" w:space="0" w:color="auto"/>
              <w:right w:val="nil"/>
            </w:tcBorders>
            <w:shd w:val="clear" w:color="FFFFFF" w:fill="FFFFFF"/>
            <w:vAlign w:val="bottom"/>
            <w:hideMark/>
          </w:tcPr>
          <w:p w:rsidR="008835EB" w:rsidRDefault="008835EB" w:rsidP="007E3F2E">
            <w:pPr>
              <w:spacing w:line="240" w:lineRule="auto"/>
              <w:jc w:val="right"/>
              <w:rPr>
                <w:rFonts w:cs="Calibri"/>
                <w:b/>
                <w:bCs/>
                <w:szCs w:val="18"/>
              </w:rPr>
            </w:pPr>
            <w:r>
              <w:rPr>
                <w:rFonts w:cs="Calibri"/>
                <w:b/>
                <w:bCs/>
                <w:szCs w:val="18"/>
              </w:rPr>
              <w:t>$'000</w:t>
            </w:r>
          </w:p>
        </w:tc>
        <w:tc>
          <w:tcPr>
            <w:tcW w:w="1516" w:type="dxa"/>
            <w:tcBorders>
              <w:top w:val="nil"/>
              <w:left w:val="nil"/>
              <w:bottom w:val="single" w:sz="4" w:space="0" w:color="auto"/>
              <w:right w:val="nil"/>
            </w:tcBorders>
            <w:shd w:val="clear" w:color="FFFFFF" w:fill="FFFFFF"/>
            <w:vAlign w:val="bottom"/>
            <w:hideMark/>
          </w:tcPr>
          <w:p w:rsidR="008835EB" w:rsidRDefault="008835EB" w:rsidP="007E3F2E">
            <w:pPr>
              <w:spacing w:line="240" w:lineRule="auto"/>
              <w:jc w:val="right"/>
              <w:rPr>
                <w:rFonts w:cs="Calibri"/>
                <w:b/>
                <w:bCs/>
                <w:szCs w:val="18"/>
              </w:rPr>
            </w:pPr>
            <w:r>
              <w:rPr>
                <w:rFonts w:cs="Calibri"/>
                <w:b/>
                <w:bCs/>
                <w:szCs w:val="18"/>
              </w:rPr>
              <w:t>$'000</w:t>
            </w:r>
          </w:p>
        </w:tc>
      </w:tr>
      <w:tr w:rsidR="008835EB" w:rsidTr="007E3F2E">
        <w:trPr>
          <w:trHeight w:val="255"/>
        </w:trPr>
        <w:tc>
          <w:tcPr>
            <w:tcW w:w="593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b/>
                <w:bCs/>
                <w:szCs w:val="18"/>
              </w:rPr>
            </w:pPr>
            <w:r>
              <w:rPr>
                <w:rFonts w:cs="Calibri"/>
                <w:b/>
                <w:bCs/>
                <w:szCs w:val="18"/>
              </w:rPr>
              <w:t>As at 30 June 2015</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r>
      <w:tr w:rsidR="008835EB" w:rsidTr="007E3F2E">
        <w:trPr>
          <w:trHeight w:val="255"/>
        </w:trPr>
        <w:tc>
          <w:tcPr>
            <w:tcW w:w="593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Gross book value</w:t>
            </w:r>
          </w:p>
        </w:tc>
        <w:tc>
          <w:tcPr>
            <w:tcW w:w="1516" w:type="dxa"/>
            <w:tcBorders>
              <w:top w:val="nil"/>
              <w:left w:val="nil"/>
              <w:bottom w:val="nil"/>
              <w:right w:val="nil"/>
            </w:tcBorders>
            <w:shd w:val="clear" w:color="auto" w:fill="auto"/>
            <w:noWrap/>
            <w:vAlign w:val="bottom"/>
            <w:hideMark/>
          </w:tcPr>
          <w:p w:rsidR="008835EB" w:rsidRDefault="008835EB" w:rsidP="007E3F2E">
            <w:pPr>
              <w:spacing w:line="240" w:lineRule="auto"/>
              <w:jc w:val="right"/>
              <w:rPr>
                <w:rFonts w:cs="Calibri"/>
                <w:b/>
                <w:bCs/>
                <w:szCs w:val="18"/>
              </w:rPr>
            </w:pPr>
            <w:r>
              <w:rPr>
                <w:rFonts w:cs="Calibri"/>
                <w:b/>
                <w:bCs/>
                <w:szCs w:val="18"/>
              </w:rPr>
              <w:t>28,582</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23,697</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79,421</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701</w:t>
            </w:r>
          </w:p>
        </w:tc>
        <w:tc>
          <w:tcPr>
            <w:tcW w:w="1516" w:type="dxa"/>
            <w:tcBorders>
              <w:top w:val="nil"/>
              <w:left w:val="nil"/>
              <w:bottom w:val="nil"/>
              <w:right w:val="nil"/>
            </w:tcBorders>
            <w:shd w:val="clear" w:color="auto" w:fill="auto"/>
            <w:noWrap/>
            <w:vAlign w:val="bottom"/>
            <w:hideMark/>
          </w:tcPr>
          <w:p w:rsidR="008835EB" w:rsidRDefault="008835EB" w:rsidP="007E3F2E">
            <w:pPr>
              <w:spacing w:line="240" w:lineRule="auto"/>
              <w:jc w:val="right"/>
              <w:rPr>
                <w:rFonts w:cs="Calibri"/>
                <w:b/>
                <w:bCs/>
                <w:szCs w:val="18"/>
              </w:rPr>
            </w:pPr>
            <w:r>
              <w:rPr>
                <w:rFonts w:cs="Calibri"/>
                <w:b/>
                <w:bCs/>
                <w:szCs w:val="18"/>
              </w:rPr>
              <w:t>132,401</w:t>
            </w:r>
          </w:p>
        </w:tc>
      </w:tr>
      <w:tr w:rsidR="008835EB" w:rsidTr="007E3F2E">
        <w:trPr>
          <w:trHeight w:val="255"/>
        </w:trPr>
        <w:tc>
          <w:tcPr>
            <w:tcW w:w="593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Opening adjustment—gross book value</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w:t>
            </w:r>
          </w:p>
        </w:tc>
      </w:tr>
      <w:tr w:rsidR="008835EB" w:rsidTr="007E3F2E">
        <w:trPr>
          <w:trHeight w:val="255"/>
        </w:trPr>
        <w:tc>
          <w:tcPr>
            <w:tcW w:w="593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Accumulated depreciation and impairment</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(8,322)</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(10,458)</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(14,011)</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(350)</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(33,141)</w:t>
            </w:r>
          </w:p>
        </w:tc>
      </w:tr>
      <w:tr w:rsidR="008835EB" w:rsidTr="007E3F2E">
        <w:trPr>
          <w:trHeight w:val="255"/>
        </w:trPr>
        <w:tc>
          <w:tcPr>
            <w:tcW w:w="593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Opening adjustment—accumulated depreciation and impairment</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w:t>
            </w:r>
          </w:p>
        </w:tc>
      </w:tr>
      <w:tr w:rsidR="008835EB" w:rsidTr="007E3F2E">
        <w:trPr>
          <w:trHeight w:val="255"/>
        </w:trPr>
        <w:tc>
          <w:tcPr>
            <w:tcW w:w="5936" w:type="dxa"/>
            <w:tcBorders>
              <w:top w:val="single" w:sz="4" w:space="0" w:color="auto"/>
              <w:left w:val="nil"/>
              <w:bottom w:val="single" w:sz="4" w:space="0" w:color="auto"/>
              <w:right w:val="nil"/>
            </w:tcBorders>
            <w:shd w:val="clear" w:color="FFFFFF" w:fill="FFFFFF"/>
            <w:vAlign w:val="bottom"/>
            <w:hideMark/>
          </w:tcPr>
          <w:p w:rsidR="008835EB" w:rsidRDefault="008835EB" w:rsidP="007E3F2E">
            <w:pPr>
              <w:spacing w:line="240" w:lineRule="auto"/>
              <w:rPr>
                <w:rFonts w:cs="Calibri"/>
                <w:b/>
                <w:bCs/>
                <w:szCs w:val="18"/>
              </w:rPr>
            </w:pPr>
            <w:r>
              <w:rPr>
                <w:rFonts w:cs="Calibri"/>
                <w:b/>
                <w:bCs/>
                <w:szCs w:val="18"/>
              </w:rPr>
              <w:t>Net book value 30 June 2015</w:t>
            </w:r>
          </w:p>
        </w:tc>
        <w:tc>
          <w:tcPr>
            <w:tcW w:w="151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20,260</w:t>
            </w:r>
          </w:p>
        </w:tc>
        <w:tc>
          <w:tcPr>
            <w:tcW w:w="151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13,239</w:t>
            </w:r>
          </w:p>
        </w:tc>
        <w:tc>
          <w:tcPr>
            <w:tcW w:w="151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65,410</w:t>
            </w:r>
          </w:p>
        </w:tc>
        <w:tc>
          <w:tcPr>
            <w:tcW w:w="151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351</w:t>
            </w:r>
          </w:p>
        </w:tc>
        <w:tc>
          <w:tcPr>
            <w:tcW w:w="151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99,260</w:t>
            </w:r>
          </w:p>
        </w:tc>
      </w:tr>
      <w:tr w:rsidR="008835EB" w:rsidTr="007E3F2E">
        <w:trPr>
          <w:trHeight w:val="255"/>
        </w:trPr>
        <w:tc>
          <w:tcPr>
            <w:tcW w:w="593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Additions</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w:t>
            </w:r>
          </w:p>
        </w:tc>
      </w:tr>
      <w:tr w:rsidR="008835EB" w:rsidTr="007E3F2E">
        <w:trPr>
          <w:trHeight w:val="255"/>
        </w:trPr>
        <w:tc>
          <w:tcPr>
            <w:tcW w:w="5936" w:type="dxa"/>
            <w:tcBorders>
              <w:top w:val="nil"/>
              <w:left w:val="nil"/>
              <w:bottom w:val="nil"/>
              <w:right w:val="nil"/>
            </w:tcBorders>
            <w:shd w:val="clear" w:color="FFFFFF" w:fill="FFFFFF"/>
            <w:vAlign w:val="bottom"/>
            <w:hideMark/>
          </w:tcPr>
          <w:p w:rsidR="008835EB" w:rsidRDefault="008835EB" w:rsidP="008835EB">
            <w:pPr>
              <w:spacing w:line="240" w:lineRule="auto"/>
              <w:ind w:firstLineChars="100" w:firstLine="180"/>
              <w:rPr>
                <w:rFonts w:cs="Calibri"/>
                <w:szCs w:val="18"/>
              </w:rPr>
            </w:pPr>
            <w:r>
              <w:rPr>
                <w:rFonts w:cs="Calibri"/>
                <w:szCs w:val="18"/>
              </w:rPr>
              <w:t>Purchase or internally developed</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982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3,395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37,266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104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41,747</w:t>
            </w:r>
          </w:p>
        </w:tc>
      </w:tr>
      <w:tr w:rsidR="008835EB" w:rsidTr="007E3F2E">
        <w:trPr>
          <w:trHeight w:val="255"/>
        </w:trPr>
        <w:tc>
          <w:tcPr>
            <w:tcW w:w="5936" w:type="dxa"/>
            <w:tcBorders>
              <w:top w:val="nil"/>
              <w:left w:val="nil"/>
              <w:bottom w:val="nil"/>
              <w:right w:val="nil"/>
            </w:tcBorders>
            <w:shd w:val="clear" w:color="FFFFFF" w:fill="FFFFFF"/>
            <w:noWrap/>
            <w:vAlign w:val="bottom"/>
            <w:hideMark/>
          </w:tcPr>
          <w:p w:rsidR="008835EB" w:rsidRDefault="008835EB" w:rsidP="008835EB">
            <w:pPr>
              <w:spacing w:line="240" w:lineRule="auto"/>
              <w:ind w:firstLineChars="100" w:firstLine="180"/>
              <w:rPr>
                <w:rFonts w:cs="Calibri"/>
                <w:szCs w:val="18"/>
              </w:rPr>
            </w:pPr>
            <w:r>
              <w:rPr>
                <w:rFonts w:cs="Calibri"/>
                <w:szCs w:val="18"/>
              </w:rPr>
              <w:t>First time recognition</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50</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w:t>
            </w:r>
          </w:p>
        </w:tc>
        <w:tc>
          <w:tcPr>
            <w:tcW w:w="1516" w:type="dxa"/>
            <w:tcBorders>
              <w:top w:val="nil"/>
              <w:left w:val="nil"/>
              <w:bottom w:val="nil"/>
              <w:right w:val="nil"/>
            </w:tcBorders>
            <w:shd w:val="clear" w:color="auto" w:fill="auto"/>
            <w:noWrap/>
            <w:vAlign w:val="bottom"/>
            <w:hideMark/>
          </w:tcPr>
          <w:p w:rsidR="008835EB" w:rsidRDefault="008835EB" w:rsidP="007E3F2E">
            <w:pPr>
              <w:spacing w:line="240" w:lineRule="auto"/>
              <w:jc w:val="right"/>
              <w:rPr>
                <w:rFonts w:cs="Calibri"/>
                <w:b/>
                <w:bCs/>
                <w:szCs w:val="18"/>
              </w:rPr>
            </w:pPr>
            <w:r>
              <w:rPr>
                <w:rFonts w:cs="Calibri"/>
                <w:b/>
                <w:bCs/>
                <w:szCs w:val="18"/>
              </w:rPr>
              <w:t>50</w:t>
            </w:r>
          </w:p>
        </w:tc>
      </w:tr>
      <w:tr w:rsidR="008835EB" w:rsidTr="007E3F2E">
        <w:trPr>
          <w:trHeight w:val="255"/>
        </w:trPr>
        <w:tc>
          <w:tcPr>
            <w:tcW w:w="593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Reclassification</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(951)</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920</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(3)</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34</w:t>
            </w:r>
          </w:p>
        </w:tc>
        <w:tc>
          <w:tcPr>
            <w:tcW w:w="1516" w:type="dxa"/>
            <w:tcBorders>
              <w:top w:val="nil"/>
              <w:left w:val="nil"/>
              <w:bottom w:val="nil"/>
              <w:right w:val="nil"/>
            </w:tcBorders>
            <w:shd w:val="clear" w:color="auto" w:fill="auto"/>
            <w:noWrap/>
            <w:vAlign w:val="bottom"/>
            <w:hideMark/>
          </w:tcPr>
          <w:p w:rsidR="008835EB" w:rsidRDefault="008835EB" w:rsidP="007E3F2E">
            <w:pPr>
              <w:spacing w:line="240" w:lineRule="auto"/>
              <w:jc w:val="right"/>
              <w:rPr>
                <w:rFonts w:cs="Calibri"/>
                <w:b/>
                <w:bCs/>
                <w:szCs w:val="18"/>
              </w:rPr>
            </w:pPr>
            <w:r>
              <w:rPr>
                <w:rFonts w:cs="Calibri"/>
                <w:b/>
                <w:bCs/>
                <w:szCs w:val="18"/>
              </w:rPr>
              <w:t>-</w:t>
            </w:r>
          </w:p>
        </w:tc>
      </w:tr>
      <w:tr w:rsidR="008835EB" w:rsidTr="007E3F2E">
        <w:trPr>
          <w:trHeight w:val="255"/>
        </w:trPr>
        <w:tc>
          <w:tcPr>
            <w:tcW w:w="59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Revaluations recognised in other comprehensive income</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6,128</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748</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w:t>
            </w:r>
          </w:p>
        </w:tc>
        <w:tc>
          <w:tcPr>
            <w:tcW w:w="1516" w:type="dxa"/>
            <w:tcBorders>
              <w:top w:val="nil"/>
              <w:left w:val="nil"/>
              <w:bottom w:val="nil"/>
              <w:right w:val="nil"/>
            </w:tcBorders>
            <w:shd w:val="clear" w:color="auto" w:fill="auto"/>
            <w:noWrap/>
            <w:vAlign w:val="bottom"/>
            <w:hideMark/>
          </w:tcPr>
          <w:p w:rsidR="008835EB" w:rsidRDefault="008835EB" w:rsidP="007E3F2E">
            <w:pPr>
              <w:spacing w:line="240" w:lineRule="auto"/>
              <w:jc w:val="right"/>
              <w:rPr>
                <w:rFonts w:cs="Calibri"/>
                <w:b/>
                <w:bCs/>
                <w:szCs w:val="18"/>
              </w:rPr>
            </w:pPr>
            <w:r>
              <w:rPr>
                <w:rFonts w:cs="Calibri"/>
                <w:b/>
                <w:bCs/>
                <w:szCs w:val="18"/>
              </w:rPr>
              <w:t>6,876</w:t>
            </w:r>
          </w:p>
        </w:tc>
      </w:tr>
      <w:tr w:rsidR="008835EB" w:rsidTr="007E3F2E">
        <w:trPr>
          <w:trHeight w:val="255"/>
        </w:trPr>
        <w:tc>
          <w:tcPr>
            <w:tcW w:w="593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Impairments recognised in net cost of services</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(51)</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(144)</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(195)</w:t>
            </w:r>
          </w:p>
        </w:tc>
      </w:tr>
      <w:tr w:rsidR="008835EB" w:rsidTr="007E3F2E">
        <w:trPr>
          <w:trHeight w:val="255"/>
        </w:trPr>
        <w:tc>
          <w:tcPr>
            <w:tcW w:w="593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Reversal of impairments recognised in net cost of services</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262</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18</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280</w:t>
            </w:r>
          </w:p>
        </w:tc>
      </w:tr>
      <w:tr w:rsidR="008835EB" w:rsidTr="007E3F2E">
        <w:trPr>
          <w:trHeight w:val="255"/>
        </w:trPr>
        <w:tc>
          <w:tcPr>
            <w:tcW w:w="593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Depreciation/amortisation expense</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(3,031)</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(4,305)</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(14,455)</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(70)</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(21,861)</w:t>
            </w:r>
          </w:p>
        </w:tc>
      </w:tr>
      <w:tr w:rsidR="008835EB" w:rsidTr="007E3F2E">
        <w:trPr>
          <w:trHeight w:val="255"/>
        </w:trPr>
        <w:tc>
          <w:tcPr>
            <w:tcW w:w="593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Disposals</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b/>
                <w:bCs/>
                <w:szCs w:val="18"/>
              </w:rPr>
            </w:pPr>
            <w:r>
              <w:rPr>
                <w:rFonts w:ascii="Arial" w:hAnsi="Arial" w:cs="Arial"/>
                <w:b/>
                <w:bCs/>
                <w:szCs w:val="18"/>
              </w:rPr>
              <w:t>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b/>
                <w:bCs/>
                <w:szCs w:val="18"/>
              </w:rPr>
            </w:pPr>
            <w:r>
              <w:rPr>
                <w:rFonts w:ascii="Arial" w:hAnsi="Arial" w:cs="Arial"/>
                <w:b/>
                <w:bCs/>
                <w:szCs w:val="18"/>
              </w:rPr>
              <w:t>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b/>
                <w:bCs/>
                <w:szCs w:val="18"/>
              </w:rPr>
            </w:pPr>
            <w:r>
              <w:rPr>
                <w:rFonts w:ascii="Arial" w:hAnsi="Arial" w:cs="Arial"/>
                <w:b/>
                <w:bCs/>
                <w:szCs w:val="18"/>
              </w:rPr>
              <w:t>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b/>
                <w:bCs/>
                <w:szCs w:val="18"/>
              </w:rPr>
            </w:pPr>
            <w:r>
              <w:rPr>
                <w:rFonts w:ascii="Arial" w:hAnsi="Arial" w:cs="Arial"/>
                <w:b/>
                <w:bCs/>
                <w:szCs w:val="18"/>
              </w:rPr>
              <w:t>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w:t>
            </w:r>
          </w:p>
        </w:tc>
      </w:tr>
      <w:tr w:rsidR="008835EB" w:rsidTr="007E3F2E">
        <w:trPr>
          <w:trHeight w:val="255"/>
        </w:trPr>
        <w:tc>
          <w:tcPr>
            <w:tcW w:w="5936" w:type="dxa"/>
            <w:tcBorders>
              <w:top w:val="nil"/>
              <w:left w:val="nil"/>
              <w:bottom w:val="nil"/>
              <w:right w:val="nil"/>
            </w:tcBorders>
            <w:shd w:val="clear" w:color="FFFFFF" w:fill="FFFFFF"/>
            <w:noWrap/>
            <w:vAlign w:val="bottom"/>
            <w:hideMark/>
          </w:tcPr>
          <w:p w:rsidR="008835EB" w:rsidRDefault="008835EB" w:rsidP="008835EB">
            <w:pPr>
              <w:spacing w:line="240" w:lineRule="auto"/>
              <w:ind w:firstLineChars="100" w:firstLine="180"/>
              <w:rPr>
                <w:rFonts w:cs="Calibri"/>
                <w:szCs w:val="18"/>
              </w:rPr>
            </w:pPr>
            <w:r>
              <w:rPr>
                <w:rFonts w:cs="Calibri"/>
                <w:szCs w:val="18"/>
              </w:rPr>
              <w:t>Other</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(155)</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(331)</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(486)</w:t>
            </w:r>
          </w:p>
        </w:tc>
      </w:tr>
      <w:tr w:rsidR="008835EB" w:rsidTr="007E3F2E">
        <w:trPr>
          <w:trHeight w:val="255"/>
        </w:trPr>
        <w:tc>
          <w:tcPr>
            <w:tcW w:w="5936" w:type="dxa"/>
            <w:tcBorders>
              <w:top w:val="nil"/>
              <w:left w:val="nil"/>
              <w:bottom w:val="nil"/>
              <w:right w:val="nil"/>
            </w:tcBorders>
            <w:shd w:val="clear" w:color="FFFFFF" w:fill="FFFFFF"/>
            <w:noWrap/>
            <w:vAlign w:val="bottom"/>
            <w:hideMark/>
          </w:tcPr>
          <w:p w:rsidR="008835EB" w:rsidRDefault="008835EB" w:rsidP="008835EB">
            <w:pPr>
              <w:spacing w:line="240" w:lineRule="auto"/>
              <w:ind w:firstLineChars="100" w:firstLine="180"/>
              <w:rPr>
                <w:rFonts w:cs="Calibri"/>
                <w:szCs w:val="18"/>
              </w:rPr>
            </w:pPr>
            <w:r>
              <w:rPr>
                <w:rFonts w:cs="Calibri"/>
                <w:szCs w:val="18"/>
              </w:rPr>
              <w:t>Write-offs</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(170)</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(2)</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(172)</w:t>
            </w:r>
          </w:p>
        </w:tc>
      </w:tr>
      <w:tr w:rsidR="008835EB" w:rsidTr="007E3F2E">
        <w:trPr>
          <w:trHeight w:val="255"/>
        </w:trPr>
        <w:tc>
          <w:tcPr>
            <w:tcW w:w="5936" w:type="dxa"/>
            <w:tcBorders>
              <w:top w:val="single" w:sz="4" w:space="0" w:color="auto"/>
              <w:left w:val="nil"/>
              <w:bottom w:val="double" w:sz="6" w:space="0" w:color="auto"/>
              <w:right w:val="nil"/>
            </w:tcBorders>
            <w:shd w:val="clear" w:color="FFFFFF" w:fill="FFFFFF"/>
            <w:vAlign w:val="bottom"/>
            <w:hideMark/>
          </w:tcPr>
          <w:p w:rsidR="008835EB" w:rsidRDefault="008835EB" w:rsidP="007E3F2E">
            <w:pPr>
              <w:spacing w:line="240" w:lineRule="auto"/>
              <w:rPr>
                <w:rFonts w:cs="Calibri"/>
                <w:b/>
                <w:bCs/>
                <w:szCs w:val="18"/>
              </w:rPr>
            </w:pPr>
            <w:r>
              <w:rPr>
                <w:rFonts w:cs="Calibri"/>
                <w:b/>
                <w:bCs/>
                <w:szCs w:val="18"/>
              </w:rPr>
              <w:t>Total as at 30 June 2016</w:t>
            </w:r>
          </w:p>
        </w:tc>
        <w:tc>
          <w:tcPr>
            <w:tcW w:w="151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23,274</w:t>
            </w:r>
          </w:p>
        </w:tc>
        <w:tc>
          <w:tcPr>
            <w:tcW w:w="151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13,714</w:t>
            </w:r>
          </w:p>
        </w:tc>
        <w:tc>
          <w:tcPr>
            <w:tcW w:w="151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88,092</w:t>
            </w:r>
          </w:p>
        </w:tc>
        <w:tc>
          <w:tcPr>
            <w:tcW w:w="151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419</w:t>
            </w:r>
          </w:p>
        </w:tc>
        <w:tc>
          <w:tcPr>
            <w:tcW w:w="151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125,499</w:t>
            </w:r>
          </w:p>
        </w:tc>
      </w:tr>
      <w:tr w:rsidR="008835EB" w:rsidTr="007E3F2E">
        <w:trPr>
          <w:trHeight w:val="255"/>
        </w:trPr>
        <w:tc>
          <w:tcPr>
            <w:tcW w:w="593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b/>
                <w:bCs/>
                <w:szCs w:val="18"/>
              </w:rPr>
            </w:pPr>
            <w:r>
              <w:rPr>
                <w:rFonts w:cs="Calibri"/>
                <w:b/>
                <w:bCs/>
                <w:szCs w:val="18"/>
              </w:rPr>
              <w:t>Total as at 30 June 2016 represented by:</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b/>
                <w:bCs/>
                <w:szCs w:val="18"/>
              </w:rPr>
            </w:pPr>
            <w:r>
              <w:rPr>
                <w:rFonts w:ascii="Arial" w:hAnsi="Arial" w:cs="Arial"/>
                <w:b/>
                <w:bCs/>
                <w:szCs w:val="18"/>
              </w:rPr>
              <w:t>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b/>
                <w:bCs/>
                <w:szCs w:val="18"/>
              </w:rPr>
            </w:pPr>
            <w:r>
              <w:rPr>
                <w:rFonts w:ascii="Arial" w:hAnsi="Arial" w:cs="Arial"/>
                <w:b/>
                <w:bCs/>
                <w:szCs w:val="18"/>
              </w:rPr>
              <w:t>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b/>
                <w:bCs/>
                <w:szCs w:val="18"/>
              </w:rPr>
            </w:pPr>
            <w:r>
              <w:rPr>
                <w:rFonts w:ascii="Arial" w:hAnsi="Arial" w:cs="Arial"/>
                <w:b/>
                <w:bCs/>
                <w:szCs w:val="18"/>
              </w:rPr>
              <w:t>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b/>
                <w:bCs/>
                <w:szCs w:val="18"/>
              </w:rPr>
            </w:pPr>
            <w:r>
              <w:rPr>
                <w:rFonts w:ascii="Arial" w:hAnsi="Arial" w:cs="Arial"/>
                <w:b/>
                <w:bCs/>
                <w:szCs w:val="18"/>
              </w:rPr>
              <w:t>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b/>
                <w:bCs/>
                <w:szCs w:val="18"/>
              </w:rPr>
            </w:pPr>
            <w:r>
              <w:rPr>
                <w:rFonts w:ascii="Arial" w:hAnsi="Arial" w:cs="Arial"/>
                <w:b/>
                <w:bCs/>
                <w:szCs w:val="18"/>
              </w:rPr>
              <w:t> </w:t>
            </w:r>
          </w:p>
        </w:tc>
      </w:tr>
      <w:tr w:rsidR="008835EB" w:rsidTr="007E3F2E">
        <w:trPr>
          <w:trHeight w:val="255"/>
        </w:trPr>
        <w:tc>
          <w:tcPr>
            <w:tcW w:w="593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Gross book value</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b/>
                <w:bCs/>
                <w:szCs w:val="18"/>
              </w:rPr>
            </w:pPr>
            <w:r>
              <w:rPr>
                <w:rFonts w:ascii="Arial" w:hAnsi="Arial" w:cs="Arial"/>
                <w:b/>
                <w:bCs/>
                <w:szCs w:val="18"/>
              </w:rPr>
              <w:t>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b/>
                <w:bCs/>
                <w:szCs w:val="18"/>
              </w:rPr>
            </w:pPr>
            <w:r>
              <w:rPr>
                <w:rFonts w:ascii="Arial" w:hAnsi="Arial" w:cs="Arial"/>
                <w:b/>
                <w:bCs/>
                <w:szCs w:val="18"/>
              </w:rPr>
              <w:t>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b/>
                <w:bCs/>
                <w:szCs w:val="18"/>
              </w:rPr>
            </w:pPr>
            <w:r>
              <w:rPr>
                <w:rFonts w:ascii="Arial" w:hAnsi="Arial" w:cs="Arial"/>
                <w:b/>
                <w:bCs/>
                <w:szCs w:val="18"/>
              </w:rPr>
              <w:t>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b/>
                <w:bCs/>
                <w:szCs w:val="18"/>
              </w:rPr>
            </w:pPr>
            <w:r>
              <w:rPr>
                <w:rFonts w:ascii="Arial" w:hAnsi="Arial" w:cs="Arial"/>
                <w:b/>
                <w:bCs/>
                <w:szCs w:val="18"/>
              </w:rPr>
              <w:t>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b/>
                <w:bCs/>
                <w:szCs w:val="18"/>
              </w:rPr>
            </w:pPr>
            <w:r>
              <w:rPr>
                <w:rFonts w:ascii="Arial" w:hAnsi="Arial" w:cs="Arial"/>
                <w:b/>
                <w:bCs/>
                <w:szCs w:val="18"/>
              </w:rPr>
              <w:t> </w:t>
            </w:r>
          </w:p>
        </w:tc>
      </w:tr>
      <w:tr w:rsidR="008835EB" w:rsidTr="007E3F2E">
        <w:trPr>
          <w:trHeight w:val="255"/>
        </w:trPr>
        <w:tc>
          <w:tcPr>
            <w:tcW w:w="5936" w:type="dxa"/>
            <w:tcBorders>
              <w:top w:val="nil"/>
              <w:left w:val="nil"/>
              <w:bottom w:val="nil"/>
              <w:right w:val="nil"/>
            </w:tcBorders>
            <w:shd w:val="clear" w:color="FFFFFF" w:fill="FFFFFF"/>
            <w:vAlign w:val="bottom"/>
            <w:hideMark/>
          </w:tcPr>
          <w:p w:rsidR="008835EB" w:rsidRDefault="008835EB" w:rsidP="008835EB">
            <w:pPr>
              <w:spacing w:line="240" w:lineRule="auto"/>
              <w:ind w:firstLineChars="100" w:firstLine="180"/>
              <w:rPr>
                <w:rFonts w:cs="Calibri"/>
                <w:szCs w:val="18"/>
              </w:rPr>
            </w:pPr>
            <w:r>
              <w:rPr>
                <w:rFonts w:cs="Calibri"/>
                <w:szCs w:val="18"/>
              </w:rPr>
              <w:t>Fair Value</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23,586</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14,579</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113,208</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839</w:t>
            </w:r>
          </w:p>
        </w:tc>
        <w:tc>
          <w:tcPr>
            <w:tcW w:w="1516" w:type="dxa"/>
            <w:tcBorders>
              <w:top w:val="nil"/>
              <w:left w:val="nil"/>
              <w:bottom w:val="nil"/>
              <w:right w:val="nil"/>
            </w:tcBorders>
            <w:shd w:val="clear" w:color="auto" w:fill="auto"/>
            <w:noWrap/>
            <w:vAlign w:val="bottom"/>
            <w:hideMark/>
          </w:tcPr>
          <w:p w:rsidR="008835EB" w:rsidRDefault="008835EB" w:rsidP="007E3F2E">
            <w:pPr>
              <w:spacing w:line="240" w:lineRule="auto"/>
              <w:jc w:val="right"/>
              <w:rPr>
                <w:rFonts w:cs="Calibri"/>
                <w:b/>
                <w:bCs/>
                <w:szCs w:val="18"/>
              </w:rPr>
            </w:pPr>
            <w:r>
              <w:rPr>
                <w:rFonts w:cs="Calibri"/>
                <w:b/>
                <w:bCs/>
                <w:szCs w:val="18"/>
              </w:rPr>
              <w:t>152,212</w:t>
            </w:r>
          </w:p>
        </w:tc>
      </w:tr>
      <w:tr w:rsidR="008835EB" w:rsidTr="007E3F2E">
        <w:trPr>
          <w:trHeight w:val="255"/>
        </w:trPr>
        <w:tc>
          <w:tcPr>
            <w:tcW w:w="5936" w:type="dxa"/>
            <w:tcBorders>
              <w:top w:val="nil"/>
              <w:left w:val="nil"/>
              <w:bottom w:val="nil"/>
              <w:right w:val="nil"/>
            </w:tcBorders>
            <w:shd w:val="clear" w:color="FFFFFF" w:fill="FFFFFF"/>
            <w:vAlign w:val="bottom"/>
            <w:hideMark/>
          </w:tcPr>
          <w:p w:rsidR="008835EB" w:rsidRDefault="008835EB" w:rsidP="008835EB">
            <w:pPr>
              <w:spacing w:line="240" w:lineRule="auto"/>
              <w:ind w:firstLineChars="100" w:firstLine="180"/>
              <w:rPr>
                <w:rFonts w:cs="Calibri"/>
                <w:szCs w:val="18"/>
              </w:rPr>
            </w:pPr>
            <w:r>
              <w:rPr>
                <w:rFonts w:cs="Calibri"/>
                <w:szCs w:val="18"/>
              </w:rPr>
              <w:t>Work in progress</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8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2,910 </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 -</w:t>
            </w:r>
          </w:p>
        </w:tc>
        <w:tc>
          <w:tcPr>
            <w:tcW w:w="1516" w:type="dxa"/>
            <w:tcBorders>
              <w:top w:val="nil"/>
              <w:left w:val="nil"/>
              <w:bottom w:val="nil"/>
              <w:right w:val="nil"/>
            </w:tcBorders>
            <w:shd w:val="clear" w:color="auto" w:fill="auto"/>
            <w:noWrap/>
            <w:vAlign w:val="bottom"/>
            <w:hideMark/>
          </w:tcPr>
          <w:p w:rsidR="008835EB" w:rsidRDefault="008835EB" w:rsidP="007E3F2E">
            <w:pPr>
              <w:spacing w:line="240" w:lineRule="auto"/>
              <w:jc w:val="right"/>
              <w:rPr>
                <w:rFonts w:cs="Calibri"/>
                <w:b/>
                <w:bCs/>
                <w:szCs w:val="18"/>
              </w:rPr>
            </w:pPr>
            <w:r>
              <w:rPr>
                <w:rFonts w:cs="Calibri"/>
                <w:b/>
                <w:bCs/>
                <w:szCs w:val="18"/>
              </w:rPr>
              <w:t>2,918</w:t>
            </w:r>
          </w:p>
        </w:tc>
      </w:tr>
      <w:tr w:rsidR="008835EB" w:rsidTr="007E3F2E">
        <w:trPr>
          <w:trHeight w:val="255"/>
        </w:trPr>
        <w:tc>
          <w:tcPr>
            <w:tcW w:w="593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Accumulated amortisation</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(27,585)</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(407)</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(27,992)</w:t>
            </w:r>
          </w:p>
        </w:tc>
      </w:tr>
      <w:tr w:rsidR="008835EB" w:rsidTr="007E3F2E">
        <w:trPr>
          <w:trHeight w:val="255"/>
        </w:trPr>
        <w:tc>
          <w:tcPr>
            <w:tcW w:w="593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Accumulated depreciation</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(10)</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(102)</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(112)</w:t>
            </w:r>
          </w:p>
        </w:tc>
      </w:tr>
      <w:tr w:rsidR="008835EB" w:rsidTr="007E3F2E">
        <w:trPr>
          <w:trHeight w:val="255"/>
        </w:trPr>
        <w:tc>
          <w:tcPr>
            <w:tcW w:w="593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Accumulated impairment</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(310)</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(763)</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(441)</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(13)</w:t>
            </w:r>
          </w:p>
        </w:tc>
        <w:tc>
          <w:tcPr>
            <w:tcW w:w="151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(1,527)</w:t>
            </w:r>
          </w:p>
        </w:tc>
      </w:tr>
      <w:tr w:rsidR="008835EB" w:rsidTr="007E3F2E">
        <w:trPr>
          <w:trHeight w:val="255"/>
        </w:trPr>
        <w:tc>
          <w:tcPr>
            <w:tcW w:w="5936" w:type="dxa"/>
            <w:tcBorders>
              <w:top w:val="single" w:sz="4" w:space="0" w:color="auto"/>
              <w:left w:val="nil"/>
              <w:bottom w:val="double" w:sz="6" w:space="0" w:color="auto"/>
              <w:right w:val="nil"/>
            </w:tcBorders>
            <w:shd w:val="clear" w:color="FFFFFF" w:fill="FFFFFF"/>
            <w:vAlign w:val="bottom"/>
            <w:hideMark/>
          </w:tcPr>
          <w:p w:rsidR="008835EB" w:rsidRDefault="008835EB" w:rsidP="007E3F2E">
            <w:pPr>
              <w:spacing w:line="240" w:lineRule="auto"/>
              <w:rPr>
                <w:rFonts w:cs="Calibri"/>
                <w:b/>
                <w:bCs/>
                <w:szCs w:val="18"/>
              </w:rPr>
            </w:pPr>
            <w:r>
              <w:rPr>
                <w:rFonts w:cs="Calibri"/>
                <w:b/>
                <w:bCs/>
                <w:szCs w:val="18"/>
              </w:rPr>
              <w:t>Total as at 30 June 2016</w:t>
            </w:r>
          </w:p>
        </w:tc>
        <w:tc>
          <w:tcPr>
            <w:tcW w:w="151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23,274</w:t>
            </w:r>
          </w:p>
        </w:tc>
        <w:tc>
          <w:tcPr>
            <w:tcW w:w="151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13,714</w:t>
            </w:r>
          </w:p>
        </w:tc>
        <w:tc>
          <w:tcPr>
            <w:tcW w:w="151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88,092</w:t>
            </w:r>
          </w:p>
        </w:tc>
        <w:tc>
          <w:tcPr>
            <w:tcW w:w="151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419</w:t>
            </w:r>
          </w:p>
        </w:tc>
        <w:tc>
          <w:tcPr>
            <w:tcW w:w="151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125,499</w:t>
            </w:r>
          </w:p>
        </w:tc>
      </w:tr>
    </w:tbl>
    <w:p w:rsidR="008835EB" w:rsidRDefault="008835EB" w:rsidP="008835EB">
      <w:pPr>
        <w:spacing w:line="240" w:lineRule="auto"/>
        <w:rPr>
          <w:rFonts w:asciiTheme="minorHAnsi" w:hAnsiTheme="minorHAnsi" w:cstheme="minorHAnsi"/>
          <w:sz w:val="10"/>
          <w:szCs w:val="10"/>
        </w:rPr>
      </w:pPr>
      <w:bookmarkStart w:id="219" w:name="RANGE!E7:J55"/>
      <w:bookmarkStart w:id="220" w:name="RANGE!E7:J54"/>
      <w:bookmarkStart w:id="221" w:name="RANGE!E7:J63"/>
      <w:bookmarkStart w:id="222" w:name="RANGE!E7:J61"/>
      <w:bookmarkStart w:id="223" w:name="RANGE!E7:J64"/>
      <w:bookmarkStart w:id="224" w:name="RANGE!E7:J65"/>
      <w:bookmarkStart w:id="225" w:name="RANGE!E7:L63"/>
      <w:bookmarkStart w:id="226" w:name="RANGE!E7:L65"/>
      <w:bookmarkStart w:id="227" w:name="RANGE!E7:L57"/>
      <w:bookmarkStart w:id="228" w:name="RANGE!E7:K55"/>
      <w:bookmarkStart w:id="229" w:name="RANGE!E7:K56"/>
      <w:bookmarkStart w:id="230" w:name="RANGE!E7:K52"/>
      <w:bookmarkStart w:id="231" w:name="RANGE!E7:K53"/>
      <w:bookmarkStart w:id="232" w:name="RANGE!E7:K49"/>
      <w:bookmarkStart w:id="233" w:name="RANGE!E6:K48"/>
      <w:bookmarkStart w:id="234" w:name="RANGE!E6:K47"/>
      <w:bookmarkStart w:id="235" w:name="RANGE!E6:K49"/>
      <w:bookmarkStart w:id="236" w:name="RANGE!E6:E50"/>
      <w:bookmarkStart w:id="237" w:name="RANGE!E6:K50"/>
      <w:bookmarkStart w:id="238" w:name="RANGE!E61:K87"/>
      <w:bookmarkStart w:id="239" w:name="RANGE!E60:K85"/>
      <w:bookmarkStart w:id="240" w:name="RANGE!E61:K86"/>
      <w:bookmarkStart w:id="241" w:name="RANGE!E57:K82"/>
      <w:bookmarkStart w:id="242" w:name="RANGE!E58:K83"/>
      <w:bookmarkStart w:id="243" w:name="RANGE!E57:K81"/>
      <w:bookmarkStart w:id="244" w:name="RANGE!E56:K79"/>
      <w:bookmarkStart w:id="245" w:name="RANGE!E58:K81"/>
      <w:bookmarkStart w:id="246" w:name="RANGE!E59:K82"/>
      <w:bookmarkStart w:id="247" w:name="RANGE!E59:K83"/>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8835EB" w:rsidRDefault="008835EB" w:rsidP="008835EB">
      <w:pPr>
        <w:spacing w:line="240" w:lineRule="auto"/>
        <w:rPr>
          <w:rFonts w:asciiTheme="minorHAnsi" w:hAnsiTheme="minorHAnsi" w:cstheme="minorHAnsi"/>
          <w:sz w:val="10"/>
          <w:szCs w:val="10"/>
        </w:rPr>
      </w:pPr>
      <w:r>
        <w:rPr>
          <w:rFonts w:asciiTheme="minorHAnsi" w:hAnsiTheme="minorHAnsi" w:cstheme="minorHAnsi"/>
          <w:sz w:val="10"/>
          <w:szCs w:val="10"/>
        </w:rPr>
        <w:br w:type="page"/>
      </w:r>
    </w:p>
    <w:tbl>
      <w:tblPr>
        <w:tblW w:w="13606" w:type="dxa"/>
        <w:tblInd w:w="80" w:type="dxa"/>
        <w:tblLayout w:type="fixed"/>
        <w:tblCellMar>
          <w:left w:w="6" w:type="dxa"/>
          <w:right w:w="6" w:type="dxa"/>
        </w:tblCellMar>
        <w:tblLook w:val="04A0" w:firstRow="1" w:lastRow="0" w:firstColumn="1" w:lastColumn="0" w:noHBand="0" w:noVBand="1"/>
      </w:tblPr>
      <w:tblGrid>
        <w:gridCol w:w="5976"/>
        <w:gridCol w:w="1526"/>
        <w:gridCol w:w="1496"/>
        <w:gridCol w:w="1556"/>
        <w:gridCol w:w="1526"/>
        <w:gridCol w:w="1526"/>
      </w:tblGrid>
      <w:tr w:rsidR="008835EB" w:rsidTr="007E3F2E">
        <w:trPr>
          <w:trHeight w:val="318"/>
        </w:trPr>
        <w:tc>
          <w:tcPr>
            <w:tcW w:w="13606" w:type="dxa"/>
            <w:gridSpan w:val="6"/>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b/>
                <w:bCs/>
                <w:szCs w:val="18"/>
                <w:u w:val="single"/>
              </w:rPr>
            </w:pPr>
            <w:bookmarkStart w:id="248" w:name="Note_MTATABLE2" w:colFirst="0" w:colLast="0"/>
            <w:r>
              <w:rPr>
                <w:rFonts w:cs="Calibri"/>
                <w:b/>
                <w:bCs/>
                <w:szCs w:val="18"/>
                <w:u w:val="single"/>
              </w:rPr>
              <w:lastRenderedPageBreak/>
              <w:t xml:space="preserve">Note </w:t>
            </w:r>
            <w:proofErr w:type="spellStart"/>
            <w:r>
              <w:rPr>
                <w:rFonts w:cs="Calibri"/>
                <w:b/>
                <w:bCs/>
                <w:szCs w:val="18"/>
                <w:u w:val="single"/>
              </w:rPr>
              <w:t>3.2B</w:t>
            </w:r>
            <w:proofErr w:type="spellEnd"/>
            <w:r>
              <w:rPr>
                <w:rFonts w:cs="Calibri"/>
                <w:b/>
                <w:bCs/>
                <w:szCs w:val="18"/>
                <w:u w:val="single"/>
              </w:rPr>
              <w:t>: Reconciliation of the Opening and Closing Balances of Property, Plant and Equipment and Intangibles (2014–15)</w:t>
            </w:r>
          </w:p>
        </w:tc>
      </w:tr>
      <w:bookmarkEnd w:id="248"/>
      <w:tr w:rsidR="008835EB" w:rsidTr="007E3F2E">
        <w:trPr>
          <w:trHeight w:val="255"/>
        </w:trPr>
        <w:tc>
          <w:tcPr>
            <w:tcW w:w="5976" w:type="dxa"/>
            <w:tcBorders>
              <w:top w:val="single" w:sz="4" w:space="0" w:color="auto"/>
              <w:left w:val="nil"/>
              <w:bottom w:val="nil"/>
              <w:right w:val="nil"/>
            </w:tcBorders>
            <w:shd w:val="clear" w:color="FFFFFF" w:fill="FFFFFF"/>
            <w:noWrap/>
            <w:vAlign w:val="bottom"/>
            <w:hideMark/>
          </w:tcPr>
          <w:p w:rsidR="008835EB" w:rsidRDefault="008835EB" w:rsidP="007E3F2E">
            <w:pPr>
              <w:spacing w:line="240" w:lineRule="auto"/>
              <w:rPr>
                <w:rFonts w:ascii="Arial" w:hAnsi="Arial" w:cs="Arial"/>
                <w:b/>
                <w:bCs/>
                <w:szCs w:val="18"/>
              </w:rPr>
            </w:pPr>
            <w:r>
              <w:rPr>
                <w:rFonts w:ascii="Arial" w:hAnsi="Arial" w:cs="Arial"/>
                <w:b/>
                <w:bCs/>
                <w:szCs w:val="18"/>
              </w:rPr>
              <w:t> </w:t>
            </w:r>
          </w:p>
        </w:tc>
        <w:tc>
          <w:tcPr>
            <w:tcW w:w="1526" w:type="dxa"/>
            <w:tcBorders>
              <w:top w:val="single" w:sz="4" w:space="0" w:color="auto"/>
              <w:left w:val="nil"/>
              <w:bottom w:val="nil"/>
              <w:right w:val="nil"/>
            </w:tcBorders>
            <w:shd w:val="clear" w:color="FFFFFF" w:fill="FFFFFF"/>
            <w:vAlign w:val="bottom"/>
            <w:hideMark/>
          </w:tcPr>
          <w:p w:rsidR="008835EB" w:rsidRDefault="008835EB" w:rsidP="007E3F2E">
            <w:pPr>
              <w:spacing w:line="240" w:lineRule="auto"/>
              <w:jc w:val="right"/>
              <w:rPr>
                <w:rFonts w:cs="Calibri"/>
                <w:szCs w:val="18"/>
              </w:rPr>
            </w:pPr>
            <w:r>
              <w:rPr>
                <w:rFonts w:cs="Calibri"/>
                <w:szCs w:val="18"/>
              </w:rPr>
              <w:t>Leasehold improvements</w:t>
            </w:r>
          </w:p>
        </w:tc>
        <w:tc>
          <w:tcPr>
            <w:tcW w:w="1496" w:type="dxa"/>
            <w:tcBorders>
              <w:top w:val="single" w:sz="4" w:space="0" w:color="auto"/>
              <w:left w:val="nil"/>
              <w:bottom w:val="nil"/>
              <w:right w:val="nil"/>
            </w:tcBorders>
            <w:shd w:val="clear" w:color="FFFFFF" w:fill="FFFFFF"/>
            <w:vAlign w:val="bottom"/>
            <w:hideMark/>
          </w:tcPr>
          <w:p w:rsidR="008835EB" w:rsidRDefault="008835EB" w:rsidP="007E3F2E">
            <w:pPr>
              <w:spacing w:line="240" w:lineRule="auto"/>
              <w:jc w:val="right"/>
              <w:rPr>
                <w:rFonts w:cs="Calibri"/>
                <w:szCs w:val="18"/>
              </w:rPr>
            </w:pPr>
            <w:r>
              <w:rPr>
                <w:rFonts w:cs="Calibri"/>
                <w:szCs w:val="18"/>
              </w:rPr>
              <w:t>Other plant &amp; equipment</w:t>
            </w:r>
          </w:p>
        </w:tc>
        <w:tc>
          <w:tcPr>
            <w:tcW w:w="1556" w:type="dxa"/>
            <w:tcBorders>
              <w:top w:val="single" w:sz="4" w:space="0" w:color="auto"/>
              <w:left w:val="nil"/>
              <w:bottom w:val="nil"/>
              <w:right w:val="nil"/>
            </w:tcBorders>
            <w:shd w:val="clear" w:color="FFFFFF" w:fill="FFFFFF"/>
            <w:tcMar>
              <w:left w:w="57" w:type="dxa"/>
            </w:tcMar>
            <w:vAlign w:val="bottom"/>
            <w:hideMark/>
          </w:tcPr>
          <w:p w:rsidR="008835EB" w:rsidRDefault="008835EB" w:rsidP="007E3F2E">
            <w:pPr>
              <w:spacing w:line="240" w:lineRule="auto"/>
              <w:jc w:val="right"/>
              <w:rPr>
                <w:rFonts w:cs="Calibri"/>
                <w:szCs w:val="18"/>
              </w:rPr>
            </w:pPr>
            <w:r>
              <w:rPr>
                <w:rFonts w:cs="Calibri"/>
                <w:szCs w:val="18"/>
              </w:rPr>
              <w:t>Computer software internally developed</w:t>
            </w:r>
          </w:p>
        </w:tc>
        <w:tc>
          <w:tcPr>
            <w:tcW w:w="1526" w:type="dxa"/>
            <w:tcBorders>
              <w:top w:val="single" w:sz="4" w:space="0" w:color="auto"/>
              <w:left w:val="nil"/>
              <w:bottom w:val="nil"/>
              <w:right w:val="nil"/>
            </w:tcBorders>
            <w:shd w:val="clear" w:color="FFFFFF" w:fill="FFFFFF"/>
            <w:vAlign w:val="bottom"/>
            <w:hideMark/>
          </w:tcPr>
          <w:p w:rsidR="008835EB" w:rsidRDefault="008835EB" w:rsidP="007E3F2E">
            <w:pPr>
              <w:spacing w:line="240" w:lineRule="auto"/>
              <w:jc w:val="right"/>
              <w:rPr>
                <w:rFonts w:cs="Calibri"/>
                <w:szCs w:val="18"/>
              </w:rPr>
            </w:pPr>
            <w:r>
              <w:rPr>
                <w:rFonts w:cs="Calibri"/>
                <w:szCs w:val="18"/>
              </w:rPr>
              <w:t>Computer software purchased</w:t>
            </w:r>
          </w:p>
        </w:tc>
        <w:tc>
          <w:tcPr>
            <w:tcW w:w="1526" w:type="dxa"/>
            <w:tcBorders>
              <w:top w:val="single" w:sz="4" w:space="0" w:color="auto"/>
              <w:left w:val="nil"/>
              <w:bottom w:val="nil"/>
              <w:right w:val="nil"/>
            </w:tcBorders>
            <w:shd w:val="clear" w:color="FFFFFF" w:fill="FFFFFF"/>
            <w:vAlign w:val="bottom"/>
            <w:hideMark/>
          </w:tcPr>
          <w:p w:rsidR="008835EB" w:rsidRDefault="008835EB" w:rsidP="007E3F2E">
            <w:pPr>
              <w:spacing w:line="240" w:lineRule="auto"/>
              <w:jc w:val="right"/>
              <w:rPr>
                <w:rFonts w:cs="Calibri"/>
                <w:szCs w:val="18"/>
              </w:rPr>
            </w:pPr>
            <w:r>
              <w:rPr>
                <w:rFonts w:cs="Calibri"/>
                <w:szCs w:val="18"/>
              </w:rPr>
              <w:t>Total</w:t>
            </w:r>
          </w:p>
        </w:tc>
      </w:tr>
      <w:tr w:rsidR="008835EB" w:rsidTr="007E3F2E">
        <w:trPr>
          <w:trHeight w:val="255"/>
        </w:trPr>
        <w:tc>
          <w:tcPr>
            <w:tcW w:w="5976" w:type="dxa"/>
            <w:tcBorders>
              <w:top w:val="nil"/>
              <w:left w:val="nil"/>
              <w:bottom w:val="single" w:sz="4" w:space="0" w:color="auto"/>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1526" w:type="dxa"/>
            <w:tcBorders>
              <w:top w:val="nil"/>
              <w:left w:val="nil"/>
              <w:bottom w:val="single" w:sz="4" w:space="0" w:color="auto"/>
              <w:right w:val="nil"/>
            </w:tcBorders>
            <w:shd w:val="clear" w:color="FFFFFF" w:fill="FFFFFF"/>
            <w:vAlign w:val="bottom"/>
            <w:hideMark/>
          </w:tcPr>
          <w:p w:rsidR="008835EB" w:rsidRDefault="008835EB" w:rsidP="007E3F2E">
            <w:pPr>
              <w:spacing w:line="240" w:lineRule="auto"/>
              <w:jc w:val="right"/>
              <w:rPr>
                <w:rFonts w:cs="Calibri"/>
                <w:szCs w:val="18"/>
              </w:rPr>
            </w:pPr>
            <w:r>
              <w:rPr>
                <w:rFonts w:cs="Calibri"/>
                <w:szCs w:val="18"/>
              </w:rPr>
              <w:t>$'000</w:t>
            </w:r>
          </w:p>
        </w:tc>
        <w:tc>
          <w:tcPr>
            <w:tcW w:w="1496" w:type="dxa"/>
            <w:tcBorders>
              <w:top w:val="nil"/>
              <w:left w:val="nil"/>
              <w:bottom w:val="single" w:sz="4" w:space="0" w:color="auto"/>
              <w:right w:val="nil"/>
            </w:tcBorders>
            <w:shd w:val="clear" w:color="FFFFFF" w:fill="FFFFFF"/>
            <w:vAlign w:val="bottom"/>
            <w:hideMark/>
          </w:tcPr>
          <w:p w:rsidR="008835EB" w:rsidRDefault="008835EB" w:rsidP="007E3F2E">
            <w:pPr>
              <w:spacing w:line="240" w:lineRule="auto"/>
              <w:jc w:val="right"/>
              <w:rPr>
                <w:rFonts w:cs="Calibri"/>
                <w:szCs w:val="18"/>
              </w:rPr>
            </w:pPr>
            <w:r>
              <w:rPr>
                <w:rFonts w:cs="Calibri"/>
                <w:szCs w:val="18"/>
              </w:rPr>
              <w:t>$'000</w:t>
            </w:r>
          </w:p>
        </w:tc>
        <w:tc>
          <w:tcPr>
            <w:tcW w:w="1556" w:type="dxa"/>
            <w:tcBorders>
              <w:top w:val="nil"/>
              <w:left w:val="nil"/>
              <w:bottom w:val="single" w:sz="4" w:space="0" w:color="auto"/>
              <w:right w:val="nil"/>
            </w:tcBorders>
            <w:shd w:val="clear" w:color="FFFFFF" w:fill="FFFFFF"/>
            <w:vAlign w:val="bottom"/>
            <w:hideMark/>
          </w:tcPr>
          <w:p w:rsidR="008835EB" w:rsidRDefault="008835EB" w:rsidP="007E3F2E">
            <w:pPr>
              <w:spacing w:line="240" w:lineRule="auto"/>
              <w:jc w:val="right"/>
              <w:rPr>
                <w:rFonts w:cs="Calibri"/>
                <w:szCs w:val="18"/>
              </w:rPr>
            </w:pPr>
            <w:r>
              <w:rPr>
                <w:rFonts w:cs="Calibri"/>
                <w:szCs w:val="18"/>
              </w:rPr>
              <w:t>$'000</w:t>
            </w:r>
          </w:p>
        </w:tc>
        <w:tc>
          <w:tcPr>
            <w:tcW w:w="1526" w:type="dxa"/>
            <w:tcBorders>
              <w:top w:val="nil"/>
              <w:left w:val="nil"/>
              <w:bottom w:val="single" w:sz="4" w:space="0" w:color="auto"/>
              <w:right w:val="nil"/>
            </w:tcBorders>
            <w:shd w:val="clear" w:color="FFFFFF" w:fill="FFFFFF"/>
            <w:vAlign w:val="bottom"/>
            <w:hideMark/>
          </w:tcPr>
          <w:p w:rsidR="008835EB" w:rsidRDefault="008835EB" w:rsidP="007E3F2E">
            <w:pPr>
              <w:spacing w:line="240" w:lineRule="auto"/>
              <w:jc w:val="right"/>
              <w:rPr>
                <w:rFonts w:cs="Calibri"/>
                <w:szCs w:val="18"/>
              </w:rPr>
            </w:pPr>
            <w:r>
              <w:rPr>
                <w:rFonts w:cs="Calibri"/>
                <w:szCs w:val="18"/>
              </w:rPr>
              <w:t>$'000</w:t>
            </w:r>
          </w:p>
        </w:tc>
        <w:tc>
          <w:tcPr>
            <w:tcW w:w="1526" w:type="dxa"/>
            <w:tcBorders>
              <w:top w:val="nil"/>
              <w:left w:val="nil"/>
              <w:bottom w:val="single" w:sz="4" w:space="0" w:color="auto"/>
              <w:right w:val="nil"/>
            </w:tcBorders>
            <w:shd w:val="clear" w:color="FFFFFF" w:fill="FFFFFF"/>
            <w:vAlign w:val="bottom"/>
            <w:hideMark/>
          </w:tcPr>
          <w:p w:rsidR="008835EB" w:rsidRDefault="008835EB" w:rsidP="007E3F2E">
            <w:pPr>
              <w:spacing w:line="240" w:lineRule="auto"/>
              <w:jc w:val="right"/>
              <w:rPr>
                <w:rFonts w:cs="Calibri"/>
                <w:szCs w:val="18"/>
              </w:rPr>
            </w:pPr>
            <w:r>
              <w:rPr>
                <w:rFonts w:cs="Calibri"/>
                <w:szCs w:val="18"/>
              </w:rPr>
              <w:t>$'000</w:t>
            </w:r>
          </w:p>
        </w:tc>
      </w:tr>
      <w:tr w:rsidR="008835EB" w:rsidTr="007E3F2E">
        <w:trPr>
          <w:trHeight w:val="255"/>
        </w:trPr>
        <w:tc>
          <w:tcPr>
            <w:tcW w:w="597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b/>
                <w:bCs/>
                <w:szCs w:val="18"/>
              </w:rPr>
            </w:pPr>
            <w:r>
              <w:rPr>
                <w:rFonts w:cs="Calibri"/>
                <w:b/>
                <w:bCs/>
                <w:szCs w:val="18"/>
              </w:rPr>
              <w:t>As at 30 June 2014</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b/>
                <w:bCs/>
                <w:szCs w:val="18"/>
              </w:rPr>
            </w:pPr>
            <w:r>
              <w:rPr>
                <w:rFonts w:ascii="Arial" w:hAnsi="Arial" w:cs="Arial"/>
                <w:b/>
                <w:bCs/>
                <w:szCs w:val="18"/>
              </w:rPr>
              <w:t> </w:t>
            </w:r>
          </w:p>
        </w:tc>
        <w:tc>
          <w:tcPr>
            <w:tcW w:w="149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b/>
                <w:bCs/>
                <w:szCs w:val="18"/>
              </w:rPr>
            </w:pPr>
            <w:r>
              <w:rPr>
                <w:rFonts w:ascii="Arial" w:hAnsi="Arial" w:cs="Arial"/>
                <w:b/>
                <w:bCs/>
                <w:szCs w:val="18"/>
              </w:rPr>
              <w:t> </w:t>
            </w:r>
          </w:p>
        </w:tc>
        <w:tc>
          <w:tcPr>
            <w:tcW w:w="155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b/>
                <w:bCs/>
                <w:szCs w:val="18"/>
              </w:rPr>
            </w:pPr>
            <w:r>
              <w:rPr>
                <w:rFonts w:ascii="Arial" w:hAnsi="Arial" w:cs="Arial"/>
                <w:b/>
                <w:bCs/>
                <w:szCs w:val="18"/>
              </w:rPr>
              <w:t>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b/>
                <w:bCs/>
                <w:szCs w:val="18"/>
              </w:rPr>
            </w:pPr>
            <w:r>
              <w:rPr>
                <w:rFonts w:ascii="Arial" w:hAnsi="Arial" w:cs="Arial"/>
                <w:b/>
                <w:bCs/>
                <w:szCs w:val="18"/>
              </w:rPr>
              <w:t>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b/>
                <w:bCs/>
                <w:szCs w:val="18"/>
              </w:rPr>
            </w:pPr>
            <w:r>
              <w:rPr>
                <w:rFonts w:ascii="Arial" w:hAnsi="Arial" w:cs="Arial"/>
                <w:b/>
                <w:bCs/>
                <w:szCs w:val="18"/>
              </w:rPr>
              <w:t> </w:t>
            </w:r>
          </w:p>
        </w:tc>
      </w:tr>
      <w:tr w:rsidR="008835EB" w:rsidTr="007E3F2E">
        <w:trPr>
          <w:trHeight w:val="255"/>
        </w:trPr>
        <w:tc>
          <w:tcPr>
            <w:tcW w:w="597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Gross book value</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21,599 </w:t>
            </w:r>
          </w:p>
        </w:tc>
        <w:tc>
          <w:tcPr>
            <w:tcW w:w="149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21,582 </w:t>
            </w:r>
          </w:p>
        </w:tc>
        <w:tc>
          <w:tcPr>
            <w:tcW w:w="155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86,190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706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130,077</w:t>
            </w:r>
          </w:p>
        </w:tc>
      </w:tr>
      <w:tr w:rsidR="008835EB" w:rsidTr="007E3F2E">
        <w:trPr>
          <w:trHeight w:val="255"/>
        </w:trPr>
        <w:tc>
          <w:tcPr>
            <w:tcW w:w="597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Opening adjustment—gross book value</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 -</w:t>
            </w:r>
          </w:p>
        </w:tc>
        <w:tc>
          <w:tcPr>
            <w:tcW w:w="149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80 </w:t>
            </w:r>
          </w:p>
        </w:tc>
        <w:tc>
          <w:tcPr>
            <w:tcW w:w="155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(5)</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75</w:t>
            </w:r>
          </w:p>
        </w:tc>
      </w:tr>
      <w:tr w:rsidR="008835EB" w:rsidTr="007E3F2E">
        <w:trPr>
          <w:trHeight w:val="255"/>
        </w:trPr>
        <w:tc>
          <w:tcPr>
            <w:tcW w:w="597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Accumulated depreciation and impairment</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(582)</w:t>
            </w:r>
          </w:p>
        </w:tc>
        <w:tc>
          <w:tcPr>
            <w:tcW w:w="149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(8,480)</w:t>
            </w:r>
          </w:p>
        </w:tc>
        <w:tc>
          <w:tcPr>
            <w:tcW w:w="155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(46,744)</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(141)</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(55,947)</w:t>
            </w:r>
          </w:p>
        </w:tc>
      </w:tr>
      <w:tr w:rsidR="008835EB" w:rsidTr="007E3F2E">
        <w:trPr>
          <w:trHeight w:val="255"/>
        </w:trPr>
        <w:tc>
          <w:tcPr>
            <w:tcW w:w="597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Opening Adjustment—accumulated depreciation and impairment</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155 </w:t>
            </w:r>
          </w:p>
        </w:tc>
        <w:tc>
          <w:tcPr>
            <w:tcW w:w="149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(80)</w:t>
            </w:r>
          </w:p>
        </w:tc>
        <w:tc>
          <w:tcPr>
            <w:tcW w:w="155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5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80</w:t>
            </w:r>
          </w:p>
        </w:tc>
      </w:tr>
      <w:tr w:rsidR="008835EB" w:rsidTr="007E3F2E">
        <w:trPr>
          <w:trHeight w:val="255"/>
        </w:trPr>
        <w:tc>
          <w:tcPr>
            <w:tcW w:w="5976" w:type="dxa"/>
            <w:tcBorders>
              <w:top w:val="single" w:sz="4" w:space="0" w:color="auto"/>
              <w:left w:val="nil"/>
              <w:bottom w:val="single" w:sz="4" w:space="0" w:color="auto"/>
              <w:right w:val="nil"/>
            </w:tcBorders>
            <w:shd w:val="clear" w:color="FFFFFF" w:fill="FFFFFF"/>
            <w:vAlign w:val="bottom"/>
            <w:hideMark/>
          </w:tcPr>
          <w:p w:rsidR="008835EB" w:rsidRDefault="008835EB" w:rsidP="007E3F2E">
            <w:pPr>
              <w:spacing w:line="240" w:lineRule="auto"/>
              <w:rPr>
                <w:rFonts w:cs="Calibri"/>
                <w:b/>
                <w:bCs/>
                <w:szCs w:val="18"/>
              </w:rPr>
            </w:pPr>
            <w:r>
              <w:rPr>
                <w:rFonts w:cs="Calibri"/>
                <w:b/>
                <w:bCs/>
                <w:szCs w:val="18"/>
              </w:rPr>
              <w:t>Net book value 30 June 2014</w:t>
            </w:r>
          </w:p>
        </w:tc>
        <w:tc>
          <w:tcPr>
            <w:tcW w:w="152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21,172</w:t>
            </w:r>
          </w:p>
        </w:tc>
        <w:tc>
          <w:tcPr>
            <w:tcW w:w="149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13,102</w:t>
            </w:r>
          </w:p>
        </w:tc>
        <w:tc>
          <w:tcPr>
            <w:tcW w:w="155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39,446</w:t>
            </w:r>
          </w:p>
        </w:tc>
        <w:tc>
          <w:tcPr>
            <w:tcW w:w="152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565</w:t>
            </w:r>
          </w:p>
        </w:tc>
        <w:tc>
          <w:tcPr>
            <w:tcW w:w="152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74,285</w:t>
            </w:r>
          </w:p>
        </w:tc>
      </w:tr>
      <w:tr w:rsidR="008835EB" w:rsidTr="007E3F2E">
        <w:trPr>
          <w:trHeight w:val="255"/>
        </w:trPr>
        <w:tc>
          <w:tcPr>
            <w:tcW w:w="597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Additions</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w:t>
            </w:r>
          </w:p>
        </w:tc>
        <w:tc>
          <w:tcPr>
            <w:tcW w:w="149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w:t>
            </w:r>
          </w:p>
        </w:tc>
        <w:tc>
          <w:tcPr>
            <w:tcW w:w="155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w:t>
            </w:r>
          </w:p>
        </w:tc>
      </w:tr>
      <w:tr w:rsidR="008835EB" w:rsidTr="007E3F2E">
        <w:trPr>
          <w:trHeight w:val="255"/>
        </w:trPr>
        <w:tc>
          <w:tcPr>
            <w:tcW w:w="5976" w:type="dxa"/>
            <w:tcBorders>
              <w:top w:val="nil"/>
              <w:left w:val="nil"/>
              <w:bottom w:val="nil"/>
              <w:right w:val="nil"/>
            </w:tcBorders>
            <w:shd w:val="clear" w:color="FFFFFF" w:fill="FFFFFF"/>
            <w:vAlign w:val="bottom"/>
            <w:hideMark/>
          </w:tcPr>
          <w:p w:rsidR="008835EB" w:rsidRDefault="008835EB" w:rsidP="008835EB">
            <w:pPr>
              <w:spacing w:line="240" w:lineRule="auto"/>
              <w:ind w:firstLineChars="100" w:firstLine="180"/>
              <w:rPr>
                <w:rFonts w:cs="Calibri"/>
                <w:szCs w:val="18"/>
              </w:rPr>
            </w:pPr>
            <w:r>
              <w:rPr>
                <w:rFonts w:cs="Calibri"/>
                <w:szCs w:val="18"/>
              </w:rPr>
              <w:t>Purchase or internally developed</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7,533 </w:t>
            </w:r>
          </w:p>
        </w:tc>
        <w:tc>
          <w:tcPr>
            <w:tcW w:w="149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4,990 </w:t>
            </w:r>
          </w:p>
        </w:tc>
        <w:tc>
          <w:tcPr>
            <w:tcW w:w="155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41,169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53,692</w:t>
            </w:r>
          </w:p>
        </w:tc>
      </w:tr>
      <w:tr w:rsidR="008835EB" w:rsidTr="007E3F2E">
        <w:trPr>
          <w:trHeight w:val="255"/>
        </w:trPr>
        <w:tc>
          <w:tcPr>
            <w:tcW w:w="5976" w:type="dxa"/>
            <w:tcBorders>
              <w:top w:val="nil"/>
              <w:left w:val="nil"/>
              <w:bottom w:val="nil"/>
              <w:right w:val="nil"/>
            </w:tcBorders>
            <w:shd w:val="clear" w:color="FFFFFF" w:fill="FFFFFF"/>
            <w:noWrap/>
            <w:vAlign w:val="bottom"/>
            <w:hideMark/>
          </w:tcPr>
          <w:p w:rsidR="008835EB" w:rsidRDefault="008835EB" w:rsidP="008835EB">
            <w:pPr>
              <w:spacing w:line="240" w:lineRule="auto"/>
              <w:ind w:firstLineChars="100" w:firstLine="180"/>
              <w:rPr>
                <w:rFonts w:cs="Calibri"/>
                <w:szCs w:val="18"/>
              </w:rPr>
            </w:pPr>
            <w:r>
              <w:rPr>
                <w:rFonts w:cs="Calibri"/>
                <w:szCs w:val="18"/>
              </w:rPr>
              <w:t>First time recognition</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 -</w:t>
            </w:r>
          </w:p>
        </w:tc>
        <w:tc>
          <w:tcPr>
            <w:tcW w:w="149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152 </w:t>
            </w:r>
          </w:p>
        </w:tc>
        <w:tc>
          <w:tcPr>
            <w:tcW w:w="155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114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266</w:t>
            </w:r>
          </w:p>
        </w:tc>
      </w:tr>
      <w:tr w:rsidR="008835EB" w:rsidTr="007E3F2E">
        <w:trPr>
          <w:trHeight w:val="255"/>
        </w:trPr>
        <w:tc>
          <w:tcPr>
            <w:tcW w:w="597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Reclassification</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 -</w:t>
            </w:r>
          </w:p>
        </w:tc>
        <w:tc>
          <w:tcPr>
            <w:tcW w:w="149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 -</w:t>
            </w:r>
          </w:p>
        </w:tc>
        <w:tc>
          <w:tcPr>
            <w:tcW w:w="155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w:t>
            </w:r>
          </w:p>
        </w:tc>
      </w:tr>
      <w:tr w:rsidR="008835EB" w:rsidTr="007E3F2E">
        <w:trPr>
          <w:trHeight w:val="255"/>
        </w:trPr>
        <w:tc>
          <w:tcPr>
            <w:tcW w:w="597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Revaluations and impairments recognised in other comprehensive income</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 -</w:t>
            </w:r>
          </w:p>
        </w:tc>
        <w:tc>
          <w:tcPr>
            <w:tcW w:w="149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 -</w:t>
            </w:r>
          </w:p>
        </w:tc>
        <w:tc>
          <w:tcPr>
            <w:tcW w:w="155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w:t>
            </w:r>
          </w:p>
        </w:tc>
      </w:tr>
      <w:tr w:rsidR="008835EB" w:rsidTr="007E3F2E">
        <w:trPr>
          <w:trHeight w:val="255"/>
        </w:trPr>
        <w:tc>
          <w:tcPr>
            <w:tcW w:w="597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Impairments recognised in net cost of services</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(689)</w:t>
            </w:r>
          </w:p>
        </w:tc>
        <w:tc>
          <w:tcPr>
            <w:tcW w:w="149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 -</w:t>
            </w:r>
          </w:p>
        </w:tc>
        <w:tc>
          <w:tcPr>
            <w:tcW w:w="155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(689)</w:t>
            </w:r>
          </w:p>
        </w:tc>
      </w:tr>
      <w:tr w:rsidR="008835EB" w:rsidTr="007E3F2E">
        <w:trPr>
          <w:trHeight w:val="255"/>
        </w:trPr>
        <w:tc>
          <w:tcPr>
            <w:tcW w:w="597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Depreciation/amortisation expense</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(7,754)</w:t>
            </w:r>
          </w:p>
        </w:tc>
        <w:tc>
          <w:tcPr>
            <w:tcW w:w="149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(4,762)</w:t>
            </w:r>
          </w:p>
        </w:tc>
        <w:tc>
          <w:tcPr>
            <w:tcW w:w="155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(15,145)</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(214)</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(27,875)</w:t>
            </w:r>
          </w:p>
        </w:tc>
      </w:tr>
      <w:tr w:rsidR="008835EB" w:rsidTr="007E3F2E">
        <w:trPr>
          <w:trHeight w:val="255"/>
        </w:trPr>
        <w:tc>
          <w:tcPr>
            <w:tcW w:w="597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Disposals</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149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155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w:t>
            </w:r>
          </w:p>
        </w:tc>
      </w:tr>
      <w:tr w:rsidR="008835EB" w:rsidTr="007E3F2E">
        <w:trPr>
          <w:trHeight w:val="255"/>
        </w:trPr>
        <w:tc>
          <w:tcPr>
            <w:tcW w:w="5976" w:type="dxa"/>
            <w:tcBorders>
              <w:top w:val="nil"/>
              <w:left w:val="nil"/>
              <w:bottom w:val="nil"/>
              <w:right w:val="nil"/>
            </w:tcBorders>
            <w:shd w:val="clear" w:color="FFFFFF" w:fill="FFFFFF"/>
            <w:noWrap/>
            <w:vAlign w:val="bottom"/>
            <w:hideMark/>
          </w:tcPr>
          <w:p w:rsidR="008835EB" w:rsidRDefault="008835EB" w:rsidP="008835EB">
            <w:pPr>
              <w:spacing w:line="240" w:lineRule="auto"/>
              <w:ind w:firstLineChars="100" w:firstLine="180"/>
              <w:rPr>
                <w:rFonts w:cs="Calibri"/>
                <w:szCs w:val="18"/>
              </w:rPr>
            </w:pPr>
            <w:r>
              <w:rPr>
                <w:rFonts w:cs="Calibri"/>
                <w:szCs w:val="18"/>
              </w:rPr>
              <w:t>From disposal of entities or operations (including restructuring)</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 -</w:t>
            </w:r>
          </w:p>
        </w:tc>
        <w:tc>
          <w:tcPr>
            <w:tcW w:w="149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 -</w:t>
            </w:r>
          </w:p>
        </w:tc>
        <w:tc>
          <w:tcPr>
            <w:tcW w:w="155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w:t>
            </w:r>
          </w:p>
        </w:tc>
      </w:tr>
      <w:tr w:rsidR="008835EB" w:rsidTr="007E3F2E">
        <w:trPr>
          <w:trHeight w:val="255"/>
        </w:trPr>
        <w:tc>
          <w:tcPr>
            <w:tcW w:w="5976" w:type="dxa"/>
            <w:tcBorders>
              <w:top w:val="nil"/>
              <w:left w:val="nil"/>
              <w:bottom w:val="nil"/>
              <w:right w:val="nil"/>
            </w:tcBorders>
            <w:shd w:val="clear" w:color="FFFFFF" w:fill="FFFFFF"/>
            <w:noWrap/>
            <w:vAlign w:val="bottom"/>
            <w:hideMark/>
          </w:tcPr>
          <w:p w:rsidR="008835EB" w:rsidRDefault="008835EB" w:rsidP="008835EB">
            <w:pPr>
              <w:spacing w:line="240" w:lineRule="auto"/>
              <w:ind w:firstLineChars="100" w:firstLine="180"/>
              <w:rPr>
                <w:rFonts w:cs="Calibri"/>
                <w:szCs w:val="18"/>
              </w:rPr>
            </w:pPr>
            <w:r>
              <w:rPr>
                <w:rFonts w:cs="Calibri"/>
                <w:szCs w:val="18"/>
              </w:rPr>
              <w:t>Other</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 -</w:t>
            </w:r>
          </w:p>
        </w:tc>
        <w:tc>
          <w:tcPr>
            <w:tcW w:w="149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(162)</w:t>
            </w:r>
          </w:p>
        </w:tc>
        <w:tc>
          <w:tcPr>
            <w:tcW w:w="155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(116)</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(278)</w:t>
            </w:r>
          </w:p>
        </w:tc>
      </w:tr>
      <w:tr w:rsidR="008835EB" w:rsidTr="007E3F2E">
        <w:trPr>
          <w:trHeight w:val="255"/>
        </w:trPr>
        <w:tc>
          <w:tcPr>
            <w:tcW w:w="5976" w:type="dxa"/>
            <w:tcBorders>
              <w:top w:val="nil"/>
              <w:left w:val="nil"/>
              <w:bottom w:val="nil"/>
              <w:right w:val="nil"/>
            </w:tcBorders>
            <w:shd w:val="clear" w:color="FFFFFF" w:fill="FFFFFF"/>
            <w:noWrap/>
            <w:vAlign w:val="bottom"/>
            <w:hideMark/>
          </w:tcPr>
          <w:p w:rsidR="008835EB" w:rsidRDefault="008835EB" w:rsidP="008835EB">
            <w:pPr>
              <w:spacing w:line="240" w:lineRule="auto"/>
              <w:ind w:firstLineChars="100" w:firstLine="180"/>
              <w:rPr>
                <w:rFonts w:cs="Calibri"/>
                <w:szCs w:val="18"/>
              </w:rPr>
            </w:pPr>
            <w:r>
              <w:rPr>
                <w:rFonts w:cs="Calibri"/>
                <w:szCs w:val="18"/>
              </w:rPr>
              <w:t>Write-offs</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(2)</w:t>
            </w:r>
          </w:p>
        </w:tc>
        <w:tc>
          <w:tcPr>
            <w:tcW w:w="149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(81)</w:t>
            </w:r>
          </w:p>
        </w:tc>
        <w:tc>
          <w:tcPr>
            <w:tcW w:w="155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(58)</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(141)</w:t>
            </w:r>
          </w:p>
        </w:tc>
      </w:tr>
      <w:tr w:rsidR="008835EB" w:rsidTr="007E3F2E">
        <w:trPr>
          <w:trHeight w:val="255"/>
        </w:trPr>
        <w:tc>
          <w:tcPr>
            <w:tcW w:w="5976" w:type="dxa"/>
            <w:tcBorders>
              <w:top w:val="single" w:sz="4" w:space="0" w:color="auto"/>
              <w:left w:val="nil"/>
              <w:bottom w:val="double" w:sz="6" w:space="0" w:color="auto"/>
              <w:right w:val="nil"/>
            </w:tcBorders>
            <w:shd w:val="clear" w:color="FFFFFF" w:fill="FFFFFF"/>
            <w:vAlign w:val="bottom"/>
            <w:hideMark/>
          </w:tcPr>
          <w:p w:rsidR="008835EB" w:rsidRDefault="008835EB" w:rsidP="007E3F2E">
            <w:pPr>
              <w:spacing w:line="240" w:lineRule="auto"/>
              <w:rPr>
                <w:rFonts w:cs="Calibri"/>
                <w:b/>
                <w:bCs/>
                <w:szCs w:val="18"/>
              </w:rPr>
            </w:pPr>
            <w:r>
              <w:rPr>
                <w:rFonts w:cs="Calibri"/>
                <w:b/>
                <w:bCs/>
                <w:szCs w:val="18"/>
              </w:rPr>
              <w:t>Total as at 30 June 2015</w:t>
            </w:r>
          </w:p>
        </w:tc>
        <w:tc>
          <w:tcPr>
            <w:tcW w:w="152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20,260</w:t>
            </w:r>
          </w:p>
        </w:tc>
        <w:tc>
          <w:tcPr>
            <w:tcW w:w="149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13,239</w:t>
            </w:r>
          </w:p>
        </w:tc>
        <w:tc>
          <w:tcPr>
            <w:tcW w:w="155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65,410</w:t>
            </w:r>
          </w:p>
        </w:tc>
        <w:tc>
          <w:tcPr>
            <w:tcW w:w="152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351</w:t>
            </w:r>
          </w:p>
        </w:tc>
        <w:tc>
          <w:tcPr>
            <w:tcW w:w="152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99,260</w:t>
            </w:r>
          </w:p>
        </w:tc>
      </w:tr>
      <w:tr w:rsidR="008835EB" w:rsidTr="007E3F2E">
        <w:trPr>
          <w:trHeight w:val="255"/>
        </w:trPr>
        <w:tc>
          <w:tcPr>
            <w:tcW w:w="597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b/>
                <w:bCs/>
                <w:szCs w:val="18"/>
              </w:rPr>
            </w:pPr>
            <w:r>
              <w:rPr>
                <w:rFonts w:cs="Calibri"/>
                <w:b/>
                <w:bCs/>
                <w:szCs w:val="18"/>
              </w:rPr>
              <w:t>Total as at 30 June 2015 represented by:</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149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155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r>
      <w:tr w:rsidR="008835EB" w:rsidTr="007E3F2E">
        <w:trPr>
          <w:trHeight w:val="255"/>
        </w:trPr>
        <w:tc>
          <w:tcPr>
            <w:tcW w:w="597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Gross book value</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149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155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r>
      <w:tr w:rsidR="008835EB" w:rsidTr="007E3F2E">
        <w:trPr>
          <w:trHeight w:val="255"/>
        </w:trPr>
        <w:tc>
          <w:tcPr>
            <w:tcW w:w="5976" w:type="dxa"/>
            <w:tcBorders>
              <w:top w:val="nil"/>
              <w:left w:val="nil"/>
              <w:bottom w:val="nil"/>
              <w:right w:val="nil"/>
            </w:tcBorders>
            <w:shd w:val="clear" w:color="FFFFFF" w:fill="FFFFFF"/>
            <w:vAlign w:val="bottom"/>
            <w:hideMark/>
          </w:tcPr>
          <w:p w:rsidR="008835EB" w:rsidRDefault="008835EB" w:rsidP="008835EB">
            <w:pPr>
              <w:spacing w:line="240" w:lineRule="auto"/>
              <w:ind w:firstLineChars="100" w:firstLine="180"/>
              <w:rPr>
                <w:rFonts w:cs="Calibri"/>
                <w:szCs w:val="18"/>
              </w:rPr>
            </w:pPr>
            <w:r>
              <w:rPr>
                <w:rFonts w:cs="Calibri"/>
                <w:szCs w:val="18"/>
              </w:rPr>
              <w:t>Fair Value</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27,545 </w:t>
            </w:r>
          </w:p>
        </w:tc>
        <w:tc>
          <w:tcPr>
            <w:tcW w:w="149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23,697 </w:t>
            </w:r>
          </w:p>
        </w:tc>
        <w:tc>
          <w:tcPr>
            <w:tcW w:w="155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78,492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701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130,435</w:t>
            </w:r>
          </w:p>
        </w:tc>
      </w:tr>
      <w:tr w:rsidR="008835EB" w:rsidTr="007E3F2E">
        <w:trPr>
          <w:trHeight w:val="255"/>
        </w:trPr>
        <w:tc>
          <w:tcPr>
            <w:tcW w:w="5976" w:type="dxa"/>
            <w:tcBorders>
              <w:top w:val="nil"/>
              <w:left w:val="nil"/>
              <w:bottom w:val="nil"/>
              <w:right w:val="nil"/>
            </w:tcBorders>
            <w:shd w:val="clear" w:color="FFFFFF" w:fill="FFFFFF"/>
            <w:vAlign w:val="bottom"/>
            <w:hideMark/>
          </w:tcPr>
          <w:p w:rsidR="008835EB" w:rsidRDefault="008835EB" w:rsidP="008835EB">
            <w:pPr>
              <w:spacing w:line="240" w:lineRule="auto"/>
              <w:ind w:firstLineChars="100" w:firstLine="180"/>
              <w:rPr>
                <w:rFonts w:cs="Calibri"/>
                <w:szCs w:val="18"/>
              </w:rPr>
            </w:pPr>
            <w:r>
              <w:rPr>
                <w:rFonts w:cs="Calibri"/>
                <w:szCs w:val="18"/>
              </w:rPr>
              <w:t>Work in progress</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1,037 </w:t>
            </w:r>
          </w:p>
        </w:tc>
        <w:tc>
          <w:tcPr>
            <w:tcW w:w="149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 -</w:t>
            </w:r>
          </w:p>
        </w:tc>
        <w:tc>
          <w:tcPr>
            <w:tcW w:w="155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929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1,966</w:t>
            </w:r>
          </w:p>
        </w:tc>
      </w:tr>
      <w:tr w:rsidR="008835EB" w:rsidTr="007E3F2E">
        <w:trPr>
          <w:trHeight w:val="255"/>
        </w:trPr>
        <w:tc>
          <w:tcPr>
            <w:tcW w:w="597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Accumulated amortisation</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 -</w:t>
            </w:r>
          </w:p>
        </w:tc>
        <w:tc>
          <w:tcPr>
            <w:tcW w:w="149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 -</w:t>
            </w:r>
          </w:p>
        </w:tc>
        <w:tc>
          <w:tcPr>
            <w:tcW w:w="155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(13,143)</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(319)</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(13,462)</w:t>
            </w:r>
          </w:p>
        </w:tc>
      </w:tr>
      <w:tr w:rsidR="008835EB" w:rsidTr="007E3F2E">
        <w:trPr>
          <w:trHeight w:val="255"/>
        </w:trPr>
        <w:tc>
          <w:tcPr>
            <w:tcW w:w="597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Accumulated depreciation</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(7,432)</w:t>
            </w:r>
          </w:p>
        </w:tc>
        <w:tc>
          <w:tcPr>
            <w:tcW w:w="149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(9,239)</w:t>
            </w:r>
          </w:p>
        </w:tc>
        <w:tc>
          <w:tcPr>
            <w:tcW w:w="155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 -</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(16,671)</w:t>
            </w:r>
          </w:p>
        </w:tc>
      </w:tr>
      <w:tr w:rsidR="008835EB" w:rsidTr="007E3F2E">
        <w:trPr>
          <w:trHeight w:val="255"/>
        </w:trPr>
        <w:tc>
          <w:tcPr>
            <w:tcW w:w="5976"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Accumulated impairment</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(890)</w:t>
            </w:r>
          </w:p>
        </w:tc>
        <w:tc>
          <w:tcPr>
            <w:tcW w:w="149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(1,219)</w:t>
            </w:r>
          </w:p>
        </w:tc>
        <w:tc>
          <w:tcPr>
            <w:tcW w:w="155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(868)</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(31)</w:t>
            </w:r>
          </w:p>
        </w:tc>
        <w:tc>
          <w:tcPr>
            <w:tcW w:w="152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(3,008)</w:t>
            </w:r>
          </w:p>
        </w:tc>
      </w:tr>
      <w:tr w:rsidR="008835EB" w:rsidTr="007E3F2E">
        <w:trPr>
          <w:trHeight w:val="255"/>
        </w:trPr>
        <w:tc>
          <w:tcPr>
            <w:tcW w:w="5976" w:type="dxa"/>
            <w:tcBorders>
              <w:top w:val="single" w:sz="4" w:space="0" w:color="auto"/>
              <w:left w:val="nil"/>
              <w:bottom w:val="double" w:sz="6" w:space="0" w:color="auto"/>
              <w:right w:val="nil"/>
            </w:tcBorders>
            <w:shd w:val="clear" w:color="FFFFFF" w:fill="FFFFFF"/>
            <w:vAlign w:val="bottom"/>
            <w:hideMark/>
          </w:tcPr>
          <w:p w:rsidR="008835EB" w:rsidRDefault="008835EB" w:rsidP="007E3F2E">
            <w:pPr>
              <w:spacing w:line="240" w:lineRule="auto"/>
              <w:rPr>
                <w:rFonts w:cs="Calibri"/>
                <w:b/>
                <w:bCs/>
                <w:szCs w:val="18"/>
              </w:rPr>
            </w:pPr>
            <w:r>
              <w:rPr>
                <w:rFonts w:cs="Calibri"/>
                <w:b/>
                <w:bCs/>
                <w:szCs w:val="18"/>
              </w:rPr>
              <w:t>Total as at 30 June 2015</w:t>
            </w:r>
          </w:p>
        </w:tc>
        <w:tc>
          <w:tcPr>
            <w:tcW w:w="152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20,260</w:t>
            </w:r>
          </w:p>
        </w:tc>
        <w:tc>
          <w:tcPr>
            <w:tcW w:w="149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13,239</w:t>
            </w:r>
          </w:p>
        </w:tc>
        <w:tc>
          <w:tcPr>
            <w:tcW w:w="155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65,410</w:t>
            </w:r>
          </w:p>
        </w:tc>
        <w:tc>
          <w:tcPr>
            <w:tcW w:w="152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351</w:t>
            </w:r>
          </w:p>
        </w:tc>
        <w:tc>
          <w:tcPr>
            <w:tcW w:w="152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99,260</w:t>
            </w:r>
          </w:p>
        </w:tc>
      </w:tr>
    </w:tbl>
    <w:p w:rsidR="008835EB" w:rsidRDefault="008835EB" w:rsidP="008835EB">
      <w:pPr>
        <w:spacing w:line="240" w:lineRule="auto"/>
        <w:rPr>
          <w:rFonts w:asciiTheme="minorHAnsi" w:hAnsiTheme="minorHAnsi" w:cstheme="minorHAnsi"/>
          <w:sz w:val="16"/>
          <w:szCs w:val="16"/>
          <w:vertAlign w:val="superscript"/>
        </w:rPr>
      </w:pPr>
      <w:bookmarkStart w:id="249" w:name="RANGE!E67:J99"/>
      <w:bookmarkStart w:id="250" w:name="RANGE!E66:J98"/>
      <w:bookmarkStart w:id="251" w:name="RANGE!E75:J107"/>
      <w:bookmarkStart w:id="252" w:name="RANGE!E75:J105"/>
      <w:bookmarkStart w:id="253" w:name="RANGE!E73:J103"/>
      <w:bookmarkStart w:id="254" w:name="RANGE!E76:J109"/>
      <w:bookmarkStart w:id="255" w:name="RANGE!E77:J111"/>
      <w:bookmarkStart w:id="256" w:name="RANGE!E77:L111"/>
      <w:bookmarkStart w:id="257" w:name="RANGE!E75:L109"/>
      <w:bookmarkStart w:id="258" w:name="RANGE!E71:L105"/>
      <w:bookmarkStart w:id="259" w:name="RANGE!E73:L109"/>
      <w:bookmarkStart w:id="260" w:name="RANGE!E65:L91"/>
      <w:bookmarkStart w:id="261" w:name="RANGE!E63:K89"/>
      <w:bookmarkEnd w:id="249"/>
      <w:bookmarkEnd w:id="250"/>
      <w:bookmarkEnd w:id="251"/>
      <w:bookmarkEnd w:id="252"/>
      <w:bookmarkEnd w:id="253"/>
      <w:bookmarkEnd w:id="254"/>
      <w:bookmarkEnd w:id="255"/>
      <w:bookmarkEnd w:id="256"/>
      <w:bookmarkEnd w:id="257"/>
      <w:bookmarkEnd w:id="258"/>
      <w:bookmarkEnd w:id="259"/>
      <w:bookmarkEnd w:id="260"/>
      <w:bookmarkEnd w:id="261"/>
    </w:p>
    <w:p w:rsidR="008835EB" w:rsidRDefault="008835EB" w:rsidP="008835EB">
      <w:pPr>
        <w:spacing w:line="240" w:lineRule="auto"/>
        <w:rPr>
          <w:rFonts w:asciiTheme="minorHAnsi" w:hAnsiTheme="minorHAnsi" w:cstheme="minorHAnsi"/>
          <w:szCs w:val="18"/>
        </w:rPr>
        <w:sectPr w:rsidR="008835EB" w:rsidSect="00F74C23">
          <w:pgSz w:w="16838" w:h="11906" w:orient="landscape"/>
          <w:pgMar w:top="1134" w:right="1134" w:bottom="1134" w:left="1134" w:header="958" w:footer="737" w:gutter="0"/>
          <w:cols w:space="720"/>
          <w:docGrid w:linePitch="245"/>
        </w:sectPr>
      </w:pPr>
    </w:p>
    <w:p w:rsidR="008835EB" w:rsidRPr="00BD2972" w:rsidRDefault="008835EB" w:rsidP="008835EB">
      <w:pPr>
        <w:pStyle w:val="ReportText"/>
      </w:pPr>
      <w:r>
        <w:lastRenderedPageBreak/>
        <w:t>During 2016, $0.144 million of internally developed software was impaired</w:t>
      </w:r>
      <w:r w:rsidRPr="00BD2972">
        <w:t xml:space="preserve"> (</w:t>
      </w:r>
      <w:r w:rsidR="00FA455C">
        <w:t>2015</w:t>
      </w:r>
      <w:r>
        <w:t>: nil). There were no write offs of internally developed software (</w:t>
      </w:r>
      <w:r w:rsidR="00FA455C">
        <w:t>2015</w:t>
      </w:r>
      <w:r w:rsidRPr="00BD2972">
        <w:t>:</w:t>
      </w:r>
      <w:r>
        <w:t xml:space="preserve"> </w:t>
      </w:r>
      <w:r w:rsidRPr="00BD2972">
        <w:t>$0.</w:t>
      </w:r>
      <w:r>
        <w:t>0</w:t>
      </w:r>
      <w:r w:rsidRPr="00BD2972">
        <w:t>58 million</w:t>
      </w:r>
      <w:r>
        <w:t xml:space="preserve">). </w:t>
      </w:r>
      <w:r w:rsidRPr="00BD2972">
        <w:t xml:space="preserve">There were no write offs of purchased software during </w:t>
      </w:r>
      <w:r w:rsidR="00FA455C">
        <w:t>2016</w:t>
      </w:r>
      <w:r w:rsidRPr="00BD2972">
        <w:t xml:space="preserve"> (</w:t>
      </w:r>
      <w:r w:rsidR="00FA455C">
        <w:t>2015</w:t>
      </w:r>
      <w:r>
        <w:t>: nil</w:t>
      </w:r>
      <w:r w:rsidRPr="00BD2972">
        <w:t>).</w:t>
      </w:r>
      <w:bookmarkStart w:id="262" w:name="RANGE!E52:H74"/>
      <w:bookmarkStart w:id="263" w:name="RANGE!E50:H68"/>
      <w:bookmarkStart w:id="264" w:name="RANGE!E56:H74"/>
      <w:bookmarkStart w:id="265" w:name="RANGE!E55:H73"/>
      <w:bookmarkStart w:id="266" w:name="RANGE!E55:J79"/>
      <w:bookmarkStart w:id="267" w:name="RANGE!E56:J80"/>
      <w:bookmarkEnd w:id="262"/>
      <w:bookmarkEnd w:id="263"/>
      <w:bookmarkEnd w:id="264"/>
      <w:bookmarkEnd w:id="265"/>
      <w:bookmarkEnd w:id="266"/>
      <w:bookmarkEnd w:id="267"/>
    </w:p>
    <w:p w:rsidR="008835EB" w:rsidRPr="00BD2972" w:rsidRDefault="008835EB" w:rsidP="008835EB">
      <w:pPr>
        <w:pStyle w:val="ReportText"/>
      </w:pPr>
      <w:r w:rsidRPr="00BD2972">
        <w:t>There are</w:t>
      </w:r>
      <w:r w:rsidRPr="00410C77">
        <w:t xml:space="preserve"> </w:t>
      </w:r>
      <w:r>
        <w:t>3 leased properties that the D</w:t>
      </w:r>
      <w:r w:rsidRPr="00BD2972">
        <w:t>epartment manages which are due to be vacated within the next 12 months that have</w:t>
      </w:r>
      <w:r>
        <w:t xml:space="preserve"> leasehold improvement assets. </w:t>
      </w:r>
      <w:r w:rsidRPr="00BD2972">
        <w:t>The total net book value of the leasehold improvements, including restoration for these properties, was</w:t>
      </w:r>
      <w:r w:rsidRPr="00410C77">
        <w:t xml:space="preserve"> </w:t>
      </w:r>
      <w:r w:rsidRPr="00A35678">
        <w:t>$0.</w:t>
      </w:r>
      <w:r>
        <w:t>7</w:t>
      </w:r>
      <w:r w:rsidRPr="00A35678">
        <w:t>74</w:t>
      </w:r>
      <w:r w:rsidRPr="00BD2972">
        <w:t xml:space="preserve"> million as at 30 June </w:t>
      </w:r>
      <w:r w:rsidR="00FA455C">
        <w:t>2016</w:t>
      </w:r>
      <w:r w:rsidRPr="00BD2972">
        <w:t>.</w:t>
      </w:r>
    </w:p>
    <w:p w:rsidR="008835EB" w:rsidRPr="00BD2972" w:rsidRDefault="008835EB" w:rsidP="008835EB">
      <w:pPr>
        <w:pStyle w:val="ReportText"/>
      </w:pPr>
      <w:r>
        <w:t>No</w:t>
      </w:r>
      <w:r w:rsidRPr="00BD2972">
        <w:t xml:space="preserve"> impairment loss was recognised for surplus lease space (</w:t>
      </w:r>
      <w:r w:rsidR="00FA455C">
        <w:t>2015</w:t>
      </w:r>
      <w:r>
        <w:t>: $</w:t>
      </w:r>
      <w:proofErr w:type="spellStart"/>
      <w:r>
        <w:t>0.689</w:t>
      </w:r>
      <w:r w:rsidRPr="00BD2972">
        <w:t>m</w:t>
      </w:r>
      <w:proofErr w:type="spellEnd"/>
      <w:r w:rsidRPr="00BD2972">
        <w:t xml:space="preserve">, </w:t>
      </w:r>
      <w:r>
        <w:t>7</w:t>
      </w:r>
      <w:r w:rsidRPr="00BD2972">
        <w:t xml:space="preserve"> properties). </w:t>
      </w:r>
    </w:p>
    <w:p w:rsidR="008835EB" w:rsidRPr="00BD2972" w:rsidRDefault="008835EB" w:rsidP="008835EB">
      <w:pPr>
        <w:pStyle w:val="ReportText"/>
      </w:pPr>
      <w:bookmarkStart w:id="268" w:name="RANGE!D7:G13"/>
      <w:bookmarkStart w:id="269" w:name="RANGE!D7:G12"/>
      <w:bookmarkEnd w:id="268"/>
      <w:bookmarkEnd w:id="269"/>
      <w:r w:rsidRPr="00BD2972">
        <w:t xml:space="preserve">No material amounts of infrastructure, plant and equipment are expected to be sold or disposed of within the next 12 months. </w:t>
      </w:r>
    </w:p>
    <w:p w:rsidR="008835EB" w:rsidRPr="00BD2972" w:rsidRDefault="008835EB" w:rsidP="008835EB">
      <w:pPr>
        <w:pStyle w:val="ReportText"/>
        <w:rPr>
          <w:b/>
        </w:rPr>
      </w:pPr>
      <w:r w:rsidRPr="00BD2972">
        <w:rPr>
          <w:b/>
        </w:rPr>
        <w:t>Revaluations of non-financial assets</w:t>
      </w:r>
    </w:p>
    <w:p w:rsidR="008835EB" w:rsidRPr="00BD2972" w:rsidRDefault="008835EB" w:rsidP="008835EB">
      <w:pPr>
        <w:pStyle w:val="ReportText"/>
      </w:pPr>
      <w:r w:rsidRPr="00BD2972">
        <w:t>All revaluations were conducted in accordance with the revaluation policy</w:t>
      </w:r>
      <w:r>
        <w:t xml:space="preserve"> below</w:t>
      </w:r>
      <w:r w:rsidRPr="00BD2972">
        <w:t>.</w:t>
      </w:r>
    </w:p>
    <w:p w:rsidR="008835EB" w:rsidRPr="00BD2972" w:rsidRDefault="008835EB" w:rsidP="008835EB">
      <w:pPr>
        <w:pStyle w:val="ReportText"/>
      </w:pPr>
      <w:r w:rsidRPr="00BD2972">
        <w:t xml:space="preserve">Revaluation increments for leasehold improvements </w:t>
      </w:r>
      <w:r>
        <w:t xml:space="preserve">and other plant &amp; equipment </w:t>
      </w:r>
      <w:r w:rsidRPr="00BD2972">
        <w:t>credited to the asset revaluation reserve were included in the equity section of the Statement of Financial Position, no increments were expensed.</w:t>
      </w:r>
    </w:p>
    <w:p w:rsidR="008835EB" w:rsidRDefault="008835EB" w:rsidP="008835EB">
      <w:pPr>
        <w:pStyle w:val="PolicyheadingDept"/>
        <w:pBdr>
          <w:bottom w:val="none" w:sz="0" w:space="0" w:color="auto"/>
        </w:pBdr>
      </w:pPr>
      <w:r w:rsidRPr="00764FAD">
        <w:t>Accounting Policy</w:t>
      </w:r>
    </w:p>
    <w:p w:rsidR="008835EB" w:rsidRPr="00200687" w:rsidRDefault="008835EB" w:rsidP="008835EB">
      <w:pPr>
        <w:pStyle w:val="Policytextunderline"/>
        <w:pBdr>
          <w:top w:val="none" w:sz="0" w:space="0" w:color="auto"/>
          <w:bottom w:val="none" w:sz="0" w:space="0" w:color="auto"/>
        </w:pBdr>
      </w:pPr>
      <w:r w:rsidRPr="00200687">
        <w:t xml:space="preserve">Acquisition of Assets </w:t>
      </w:r>
    </w:p>
    <w:p w:rsidR="008835EB" w:rsidRPr="003418B1" w:rsidRDefault="008835EB" w:rsidP="008835EB">
      <w:pPr>
        <w:pStyle w:val="PolicytextDept"/>
        <w:pBdr>
          <w:top w:val="none" w:sz="0" w:space="0" w:color="auto"/>
          <w:bottom w:val="none" w:sz="0" w:space="0" w:color="auto"/>
        </w:pBdr>
      </w:pPr>
      <w:r w:rsidRPr="003418B1">
        <w:t>Assets are recorded at cost on acqui</w:t>
      </w:r>
      <w:r>
        <w:t xml:space="preserve">sition except as stated below. </w:t>
      </w:r>
      <w:r w:rsidRPr="003418B1">
        <w:t>The cost of acquisition includes the fair value of assets transferred in exchange and liabilities underta</w:t>
      </w:r>
      <w:r>
        <w:t xml:space="preserve">ken. </w:t>
      </w:r>
      <w:r w:rsidRPr="003418B1">
        <w:t>Financial assets are initially measured at their fair value plus transaction costs where appropriate.</w:t>
      </w:r>
    </w:p>
    <w:p w:rsidR="008835EB" w:rsidRPr="003418B1" w:rsidRDefault="008835EB" w:rsidP="008835EB">
      <w:pPr>
        <w:pStyle w:val="PolicytextDept"/>
        <w:pBdr>
          <w:top w:val="none" w:sz="0" w:space="0" w:color="auto"/>
          <w:bottom w:val="none" w:sz="0" w:space="0" w:color="auto"/>
        </w:pBdr>
      </w:pPr>
      <w:r w:rsidRPr="003418B1">
        <w:t>Assets acquired at no cost, or for nominal consideration, are initially recognised as assets and income at their fair value at the date of acquisition, unless acquired as a consequence of restructuring o</w:t>
      </w:r>
      <w:r>
        <w:t xml:space="preserve">f administrative arrangements. </w:t>
      </w:r>
      <w:r w:rsidRPr="003418B1">
        <w:t>In the latter case, assets are initially recognised as contributions by owners at the amounts at which they were recognised in the transferor’s accounts immediately prior to the restructuring.</w:t>
      </w:r>
    </w:p>
    <w:p w:rsidR="008835EB" w:rsidRPr="00764FAD" w:rsidRDefault="008835EB" w:rsidP="008835EB">
      <w:pPr>
        <w:pStyle w:val="Policytextunderline"/>
        <w:pBdr>
          <w:top w:val="none" w:sz="0" w:space="0" w:color="auto"/>
          <w:bottom w:val="none" w:sz="0" w:space="0" w:color="auto"/>
        </w:pBdr>
      </w:pPr>
      <w:r w:rsidRPr="00764FAD">
        <w:t>Asset Recognition Threshold</w:t>
      </w:r>
    </w:p>
    <w:p w:rsidR="008835EB" w:rsidRPr="00764FAD" w:rsidRDefault="008835EB" w:rsidP="008835EB">
      <w:pPr>
        <w:pStyle w:val="PolicytextDept"/>
        <w:pBdr>
          <w:top w:val="none" w:sz="0" w:space="0" w:color="auto"/>
          <w:bottom w:val="none" w:sz="0" w:space="0" w:color="auto"/>
        </w:pBdr>
        <w:rPr>
          <w:lang w:eastAsia="en-AU"/>
        </w:rPr>
      </w:pPr>
      <w:r w:rsidRPr="00764FAD">
        <w:rPr>
          <w:lang w:eastAsia="en-AU"/>
        </w:rPr>
        <w:t>Purchases of property, plant and equipment are recognised initially at cost in the Statement of Financial Position, except for purchases costing less than $2,000, (or $50,000 for leasehold improvements) which are expensed in the year of acquisition (other than where they form part of a group of similar items wh</w:t>
      </w:r>
      <w:r>
        <w:rPr>
          <w:lang w:eastAsia="en-AU"/>
        </w:rPr>
        <w:t xml:space="preserve">ich are significant in total). </w:t>
      </w:r>
    </w:p>
    <w:p w:rsidR="008835EB" w:rsidRPr="00764FAD" w:rsidRDefault="008835EB" w:rsidP="008835EB">
      <w:pPr>
        <w:pStyle w:val="PolicytextDept"/>
        <w:pBdr>
          <w:top w:val="none" w:sz="0" w:space="0" w:color="auto"/>
          <w:bottom w:val="none" w:sz="0" w:space="0" w:color="auto"/>
        </w:pBdr>
        <w:rPr>
          <w:lang w:eastAsia="en-AU"/>
        </w:rPr>
      </w:pPr>
      <w:r w:rsidRPr="00764FAD">
        <w:rPr>
          <w:lang w:eastAsia="en-AU"/>
        </w:rPr>
        <w:t>The initial cost of an asset includes an estimate of the cost of dismantling and removing the item and restoring th</w:t>
      </w:r>
      <w:r>
        <w:rPr>
          <w:lang w:eastAsia="en-AU"/>
        </w:rPr>
        <w:t xml:space="preserve">e site on which it is located. </w:t>
      </w:r>
      <w:r w:rsidRPr="00764FAD">
        <w:rPr>
          <w:lang w:eastAsia="en-AU"/>
        </w:rPr>
        <w:t>This is particularly relevant to the restoration provisions in p</w:t>
      </w:r>
      <w:r>
        <w:rPr>
          <w:lang w:eastAsia="en-AU"/>
        </w:rPr>
        <w:t>roperty leases taken up by the D</w:t>
      </w:r>
      <w:r w:rsidRPr="00764FAD">
        <w:rPr>
          <w:lang w:eastAsia="en-AU"/>
        </w:rPr>
        <w:t>epartment where there exists an obligation to restore the prope</w:t>
      </w:r>
      <w:r>
        <w:rPr>
          <w:lang w:eastAsia="en-AU"/>
        </w:rPr>
        <w:t xml:space="preserve">rty to its original condition. </w:t>
      </w:r>
      <w:r w:rsidRPr="00764FAD">
        <w:rPr>
          <w:lang w:eastAsia="en-AU"/>
        </w:rPr>
        <w:t>These costs are included in the value of the department's leasehold improvements with a corresponding provision for the ‘restoration’ recognised.</w:t>
      </w:r>
    </w:p>
    <w:p w:rsidR="008835EB" w:rsidRPr="00764FAD" w:rsidRDefault="008835EB" w:rsidP="008835EB">
      <w:pPr>
        <w:pStyle w:val="Policytextunderline"/>
        <w:pBdr>
          <w:top w:val="none" w:sz="0" w:space="0" w:color="auto"/>
          <w:bottom w:val="none" w:sz="0" w:space="0" w:color="auto"/>
        </w:pBdr>
      </w:pPr>
      <w:r w:rsidRPr="00764FAD">
        <w:t>Revaluations</w:t>
      </w:r>
    </w:p>
    <w:p w:rsidR="008835EB" w:rsidRDefault="008835EB" w:rsidP="008835EB">
      <w:pPr>
        <w:pStyle w:val="PolicytextDept"/>
        <w:pBdr>
          <w:top w:val="none" w:sz="0" w:space="0" w:color="auto"/>
          <w:bottom w:val="none" w:sz="0" w:space="0" w:color="auto"/>
        </w:pBdr>
        <w:spacing w:after="0"/>
      </w:pPr>
      <w:r w:rsidRPr="00764FAD">
        <w:rPr>
          <w:lang w:eastAsia="en-AU"/>
        </w:rPr>
        <w:t>Fair values for each class of asset are determined as shown below</w:t>
      </w:r>
      <w:r w:rsidRPr="00764FAD">
        <w:t>:</w:t>
      </w:r>
    </w:p>
    <w:p w:rsidR="008835EB" w:rsidRPr="00764FAD" w:rsidRDefault="008835EB" w:rsidP="008835EB">
      <w:pPr>
        <w:pStyle w:val="PolicytextDept"/>
        <w:pBdr>
          <w:top w:val="none" w:sz="0" w:space="0" w:color="auto"/>
          <w:bottom w:val="none" w:sz="0" w:space="0" w:color="auto"/>
        </w:pBdr>
        <w:spacing w:after="0"/>
      </w:pPr>
    </w:p>
    <w:tbl>
      <w:tblPr>
        <w:tblW w:w="9095" w:type="dxa"/>
        <w:tblInd w:w="85" w:type="dxa"/>
        <w:tblBorders>
          <w:top w:val="single" w:sz="4" w:space="0" w:color="000000" w:themeColor="text1"/>
          <w:left w:val="single" w:sz="4" w:space="0" w:color="009560"/>
          <w:bottom w:val="single" w:sz="4" w:space="0" w:color="000000" w:themeColor="text1"/>
          <w:right w:val="single" w:sz="4" w:space="0" w:color="009560"/>
          <w:insideH w:val="single" w:sz="4" w:space="0" w:color="000000" w:themeColor="text1"/>
          <w:insideV w:val="single" w:sz="4" w:space="0" w:color="000000" w:themeColor="text1"/>
        </w:tblBorders>
        <w:tblLook w:val="01E0" w:firstRow="1" w:lastRow="1" w:firstColumn="1" w:lastColumn="1" w:noHBand="0" w:noVBand="0"/>
      </w:tblPr>
      <w:tblGrid>
        <w:gridCol w:w="307"/>
        <w:gridCol w:w="4252"/>
        <w:gridCol w:w="4111"/>
        <w:gridCol w:w="425"/>
      </w:tblGrid>
      <w:tr w:rsidR="008835EB" w:rsidRPr="00764FAD" w:rsidTr="007E3F2E">
        <w:tc>
          <w:tcPr>
            <w:tcW w:w="307" w:type="dxa"/>
            <w:tcBorders>
              <w:top w:val="nil"/>
              <w:left w:val="single" w:sz="4" w:space="0" w:color="00746B"/>
              <w:bottom w:val="nil"/>
            </w:tcBorders>
          </w:tcPr>
          <w:p w:rsidR="008835EB" w:rsidRPr="00764FAD" w:rsidRDefault="008835EB" w:rsidP="007E3F2E">
            <w:pPr>
              <w:spacing w:after="120"/>
            </w:pPr>
          </w:p>
        </w:tc>
        <w:tc>
          <w:tcPr>
            <w:tcW w:w="4252" w:type="dxa"/>
          </w:tcPr>
          <w:p w:rsidR="008835EB" w:rsidRPr="00CC7A37" w:rsidRDefault="008835EB" w:rsidP="007E3F2E">
            <w:pPr>
              <w:spacing w:after="120"/>
              <w:rPr>
                <w:b/>
              </w:rPr>
            </w:pPr>
            <w:r w:rsidRPr="00CC7A37">
              <w:rPr>
                <w:b/>
              </w:rPr>
              <w:t>Asset Class</w:t>
            </w:r>
          </w:p>
        </w:tc>
        <w:tc>
          <w:tcPr>
            <w:tcW w:w="4111" w:type="dxa"/>
          </w:tcPr>
          <w:p w:rsidR="008835EB" w:rsidRPr="00CC7A37" w:rsidRDefault="008835EB" w:rsidP="007E3F2E">
            <w:pPr>
              <w:spacing w:after="120"/>
              <w:rPr>
                <w:b/>
              </w:rPr>
            </w:pPr>
            <w:r w:rsidRPr="00CC7A37">
              <w:rPr>
                <w:b/>
              </w:rPr>
              <w:t>Fair value measurement</w:t>
            </w:r>
          </w:p>
        </w:tc>
        <w:tc>
          <w:tcPr>
            <w:tcW w:w="425" w:type="dxa"/>
            <w:tcBorders>
              <w:top w:val="nil"/>
              <w:bottom w:val="nil"/>
              <w:right w:val="single" w:sz="4" w:space="0" w:color="00746B"/>
            </w:tcBorders>
          </w:tcPr>
          <w:p w:rsidR="008835EB" w:rsidRPr="00764FAD" w:rsidRDefault="008835EB" w:rsidP="007E3F2E">
            <w:pPr>
              <w:spacing w:after="120"/>
            </w:pPr>
          </w:p>
        </w:tc>
      </w:tr>
      <w:tr w:rsidR="008835EB" w:rsidRPr="00764FAD" w:rsidTr="007E3F2E">
        <w:tc>
          <w:tcPr>
            <w:tcW w:w="307" w:type="dxa"/>
            <w:tcBorders>
              <w:top w:val="nil"/>
              <w:left w:val="single" w:sz="4" w:space="0" w:color="00746B"/>
              <w:bottom w:val="nil"/>
            </w:tcBorders>
          </w:tcPr>
          <w:p w:rsidR="008835EB" w:rsidRPr="00764FAD" w:rsidRDefault="008835EB" w:rsidP="007E3F2E">
            <w:pPr>
              <w:spacing w:after="120"/>
            </w:pPr>
          </w:p>
        </w:tc>
        <w:tc>
          <w:tcPr>
            <w:tcW w:w="4252" w:type="dxa"/>
          </w:tcPr>
          <w:p w:rsidR="008835EB" w:rsidRPr="00764FAD" w:rsidRDefault="008835EB" w:rsidP="007E3F2E">
            <w:pPr>
              <w:spacing w:after="120"/>
            </w:pPr>
            <w:r w:rsidRPr="00764FAD">
              <w:t>Leasehold improvements</w:t>
            </w:r>
          </w:p>
        </w:tc>
        <w:tc>
          <w:tcPr>
            <w:tcW w:w="4111" w:type="dxa"/>
          </w:tcPr>
          <w:p w:rsidR="008835EB" w:rsidRPr="00764FAD" w:rsidRDefault="008835EB" w:rsidP="007E3F2E">
            <w:pPr>
              <w:spacing w:after="120"/>
            </w:pPr>
            <w:r w:rsidRPr="00764FAD">
              <w:t>Depreciated replacement cost</w:t>
            </w:r>
          </w:p>
        </w:tc>
        <w:tc>
          <w:tcPr>
            <w:tcW w:w="425" w:type="dxa"/>
            <w:tcBorders>
              <w:top w:val="nil"/>
              <w:bottom w:val="nil"/>
              <w:right w:val="single" w:sz="4" w:space="0" w:color="00746B"/>
            </w:tcBorders>
          </w:tcPr>
          <w:p w:rsidR="008835EB" w:rsidRPr="00764FAD" w:rsidRDefault="008835EB" w:rsidP="007E3F2E">
            <w:pPr>
              <w:spacing w:after="120"/>
            </w:pPr>
          </w:p>
        </w:tc>
      </w:tr>
      <w:tr w:rsidR="008835EB" w:rsidRPr="00764FAD" w:rsidTr="007E3F2E">
        <w:tc>
          <w:tcPr>
            <w:tcW w:w="307" w:type="dxa"/>
            <w:tcBorders>
              <w:top w:val="nil"/>
              <w:left w:val="single" w:sz="4" w:space="0" w:color="00746B"/>
              <w:bottom w:val="nil"/>
            </w:tcBorders>
          </w:tcPr>
          <w:p w:rsidR="008835EB" w:rsidRPr="00764FAD" w:rsidRDefault="008835EB" w:rsidP="007E3F2E">
            <w:pPr>
              <w:spacing w:after="120"/>
            </w:pPr>
          </w:p>
        </w:tc>
        <w:tc>
          <w:tcPr>
            <w:tcW w:w="4252" w:type="dxa"/>
          </w:tcPr>
          <w:p w:rsidR="008835EB" w:rsidRPr="00764FAD" w:rsidRDefault="008835EB" w:rsidP="007E3F2E">
            <w:pPr>
              <w:spacing w:after="120"/>
            </w:pPr>
            <w:r w:rsidRPr="00764FAD">
              <w:t>Infrastructure, plant and equipment</w:t>
            </w:r>
          </w:p>
        </w:tc>
        <w:tc>
          <w:tcPr>
            <w:tcW w:w="4111" w:type="dxa"/>
          </w:tcPr>
          <w:p w:rsidR="008835EB" w:rsidRPr="00764FAD" w:rsidRDefault="008835EB" w:rsidP="007E3F2E">
            <w:pPr>
              <w:spacing w:after="120"/>
            </w:pPr>
            <w:r w:rsidRPr="00764FAD">
              <w:t>Market selling price</w:t>
            </w:r>
          </w:p>
        </w:tc>
        <w:tc>
          <w:tcPr>
            <w:tcW w:w="425" w:type="dxa"/>
            <w:tcBorders>
              <w:top w:val="nil"/>
              <w:bottom w:val="nil"/>
              <w:right w:val="single" w:sz="4" w:space="0" w:color="00746B"/>
            </w:tcBorders>
          </w:tcPr>
          <w:p w:rsidR="008835EB" w:rsidRPr="00764FAD" w:rsidRDefault="008835EB" w:rsidP="007E3F2E">
            <w:pPr>
              <w:spacing w:after="120"/>
            </w:pPr>
          </w:p>
        </w:tc>
      </w:tr>
    </w:tbl>
    <w:p w:rsidR="008835EB" w:rsidRDefault="008835EB" w:rsidP="008835EB">
      <w:pPr>
        <w:pStyle w:val="PolicytextDept"/>
        <w:pBdr>
          <w:top w:val="none" w:sz="0" w:space="0" w:color="auto"/>
          <w:bottom w:val="none" w:sz="0" w:space="0" w:color="auto"/>
          <w:right w:val="single" w:sz="4" w:space="1" w:color="00746B"/>
        </w:pBdr>
        <w:spacing w:before="240"/>
        <w:rPr>
          <w:lang w:eastAsia="en-AU"/>
        </w:rPr>
      </w:pPr>
      <w:r w:rsidRPr="00764FAD">
        <w:rPr>
          <w:lang w:eastAsia="en-AU"/>
        </w:rPr>
        <w:t>Following initial recognition at cost, property, plant and equipment are carried at valuation less accumulated depreciation and accumulated impairment losses. Valuations are conducted with sufficient frequency to ensure that the carrying amounts of assets do not differ materially from the assets’ fair va</w:t>
      </w:r>
      <w:r>
        <w:rPr>
          <w:lang w:eastAsia="en-AU"/>
        </w:rPr>
        <w:t xml:space="preserve">lues as at the reporting date. </w:t>
      </w:r>
      <w:r w:rsidRPr="00764FAD">
        <w:rPr>
          <w:lang w:eastAsia="en-AU"/>
        </w:rPr>
        <w:t>The regularity of independent valuations depends upon the volatility of movements in market values for the relevant assets. This volatility is assessed at the end of each reporting period.</w:t>
      </w:r>
    </w:p>
    <w:p w:rsidR="008835EB" w:rsidRPr="00764FAD" w:rsidRDefault="008835EB" w:rsidP="008835EB">
      <w:pPr>
        <w:pStyle w:val="PolicytextDept"/>
        <w:pBdr>
          <w:top w:val="none" w:sz="0" w:space="0" w:color="auto"/>
          <w:bottom w:val="none" w:sz="0" w:space="0" w:color="auto"/>
          <w:right w:val="single" w:sz="4" w:space="1" w:color="00746B"/>
        </w:pBdr>
        <w:rPr>
          <w:lang w:eastAsia="en-AU"/>
        </w:rPr>
      </w:pPr>
      <w:r w:rsidRPr="00764FAD">
        <w:rPr>
          <w:lang w:eastAsia="en-AU"/>
        </w:rPr>
        <w:t>Revaluation adjustme</w:t>
      </w:r>
      <w:r>
        <w:rPr>
          <w:lang w:eastAsia="en-AU"/>
        </w:rPr>
        <w:t>nts were made on a class basis.</w:t>
      </w:r>
      <w:r w:rsidRPr="00764FAD">
        <w:rPr>
          <w:lang w:eastAsia="en-AU"/>
        </w:rPr>
        <w:t xml:space="preserve"> Any revaluation increment is credited to equity under the heading of asset revaluation reserve except to the extent that it reverses a previous revaluation decrement of the same asset class that was previously rec</w:t>
      </w:r>
      <w:r>
        <w:rPr>
          <w:lang w:eastAsia="en-AU"/>
        </w:rPr>
        <w:t>ognised in the surplus/deficit.</w:t>
      </w:r>
      <w:r w:rsidRPr="00764FAD">
        <w:rPr>
          <w:lang w:eastAsia="en-AU"/>
        </w:rPr>
        <w:t xml:space="preserve"> Revaluation decrements for a class of assets were recognised directly in the surplus/deficit except to the extent that they reverse a previous revaluation increment for that class.</w:t>
      </w:r>
    </w:p>
    <w:p w:rsidR="008835EB" w:rsidRPr="00F904B6" w:rsidRDefault="008835EB" w:rsidP="008835EB">
      <w:pPr>
        <w:pStyle w:val="PolicytextDept"/>
        <w:pBdr>
          <w:top w:val="none" w:sz="0" w:space="0" w:color="auto"/>
        </w:pBdr>
      </w:pPr>
      <w:r w:rsidRPr="00764FAD">
        <w:rPr>
          <w:lang w:eastAsia="en-AU"/>
        </w:rPr>
        <w:t xml:space="preserve">Any accumulated depreciation as at the revaluation date is eliminated against the gross carrying amount of the asset and </w:t>
      </w:r>
      <w:r w:rsidRPr="00F904B6">
        <w:t>the asset restated to the revalued amount.</w:t>
      </w:r>
    </w:p>
    <w:p w:rsidR="008835EB" w:rsidRDefault="008835EB" w:rsidP="008835EB">
      <w:pPr>
        <w:spacing w:line="240" w:lineRule="auto"/>
        <w:rPr>
          <w:rFonts w:asciiTheme="minorHAnsi" w:hAnsiTheme="minorHAnsi" w:cstheme="minorHAnsi"/>
          <w:bCs/>
          <w:szCs w:val="18"/>
          <w:lang w:eastAsia="en-AU"/>
        </w:rPr>
      </w:pPr>
      <w:r>
        <w:rPr>
          <w:rFonts w:asciiTheme="minorHAnsi" w:hAnsiTheme="minorHAnsi" w:cstheme="minorHAnsi"/>
          <w:bCs/>
          <w:szCs w:val="18"/>
          <w:lang w:eastAsia="en-AU"/>
        </w:rPr>
        <w:br w:type="page"/>
      </w:r>
    </w:p>
    <w:p w:rsidR="008835EB" w:rsidRPr="00764FAD" w:rsidRDefault="008835EB" w:rsidP="008835EB">
      <w:pPr>
        <w:pStyle w:val="Policytextunderline"/>
        <w:pBdr>
          <w:top w:val="single" w:sz="4" w:space="8" w:color="009560"/>
          <w:bottom w:val="none" w:sz="0" w:space="0" w:color="auto"/>
        </w:pBdr>
      </w:pPr>
      <w:r w:rsidRPr="00764FAD">
        <w:lastRenderedPageBreak/>
        <w:t>Depreciation</w:t>
      </w:r>
    </w:p>
    <w:p w:rsidR="008835EB" w:rsidRPr="00764FAD" w:rsidRDefault="008835EB" w:rsidP="008835EB">
      <w:pPr>
        <w:pStyle w:val="PolicytextDept"/>
        <w:pBdr>
          <w:top w:val="none" w:sz="0" w:space="0" w:color="auto"/>
          <w:bottom w:val="none" w:sz="0" w:space="0" w:color="auto"/>
        </w:pBdr>
        <w:rPr>
          <w:lang w:eastAsia="en-AU"/>
        </w:rPr>
      </w:pPr>
      <w:r w:rsidRPr="00764FAD">
        <w:rPr>
          <w:lang w:eastAsia="en-AU"/>
        </w:rPr>
        <w:t>Depreciable property, plant and equipment assets are written-off to their estimated residual values over their</w:t>
      </w:r>
      <w:r>
        <w:rPr>
          <w:lang w:eastAsia="en-AU"/>
        </w:rPr>
        <w:t xml:space="preserve"> estimated useful lives to the D</w:t>
      </w:r>
      <w:r w:rsidRPr="00764FAD">
        <w:rPr>
          <w:lang w:eastAsia="en-AU"/>
        </w:rPr>
        <w:t>epartment using, in all cases, the straigh</w:t>
      </w:r>
      <w:r>
        <w:rPr>
          <w:lang w:eastAsia="en-AU"/>
        </w:rPr>
        <w:t xml:space="preserve">t-line method of depreciation. </w:t>
      </w:r>
    </w:p>
    <w:p w:rsidR="008835EB" w:rsidRPr="00764FAD" w:rsidRDefault="008835EB" w:rsidP="008835EB">
      <w:pPr>
        <w:pStyle w:val="PolicytextDept"/>
        <w:pBdr>
          <w:top w:val="none" w:sz="0" w:space="0" w:color="auto"/>
          <w:bottom w:val="none" w:sz="0" w:space="0" w:color="auto"/>
        </w:pBdr>
        <w:rPr>
          <w:lang w:eastAsia="en-AU"/>
        </w:rPr>
      </w:pPr>
      <w:r w:rsidRPr="00764FAD">
        <w:rPr>
          <w:lang w:eastAsia="en-AU"/>
        </w:rPr>
        <w:t>Depreciation rates (useful lives), residual values and methods are reviewed at each reporting date and necessary adjustments are recognised in the current, or current and future reporting periods, as appropriate.</w:t>
      </w:r>
    </w:p>
    <w:p w:rsidR="008835EB" w:rsidRPr="00764FAD" w:rsidRDefault="008835EB" w:rsidP="008835EB">
      <w:pPr>
        <w:pStyle w:val="PolicytextDept"/>
        <w:pBdr>
          <w:top w:val="none" w:sz="0" w:space="0" w:color="auto"/>
          <w:bottom w:val="none" w:sz="0" w:space="0" w:color="auto"/>
        </w:pBdr>
      </w:pPr>
      <w:r w:rsidRPr="00764FAD">
        <w:rPr>
          <w:lang w:eastAsia="en-AU"/>
        </w:rPr>
        <w:t>Depreciation rates applying to each class of depreciable asset are based on the following useful lives</w:t>
      </w:r>
      <w:r w:rsidRPr="00764FAD">
        <w:t>:</w:t>
      </w:r>
    </w:p>
    <w:tbl>
      <w:tblPr>
        <w:tblW w:w="9095" w:type="dxa"/>
        <w:tblInd w:w="85" w:type="dxa"/>
        <w:tblBorders>
          <w:top w:val="single" w:sz="4" w:space="0" w:color="000000" w:themeColor="text1"/>
          <w:left w:val="single" w:sz="4" w:space="0" w:color="009560"/>
          <w:bottom w:val="single" w:sz="4" w:space="0" w:color="000000" w:themeColor="text1"/>
          <w:right w:val="single" w:sz="4" w:space="0" w:color="009560"/>
          <w:insideH w:val="single" w:sz="4" w:space="0" w:color="000000" w:themeColor="text1"/>
          <w:insideV w:val="single" w:sz="4" w:space="0" w:color="000000" w:themeColor="text1"/>
        </w:tblBorders>
        <w:tblLook w:val="01E0" w:firstRow="1" w:lastRow="1" w:firstColumn="1" w:lastColumn="1" w:noHBand="0" w:noVBand="0"/>
      </w:tblPr>
      <w:tblGrid>
        <w:gridCol w:w="307"/>
        <w:gridCol w:w="4252"/>
        <w:gridCol w:w="4253"/>
        <w:gridCol w:w="283"/>
      </w:tblGrid>
      <w:tr w:rsidR="008835EB" w:rsidRPr="00764FAD" w:rsidTr="007E3F2E">
        <w:tc>
          <w:tcPr>
            <w:tcW w:w="307" w:type="dxa"/>
            <w:tcBorders>
              <w:top w:val="nil"/>
              <w:left w:val="single" w:sz="4" w:space="0" w:color="00746B"/>
              <w:bottom w:val="nil"/>
            </w:tcBorders>
          </w:tcPr>
          <w:p w:rsidR="008835EB" w:rsidRPr="00764FAD" w:rsidRDefault="008835EB" w:rsidP="007E3F2E">
            <w:pPr>
              <w:spacing w:after="120"/>
            </w:pPr>
          </w:p>
        </w:tc>
        <w:tc>
          <w:tcPr>
            <w:tcW w:w="4252" w:type="dxa"/>
          </w:tcPr>
          <w:p w:rsidR="008835EB" w:rsidRPr="00CC7A37" w:rsidRDefault="008835EB" w:rsidP="007E3F2E">
            <w:pPr>
              <w:spacing w:after="120"/>
              <w:rPr>
                <w:b/>
              </w:rPr>
            </w:pPr>
            <w:r w:rsidRPr="00CC7A37">
              <w:rPr>
                <w:b/>
              </w:rPr>
              <w:t>Asset Class</w:t>
            </w:r>
          </w:p>
        </w:tc>
        <w:tc>
          <w:tcPr>
            <w:tcW w:w="4253" w:type="dxa"/>
          </w:tcPr>
          <w:p w:rsidR="008835EB" w:rsidRPr="00CC7A37" w:rsidRDefault="008835EB" w:rsidP="007E3F2E">
            <w:pPr>
              <w:spacing w:after="120"/>
              <w:rPr>
                <w:b/>
              </w:rPr>
            </w:pPr>
            <w:r>
              <w:rPr>
                <w:b/>
              </w:rPr>
              <w:t>2016</w:t>
            </w:r>
          </w:p>
        </w:tc>
        <w:tc>
          <w:tcPr>
            <w:tcW w:w="283" w:type="dxa"/>
            <w:tcBorders>
              <w:top w:val="nil"/>
              <w:bottom w:val="nil"/>
              <w:right w:val="single" w:sz="4" w:space="0" w:color="00746B"/>
            </w:tcBorders>
          </w:tcPr>
          <w:p w:rsidR="008835EB" w:rsidRPr="00764FAD" w:rsidRDefault="008835EB" w:rsidP="007E3F2E">
            <w:pPr>
              <w:spacing w:after="120"/>
            </w:pPr>
          </w:p>
        </w:tc>
      </w:tr>
      <w:tr w:rsidR="008835EB" w:rsidRPr="00764FAD" w:rsidTr="007E3F2E">
        <w:tc>
          <w:tcPr>
            <w:tcW w:w="307" w:type="dxa"/>
            <w:tcBorders>
              <w:top w:val="nil"/>
              <w:left w:val="single" w:sz="4" w:space="0" w:color="00746B"/>
              <w:bottom w:val="nil"/>
            </w:tcBorders>
          </w:tcPr>
          <w:p w:rsidR="008835EB" w:rsidRPr="00764FAD" w:rsidRDefault="008835EB" w:rsidP="007E3F2E">
            <w:pPr>
              <w:spacing w:after="120"/>
            </w:pPr>
          </w:p>
        </w:tc>
        <w:tc>
          <w:tcPr>
            <w:tcW w:w="4252" w:type="dxa"/>
          </w:tcPr>
          <w:p w:rsidR="008835EB" w:rsidRPr="00764FAD" w:rsidRDefault="008835EB" w:rsidP="007E3F2E">
            <w:pPr>
              <w:spacing w:after="120"/>
            </w:pPr>
            <w:r w:rsidRPr="00764FAD">
              <w:t>Leasehold improvements</w:t>
            </w:r>
          </w:p>
        </w:tc>
        <w:tc>
          <w:tcPr>
            <w:tcW w:w="4253" w:type="dxa"/>
          </w:tcPr>
          <w:p w:rsidR="008835EB" w:rsidRPr="00764FAD" w:rsidRDefault="008835EB" w:rsidP="007E3F2E">
            <w:pPr>
              <w:spacing w:after="120"/>
            </w:pPr>
            <w:r>
              <w:t>Lease Term</w:t>
            </w:r>
          </w:p>
        </w:tc>
        <w:tc>
          <w:tcPr>
            <w:tcW w:w="283" w:type="dxa"/>
            <w:tcBorders>
              <w:top w:val="nil"/>
              <w:bottom w:val="nil"/>
              <w:right w:val="single" w:sz="4" w:space="0" w:color="00746B"/>
            </w:tcBorders>
          </w:tcPr>
          <w:p w:rsidR="008835EB" w:rsidRPr="00764FAD" w:rsidRDefault="008835EB" w:rsidP="007E3F2E">
            <w:pPr>
              <w:spacing w:after="120"/>
            </w:pPr>
          </w:p>
        </w:tc>
      </w:tr>
      <w:tr w:rsidR="008835EB" w:rsidRPr="00764FAD" w:rsidTr="007E3F2E">
        <w:tc>
          <w:tcPr>
            <w:tcW w:w="307" w:type="dxa"/>
            <w:tcBorders>
              <w:top w:val="nil"/>
              <w:left w:val="single" w:sz="4" w:space="0" w:color="00746B"/>
              <w:bottom w:val="nil"/>
            </w:tcBorders>
          </w:tcPr>
          <w:p w:rsidR="008835EB" w:rsidRPr="00764FAD" w:rsidRDefault="008835EB" w:rsidP="007E3F2E">
            <w:pPr>
              <w:spacing w:after="120"/>
            </w:pPr>
          </w:p>
        </w:tc>
        <w:tc>
          <w:tcPr>
            <w:tcW w:w="4252" w:type="dxa"/>
          </w:tcPr>
          <w:p w:rsidR="008835EB" w:rsidRPr="00764FAD" w:rsidRDefault="008835EB" w:rsidP="007E3F2E">
            <w:pPr>
              <w:spacing w:after="120"/>
            </w:pPr>
            <w:r w:rsidRPr="00764FAD">
              <w:t>Infrastructure, plant and equipment</w:t>
            </w:r>
          </w:p>
        </w:tc>
        <w:tc>
          <w:tcPr>
            <w:tcW w:w="4253" w:type="dxa"/>
          </w:tcPr>
          <w:p w:rsidR="008835EB" w:rsidRPr="00764FAD" w:rsidRDefault="008835EB" w:rsidP="007E3F2E">
            <w:pPr>
              <w:spacing w:after="120"/>
            </w:pPr>
            <w:r>
              <w:t>3–25 years</w:t>
            </w:r>
          </w:p>
        </w:tc>
        <w:tc>
          <w:tcPr>
            <w:tcW w:w="283" w:type="dxa"/>
            <w:tcBorders>
              <w:top w:val="nil"/>
              <w:bottom w:val="nil"/>
              <w:right w:val="single" w:sz="4" w:space="0" w:color="00746B"/>
            </w:tcBorders>
          </w:tcPr>
          <w:p w:rsidR="008835EB" w:rsidRPr="00764FAD" w:rsidRDefault="008835EB" w:rsidP="007E3F2E">
            <w:pPr>
              <w:spacing w:after="120"/>
            </w:pPr>
          </w:p>
        </w:tc>
      </w:tr>
    </w:tbl>
    <w:p w:rsidR="008835EB" w:rsidRPr="00764FAD" w:rsidRDefault="008835EB" w:rsidP="008835EB">
      <w:pPr>
        <w:pStyle w:val="Policytextunderline"/>
        <w:pBdr>
          <w:top w:val="none" w:sz="0" w:space="0" w:color="auto"/>
        </w:pBdr>
        <w:spacing w:before="120"/>
      </w:pPr>
      <w:r w:rsidRPr="00764FAD">
        <w:t>Impairment</w:t>
      </w:r>
    </w:p>
    <w:p w:rsidR="008835EB" w:rsidRPr="00764FAD" w:rsidRDefault="008835EB" w:rsidP="008835EB">
      <w:pPr>
        <w:pStyle w:val="PolicytextDept"/>
        <w:pBdr>
          <w:top w:val="none" w:sz="0" w:space="0" w:color="auto"/>
        </w:pBdr>
        <w:rPr>
          <w:lang w:eastAsia="en-AU"/>
        </w:rPr>
      </w:pPr>
      <w:r w:rsidRPr="00764FAD">
        <w:rPr>
          <w:lang w:eastAsia="en-AU"/>
        </w:rPr>
        <w:t xml:space="preserve">All assets were assessed for impairment at 30 June </w:t>
      </w:r>
      <w:r w:rsidR="00FA455C">
        <w:rPr>
          <w:lang w:eastAsia="en-AU"/>
        </w:rPr>
        <w:t>2016</w:t>
      </w:r>
      <w:r>
        <w:rPr>
          <w:lang w:eastAsia="en-AU"/>
        </w:rPr>
        <w:t>.</w:t>
      </w:r>
      <w:r w:rsidRPr="00764FAD">
        <w:rPr>
          <w:lang w:eastAsia="en-AU"/>
        </w:rPr>
        <w:t xml:space="preserve"> Where indications of impairment exist, the asset’s recoverable amount is estimated and an impairment adjustment made if the asset’s recoverable amount is less than its carrying amount.</w:t>
      </w:r>
    </w:p>
    <w:p w:rsidR="008835EB" w:rsidRPr="00764FAD" w:rsidRDefault="008835EB" w:rsidP="008835EB">
      <w:pPr>
        <w:pStyle w:val="PolicytextDept"/>
        <w:pBdr>
          <w:top w:val="none" w:sz="0" w:space="0" w:color="auto"/>
        </w:pBdr>
      </w:pPr>
      <w:r w:rsidRPr="00764FAD">
        <w:rPr>
          <w:lang w:eastAsia="en-AU"/>
        </w:rPr>
        <w:t>The recoverable amount of an asset is the higher of its fair value less costs of disp</w:t>
      </w:r>
      <w:r>
        <w:rPr>
          <w:lang w:eastAsia="en-AU"/>
        </w:rPr>
        <w:t>osal and its value in use.</w:t>
      </w:r>
      <w:r w:rsidRPr="00764FAD">
        <w:rPr>
          <w:lang w:eastAsia="en-AU"/>
        </w:rPr>
        <w:t xml:space="preserve"> Value in use is the present value of the future cash flows expected</w:t>
      </w:r>
      <w:r>
        <w:rPr>
          <w:lang w:eastAsia="en-AU"/>
        </w:rPr>
        <w:t xml:space="preserve"> to be derived from the asset. </w:t>
      </w:r>
      <w:r w:rsidRPr="00764FAD">
        <w:rPr>
          <w:lang w:eastAsia="en-AU"/>
        </w:rPr>
        <w:t xml:space="preserve">Where the future economic benefit of an asset is not primarily dependent on the asset’s ability to generate future cash flows, and the </w:t>
      </w:r>
      <w:r>
        <w:rPr>
          <w:lang w:eastAsia="en-AU"/>
        </w:rPr>
        <w:t>asset would be replaced if the De</w:t>
      </w:r>
      <w:r w:rsidRPr="00764FAD">
        <w:rPr>
          <w:lang w:eastAsia="en-AU"/>
        </w:rPr>
        <w:t>partment were deprived of the asset, its value in use is taken to be its depreciated replacement cost</w:t>
      </w:r>
      <w:r w:rsidRPr="00764FAD">
        <w:t>.</w:t>
      </w:r>
    </w:p>
    <w:p w:rsidR="008835EB" w:rsidRPr="00764FAD" w:rsidRDefault="008835EB" w:rsidP="008835EB">
      <w:pPr>
        <w:pStyle w:val="Policytextunderline"/>
        <w:pBdr>
          <w:top w:val="none" w:sz="0" w:space="0" w:color="auto"/>
        </w:pBdr>
      </w:pPr>
      <w:proofErr w:type="spellStart"/>
      <w:r w:rsidRPr="00764FAD">
        <w:t>Derecognition</w:t>
      </w:r>
      <w:proofErr w:type="spellEnd"/>
    </w:p>
    <w:p w:rsidR="008835EB" w:rsidRPr="00764FAD" w:rsidRDefault="008835EB" w:rsidP="008835EB">
      <w:pPr>
        <w:pStyle w:val="PolicytextDept"/>
        <w:pBdr>
          <w:top w:val="none" w:sz="0" w:space="0" w:color="auto"/>
        </w:pBdr>
      </w:pPr>
      <w:r w:rsidRPr="00764FAD">
        <w:t>An item of property, plant and equipment is derecognised upon disposal or when no further future economic benefits are expected from its use or disposal.</w:t>
      </w:r>
    </w:p>
    <w:p w:rsidR="008835EB" w:rsidRPr="00764FAD" w:rsidRDefault="008835EB" w:rsidP="008835EB">
      <w:pPr>
        <w:pStyle w:val="Policytextunderline"/>
        <w:pBdr>
          <w:top w:val="none" w:sz="0" w:space="0" w:color="auto"/>
        </w:pBdr>
      </w:pPr>
      <w:r w:rsidRPr="00764FAD">
        <w:t xml:space="preserve">Intangibles </w:t>
      </w:r>
    </w:p>
    <w:p w:rsidR="008835EB" w:rsidRPr="00764FAD" w:rsidRDefault="008835EB" w:rsidP="008835EB">
      <w:pPr>
        <w:pStyle w:val="PolicytextDept"/>
        <w:pBdr>
          <w:top w:val="none" w:sz="0" w:space="0" w:color="auto"/>
        </w:pBdr>
        <w:rPr>
          <w:lang w:eastAsia="en-AU"/>
        </w:rPr>
      </w:pPr>
      <w:r w:rsidRPr="00764FAD">
        <w:rPr>
          <w:lang w:eastAsia="en-AU"/>
        </w:rPr>
        <w:t xml:space="preserve">The </w:t>
      </w:r>
      <w:r>
        <w:rPr>
          <w:lang w:eastAsia="en-AU"/>
        </w:rPr>
        <w:t>Dep</w:t>
      </w:r>
      <w:r w:rsidRPr="00764FAD">
        <w:rPr>
          <w:lang w:eastAsia="en-AU"/>
        </w:rPr>
        <w:t>artment’s intangibles comprise purchased and internally develo</w:t>
      </w:r>
      <w:r>
        <w:rPr>
          <w:lang w:eastAsia="en-AU"/>
        </w:rPr>
        <w:t xml:space="preserve">ped software for internal use. </w:t>
      </w:r>
      <w:r w:rsidRPr="00764FAD">
        <w:rPr>
          <w:lang w:eastAsia="en-AU"/>
        </w:rPr>
        <w:t>These assets are carried at cost less accumulated amortisation and accumulated impairmen</w:t>
      </w:r>
      <w:r>
        <w:rPr>
          <w:lang w:eastAsia="en-AU"/>
        </w:rPr>
        <w:t xml:space="preserve">t losses. </w:t>
      </w:r>
      <w:r w:rsidRPr="00764FAD">
        <w:rPr>
          <w:lang w:eastAsia="en-AU"/>
        </w:rPr>
        <w:t>Purchases costing less than $200,000 are expensed in the year of acquisition (other than where they form part of a group of similar items which are significant in total).</w:t>
      </w:r>
    </w:p>
    <w:p w:rsidR="008835EB" w:rsidRPr="00764FAD" w:rsidRDefault="008835EB" w:rsidP="008835EB">
      <w:pPr>
        <w:pStyle w:val="PolicytextDept"/>
        <w:pBdr>
          <w:top w:val="none" w:sz="0" w:space="0" w:color="auto"/>
        </w:pBdr>
        <w:rPr>
          <w:lang w:eastAsia="en-AU"/>
        </w:rPr>
      </w:pPr>
      <w:r w:rsidRPr="00764FAD">
        <w:rPr>
          <w:lang w:eastAsia="en-AU"/>
        </w:rPr>
        <w:t>Software is amortised on a straight-line basis over its anticipated useful</w:t>
      </w:r>
      <w:r>
        <w:rPr>
          <w:lang w:eastAsia="en-AU"/>
        </w:rPr>
        <w:t xml:space="preserve"> life.</w:t>
      </w:r>
      <w:r w:rsidRPr="00764FAD">
        <w:rPr>
          <w:lang w:eastAsia="en-AU"/>
        </w:rPr>
        <w:t xml:space="preserve"> The useful lives of </w:t>
      </w:r>
      <w:r>
        <w:rPr>
          <w:lang w:eastAsia="en-AU"/>
        </w:rPr>
        <w:t>the Department’s software are 2–15 years.</w:t>
      </w:r>
    </w:p>
    <w:p w:rsidR="008835EB" w:rsidRDefault="008835EB" w:rsidP="008835EB">
      <w:pPr>
        <w:pStyle w:val="PolicytextDept"/>
        <w:pBdr>
          <w:top w:val="none" w:sz="0" w:space="0" w:color="auto"/>
        </w:pBdr>
      </w:pPr>
      <w:r w:rsidRPr="00764FAD">
        <w:rPr>
          <w:lang w:eastAsia="en-AU"/>
        </w:rPr>
        <w:t xml:space="preserve">All software assets were assessed for indications of impairment as at 30 June </w:t>
      </w:r>
      <w:r w:rsidR="00FA455C">
        <w:rPr>
          <w:lang w:eastAsia="en-AU"/>
        </w:rPr>
        <w:t>2016</w:t>
      </w:r>
      <w:r w:rsidRPr="00764FAD">
        <w:t>.</w:t>
      </w:r>
    </w:p>
    <w:tbl>
      <w:tblPr>
        <w:tblW w:w="9087" w:type="dxa"/>
        <w:tblInd w:w="80" w:type="dxa"/>
        <w:tblLayout w:type="fixed"/>
        <w:tblLook w:val="04A0" w:firstRow="1" w:lastRow="0" w:firstColumn="1" w:lastColumn="0" w:noHBand="0" w:noVBand="1"/>
      </w:tblPr>
      <w:tblGrid>
        <w:gridCol w:w="7595"/>
        <w:gridCol w:w="1492"/>
      </w:tblGrid>
      <w:tr w:rsidR="008835EB" w:rsidTr="007E3F2E">
        <w:trPr>
          <w:trHeight w:val="480"/>
        </w:trPr>
        <w:tc>
          <w:tcPr>
            <w:tcW w:w="6396"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bookmarkStart w:id="270" w:name="Note_CCATABLE1" w:colFirst="0" w:colLast="0"/>
            <w:r>
              <w:rPr>
                <w:rFonts w:cs="Calibri"/>
                <w:b/>
                <w:bCs/>
                <w:szCs w:val="18"/>
              </w:rPr>
              <w:t>Contractual commitments for the acquisition of property, plant, equipment and intangible assets</w:t>
            </w:r>
          </w:p>
        </w:tc>
        <w:tc>
          <w:tcPr>
            <w:tcW w:w="1256"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2016</w:t>
            </w:r>
          </w:p>
        </w:tc>
      </w:tr>
      <w:bookmarkEnd w:id="270"/>
      <w:tr w:rsidR="008835EB" w:rsidTr="007E3F2E">
        <w:trPr>
          <w:trHeight w:val="255"/>
        </w:trPr>
        <w:tc>
          <w:tcPr>
            <w:tcW w:w="6396"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 </w:t>
            </w:r>
          </w:p>
        </w:tc>
        <w:tc>
          <w:tcPr>
            <w:tcW w:w="1256"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$'000</w:t>
            </w:r>
          </w:p>
        </w:tc>
      </w:tr>
      <w:tr w:rsidR="008835EB" w:rsidTr="007E3F2E">
        <w:trPr>
          <w:trHeight w:val="255"/>
        </w:trPr>
        <w:tc>
          <w:tcPr>
            <w:tcW w:w="6396"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Commitments are payable as follows:</w:t>
            </w:r>
          </w:p>
        </w:tc>
        <w:tc>
          <w:tcPr>
            <w:tcW w:w="125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r>
      <w:tr w:rsidR="008835EB" w:rsidTr="007E3F2E">
        <w:trPr>
          <w:trHeight w:val="255"/>
        </w:trPr>
        <w:tc>
          <w:tcPr>
            <w:tcW w:w="639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Within 1 year</w:t>
            </w:r>
          </w:p>
        </w:tc>
        <w:tc>
          <w:tcPr>
            <w:tcW w:w="1256"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28,513 </w:t>
            </w:r>
          </w:p>
        </w:tc>
      </w:tr>
      <w:tr w:rsidR="008835EB" w:rsidTr="007E3F2E">
        <w:trPr>
          <w:trHeight w:val="270"/>
        </w:trPr>
        <w:tc>
          <w:tcPr>
            <w:tcW w:w="6396"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commitments payable</w:t>
            </w:r>
          </w:p>
        </w:tc>
        <w:tc>
          <w:tcPr>
            <w:tcW w:w="125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28,513</w:t>
            </w:r>
          </w:p>
        </w:tc>
      </w:tr>
    </w:tbl>
    <w:p w:rsidR="008835EB" w:rsidRDefault="008835EB" w:rsidP="008835EB">
      <w:pPr>
        <w:spacing w:before="120"/>
      </w:pPr>
      <w:bookmarkStart w:id="271" w:name="RANGE!D7:E13"/>
      <w:bookmarkEnd w:id="271"/>
      <w:proofErr w:type="gramStart"/>
      <w:r>
        <w:t>Commitments reporting has</w:t>
      </w:r>
      <w:proofErr w:type="gramEnd"/>
      <w:r>
        <w:t xml:space="preserve"> changed from the prior year as such there are no comparatives for this item.</w:t>
      </w:r>
    </w:p>
    <w:p w:rsidR="008835EB" w:rsidRDefault="008835EB" w:rsidP="008835EB">
      <w:r>
        <w:br w:type="page"/>
      </w:r>
    </w:p>
    <w:tbl>
      <w:tblPr>
        <w:tblW w:w="9087" w:type="dxa"/>
        <w:tblInd w:w="80" w:type="dxa"/>
        <w:tblLayout w:type="fixed"/>
        <w:tblLook w:val="04A0" w:firstRow="1" w:lastRow="0" w:firstColumn="1" w:lastColumn="0" w:noHBand="0" w:noVBand="1"/>
      </w:tblPr>
      <w:tblGrid>
        <w:gridCol w:w="6346"/>
        <w:gridCol w:w="1252"/>
        <w:gridCol w:w="239"/>
        <w:gridCol w:w="1250"/>
      </w:tblGrid>
      <w:tr w:rsidR="008835EB" w:rsidTr="007E3F2E">
        <w:trPr>
          <w:trHeight w:val="240"/>
        </w:trPr>
        <w:tc>
          <w:tcPr>
            <w:tcW w:w="6272"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bookmarkStart w:id="272" w:name="Note_ONATABLE1" w:colFirst="0" w:colLast="0"/>
            <w:r>
              <w:rPr>
                <w:rFonts w:ascii="Arial" w:hAnsi="Arial" w:cs="Arial"/>
                <w:szCs w:val="18"/>
              </w:rPr>
              <w:lastRenderedPageBreak/>
              <w:t> </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bookmarkEnd w:id="272"/>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2016</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2015</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$'000</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rPr>
                <w:rFonts w:cs="Calibri"/>
                <w:b/>
                <w:bCs/>
                <w:szCs w:val="18"/>
                <w:u w:val="single"/>
              </w:rPr>
            </w:pPr>
            <w:r>
              <w:rPr>
                <w:rFonts w:cs="Calibri"/>
                <w:b/>
                <w:bCs/>
                <w:szCs w:val="18"/>
                <w:u w:val="single"/>
              </w:rPr>
              <w:t xml:space="preserve">Note </w:t>
            </w:r>
            <w:proofErr w:type="spellStart"/>
            <w:r>
              <w:rPr>
                <w:rFonts w:cs="Calibri"/>
                <w:b/>
                <w:bCs/>
                <w:szCs w:val="18"/>
                <w:u w:val="single"/>
              </w:rPr>
              <w:t>3.2B</w:t>
            </w:r>
            <w:proofErr w:type="spellEnd"/>
            <w:r>
              <w:rPr>
                <w:rFonts w:cs="Calibri"/>
                <w:b/>
                <w:bCs/>
                <w:szCs w:val="18"/>
                <w:u w:val="single"/>
              </w:rPr>
              <w:t>: Other Non-Financial Assets</w:t>
            </w:r>
          </w:p>
        </w:tc>
        <w:tc>
          <w:tcPr>
            <w:tcW w:w="1238"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Prepayments</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9,635</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12,011</w:t>
            </w:r>
          </w:p>
        </w:tc>
      </w:tr>
      <w:tr w:rsidR="008835EB" w:rsidTr="007E3F2E">
        <w:trPr>
          <w:trHeight w:val="270"/>
        </w:trPr>
        <w:tc>
          <w:tcPr>
            <w:tcW w:w="6272"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other non-financial assets</w:t>
            </w:r>
          </w:p>
        </w:tc>
        <w:tc>
          <w:tcPr>
            <w:tcW w:w="1238"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9,635</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12,011</w:t>
            </w:r>
          </w:p>
        </w:tc>
      </w:tr>
      <w:tr w:rsidR="008835EB" w:rsidTr="007E3F2E">
        <w:trPr>
          <w:trHeight w:val="270"/>
        </w:trPr>
        <w:tc>
          <w:tcPr>
            <w:tcW w:w="627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8"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Other non-financial assets expected to be recovered in</w:t>
            </w:r>
          </w:p>
        </w:tc>
        <w:tc>
          <w:tcPr>
            <w:tcW w:w="1238"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No more than 12 months</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7,192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10,314 </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More than 12 months</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2,443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1,697 </w:t>
            </w:r>
          </w:p>
        </w:tc>
      </w:tr>
      <w:tr w:rsidR="008835EB" w:rsidTr="007E3F2E">
        <w:trPr>
          <w:trHeight w:val="270"/>
        </w:trPr>
        <w:tc>
          <w:tcPr>
            <w:tcW w:w="6272"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other non-financial assets</w:t>
            </w:r>
          </w:p>
        </w:tc>
        <w:tc>
          <w:tcPr>
            <w:tcW w:w="1238"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9,635</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12,011</w:t>
            </w:r>
          </w:p>
        </w:tc>
      </w:tr>
    </w:tbl>
    <w:p w:rsidR="008835EB" w:rsidRDefault="008835EB" w:rsidP="008835EB">
      <w:pPr>
        <w:pStyle w:val="ReportText"/>
      </w:pPr>
      <w:bookmarkStart w:id="273" w:name="RANGE!E7:H47"/>
      <w:bookmarkStart w:id="274" w:name="RANGE!E7:H48"/>
      <w:bookmarkStart w:id="275" w:name="RANGE!E7:H46"/>
      <w:bookmarkStart w:id="276" w:name="RANGE!E7:H43"/>
      <w:bookmarkStart w:id="277" w:name="RANGE!E6:H41"/>
      <w:bookmarkStart w:id="278" w:name="RANGE!E6:H47"/>
      <w:bookmarkStart w:id="279" w:name="RANGE!E6:H46"/>
      <w:bookmarkStart w:id="280" w:name="RANGE!E6:J46"/>
      <w:bookmarkStart w:id="281" w:name="RANGE!E6:E47"/>
      <w:bookmarkStart w:id="282" w:name="RANGE!E6:J47"/>
      <w:bookmarkEnd w:id="273"/>
      <w:bookmarkEnd w:id="274"/>
      <w:bookmarkEnd w:id="275"/>
      <w:bookmarkEnd w:id="276"/>
      <w:bookmarkEnd w:id="277"/>
      <w:bookmarkEnd w:id="278"/>
      <w:bookmarkEnd w:id="279"/>
      <w:bookmarkEnd w:id="280"/>
      <w:bookmarkEnd w:id="281"/>
      <w:bookmarkEnd w:id="282"/>
      <w:r>
        <w:t>No indicators of impairment were found for other non-financial assets.</w:t>
      </w:r>
    </w:p>
    <w:p w:rsidR="008835EB" w:rsidRDefault="008835EB" w:rsidP="008835EB">
      <w:pPr>
        <w:pStyle w:val="ReportText"/>
      </w:pPr>
    </w:p>
    <w:p w:rsidR="008835EB" w:rsidRDefault="008835EB" w:rsidP="008835EB">
      <w:pPr>
        <w:pStyle w:val="ReportText"/>
        <w:rPr>
          <w:b/>
          <w:u w:val="single"/>
        </w:rPr>
      </w:pPr>
      <w:r>
        <w:rPr>
          <w:b/>
          <w:u w:val="single"/>
        </w:rPr>
        <w:t xml:space="preserve">Note </w:t>
      </w:r>
      <w:proofErr w:type="spellStart"/>
      <w:r>
        <w:rPr>
          <w:b/>
          <w:u w:val="single"/>
        </w:rPr>
        <w:t>3.2C</w:t>
      </w:r>
      <w:proofErr w:type="spellEnd"/>
      <w:r>
        <w:rPr>
          <w:b/>
          <w:u w:val="single"/>
        </w:rPr>
        <w:t xml:space="preserve">: </w:t>
      </w:r>
      <w:r w:rsidRPr="00B70EDB">
        <w:rPr>
          <w:b/>
          <w:u w:val="single"/>
        </w:rPr>
        <w:t>Jointly Controlled Operations</w:t>
      </w:r>
    </w:p>
    <w:p w:rsidR="008835EB" w:rsidRDefault="008835EB" w:rsidP="008835EB">
      <w:pPr>
        <w:spacing w:after="120"/>
      </w:pPr>
      <w:r>
        <w:t>The Shared Services Centre (SSC) commenced operation on 1 July 2014. The SSC provides operational, transactional, advisory and support functions for information technology and a range of corporate services for the partner departments: the Departments of Employment (Employment) and Education and Training (Education).The SSC also provides services to other agencies across the Commonwealth on a fee for service basis.</w:t>
      </w:r>
    </w:p>
    <w:p w:rsidR="008835EB" w:rsidRDefault="008835EB" w:rsidP="008835EB">
      <w:pPr>
        <w:spacing w:after="120"/>
        <w:rPr>
          <w:rFonts w:cs="Calibri"/>
          <w:szCs w:val="18"/>
        </w:rPr>
      </w:pPr>
      <w:r>
        <w:rPr>
          <w:rFonts w:cs="Calibri"/>
          <w:szCs w:val="18"/>
        </w:rPr>
        <w:t xml:space="preserve">The SSC is classed as a joint operation under </w:t>
      </w:r>
      <w:proofErr w:type="spellStart"/>
      <w:r>
        <w:rPr>
          <w:rFonts w:cs="Calibri"/>
          <w:i/>
          <w:iCs/>
          <w:szCs w:val="18"/>
        </w:rPr>
        <w:t>AASB</w:t>
      </w:r>
      <w:proofErr w:type="spellEnd"/>
      <w:r>
        <w:rPr>
          <w:rFonts w:cs="Calibri"/>
          <w:i/>
          <w:iCs/>
          <w:szCs w:val="18"/>
        </w:rPr>
        <w:t xml:space="preserve"> 11—Joint Arrangement, </w:t>
      </w:r>
      <w:r>
        <w:rPr>
          <w:rFonts w:cs="Calibri"/>
          <w:szCs w:val="18"/>
        </w:rPr>
        <w:t xml:space="preserve">whereby Employment and Education have joint control of the arrangement with rights to the assets and obligations for the liabilities relating to the SSC. The rights and obligations, as well as the contributions by the partner agencies, are underpinned by a Heads of Agreement between the two partner departments. </w:t>
      </w:r>
      <w:r w:rsidRPr="00835485">
        <w:rPr>
          <w:rFonts w:cs="Calibri"/>
          <w:szCs w:val="18"/>
        </w:rPr>
        <w:t>The financial statements of both departments recognise their share of the assets, liabilities, revenues and expenses of the SSC.</w:t>
      </w:r>
    </w:p>
    <w:p w:rsidR="008835EB" w:rsidRDefault="008835EB" w:rsidP="008835EB">
      <w:pPr>
        <w:spacing w:after="120"/>
      </w:pPr>
      <w:r w:rsidRPr="00835485">
        <w:rPr>
          <w:rFonts w:cs="Calibri"/>
          <w:szCs w:val="18"/>
        </w:rPr>
        <w:t xml:space="preserve">The partner’s ownership in the SSC </w:t>
      </w:r>
      <w:r w:rsidRPr="000F144E">
        <w:rPr>
          <w:rFonts w:cs="Calibri"/>
          <w:szCs w:val="18"/>
        </w:rPr>
        <w:t>is 50:50</w:t>
      </w:r>
      <w:r>
        <w:rPr>
          <w:rFonts w:cs="Calibri"/>
          <w:szCs w:val="18"/>
        </w:rPr>
        <w:t>.</w:t>
      </w:r>
      <w:r w:rsidRPr="00835485">
        <w:rPr>
          <w:rFonts w:cs="Calibri"/>
          <w:szCs w:val="18"/>
        </w:rPr>
        <w:t xml:space="preserve"> Items are generally sh</w:t>
      </w:r>
      <w:r>
        <w:rPr>
          <w:rFonts w:cs="Calibri"/>
          <w:szCs w:val="18"/>
        </w:rPr>
        <w:t>ared between Employment and Education on</w:t>
      </w:r>
      <w:r w:rsidRPr="00835485">
        <w:rPr>
          <w:rFonts w:cs="Calibri"/>
          <w:szCs w:val="18"/>
        </w:rPr>
        <w:t xml:space="preserve"> </w:t>
      </w:r>
      <w:r w:rsidRPr="000F144E">
        <w:rPr>
          <w:rFonts w:cs="Calibri"/>
          <w:szCs w:val="18"/>
        </w:rPr>
        <w:t>49:51</w:t>
      </w:r>
      <w:r>
        <w:rPr>
          <w:rFonts w:cs="Calibri"/>
          <w:szCs w:val="18"/>
        </w:rPr>
        <w:t xml:space="preserve"> </w:t>
      </w:r>
      <w:proofErr w:type="gramStart"/>
      <w:r w:rsidRPr="00835485">
        <w:rPr>
          <w:rFonts w:cs="Calibri"/>
          <w:szCs w:val="18"/>
        </w:rPr>
        <w:t>basis</w:t>
      </w:r>
      <w:proofErr w:type="gramEnd"/>
      <w:r>
        <w:rPr>
          <w:rFonts w:cs="Calibri"/>
          <w:szCs w:val="18"/>
        </w:rPr>
        <w:t xml:space="preserve"> respectively</w:t>
      </w:r>
      <w:r w:rsidRPr="00835485">
        <w:rPr>
          <w:rFonts w:cs="Calibri"/>
          <w:szCs w:val="18"/>
        </w:rPr>
        <w:t>, with the main exception being property related items which are allocated based on oc</w:t>
      </w:r>
      <w:r>
        <w:rPr>
          <w:rFonts w:cs="Calibri"/>
          <w:szCs w:val="18"/>
        </w:rPr>
        <w:t xml:space="preserve">cupancy at an agreed date. </w:t>
      </w:r>
      <w:r w:rsidRPr="00835485">
        <w:rPr>
          <w:rFonts w:cs="Calibri"/>
          <w:szCs w:val="18"/>
        </w:rPr>
        <w:t xml:space="preserve">The resultant overall share of net assets for Employment in </w:t>
      </w:r>
      <w:r w:rsidRPr="00F556BB">
        <w:rPr>
          <w:rFonts w:cs="Calibri"/>
          <w:szCs w:val="18"/>
        </w:rPr>
        <w:t>2015</w:t>
      </w:r>
      <w:r>
        <w:rPr>
          <w:rFonts w:cs="Calibri"/>
          <w:szCs w:val="18"/>
        </w:rPr>
        <w:t>–</w:t>
      </w:r>
      <w:r w:rsidRPr="00F556BB">
        <w:rPr>
          <w:rFonts w:cs="Calibri"/>
          <w:szCs w:val="18"/>
        </w:rPr>
        <w:t xml:space="preserve">16 is </w:t>
      </w:r>
      <w:r w:rsidRPr="005915C7">
        <w:rPr>
          <w:rFonts w:cs="Calibri"/>
          <w:szCs w:val="18"/>
        </w:rPr>
        <w:t>51</w:t>
      </w:r>
      <w:r>
        <w:rPr>
          <w:rFonts w:cs="Calibri"/>
          <w:szCs w:val="18"/>
        </w:rPr>
        <w:t xml:space="preserve"> per cent</w:t>
      </w:r>
      <w:r w:rsidRPr="005915C7">
        <w:rPr>
          <w:rFonts w:cs="Calibri"/>
          <w:szCs w:val="18"/>
        </w:rPr>
        <w:t>.</w:t>
      </w:r>
      <w:bookmarkStart w:id="283" w:name="RANGE!D7:G67"/>
      <w:bookmarkEnd w:id="283"/>
    </w:p>
    <w:p w:rsidR="008835EB" w:rsidRDefault="008835EB" w:rsidP="008835EB">
      <w:pPr>
        <w:spacing w:line="240" w:lineRule="auto"/>
      </w:pPr>
      <w:r>
        <w:br w:type="page"/>
      </w:r>
    </w:p>
    <w:p w:rsidR="008835EB" w:rsidRDefault="008835EB" w:rsidP="008835EB">
      <w:pPr>
        <w:pStyle w:val="SubHeading"/>
      </w:pPr>
      <w:bookmarkStart w:id="284" w:name="_Toc456689849"/>
      <w:r>
        <w:lastRenderedPageBreak/>
        <w:t>Payables</w:t>
      </w:r>
      <w:bookmarkEnd w:id="284"/>
    </w:p>
    <w:tbl>
      <w:tblPr>
        <w:tblW w:w="9087" w:type="dxa"/>
        <w:tblInd w:w="80" w:type="dxa"/>
        <w:tblLayout w:type="fixed"/>
        <w:tblLook w:val="04A0" w:firstRow="1" w:lastRow="0" w:firstColumn="1" w:lastColumn="0" w:noHBand="0" w:noVBand="1"/>
      </w:tblPr>
      <w:tblGrid>
        <w:gridCol w:w="6346"/>
        <w:gridCol w:w="1252"/>
        <w:gridCol w:w="239"/>
        <w:gridCol w:w="1250"/>
      </w:tblGrid>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bookmarkStart w:id="285" w:name="Note_SPATABLE1" w:colFirst="0" w:colLast="0"/>
            <w:r>
              <w:rPr>
                <w:rFonts w:cs="Calibri"/>
                <w:szCs w:val="18"/>
              </w:rPr>
              <w:t> </w:t>
            </w:r>
          </w:p>
        </w:tc>
        <w:tc>
          <w:tcPr>
            <w:tcW w:w="1238"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2016</w:t>
            </w:r>
          </w:p>
        </w:tc>
        <w:tc>
          <w:tcPr>
            <w:tcW w:w="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2015</w:t>
            </w:r>
          </w:p>
        </w:tc>
      </w:tr>
      <w:bookmarkEnd w:id="285"/>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38"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ascii="Arial" w:hAnsi="Arial" w:cs="Arial"/>
                <w:b/>
                <w:bCs/>
                <w:szCs w:val="18"/>
              </w:rPr>
            </w:pPr>
            <w:r>
              <w:rPr>
                <w:rFonts w:ascii="Arial" w:hAnsi="Arial" w:cs="Arial"/>
                <w:b/>
                <w:bCs/>
                <w:szCs w:val="18"/>
              </w:rPr>
              <w:t>$'000</w:t>
            </w:r>
          </w:p>
        </w:tc>
        <w:tc>
          <w:tcPr>
            <w:tcW w:w="23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ascii="Arial" w:hAnsi="Arial" w:cs="Arial"/>
                <w:szCs w:val="18"/>
              </w:rPr>
            </w:pPr>
            <w:r>
              <w:rPr>
                <w:rFonts w:ascii="Arial" w:hAnsi="Arial" w:cs="Arial"/>
                <w:szCs w:val="18"/>
              </w:rPr>
              <w:t>$'000</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b/>
                <w:bCs/>
                <w:szCs w:val="18"/>
                <w:u w:val="single"/>
              </w:rPr>
            </w:pPr>
            <w:r>
              <w:rPr>
                <w:rFonts w:cs="Calibri"/>
                <w:b/>
                <w:bCs/>
                <w:szCs w:val="18"/>
                <w:u w:val="single"/>
              </w:rPr>
              <w:t xml:space="preserve">Note </w:t>
            </w:r>
            <w:proofErr w:type="spellStart"/>
            <w:r>
              <w:rPr>
                <w:rFonts w:cs="Calibri"/>
                <w:b/>
                <w:bCs/>
                <w:szCs w:val="18"/>
                <w:u w:val="single"/>
              </w:rPr>
              <w:t>3.3A</w:t>
            </w:r>
            <w:proofErr w:type="spellEnd"/>
            <w:r>
              <w:rPr>
                <w:rFonts w:cs="Calibri"/>
                <w:b/>
                <w:bCs/>
                <w:szCs w:val="18"/>
                <w:u w:val="single"/>
              </w:rPr>
              <w:t>: Suppliers</w:t>
            </w:r>
          </w:p>
        </w:tc>
        <w:tc>
          <w:tcPr>
            <w:tcW w:w="1238"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b/>
                <w:bCs/>
                <w:szCs w:val="18"/>
              </w:rPr>
            </w:pPr>
            <w:r>
              <w:rPr>
                <w:rFonts w:ascii="Arial" w:hAnsi="Arial" w:cs="Arial"/>
                <w:b/>
                <w:bCs/>
                <w:szCs w:val="18"/>
              </w:rPr>
              <w:t> </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b/>
                <w:bCs/>
                <w:szCs w:val="18"/>
              </w:rPr>
            </w:pPr>
            <w:r>
              <w:rPr>
                <w:rFonts w:ascii="Arial" w:hAnsi="Arial" w:cs="Arial"/>
                <w:b/>
                <w:bCs/>
                <w:szCs w:val="18"/>
              </w:rPr>
              <w:t> </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Trade creditors</w:t>
            </w:r>
          </w:p>
        </w:tc>
        <w:tc>
          <w:tcPr>
            <w:tcW w:w="1238"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15,736</w:t>
            </w:r>
          </w:p>
        </w:tc>
        <w:tc>
          <w:tcPr>
            <w:tcW w:w="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14,606</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 xml:space="preserve">Operating lease rentals </w:t>
            </w:r>
          </w:p>
        </w:tc>
        <w:tc>
          <w:tcPr>
            <w:tcW w:w="1238"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2,143</w:t>
            </w:r>
          </w:p>
        </w:tc>
        <w:tc>
          <w:tcPr>
            <w:tcW w:w="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2,114</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b/>
                <w:bCs/>
                <w:i/>
                <w:iCs/>
                <w:szCs w:val="18"/>
              </w:rPr>
            </w:pPr>
            <w:r>
              <w:rPr>
                <w:rFonts w:cs="Calibri"/>
                <w:b/>
                <w:bCs/>
                <w:i/>
                <w:iCs/>
                <w:szCs w:val="18"/>
              </w:rPr>
              <w:t>Total suppliers</w:t>
            </w:r>
          </w:p>
        </w:tc>
        <w:tc>
          <w:tcPr>
            <w:tcW w:w="1238"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17,879</w:t>
            </w:r>
          </w:p>
        </w:tc>
        <w:tc>
          <w:tcPr>
            <w:tcW w:w="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16,720</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b/>
                <w:bCs/>
                <w:szCs w:val="18"/>
              </w:rPr>
            </w:pPr>
            <w:r>
              <w:rPr>
                <w:rFonts w:cs="Calibri"/>
                <w:b/>
                <w:bCs/>
                <w:szCs w:val="18"/>
              </w:rPr>
              <w:t>Suppliers expected to be settled</w:t>
            </w:r>
          </w:p>
        </w:tc>
        <w:tc>
          <w:tcPr>
            <w:tcW w:w="1238"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ascii="Arial" w:hAnsi="Arial" w:cs="Arial"/>
                <w:szCs w:val="18"/>
              </w:rPr>
            </w:pPr>
            <w:r>
              <w:rPr>
                <w:rFonts w:ascii="Arial" w:hAnsi="Arial" w:cs="Arial"/>
                <w:szCs w:val="18"/>
              </w:rPr>
              <w:t> </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8835EB">
            <w:pPr>
              <w:spacing w:line="240" w:lineRule="auto"/>
              <w:ind w:firstLineChars="100" w:firstLine="180"/>
              <w:rPr>
                <w:rFonts w:cs="Calibri"/>
                <w:szCs w:val="18"/>
              </w:rPr>
            </w:pPr>
            <w:r>
              <w:rPr>
                <w:rFonts w:cs="Calibri"/>
                <w:szCs w:val="18"/>
              </w:rPr>
              <w:t>No more than 12 months</w:t>
            </w:r>
          </w:p>
        </w:tc>
        <w:tc>
          <w:tcPr>
            <w:tcW w:w="1238"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16,195 </w:t>
            </w:r>
          </w:p>
        </w:tc>
        <w:tc>
          <w:tcPr>
            <w:tcW w:w="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15,652 </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8835EB">
            <w:pPr>
              <w:spacing w:line="240" w:lineRule="auto"/>
              <w:ind w:firstLineChars="100" w:firstLine="180"/>
              <w:rPr>
                <w:rFonts w:cs="Calibri"/>
                <w:szCs w:val="18"/>
              </w:rPr>
            </w:pPr>
            <w:r>
              <w:rPr>
                <w:rFonts w:cs="Calibri"/>
                <w:szCs w:val="18"/>
              </w:rPr>
              <w:t>More than 12 months</w:t>
            </w:r>
          </w:p>
        </w:tc>
        <w:tc>
          <w:tcPr>
            <w:tcW w:w="1238"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1,684 </w:t>
            </w:r>
          </w:p>
        </w:tc>
        <w:tc>
          <w:tcPr>
            <w:tcW w:w="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1,068 </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b/>
                <w:bCs/>
                <w:i/>
                <w:iCs/>
                <w:szCs w:val="18"/>
              </w:rPr>
            </w:pPr>
            <w:r>
              <w:rPr>
                <w:rFonts w:cs="Calibri"/>
                <w:b/>
                <w:bCs/>
                <w:i/>
                <w:iCs/>
                <w:szCs w:val="18"/>
              </w:rPr>
              <w:t>Total suppliers</w:t>
            </w:r>
          </w:p>
        </w:tc>
        <w:tc>
          <w:tcPr>
            <w:tcW w:w="1238"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17,879</w:t>
            </w:r>
          </w:p>
        </w:tc>
        <w:tc>
          <w:tcPr>
            <w:tcW w:w="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16,720</w:t>
            </w:r>
          </w:p>
        </w:tc>
      </w:tr>
    </w:tbl>
    <w:p w:rsidR="008835EB" w:rsidRDefault="008835EB" w:rsidP="008835EB">
      <w:pPr>
        <w:spacing w:before="120" w:after="120"/>
      </w:pPr>
      <w:bookmarkStart w:id="286" w:name="RANGE!D6:D24"/>
      <w:bookmarkStart w:id="287" w:name="RANGE!D6:G24"/>
      <w:bookmarkEnd w:id="286"/>
      <w:bookmarkEnd w:id="287"/>
      <w:r>
        <w:t>Settlement is usually made within 30 days.</w:t>
      </w:r>
    </w:p>
    <w:tbl>
      <w:tblPr>
        <w:tblW w:w="9087" w:type="dxa"/>
        <w:tblInd w:w="80" w:type="dxa"/>
        <w:tblLayout w:type="fixed"/>
        <w:tblLook w:val="04A0" w:firstRow="1" w:lastRow="0" w:firstColumn="1" w:lastColumn="0" w:noHBand="0" w:noVBand="1"/>
      </w:tblPr>
      <w:tblGrid>
        <w:gridCol w:w="6346"/>
        <w:gridCol w:w="1252"/>
        <w:gridCol w:w="239"/>
        <w:gridCol w:w="1250"/>
      </w:tblGrid>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b/>
                <w:bCs/>
                <w:szCs w:val="18"/>
                <w:u w:val="single"/>
              </w:rPr>
            </w:pPr>
            <w:bookmarkStart w:id="288" w:name="Note_OPBTABLE1" w:colFirst="0" w:colLast="0"/>
            <w:r>
              <w:rPr>
                <w:rFonts w:cs="Calibri"/>
                <w:b/>
                <w:bCs/>
                <w:szCs w:val="18"/>
                <w:u w:val="single"/>
              </w:rPr>
              <w:t xml:space="preserve">Note </w:t>
            </w:r>
            <w:proofErr w:type="spellStart"/>
            <w:r>
              <w:rPr>
                <w:rFonts w:cs="Calibri"/>
                <w:b/>
                <w:bCs/>
                <w:szCs w:val="18"/>
                <w:u w:val="single"/>
              </w:rPr>
              <w:t>3.3B</w:t>
            </w:r>
            <w:proofErr w:type="spellEnd"/>
            <w:r>
              <w:rPr>
                <w:rFonts w:cs="Calibri"/>
                <w:b/>
                <w:bCs/>
                <w:szCs w:val="18"/>
                <w:u w:val="single"/>
              </w:rPr>
              <w:t>: Other Payables</w:t>
            </w:r>
          </w:p>
        </w:tc>
        <w:tc>
          <w:tcPr>
            <w:tcW w:w="1238"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r>
      <w:bookmarkEnd w:id="288"/>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Salaries and wages</w:t>
            </w:r>
          </w:p>
        </w:tc>
        <w:tc>
          <w:tcPr>
            <w:tcW w:w="1238"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710</w:t>
            </w:r>
          </w:p>
        </w:tc>
        <w:tc>
          <w:tcPr>
            <w:tcW w:w="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5,842</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Superannuation</w:t>
            </w:r>
          </w:p>
        </w:tc>
        <w:tc>
          <w:tcPr>
            <w:tcW w:w="1238"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129</w:t>
            </w:r>
          </w:p>
        </w:tc>
        <w:tc>
          <w:tcPr>
            <w:tcW w:w="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1,004</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Separations and redundancies</w:t>
            </w:r>
          </w:p>
        </w:tc>
        <w:tc>
          <w:tcPr>
            <w:tcW w:w="1238"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1,844</w:t>
            </w:r>
          </w:p>
        </w:tc>
        <w:tc>
          <w:tcPr>
            <w:tcW w:w="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108</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Other employee benefits</w:t>
            </w:r>
          </w:p>
        </w:tc>
        <w:tc>
          <w:tcPr>
            <w:tcW w:w="1238"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438</w:t>
            </w:r>
          </w:p>
        </w:tc>
        <w:tc>
          <w:tcPr>
            <w:tcW w:w="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468</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Lease incentive</w:t>
            </w:r>
          </w:p>
        </w:tc>
        <w:tc>
          <w:tcPr>
            <w:tcW w:w="1238"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21,320</w:t>
            </w:r>
          </w:p>
        </w:tc>
        <w:tc>
          <w:tcPr>
            <w:tcW w:w="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16,817</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Unearned income</w:t>
            </w:r>
          </w:p>
        </w:tc>
        <w:tc>
          <w:tcPr>
            <w:tcW w:w="1238"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1,261</w:t>
            </w:r>
          </w:p>
        </w:tc>
        <w:tc>
          <w:tcPr>
            <w:tcW w:w="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3,979</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szCs w:val="18"/>
              </w:rPr>
            </w:pPr>
            <w:r>
              <w:rPr>
                <w:rFonts w:cs="Calibri"/>
                <w:szCs w:val="18"/>
              </w:rPr>
              <w:t>Accrued expenses</w:t>
            </w:r>
          </w:p>
        </w:tc>
        <w:tc>
          <w:tcPr>
            <w:tcW w:w="1238"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7,257</w:t>
            </w:r>
          </w:p>
        </w:tc>
        <w:tc>
          <w:tcPr>
            <w:tcW w:w="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6,718</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b/>
                <w:bCs/>
                <w:i/>
                <w:iCs/>
                <w:szCs w:val="18"/>
              </w:rPr>
            </w:pPr>
            <w:r>
              <w:rPr>
                <w:rFonts w:cs="Calibri"/>
                <w:b/>
                <w:bCs/>
                <w:i/>
                <w:iCs/>
                <w:szCs w:val="18"/>
              </w:rPr>
              <w:t>Total other payables</w:t>
            </w:r>
          </w:p>
        </w:tc>
        <w:tc>
          <w:tcPr>
            <w:tcW w:w="1238"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32,959</w:t>
            </w:r>
          </w:p>
        </w:tc>
        <w:tc>
          <w:tcPr>
            <w:tcW w:w="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34,936</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b/>
                <w:bCs/>
                <w:i/>
                <w:iCs/>
                <w:szCs w:val="18"/>
              </w:rPr>
            </w:pPr>
            <w:r>
              <w:rPr>
                <w:rFonts w:cs="Calibri"/>
                <w:b/>
                <w:bCs/>
                <w:i/>
                <w:iCs/>
                <w:szCs w:val="18"/>
              </w:rPr>
              <w:t> </w:t>
            </w:r>
          </w:p>
        </w:tc>
        <w:tc>
          <w:tcPr>
            <w:tcW w:w="1238"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b/>
                <w:bCs/>
                <w:szCs w:val="18"/>
              </w:rPr>
            </w:pPr>
            <w:r>
              <w:rPr>
                <w:rFonts w:cs="Calibri"/>
                <w:b/>
                <w:bCs/>
                <w:szCs w:val="18"/>
              </w:rPr>
              <w:t>Other payables  expected to be settled</w:t>
            </w:r>
          </w:p>
        </w:tc>
        <w:tc>
          <w:tcPr>
            <w:tcW w:w="1238"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8835EB">
            <w:pPr>
              <w:spacing w:line="240" w:lineRule="auto"/>
              <w:ind w:firstLineChars="100" w:firstLine="180"/>
              <w:rPr>
                <w:rFonts w:cs="Calibri"/>
                <w:szCs w:val="18"/>
              </w:rPr>
            </w:pPr>
            <w:r>
              <w:rPr>
                <w:rFonts w:cs="Calibri"/>
                <w:szCs w:val="18"/>
              </w:rPr>
              <w:t>No more than 12 months</w:t>
            </w:r>
          </w:p>
        </w:tc>
        <w:tc>
          <w:tcPr>
            <w:tcW w:w="1238"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14,197 </w:t>
            </w:r>
          </w:p>
        </w:tc>
        <w:tc>
          <w:tcPr>
            <w:tcW w:w="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20,142 </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8835EB">
            <w:pPr>
              <w:spacing w:line="240" w:lineRule="auto"/>
              <w:ind w:firstLineChars="100" w:firstLine="180"/>
              <w:rPr>
                <w:rFonts w:cs="Calibri"/>
                <w:szCs w:val="18"/>
              </w:rPr>
            </w:pPr>
            <w:r>
              <w:rPr>
                <w:rFonts w:cs="Calibri"/>
                <w:szCs w:val="18"/>
              </w:rPr>
              <w:t>More than 12 months</w:t>
            </w:r>
          </w:p>
        </w:tc>
        <w:tc>
          <w:tcPr>
            <w:tcW w:w="1238"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 xml:space="preserve">18,762 </w:t>
            </w:r>
          </w:p>
        </w:tc>
        <w:tc>
          <w:tcPr>
            <w:tcW w:w="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 xml:space="preserve">14,794 </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spacing w:line="240" w:lineRule="auto"/>
              <w:rPr>
                <w:rFonts w:cs="Calibri"/>
                <w:b/>
                <w:bCs/>
                <w:i/>
                <w:iCs/>
                <w:szCs w:val="18"/>
              </w:rPr>
            </w:pPr>
            <w:r>
              <w:rPr>
                <w:rFonts w:cs="Calibri"/>
                <w:b/>
                <w:bCs/>
                <w:i/>
                <w:iCs/>
                <w:szCs w:val="18"/>
              </w:rPr>
              <w:t>Total other payables</w:t>
            </w:r>
          </w:p>
        </w:tc>
        <w:tc>
          <w:tcPr>
            <w:tcW w:w="1238"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b/>
                <w:bCs/>
                <w:szCs w:val="18"/>
              </w:rPr>
            </w:pPr>
            <w:r>
              <w:rPr>
                <w:rFonts w:cs="Calibri"/>
                <w:b/>
                <w:bCs/>
                <w:szCs w:val="18"/>
              </w:rPr>
              <w:t>32,959</w:t>
            </w:r>
          </w:p>
        </w:tc>
        <w:tc>
          <w:tcPr>
            <w:tcW w:w="236" w:type="dxa"/>
            <w:tcBorders>
              <w:top w:val="nil"/>
              <w:left w:val="nil"/>
              <w:bottom w:val="nil"/>
              <w:right w:val="nil"/>
            </w:tcBorders>
            <w:shd w:val="clear" w:color="FFFFFF" w:fill="FFFFFF"/>
            <w:noWrap/>
            <w:vAlign w:val="bottom"/>
            <w:hideMark/>
          </w:tcPr>
          <w:p w:rsidR="008835EB" w:rsidRDefault="008835EB" w:rsidP="007E3F2E">
            <w:pPr>
              <w:spacing w:line="240" w:lineRule="auto"/>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spacing w:line="240" w:lineRule="auto"/>
              <w:jc w:val="right"/>
              <w:rPr>
                <w:rFonts w:cs="Calibri"/>
                <w:szCs w:val="18"/>
              </w:rPr>
            </w:pPr>
            <w:r>
              <w:rPr>
                <w:rFonts w:cs="Calibri"/>
                <w:szCs w:val="18"/>
              </w:rPr>
              <w:t>34,936</w:t>
            </w:r>
          </w:p>
        </w:tc>
      </w:tr>
    </w:tbl>
    <w:p w:rsidR="008835EB" w:rsidRDefault="008835EB" w:rsidP="008835EB">
      <w:pPr>
        <w:pStyle w:val="PolicyheadingDept"/>
        <w:spacing w:before="240"/>
      </w:pPr>
      <w:bookmarkStart w:id="289" w:name="RANGE!D7:G23"/>
      <w:bookmarkEnd w:id="289"/>
      <w:r>
        <w:t>Accounting Policy</w:t>
      </w:r>
    </w:p>
    <w:p w:rsidR="008835EB" w:rsidRDefault="008835EB" w:rsidP="008835EB">
      <w:pPr>
        <w:pStyle w:val="Policytextunderline"/>
      </w:pPr>
      <w:r w:rsidRPr="00200687">
        <w:t xml:space="preserve">Lease </w:t>
      </w:r>
      <w:r>
        <w:t>I</w:t>
      </w:r>
      <w:r w:rsidRPr="00200687">
        <w:t>ncentives</w:t>
      </w:r>
    </w:p>
    <w:p w:rsidR="008835EB" w:rsidRDefault="008835EB" w:rsidP="008835EB">
      <w:pPr>
        <w:pStyle w:val="Policytextunderline"/>
        <w:rPr>
          <w:i w:val="0"/>
          <w:u w:val="none"/>
          <w:lang w:eastAsia="en-AU"/>
        </w:rPr>
      </w:pPr>
      <w:r w:rsidRPr="0078186A">
        <w:rPr>
          <w:i w:val="0"/>
          <w:u w:val="none"/>
          <w:lang w:eastAsia="en-AU"/>
        </w:rPr>
        <w:t>Lease incentives taking the form of ‘free’ leasehold improvements and rent free holidays are recognised as liabilities. These liabilities are reduced by allocating lease payments between rental expense and reduction of the liability.</w:t>
      </w:r>
    </w:p>
    <w:p w:rsidR="008835EB" w:rsidRDefault="008835EB" w:rsidP="008835EB">
      <w:pPr>
        <w:pStyle w:val="Policytextunderline"/>
      </w:pPr>
      <w:r w:rsidRPr="00200687">
        <w:t>Financial Liabilities</w:t>
      </w:r>
    </w:p>
    <w:p w:rsidR="008835EB" w:rsidRPr="00200687" w:rsidRDefault="008835EB" w:rsidP="008835EB">
      <w:pPr>
        <w:pStyle w:val="Policytextunderline"/>
      </w:pPr>
      <w:r w:rsidRPr="0078186A">
        <w:rPr>
          <w:i w:val="0"/>
          <w:u w:val="none"/>
          <w:lang w:eastAsia="en-AU"/>
        </w:rPr>
        <w:t>Financial liabilities are classified as either financial liabilities ‘at fair value through profit or loss’ o</w:t>
      </w:r>
      <w:r>
        <w:rPr>
          <w:i w:val="0"/>
          <w:u w:val="none"/>
          <w:lang w:eastAsia="en-AU"/>
        </w:rPr>
        <w:t xml:space="preserve">r other financial liabilities. </w:t>
      </w:r>
      <w:r w:rsidRPr="0078186A">
        <w:rPr>
          <w:i w:val="0"/>
          <w:u w:val="none"/>
          <w:lang w:eastAsia="en-AU"/>
        </w:rPr>
        <w:t>Financial liabilities are recognised and derecognised upon trade date.</w:t>
      </w:r>
      <w:r w:rsidRPr="00200687">
        <w:rPr>
          <w:lang w:eastAsia="en-AU"/>
        </w:rPr>
        <w:t xml:space="preserve"> </w:t>
      </w:r>
    </w:p>
    <w:p w:rsidR="008835EB" w:rsidRDefault="008835EB" w:rsidP="008835EB">
      <w:pPr>
        <w:pStyle w:val="Policytextunderline"/>
      </w:pPr>
      <w:r w:rsidRPr="00200687">
        <w:t xml:space="preserve">Financial </w:t>
      </w:r>
      <w:r>
        <w:t>L</w:t>
      </w:r>
      <w:r w:rsidRPr="00200687">
        <w:t xml:space="preserve">iabilities at </w:t>
      </w:r>
      <w:r>
        <w:t>F</w:t>
      </w:r>
      <w:r w:rsidRPr="00200687">
        <w:t xml:space="preserve">air </w:t>
      </w:r>
      <w:r>
        <w:t>V</w:t>
      </w:r>
      <w:r w:rsidRPr="00200687">
        <w:t xml:space="preserve">alue </w:t>
      </w:r>
      <w:r>
        <w:t>t</w:t>
      </w:r>
      <w:r w:rsidRPr="00200687">
        <w:t xml:space="preserve">hrough </w:t>
      </w:r>
      <w:r>
        <w:t>P</w:t>
      </w:r>
      <w:r w:rsidRPr="00200687">
        <w:t xml:space="preserve">rofit or </w:t>
      </w:r>
      <w:r>
        <w:t>L</w:t>
      </w:r>
      <w:r w:rsidRPr="00200687">
        <w:t>oss</w:t>
      </w:r>
    </w:p>
    <w:p w:rsidR="008835EB" w:rsidRPr="0078186A" w:rsidRDefault="008835EB" w:rsidP="008835EB">
      <w:pPr>
        <w:pStyle w:val="Policytextunderline"/>
      </w:pPr>
      <w:r w:rsidRPr="0078186A">
        <w:rPr>
          <w:i w:val="0"/>
          <w:u w:val="none"/>
          <w:lang w:eastAsia="en-AU"/>
        </w:rPr>
        <w:t>Financial liabilities at fair value through profit or loss are initially measured at fair value. Subsequent fair value adjustments are</w:t>
      </w:r>
      <w:r>
        <w:rPr>
          <w:i w:val="0"/>
          <w:u w:val="none"/>
          <w:lang w:eastAsia="en-AU"/>
        </w:rPr>
        <w:t xml:space="preserve"> recognised in profit or loss. </w:t>
      </w:r>
      <w:r w:rsidRPr="0078186A">
        <w:rPr>
          <w:i w:val="0"/>
          <w:u w:val="none"/>
          <w:lang w:eastAsia="en-AU"/>
        </w:rPr>
        <w:t>The net gain or loss recognised in profit or loss incorporates any interest paid on the financial liability.</w:t>
      </w:r>
    </w:p>
    <w:p w:rsidR="008835EB" w:rsidRDefault="008835EB" w:rsidP="008835EB">
      <w:pPr>
        <w:pStyle w:val="Policytextunderline"/>
      </w:pPr>
      <w:r w:rsidRPr="00200687">
        <w:t xml:space="preserve">Other </w:t>
      </w:r>
      <w:r>
        <w:t>F</w:t>
      </w:r>
      <w:r w:rsidRPr="00200687">
        <w:t xml:space="preserve">inancial </w:t>
      </w:r>
      <w:r>
        <w:t>L</w:t>
      </w:r>
      <w:r w:rsidRPr="00200687">
        <w:t>iabilities</w:t>
      </w:r>
    </w:p>
    <w:p w:rsidR="008835EB" w:rsidRPr="00200687" w:rsidRDefault="008835EB" w:rsidP="008835EB">
      <w:pPr>
        <w:pStyle w:val="Policytextunderline"/>
      </w:pPr>
      <w:r w:rsidRPr="0078186A">
        <w:rPr>
          <w:i w:val="0"/>
          <w:u w:val="none"/>
          <w:lang w:eastAsia="en-AU"/>
        </w:rPr>
        <w:t>Other financial liabilities are initially measured at fair value, net of transaction costs. These liabilities are subsequently measured at amortised cost using the effective interest method, with interest expense recognised on an effective yield basis.</w:t>
      </w:r>
    </w:p>
    <w:p w:rsidR="008835EB" w:rsidRDefault="008835EB" w:rsidP="008835EB">
      <w:pPr>
        <w:pStyle w:val="Policytextunderline"/>
        <w:rPr>
          <w:i w:val="0"/>
          <w:u w:val="none"/>
          <w:lang w:eastAsia="en-AU"/>
        </w:rPr>
      </w:pPr>
      <w:r w:rsidRPr="0078186A">
        <w:rPr>
          <w:i w:val="0"/>
          <w:u w:val="none"/>
          <w:lang w:eastAsia="en-AU"/>
        </w:rPr>
        <w:t>The effective interest method is a method of calculating the amortised cost of a financial liability and of allocating interest exp</w:t>
      </w:r>
      <w:r>
        <w:rPr>
          <w:i w:val="0"/>
          <w:u w:val="none"/>
          <w:lang w:eastAsia="en-AU"/>
        </w:rPr>
        <w:t xml:space="preserve">ense over the relevant period. </w:t>
      </w:r>
      <w:r w:rsidRPr="0078186A">
        <w:rPr>
          <w:i w:val="0"/>
          <w:u w:val="none"/>
          <w:lang w:eastAsia="en-AU"/>
        </w:rPr>
        <w:t>The effective interest rate is the rate that exactly discounts estimated future cash payments through the expected life of the financial liability, or, where appropriate, a shorter period.</w:t>
      </w:r>
      <w:r>
        <w:rPr>
          <w:i w:val="0"/>
          <w:u w:val="none"/>
          <w:lang w:eastAsia="en-AU"/>
        </w:rPr>
        <w:t xml:space="preserve"> </w:t>
      </w:r>
    </w:p>
    <w:p w:rsidR="008835EB" w:rsidRPr="003418B1" w:rsidRDefault="008835EB" w:rsidP="008835EB">
      <w:pPr>
        <w:pStyle w:val="Policytextunderline"/>
        <w:rPr>
          <w:i w:val="0"/>
          <w:u w:val="none"/>
          <w:lang w:eastAsia="en-AU"/>
        </w:rPr>
      </w:pPr>
      <w:r w:rsidRPr="0078186A">
        <w:rPr>
          <w:i w:val="0"/>
          <w:u w:val="none"/>
          <w:lang w:eastAsia="en-AU"/>
        </w:rPr>
        <w:t>Supplier and other payables are</w:t>
      </w:r>
      <w:r>
        <w:rPr>
          <w:i w:val="0"/>
          <w:u w:val="none"/>
          <w:lang w:eastAsia="en-AU"/>
        </w:rPr>
        <w:t xml:space="preserve"> recognised at amortised cost. </w:t>
      </w:r>
      <w:r w:rsidRPr="0078186A">
        <w:rPr>
          <w:i w:val="0"/>
          <w:u w:val="none"/>
          <w:lang w:eastAsia="en-AU"/>
        </w:rPr>
        <w:t>Liabilities are recognised to the extent that the goods or services have been received (and irrespective of having been invoiced)</w:t>
      </w:r>
      <w:r>
        <w:rPr>
          <w:i w:val="0"/>
          <w:u w:val="none"/>
          <w:lang w:eastAsia="en-AU"/>
        </w:rPr>
        <w:t>.</w:t>
      </w:r>
      <w:r>
        <w:br w:type="page"/>
      </w:r>
    </w:p>
    <w:p w:rsidR="008835EB" w:rsidRDefault="008835EB" w:rsidP="008835EB">
      <w:pPr>
        <w:pStyle w:val="SubHeading"/>
      </w:pPr>
      <w:bookmarkStart w:id="290" w:name="RANGE!D6:H21"/>
      <w:bookmarkStart w:id="291" w:name="RANGE!D6:D22"/>
      <w:bookmarkStart w:id="292" w:name="RANGE!D6:H22"/>
      <w:bookmarkStart w:id="293" w:name="RANGE!D6:D21"/>
      <w:bookmarkStart w:id="294" w:name="RANGE!D6:G21"/>
      <w:bookmarkStart w:id="295" w:name="RANGE!D6:H20"/>
      <w:bookmarkStart w:id="296" w:name="RANGE!D6:H16"/>
      <w:bookmarkStart w:id="297" w:name="_Toc456689850"/>
      <w:bookmarkEnd w:id="290"/>
      <w:bookmarkEnd w:id="291"/>
      <w:bookmarkEnd w:id="292"/>
      <w:bookmarkEnd w:id="293"/>
      <w:bookmarkEnd w:id="294"/>
      <w:bookmarkEnd w:id="295"/>
      <w:bookmarkEnd w:id="296"/>
      <w:r>
        <w:lastRenderedPageBreak/>
        <w:t>Other Provisions</w:t>
      </w:r>
      <w:bookmarkEnd w:id="297"/>
    </w:p>
    <w:tbl>
      <w:tblPr>
        <w:tblW w:w="9087" w:type="dxa"/>
        <w:tblInd w:w="80" w:type="dxa"/>
        <w:tblLayout w:type="fixed"/>
        <w:tblLook w:val="04A0" w:firstRow="1" w:lastRow="0" w:firstColumn="1" w:lastColumn="0" w:noHBand="0" w:noVBand="1"/>
      </w:tblPr>
      <w:tblGrid>
        <w:gridCol w:w="3875"/>
        <w:gridCol w:w="1350"/>
        <w:gridCol w:w="1367"/>
        <w:gridCol w:w="1348"/>
        <w:gridCol w:w="1147"/>
      </w:tblGrid>
      <w:tr w:rsidR="008835EB" w:rsidTr="007E3F2E">
        <w:trPr>
          <w:trHeight w:val="492"/>
        </w:trPr>
        <w:tc>
          <w:tcPr>
            <w:tcW w:w="3875" w:type="dxa"/>
            <w:tcBorders>
              <w:top w:val="nil"/>
              <w:left w:val="nil"/>
              <w:bottom w:val="nil"/>
              <w:right w:val="nil"/>
            </w:tcBorders>
            <w:shd w:val="clear" w:color="FFFFFF" w:fill="FFFFFF"/>
            <w:noWrap/>
            <w:vAlign w:val="bottom"/>
            <w:hideMark/>
          </w:tcPr>
          <w:p w:rsidR="008835EB" w:rsidRDefault="008835EB" w:rsidP="007E3F2E">
            <w:pPr>
              <w:rPr>
                <w:rFonts w:cs="Calibri"/>
                <w:b/>
                <w:bCs/>
                <w:szCs w:val="18"/>
                <w:u w:val="single"/>
              </w:rPr>
            </w:pPr>
            <w:bookmarkStart w:id="298" w:name="RANGE!D6:D18"/>
            <w:bookmarkStart w:id="299" w:name="RANGE!D6:G18"/>
            <w:bookmarkStart w:id="300" w:name="Note_ROPTABLE1" w:colFirst="0" w:colLast="0"/>
            <w:bookmarkEnd w:id="298"/>
            <w:bookmarkEnd w:id="299"/>
            <w:r>
              <w:rPr>
                <w:rFonts w:cs="Calibri"/>
                <w:b/>
                <w:bCs/>
                <w:szCs w:val="18"/>
                <w:u w:val="single"/>
              </w:rPr>
              <w:t xml:space="preserve">Note </w:t>
            </w:r>
            <w:proofErr w:type="spellStart"/>
            <w:r>
              <w:rPr>
                <w:rFonts w:cs="Calibri"/>
                <w:b/>
                <w:bCs/>
                <w:szCs w:val="18"/>
                <w:u w:val="single"/>
              </w:rPr>
              <w:t>3.4A</w:t>
            </w:r>
            <w:proofErr w:type="spellEnd"/>
            <w:r>
              <w:rPr>
                <w:rFonts w:cs="Calibri"/>
                <w:b/>
                <w:bCs/>
                <w:szCs w:val="18"/>
                <w:u w:val="single"/>
              </w:rPr>
              <w:t>: Other provisions</w:t>
            </w:r>
          </w:p>
        </w:tc>
        <w:tc>
          <w:tcPr>
            <w:tcW w:w="1350"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 </w:t>
            </w:r>
          </w:p>
        </w:tc>
        <w:tc>
          <w:tcPr>
            <w:tcW w:w="1367"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 </w:t>
            </w:r>
          </w:p>
        </w:tc>
        <w:tc>
          <w:tcPr>
            <w:tcW w:w="1348"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 </w:t>
            </w:r>
          </w:p>
        </w:tc>
        <w:tc>
          <w:tcPr>
            <w:tcW w:w="1147"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 </w:t>
            </w:r>
          </w:p>
        </w:tc>
      </w:tr>
      <w:bookmarkEnd w:id="300"/>
      <w:tr w:rsidR="008835EB" w:rsidTr="007E3F2E">
        <w:trPr>
          <w:trHeight w:val="255"/>
        </w:trPr>
        <w:tc>
          <w:tcPr>
            <w:tcW w:w="3875" w:type="dxa"/>
            <w:tcBorders>
              <w:top w:val="nil"/>
              <w:left w:val="nil"/>
              <w:bottom w:val="single" w:sz="4" w:space="0" w:color="auto"/>
              <w:right w:val="nil"/>
            </w:tcBorders>
            <w:shd w:val="clear" w:color="FFFFFF" w:fill="FFFFFF"/>
            <w:vAlign w:val="bottom"/>
            <w:hideMark/>
          </w:tcPr>
          <w:p w:rsidR="008835EB" w:rsidRDefault="008835EB" w:rsidP="007E3F2E">
            <w:pPr>
              <w:rPr>
                <w:rFonts w:ascii="Arial" w:hAnsi="Arial" w:cs="Arial"/>
                <w:szCs w:val="18"/>
              </w:rPr>
            </w:pPr>
            <w:r>
              <w:rPr>
                <w:rFonts w:ascii="Arial" w:hAnsi="Arial" w:cs="Arial"/>
                <w:szCs w:val="18"/>
              </w:rPr>
              <w:t> </w:t>
            </w:r>
          </w:p>
        </w:tc>
        <w:tc>
          <w:tcPr>
            <w:tcW w:w="1350"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 </w:t>
            </w:r>
          </w:p>
        </w:tc>
        <w:tc>
          <w:tcPr>
            <w:tcW w:w="1367"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 </w:t>
            </w:r>
          </w:p>
        </w:tc>
        <w:tc>
          <w:tcPr>
            <w:tcW w:w="1348"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 </w:t>
            </w:r>
          </w:p>
        </w:tc>
        <w:tc>
          <w:tcPr>
            <w:tcW w:w="1147"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 </w:t>
            </w:r>
          </w:p>
        </w:tc>
      </w:tr>
      <w:tr w:rsidR="008835EB" w:rsidTr="007E3F2E">
        <w:trPr>
          <w:trHeight w:val="578"/>
        </w:trPr>
        <w:tc>
          <w:tcPr>
            <w:tcW w:w="3875" w:type="dxa"/>
            <w:tcBorders>
              <w:top w:val="nil"/>
              <w:left w:val="nil"/>
              <w:bottom w:val="nil"/>
              <w:right w:val="nil"/>
            </w:tcBorders>
            <w:shd w:val="clear" w:color="FFFFFF" w:fill="FFFFFF"/>
            <w:vAlign w:val="bottom"/>
            <w:hideMark/>
          </w:tcPr>
          <w:p w:rsidR="008835EB" w:rsidRDefault="008835EB" w:rsidP="007E3F2E">
            <w:pPr>
              <w:rPr>
                <w:rFonts w:ascii="Arial" w:hAnsi="Arial" w:cs="Arial"/>
                <w:szCs w:val="18"/>
              </w:rPr>
            </w:pPr>
            <w:r>
              <w:rPr>
                <w:rFonts w:ascii="Arial" w:hAnsi="Arial" w:cs="Arial"/>
                <w:szCs w:val="18"/>
              </w:rPr>
              <w:t> </w:t>
            </w:r>
          </w:p>
        </w:tc>
        <w:tc>
          <w:tcPr>
            <w:tcW w:w="1350"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 xml:space="preserve">Provision for restoration </w:t>
            </w:r>
          </w:p>
        </w:tc>
        <w:tc>
          <w:tcPr>
            <w:tcW w:w="1367"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 xml:space="preserve">Provision for surplus lease </w:t>
            </w:r>
          </w:p>
        </w:tc>
        <w:tc>
          <w:tcPr>
            <w:tcW w:w="1348"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Provision for onerous lease</w:t>
            </w:r>
          </w:p>
        </w:tc>
        <w:tc>
          <w:tcPr>
            <w:tcW w:w="1147"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Total</w:t>
            </w:r>
          </w:p>
        </w:tc>
      </w:tr>
      <w:tr w:rsidR="008835EB" w:rsidTr="007E3F2E">
        <w:trPr>
          <w:trHeight w:val="255"/>
        </w:trPr>
        <w:tc>
          <w:tcPr>
            <w:tcW w:w="3875" w:type="dxa"/>
            <w:tcBorders>
              <w:top w:val="nil"/>
              <w:left w:val="nil"/>
              <w:bottom w:val="single" w:sz="4" w:space="0" w:color="auto"/>
              <w:right w:val="nil"/>
            </w:tcBorders>
            <w:shd w:val="clear" w:color="FFFFFF" w:fill="FFFFFF"/>
            <w:vAlign w:val="bottom"/>
            <w:hideMark/>
          </w:tcPr>
          <w:p w:rsidR="008835EB" w:rsidRDefault="008835EB" w:rsidP="007E3F2E">
            <w:pPr>
              <w:rPr>
                <w:rFonts w:ascii="Arial" w:hAnsi="Arial" w:cs="Arial"/>
                <w:szCs w:val="18"/>
              </w:rPr>
            </w:pPr>
            <w:r>
              <w:rPr>
                <w:rFonts w:ascii="Arial" w:hAnsi="Arial" w:cs="Arial"/>
                <w:szCs w:val="18"/>
              </w:rPr>
              <w:t> </w:t>
            </w:r>
          </w:p>
        </w:tc>
        <w:tc>
          <w:tcPr>
            <w:tcW w:w="1350"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1367"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1348"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1147"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r>
      <w:tr w:rsidR="008835EB" w:rsidTr="007E3F2E">
        <w:trPr>
          <w:trHeight w:val="255"/>
        </w:trPr>
        <w:tc>
          <w:tcPr>
            <w:tcW w:w="3875"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As at 30 June 2015</w:t>
            </w:r>
          </w:p>
        </w:tc>
        <w:tc>
          <w:tcPr>
            <w:tcW w:w="1350"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1,030</w:t>
            </w:r>
          </w:p>
        </w:tc>
        <w:tc>
          <w:tcPr>
            <w:tcW w:w="1367"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5,234</w:t>
            </w:r>
          </w:p>
        </w:tc>
        <w:tc>
          <w:tcPr>
            <w:tcW w:w="134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w:t>
            </w:r>
          </w:p>
        </w:tc>
        <w:tc>
          <w:tcPr>
            <w:tcW w:w="1147"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6,264</w:t>
            </w:r>
          </w:p>
        </w:tc>
      </w:tr>
      <w:tr w:rsidR="008835EB" w:rsidTr="007E3F2E">
        <w:trPr>
          <w:trHeight w:val="255"/>
        </w:trPr>
        <w:tc>
          <w:tcPr>
            <w:tcW w:w="3875" w:type="dxa"/>
            <w:tcBorders>
              <w:top w:val="nil"/>
              <w:left w:val="nil"/>
              <w:bottom w:val="nil"/>
              <w:right w:val="nil"/>
            </w:tcBorders>
            <w:shd w:val="clear" w:color="FFFFFF" w:fill="FFFFFF"/>
            <w:vAlign w:val="bottom"/>
            <w:hideMark/>
          </w:tcPr>
          <w:p w:rsidR="008835EB" w:rsidRDefault="008835EB" w:rsidP="008835EB">
            <w:pPr>
              <w:ind w:firstLineChars="100" w:firstLine="180"/>
              <w:rPr>
                <w:rFonts w:cs="Calibri"/>
                <w:szCs w:val="18"/>
              </w:rPr>
            </w:pPr>
            <w:r>
              <w:rPr>
                <w:rFonts w:cs="Calibri"/>
                <w:szCs w:val="18"/>
              </w:rPr>
              <w:t>Additional provisions made</w:t>
            </w:r>
          </w:p>
        </w:tc>
        <w:tc>
          <w:tcPr>
            <w:tcW w:w="1350"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226 </w:t>
            </w:r>
          </w:p>
        </w:tc>
        <w:tc>
          <w:tcPr>
            <w:tcW w:w="1367"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w:t>
            </w:r>
          </w:p>
        </w:tc>
        <w:tc>
          <w:tcPr>
            <w:tcW w:w="134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440 </w:t>
            </w:r>
          </w:p>
        </w:tc>
        <w:tc>
          <w:tcPr>
            <w:tcW w:w="1147"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666</w:t>
            </w:r>
          </w:p>
        </w:tc>
      </w:tr>
      <w:tr w:rsidR="008835EB" w:rsidTr="007E3F2E">
        <w:trPr>
          <w:trHeight w:val="255"/>
        </w:trPr>
        <w:tc>
          <w:tcPr>
            <w:tcW w:w="3875" w:type="dxa"/>
            <w:tcBorders>
              <w:top w:val="nil"/>
              <w:left w:val="nil"/>
              <w:bottom w:val="nil"/>
              <w:right w:val="nil"/>
            </w:tcBorders>
            <w:shd w:val="clear" w:color="FFFFFF" w:fill="FFFFFF"/>
            <w:vAlign w:val="bottom"/>
            <w:hideMark/>
          </w:tcPr>
          <w:p w:rsidR="008835EB" w:rsidRDefault="008835EB" w:rsidP="008835EB">
            <w:pPr>
              <w:ind w:firstLineChars="100" w:firstLine="180"/>
              <w:rPr>
                <w:rFonts w:cs="Calibri"/>
                <w:szCs w:val="18"/>
              </w:rPr>
            </w:pPr>
            <w:r>
              <w:rPr>
                <w:rFonts w:cs="Calibri"/>
                <w:szCs w:val="18"/>
              </w:rPr>
              <w:t>Amounts reversed</w:t>
            </w:r>
          </w:p>
        </w:tc>
        <w:tc>
          <w:tcPr>
            <w:tcW w:w="1350"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(756)</w:t>
            </w:r>
          </w:p>
        </w:tc>
        <w:tc>
          <w:tcPr>
            <w:tcW w:w="1367"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(1,913)</w:t>
            </w:r>
          </w:p>
        </w:tc>
        <w:tc>
          <w:tcPr>
            <w:tcW w:w="134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1147"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(2,669)</w:t>
            </w:r>
          </w:p>
        </w:tc>
      </w:tr>
      <w:tr w:rsidR="008835EB" w:rsidTr="007E3F2E">
        <w:trPr>
          <w:trHeight w:val="255"/>
        </w:trPr>
        <w:tc>
          <w:tcPr>
            <w:tcW w:w="3875" w:type="dxa"/>
            <w:tcBorders>
              <w:top w:val="nil"/>
              <w:left w:val="nil"/>
              <w:bottom w:val="nil"/>
              <w:right w:val="nil"/>
            </w:tcBorders>
            <w:shd w:val="clear" w:color="FFFFFF" w:fill="FFFFFF"/>
            <w:vAlign w:val="bottom"/>
            <w:hideMark/>
          </w:tcPr>
          <w:p w:rsidR="008835EB" w:rsidRDefault="008835EB" w:rsidP="008835EB">
            <w:pPr>
              <w:ind w:firstLineChars="100" w:firstLine="180"/>
              <w:rPr>
                <w:rFonts w:cs="Calibri"/>
                <w:szCs w:val="18"/>
              </w:rPr>
            </w:pPr>
            <w:r>
              <w:rPr>
                <w:rFonts w:cs="Calibri"/>
                <w:szCs w:val="18"/>
              </w:rPr>
              <w:t>Amounts used</w:t>
            </w:r>
          </w:p>
        </w:tc>
        <w:tc>
          <w:tcPr>
            <w:tcW w:w="1350"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1367"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(1,959)</w:t>
            </w:r>
          </w:p>
        </w:tc>
        <w:tc>
          <w:tcPr>
            <w:tcW w:w="134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1147"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(1,959)</w:t>
            </w:r>
          </w:p>
        </w:tc>
      </w:tr>
      <w:tr w:rsidR="008835EB" w:rsidTr="007E3F2E">
        <w:trPr>
          <w:trHeight w:val="255"/>
        </w:trPr>
        <w:tc>
          <w:tcPr>
            <w:tcW w:w="3875" w:type="dxa"/>
            <w:tcBorders>
              <w:top w:val="nil"/>
              <w:left w:val="nil"/>
              <w:bottom w:val="nil"/>
              <w:right w:val="nil"/>
            </w:tcBorders>
            <w:shd w:val="clear" w:color="FFFFFF" w:fill="FFFFFF"/>
            <w:vAlign w:val="bottom"/>
            <w:hideMark/>
          </w:tcPr>
          <w:p w:rsidR="008835EB" w:rsidRDefault="008835EB" w:rsidP="008835EB">
            <w:pPr>
              <w:ind w:firstLineChars="100" w:firstLine="180"/>
              <w:rPr>
                <w:rFonts w:cs="Calibri"/>
                <w:szCs w:val="18"/>
              </w:rPr>
            </w:pPr>
            <w:r>
              <w:rPr>
                <w:rFonts w:cs="Calibri"/>
                <w:szCs w:val="18"/>
              </w:rPr>
              <w:t>Discount or change in discount rate</w:t>
            </w:r>
          </w:p>
        </w:tc>
        <w:tc>
          <w:tcPr>
            <w:tcW w:w="1350"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1367"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95 </w:t>
            </w:r>
          </w:p>
        </w:tc>
        <w:tc>
          <w:tcPr>
            <w:tcW w:w="134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1147"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95</w:t>
            </w:r>
          </w:p>
        </w:tc>
      </w:tr>
      <w:tr w:rsidR="008835EB" w:rsidTr="007E3F2E">
        <w:trPr>
          <w:trHeight w:val="255"/>
        </w:trPr>
        <w:tc>
          <w:tcPr>
            <w:tcW w:w="3875" w:type="dxa"/>
            <w:tcBorders>
              <w:top w:val="single" w:sz="4" w:space="0" w:color="auto"/>
              <w:left w:val="nil"/>
              <w:bottom w:val="single" w:sz="4" w:space="0" w:color="auto"/>
              <w:right w:val="nil"/>
            </w:tcBorders>
            <w:shd w:val="clear" w:color="FFFFFF" w:fill="FFFFFF"/>
            <w:vAlign w:val="bottom"/>
            <w:hideMark/>
          </w:tcPr>
          <w:p w:rsidR="008835EB" w:rsidRDefault="008835EB" w:rsidP="007E3F2E">
            <w:pPr>
              <w:rPr>
                <w:rFonts w:cs="Calibri"/>
                <w:b/>
                <w:bCs/>
                <w:szCs w:val="18"/>
              </w:rPr>
            </w:pPr>
            <w:r>
              <w:rPr>
                <w:rFonts w:cs="Calibri"/>
                <w:b/>
                <w:bCs/>
                <w:szCs w:val="18"/>
              </w:rPr>
              <w:t>Total as at 30 June 2016</w:t>
            </w:r>
          </w:p>
        </w:tc>
        <w:tc>
          <w:tcPr>
            <w:tcW w:w="135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500</w:t>
            </w:r>
          </w:p>
        </w:tc>
        <w:tc>
          <w:tcPr>
            <w:tcW w:w="1367"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1,457</w:t>
            </w:r>
          </w:p>
        </w:tc>
        <w:tc>
          <w:tcPr>
            <w:tcW w:w="1348"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440</w:t>
            </w:r>
          </w:p>
        </w:tc>
        <w:tc>
          <w:tcPr>
            <w:tcW w:w="1147"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2,397</w:t>
            </w:r>
          </w:p>
        </w:tc>
      </w:tr>
    </w:tbl>
    <w:p w:rsidR="008835EB" w:rsidRDefault="008835EB" w:rsidP="008835EB">
      <w:pPr>
        <w:pStyle w:val="NotesText0"/>
      </w:pPr>
      <w:bookmarkStart w:id="301" w:name="RANGE!D7:G17"/>
      <w:bookmarkStart w:id="302" w:name="RANGE!D7:F15"/>
      <w:bookmarkStart w:id="303" w:name="RANGE!D8:F16"/>
      <w:bookmarkStart w:id="304" w:name="RANGE!D18:G26"/>
      <w:bookmarkStart w:id="305" w:name="RANGE!D18:G27"/>
      <w:bookmarkStart w:id="306" w:name="RANGE!D18:G25"/>
      <w:bookmarkEnd w:id="301"/>
      <w:bookmarkEnd w:id="302"/>
      <w:bookmarkEnd w:id="303"/>
      <w:bookmarkEnd w:id="304"/>
      <w:bookmarkEnd w:id="305"/>
      <w:bookmarkEnd w:id="306"/>
    </w:p>
    <w:tbl>
      <w:tblPr>
        <w:tblW w:w="9087" w:type="dxa"/>
        <w:tblInd w:w="80" w:type="dxa"/>
        <w:tblLayout w:type="fixed"/>
        <w:tblLook w:val="04A0" w:firstRow="1" w:lastRow="0" w:firstColumn="1" w:lastColumn="0" w:noHBand="0" w:noVBand="1"/>
      </w:tblPr>
      <w:tblGrid>
        <w:gridCol w:w="6346"/>
        <w:gridCol w:w="1252"/>
        <w:gridCol w:w="239"/>
        <w:gridCol w:w="1250"/>
      </w:tblGrid>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bookmarkStart w:id="307" w:name="RANGE!D8:G20"/>
            <w:bookmarkStart w:id="308" w:name="Note_OPRTABLE1" w:colFirst="0" w:colLast="0"/>
            <w:r>
              <w:rPr>
                <w:rFonts w:cs="Calibri"/>
                <w:szCs w:val="18"/>
              </w:rPr>
              <w:t> </w:t>
            </w:r>
            <w:bookmarkEnd w:id="307"/>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2016</w:t>
            </w:r>
          </w:p>
        </w:tc>
        <w:tc>
          <w:tcPr>
            <w:tcW w:w="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2015</w:t>
            </w:r>
          </w:p>
        </w:tc>
      </w:tr>
      <w:bookmarkEnd w:id="308"/>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$'000</w:t>
            </w:r>
          </w:p>
        </w:tc>
        <w:tc>
          <w:tcPr>
            <w:tcW w:w="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rPr>
                <w:rFonts w:cs="Calibri"/>
                <w:b/>
                <w:bCs/>
                <w:szCs w:val="18"/>
                <w:u w:val="single"/>
              </w:rPr>
            </w:pPr>
            <w:bookmarkStart w:id="309" w:name="RANGE!D10:D20"/>
            <w:r>
              <w:rPr>
                <w:rFonts w:cs="Calibri"/>
                <w:b/>
                <w:bCs/>
                <w:szCs w:val="18"/>
                <w:u w:val="single"/>
              </w:rPr>
              <w:t xml:space="preserve">Note </w:t>
            </w:r>
            <w:proofErr w:type="spellStart"/>
            <w:r>
              <w:rPr>
                <w:rFonts w:cs="Calibri"/>
                <w:b/>
                <w:bCs/>
                <w:szCs w:val="18"/>
                <w:u w:val="single"/>
              </w:rPr>
              <w:t>3.4A</w:t>
            </w:r>
            <w:proofErr w:type="spellEnd"/>
            <w:r>
              <w:rPr>
                <w:rFonts w:cs="Calibri"/>
                <w:b/>
                <w:bCs/>
                <w:szCs w:val="18"/>
                <w:u w:val="single"/>
              </w:rPr>
              <w:t>: Other provisions</w:t>
            </w:r>
            <w:bookmarkEnd w:id="309"/>
          </w:p>
        </w:tc>
        <w:tc>
          <w:tcPr>
            <w:tcW w:w="1238"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Provision for restoration</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500</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1,030</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Provision for surplus lease space</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1,457</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5,234</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Provision for onerous lease</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440</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w:t>
            </w:r>
          </w:p>
        </w:tc>
      </w:tr>
      <w:tr w:rsidR="008835EB" w:rsidTr="007E3F2E">
        <w:trPr>
          <w:trHeight w:val="270"/>
        </w:trPr>
        <w:tc>
          <w:tcPr>
            <w:tcW w:w="6272"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other provisions</w:t>
            </w:r>
          </w:p>
        </w:tc>
        <w:tc>
          <w:tcPr>
            <w:tcW w:w="1238"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2,397</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6,264</w:t>
            </w:r>
          </w:p>
        </w:tc>
      </w:tr>
      <w:tr w:rsidR="008835EB" w:rsidTr="007E3F2E">
        <w:trPr>
          <w:trHeight w:val="270"/>
        </w:trPr>
        <w:tc>
          <w:tcPr>
            <w:tcW w:w="6272"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 w:val="20"/>
              </w:rPr>
            </w:pPr>
            <w:r>
              <w:rPr>
                <w:rFonts w:ascii="Arial" w:hAnsi="Arial" w:cs="Arial"/>
                <w:sz w:val="20"/>
              </w:rPr>
              <w:t> </w:t>
            </w:r>
          </w:p>
        </w:tc>
        <w:tc>
          <w:tcPr>
            <w:tcW w:w="1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Other provisions expected to be settled</w:t>
            </w:r>
          </w:p>
        </w:tc>
        <w:tc>
          <w:tcPr>
            <w:tcW w:w="1238"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 w:val="20"/>
              </w:rPr>
            </w:pPr>
            <w:r>
              <w:rPr>
                <w:rFonts w:ascii="Arial" w:hAnsi="Arial" w:cs="Arial"/>
                <w:sz w:val="20"/>
              </w:rPr>
              <w:t> </w:t>
            </w:r>
          </w:p>
        </w:tc>
        <w:tc>
          <w:tcPr>
            <w:tcW w:w="1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No more than 12 months</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1,364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4,224 </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More than 12 months</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1,033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2,040 </w:t>
            </w:r>
          </w:p>
        </w:tc>
      </w:tr>
      <w:tr w:rsidR="008835EB" w:rsidTr="007E3F2E">
        <w:trPr>
          <w:trHeight w:val="270"/>
        </w:trPr>
        <w:tc>
          <w:tcPr>
            <w:tcW w:w="6272"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other provisions</w:t>
            </w:r>
          </w:p>
        </w:tc>
        <w:tc>
          <w:tcPr>
            <w:tcW w:w="1238"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2,397</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6,264</w:t>
            </w:r>
          </w:p>
        </w:tc>
      </w:tr>
    </w:tbl>
    <w:p w:rsidR="008835EB" w:rsidRDefault="008835EB" w:rsidP="008835EB">
      <w:pPr>
        <w:pStyle w:val="ReportText"/>
        <w:spacing w:before="240"/>
        <w:ind w:right="567"/>
      </w:pPr>
      <w:r>
        <w:t>The Department currently has two agreements for the leasing of premises which have provisions requiring the Department to restore the premises to their original condition at the conclusion of the lease (</w:t>
      </w:r>
      <w:r w:rsidR="00FA455C">
        <w:t>2015</w:t>
      </w:r>
      <w:r>
        <w:t xml:space="preserve">: 3 agreements). The Department has made a provision to reflect the present value of this obligation. </w:t>
      </w:r>
    </w:p>
    <w:p w:rsidR="008835EB" w:rsidRDefault="008835EB" w:rsidP="008835EB">
      <w:pPr>
        <w:pStyle w:val="ReportText"/>
        <w:sectPr w:rsidR="008835EB" w:rsidSect="00F74C23">
          <w:pgSz w:w="11906" w:h="16838"/>
          <w:pgMar w:top="1134" w:right="1134" w:bottom="1134" w:left="1134" w:header="958" w:footer="737" w:gutter="0"/>
          <w:cols w:space="720"/>
        </w:sectPr>
      </w:pPr>
      <w:r>
        <w:t xml:space="preserve">The Department has recognised a provision for surplus lease </w:t>
      </w:r>
      <w:r w:rsidRPr="00386EED">
        <w:t xml:space="preserve">on </w:t>
      </w:r>
      <w:r>
        <w:t xml:space="preserve">six properties. Four properties have a lease end date within 2016–17. One property has a lease end date within two years. </w:t>
      </w:r>
      <w:r w:rsidRPr="00386EED">
        <w:t>One property has a lease end date greater than two years.</w:t>
      </w:r>
    </w:p>
    <w:p w:rsidR="008835EB" w:rsidRDefault="008835EB" w:rsidP="008835EB">
      <w:pPr>
        <w:pStyle w:val="SectionHeading"/>
      </w:pPr>
      <w:bookmarkStart w:id="310" w:name="_Toc443469533"/>
      <w:bookmarkStart w:id="311" w:name="_Toc444065786"/>
      <w:bookmarkStart w:id="312" w:name="_Toc444077344"/>
      <w:bookmarkStart w:id="313" w:name="_Toc456689851"/>
      <w:r>
        <w:lastRenderedPageBreak/>
        <w:t xml:space="preserve">Assets </w:t>
      </w:r>
      <w:r w:rsidRPr="00BE05B2">
        <w:t>and</w:t>
      </w:r>
      <w:r>
        <w:t xml:space="preserve"> Liabilities Administered on Behalf of Government</w:t>
      </w:r>
      <w:bookmarkEnd w:id="310"/>
      <w:bookmarkEnd w:id="311"/>
      <w:bookmarkEnd w:id="312"/>
      <w:bookmarkEnd w:id="313"/>
    </w:p>
    <w:p w:rsidR="008835EB" w:rsidRDefault="008835EB" w:rsidP="008835EB">
      <w:pPr>
        <w:spacing w:after="120"/>
      </w:pPr>
      <w:r w:rsidRPr="00185212">
        <w:t xml:space="preserve">This section analyses assets used to generate financial performance and the operating liabilities incurred as a result the </w:t>
      </w:r>
      <w:r w:rsidR="00FA455C">
        <w:t>Department of Employment</w:t>
      </w:r>
      <w:r>
        <w:t xml:space="preserve"> </w:t>
      </w:r>
      <w:r w:rsidRPr="00185212">
        <w:t>does not control but administers on behalf of the Government. Unless otherwise noted, the accounting policies adopted are consistent with those applied for departmental reporting.</w:t>
      </w:r>
    </w:p>
    <w:p w:rsidR="008835EB" w:rsidRDefault="008835EB" w:rsidP="008835EB">
      <w:pPr>
        <w:pStyle w:val="SubHeading"/>
      </w:pPr>
      <w:bookmarkStart w:id="314" w:name="_Toc456689852"/>
      <w:r>
        <w:t>Administered—Financial Assets</w:t>
      </w:r>
      <w:bookmarkEnd w:id="314"/>
    </w:p>
    <w:tbl>
      <w:tblPr>
        <w:tblW w:w="9087" w:type="dxa"/>
        <w:tblInd w:w="80" w:type="dxa"/>
        <w:tblLayout w:type="fixed"/>
        <w:tblLook w:val="04A0" w:firstRow="1" w:lastRow="0" w:firstColumn="1" w:lastColumn="0" w:noHBand="0" w:noVBand="1"/>
      </w:tblPr>
      <w:tblGrid>
        <w:gridCol w:w="6346"/>
        <w:gridCol w:w="1252"/>
        <w:gridCol w:w="239"/>
        <w:gridCol w:w="1250"/>
      </w:tblGrid>
      <w:tr w:rsidR="008835EB" w:rsidTr="007E3F2E">
        <w:trPr>
          <w:trHeight w:val="255"/>
        </w:trPr>
        <w:tc>
          <w:tcPr>
            <w:tcW w:w="6346" w:type="dxa"/>
            <w:tcBorders>
              <w:top w:val="nil"/>
              <w:left w:val="nil"/>
              <w:bottom w:val="nil"/>
              <w:right w:val="nil"/>
            </w:tcBorders>
            <w:shd w:val="clear" w:color="000000" w:fill="D9D9D9"/>
            <w:noWrap/>
            <w:hideMark/>
          </w:tcPr>
          <w:p w:rsidR="008835EB" w:rsidRDefault="008835EB" w:rsidP="007E3F2E">
            <w:pPr>
              <w:rPr>
                <w:rFonts w:cs="Calibri"/>
                <w:b/>
                <w:bCs/>
                <w:szCs w:val="18"/>
              </w:rPr>
            </w:pPr>
            <w:bookmarkStart w:id="315" w:name="Note_ARETABLE1" w:colFirst="0" w:colLast="0"/>
            <w:r>
              <w:rPr>
                <w:rFonts w:cs="Calibri"/>
                <w:b/>
                <w:bCs/>
                <w:szCs w:val="18"/>
              </w:rPr>
              <w:t> </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ascii="Arial" w:hAnsi="Arial" w:cs="Arial"/>
                <w:b/>
                <w:bCs/>
                <w:sz w:val="16"/>
                <w:szCs w:val="16"/>
              </w:rPr>
            </w:pPr>
            <w:r>
              <w:rPr>
                <w:rFonts w:ascii="Arial" w:hAnsi="Arial" w:cs="Arial"/>
                <w:b/>
                <w:bCs/>
                <w:sz w:val="16"/>
                <w:szCs w:val="16"/>
              </w:rPr>
              <w:t>2016</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ascii="Arial" w:hAnsi="Arial" w:cs="Arial"/>
                <w:sz w:val="16"/>
                <w:szCs w:val="16"/>
              </w:rPr>
            </w:pPr>
            <w:r>
              <w:rPr>
                <w:rFonts w:ascii="Arial" w:hAnsi="Arial" w:cs="Arial"/>
                <w:sz w:val="16"/>
                <w:szCs w:val="16"/>
              </w:rPr>
              <w:t>2015</w:t>
            </w:r>
          </w:p>
        </w:tc>
      </w:tr>
      <w:bookmarkEnd w:id="315"/>
      <w:tr w:rsidR="008835EB" w:rsidTr="007E3F2E">
        <w:trPr>
          <w:trHeight w:val="255"/>
        </w:trPr>
        <w:tc>
          <w:tcPr>
            <w:tcW w:w="6346" w:type="dxa"/>
            <w:tcBorders>
              <w:top w:val="nil"/>
              <w:left w:val="nil"/>
              <w:bottom w:val="nil"/>
              <w:right w:val="nil"/>
            </w:tcBorders>
            <w:shd w:val="clear" w:color="000000" w:fill="D9D9D9"/>
            <w:noWrap/>
            <w:hideMark/>
          </w:tcPr>
          <w:p w:rsidR="008835EB" w:rsidRDefault="008835EB" w:rsidP="007E3F2E">
            <w:pPr>
              <w:rPr>
                <w:rFonts w:cs="Calibri"/>
                <w:b/>
                <w:bCs/>
                <w:szCs w:val="18"/>
              </w:rPr>
            </w:pPr>
            <w:r>
              <w:rPr>
                <w:rFonts w:cs="Calibri"/>
                <w:b/>
                <w:bCs/>
                <w:szCs w:val="18"/>
              </w:rPr>
              <w:t> </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ascii="Arial" w:hAnsi="Arial" w:cs="Arial"/>
                <w:b/>
                <w:bCs/>
                <w:sz w:val="16"/>
                <w:szCs w:val="16"/>
              </w:rPr>
            </w:pPr>
            <w:r>
              <w:rPr>
                <w:rFonts w:ascii="Arial" w:hAnsi="Arial" w:cs="Arial"/>
                <w:b/>
                <w:bCs/>
                <w:sz w:val="16"/>
                <w:szCs w:val="16"/>
              </w:rPr>
              <w:t>$'000</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ascii="Arial" w:hAnsi="Arial" w:cs="Arial"/>
                <w:sz w:val="16"/>
                <w:szCs w:val="16"/>
              </w:rPr>
            </w:pPr>
            <w:r>
              <w:rPr>
                <w:rFonts w:ascii="Arial" w:hAnsi="Arial" w:cs="Arial"/>
                <w:sz w:val="16"/>
                <w:szCs w:val="16"/>
              </w:rPr>
              <w:t>$'000</w:t>
            </w:r>
          </w:p>
        </w:tc>
      </w:tr>
      <w:tr w:rsidR="008835EB" w:rsidTr="007E3F2E">
        <w:trPr>
          <w:trHeight w:val="255"/>
        </w:trPr>
        <w:tc>
          <w:tcPr>
            <w:tcW w:w="6346" w:type="dxa"/>
            <w:tcBorders>
              <w:top w:val="nil"/>
              <w:left w:val="nil"/>
              <w:bottom w:val="nil"/>
              <w:right w:val="nil"/>
            </w:tcBorders>
            <w:shd w:val="clear" w:color="000000" w:fill="D9D9D9"/>
            <w:noWrap/>
            <w:hideMark/>
          </w:tcPr>
          <w:p w:rsidR="008835EB" w:rsidRDefault="008835EB" w:rsidP="007E3F2E">
            <w:pPr>
              <w:rPr>
                <w:rFonts w:cs="Calibri"/>
                <w:b/>
                <w:bCs/>
                <w:szCs w:val="18"/>
                <w:u w:val="single"/>
              </w:rPr>
            </w:pPr>
            <w:r>
              <w:rPr>
                <w:rFonts w:cs="Calibri"/>
                <w:b/>
                <w:bCs/>
                <w:szCs w:val="18"/>
                <w:u w:val="single"/>
              </w:rPr>
              <w:t xml:space="preserve">Note </w:t>
            </w:r>
            <w:proofErr w:type="spellStart"/>
            <w:r>
              <w:rPr>
                <w:rFonts w:cs="Calibri"/>
                <w:b/>
                <w:bCs/>
                <w:szCs w:val="18"/>
                <w:u w:val="single"/>
              </w:rPr>
              <w:t>4.1A</w:t>
            </w:r>
            <w:proofErr w:type="spellEnd"/>
            <w:r>
              <w:rPr>
                <w:rFonts w:cs="Calibri"/>
                <w:b/>
                <w:bCs/>
                <w:szCs w:val="18"/>
                <w:u w:val="single"/>
              </w:rPr>
              <w:t>: Receivables</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ascii="Arial" w:hAnsi="Arial" w:cs="Arial"/>
                <w:b/>
                <w:bCs/>
                <w:sz w:val="16"/>
                <w:szCs w:val="16"/>
              </w:rPr>
            </w:pPr>
            <w:r>
              <w:rPr>
                <w:rFonts w:ascii="Arial" w:hAnsi="Arial" w:cs="Arial"/>
                <w:b/>
                <w:bCs/>
                <w:sz w:val="16"/>
                <w:szCs w:val="16"/>
              </w:rPr>
              <w:t>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ascii="Arial" w:hAnsi="Arial" w:cs="Arial"/>
                <w:sz w:val="16"/>
                <w:szCs w:val="16"/>
              </w:rPr>
            </w:pPr>
            <w:r>
              <w:rPr>
                <w:rFonts w:ascii="Arial" w:hAnsi="Arial" w:cs="Arial"/>
                <w:sz w:val="16"/>
                <w:szCs w:val="16"/>
              </w:rPr>
              <w:t> </w:t>
            </w:r>
          </w:p>
        </w:tc>
      </w:tr>
      <w:tr w:rsidR="008835EB" w:rsidTr="007E3F2E">
        <w:trPr>
          <w:trHeight w:val="255"/>
        </w:trPr>
        <w:tc>
          <w:tcPr>
            <w:tcW w:w="6346"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6346" w:type="dxa"/>
            <w:tcBorders>
              <w:top w:val="nil"/>
              <w:left w:val="nil"/>
              <w:bottom w:val="single" w:sz="4" w:space="0" w:color="D9D9D9"/>
              <w:right w:val="nil"/>
            </w:tcBorders>
            <w:shd w:val="clear" w:color="000000" w:fill="D9D9D9"/>
            <w:vAlign w:val="bottom"/>
            <w:hideMark/>
          </w:tcPr>
          <w:p w:rsidR="008835EB" w:rsidRDefault="008835EB" w:rsidP="007E3F2E">
            <w:pPr>
              <w:rPr>
                <w:rFonts w:cs="Calibri"/>
                <w:szCs w:val="18"/>
              </w:rPr>
            </w:pPr>
            <w:r>
              <w:rPr>
                <w:rFonts w:cs="Calibri"/>
                <w:szCs w:val="18"/>
              </w:rPr>
              <w:t>Taxation receivables</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11,963</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14,002</w:t>
            </w:r>
          </w:p>
        </w:tc>
      </w:tr>
      <w:tr w:rsidR="008835EB" w:rsidTr="007E3F2E">
        <w:trPr>
          <w:trHeight w:val="255"/>
        </w:trPr>
        <w:tc>
          <w:tcPr>
            <w:tcW w:w="6346"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Personal benefits receivables</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16,111</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w:t>
            </w:r>
          </w:p>
        </w:tc>
      </w:tr>
      <w:tr w:rsidR="008835EB" w:rsidTr="007E3F2E">
        <w:trPr>
          <w:trHeight w:val="255"/>
        </w:trPr>
        <w:tc>
          <w:tcPr>
            <w:tcW w:w="6346"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Goods and services receivables</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4,335</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835</w:t>
            </w:r>
          </w:p>
        </w:tc>
      </w:tr>
      <w:tr w:rsidR="008835EB" w:rsidTr="007E3F2E">
        <w:trPr>
          <w:trHeight w:val="255"/>
        </w:trPr>
        <w:tc>
          <w:tcPr>
            <w:tcW w:w="6346"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 xml:space="preserve">GST receivable from the </w:t>
            </w:r>
            <w:proofErr w:type="spellStart"/>
            <w:r>
              <w:rPr>
                <w:rFonts w:cs="Calibri"/>
                <w:szCs w:val="18"/>
              </w:rPr>
              <w:t>ATO</w:t>
            </w:r>
            <w:proofErr w:type="spellEnd"/>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12,111</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17,465</w:t>
            </w:r>
          </w:p>
        </w:tc>
      </w:tr>
      <w:tr w:rsidR="008835EB" w:rsidTr="007E3F2E">
        <w:trPr>
          <w:trHeight w:val="270"/>
        </w:trPr>
        <w:tc>
          <w:tcPr>
            <w:tcW w:w="6346" w:type="dxa"/>
            <w:tcBorders>
              <w:top w:val="nil"/>
              <w:left w:val="nil"/>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Total receivables (gross)</w:t>
            </w:r>
          </w:p>
        </w:tc>
        <w:tc>
          <w:tcPr>
            <w:tcW w:w="1252" w:type="dxa"/>
            <w:tcBorders>
              <w:top w:val="single" w:sz="4" w:space="0" w:color="auto"/>
              <w:left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44,520</w:t>
            </w:r>
          </w:p>
        </w:tc>
        <w:tc>
          <w:tcPr>
            <w:tcW w:w="239" w:type="dxa"/>
            <w:tcBorders>
              <w:top w:val="nil"/>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single" w:sz="4" w:space="0" w:color="auto"/>
              <w:left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32,302</w:t>
            </w:r>
          </w:p>
        </w:tc>
      </w:tr>
      <w:tr w:rsidR="008835EB" w:rsidTr="007E3F2E">
        <w:trPr>
          <w:trHeight w:val="98"/>
        </w:trPr>
        <w:tc>
          <w:tcPr>
            <w:tcW w:w="6346" w:type="dxa"/>
            <w:tcBorders>
              <w:top w:val="nil"/>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2" w:type="dxa"/>
            <w:tcBorders>
              <w:top w:val="nil"/>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9" w:type="dxa"/>
            <w:tcBorders>
              <w:top w:val="nil"/>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6346" w:type="dxa"/>
            <w:tcBorders>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Less impairment allowance</w:t>
            </w:r>
          </w:p>
        </w:tc>
        <w:tc>
          <w:tcPr>
            <w:tcW w:w="1252" w:type="dxa"/>
            <w:tcBorders>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9" w:type="dxa"/>
            <w:tcBorders>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634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Goods and services</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(2,142)</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(137)</w:t>
            </w:r>
          </w:p>
        </w:tc>
      </w:tr>
      <w:tr w:rsidR="008835EB" w:rsidTr="007E3F2E">
        <w:trPr>
          <w:trHeight w:val="255"/>
        </w:trPr>
        <w:tc>
          <w:tcPr>
            <w:tcW w:w="6346"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Total impairment allowance</w:t>
            </w:r>
          </w:p>
        </w:tc>
        <w:tc>
          <w:tcPr>
            <w:tcW w:w="1252"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(2,142)</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(137)</w:t>
            </w:r>
          </w:p>
        </w:tc>
      </w:tr>
      <w:tr w:rsidR="008835EB" w:rsidTr="007E3F2E">
        <w:trPr>
          <w:trHeight w:val="270"/>
        </w:trPr>
        <w:tc>
          <w:tcPr>
            <w:tcW w:w="6346" w:type="dxa"/>
            <w:tcBorders>
              <w:top w:val="nil"/>
              <w:left w:val="nil"/>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Total receivables (net)</w:t>
            </w:r>
          </w:p>
        </w:tc>
        <w:tc>
          <w:tcPr>
            <w:tcW w:w="1252" w:type="dxa"/>
            <w:tcBorders>
              <w:top w:val="nil"/>
              <w:left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42,378</w:t>
            </w:r>
          </w:p>
        </w:tc>
        <w:tc>
          <w:tcPr>
            <w:tcW w:w="239" w:type="dxa"/>
            <w:tcBorders>
              <w:top w:val="nil"/>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32,165</w:t>
            </w:r>
          </w:p>
        </w:tc>
      </w:tr>
      <w:tr w:rsidR="008835EB" w:rsidTr="007E3F2E">
        <w:trPr>
          <w:trHeight w:val="83"/>
        </w:trPr>
        <w:tc>
          <w:tcPr>
            <w:tcW w:w="6346" w:type="dxa"/>
            <w:tcBorders>
              <w:top w:val="nil"/>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2" w:type="dxa"/>
            <w:tcBorders>
              <w:top w:val="nil"/>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9" w:type="dxa"/>
            <w:tcBorders>
              <w:top w:val="nil"/>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6346" w:type="dxa"/>
            <w:tcBorders>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Receivables (net) expected to be recovered</w:t>
            </w:r>
          </w:p>
        </w:tc>
        <w:tc>
          <w:tcPr>
            <w:tcW w:w="1252" w:type="dxa"/>
            <w:tcBorders>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9" w:type="dxa"/>
            <w:tcBorders>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634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No more than 12 months</w:t>
            </w:r>
          </w:p>
        </w:tc>
        <w:tc>
          <w:tcPr>
            <w:tcW w:w="1252"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42,226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32,072 </w:t>
            </w:r>
          </w:p>
        </w:tc>
      </w:tr>
      <w:tr w:rsidR="008835EB" w:rsidTr="007E3F2E">
        <w:trPr>
          <w:trHeight w:val="255"/>
        </w:trPr>
        <w:tc>
          <w:tcPr>
            <w:tcW w:w="6346" w:type="dxa"/>
            <w:tcBorders>
              <w:top w:val="nil"/>
              <w:left w:val="nil"/>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More than 12 months</w:t>
            </w:r>
          </w:p>
        </w:tc>
        <w:tc>
          <w:tcPr>
            <w:tcW w:w="1252" w:type="dxa"/>
            <w:tcBorders>
              <w:top w:val="nil"/>
              <w:left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152 </w:t>
            </w:r>
          </w:p>
        </w:tc>
        <w:tc>
          <w:tcPr>
            <w:tcW w:w="239" w:type="dxa"/>
            <w:tcBorders>
              <w:top w:val="nil"/>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93 </w:t>
            </w:r>
          </w:p>
        </w:tc>
      </w:tr>
      <w:tr w:rsidR="008835EB" w:rsidTr="007E3F2E">
        <w:trPr>
          <w:trHeight w:val="270"/>
        </w:trPr>
        <w:tc>
          <w:tcPr>
            <w:tcW w:w="6346" w:type="dxa"/>
            <w:tcBorders>
              <w:left w:val="nil"/>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Total receivables (net)</w:t>
            </w:r>
          </w:p>
        </w:tc>
        <w:tc>
          <w:tcPr>
            <w:tcW w:w="1252" w:type="dxa"/>
            <w:tcBorders>
              <w:left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42,378</w:t>
            </w:r>
          </w:p>
        </w:tc>
        <w:tc>
          <w:tcPr>
            <w:tcW w:w="239" w:type="dxa"/>
            <w:tcBorders>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left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32,165</w:t>
            </w:r>
          </w:p>
        </w:tc>
      </w:tr>
      <w:tr w:rsidR="008835EB" w:rsidTr="007E3F2E">
        <w:trPr>
          <w:trHeight w:val="255"/>
        </w:trPr>
        <w:tc>
          <w:tcPr>
            <w:tcW w:w="6346" w:type="dxa"/>
            <w:tcBorders>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1252" w:type="dxa"/>
            <w:tcBorders>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239" w:type="dxa"/>
            <w:tcBorders>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1250" w:type="dxa"/>
            <w:tcBorders>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r>
      <w:tr w:rsidR="008835EB" w:rsidTr="007E3F2E">
        <w:trPr>
          <w:trHeight w:val="240"/>
        </w:trPr>
        <w:tc>
          <w:tcPr>
            <w:tcW w:w="6346"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Receivables (gross) aged as follows</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40"/>
        </w:trPr>
        <w:tc>
          <w:tcPr>
            <w:tcW w:w="634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Not overdue</w:t>
            </w:r>
          </w:p>
        </w:tc>
        <w:tc>
          <w:tcPr>
            <w:tcW w:w="1252"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41,694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31,682 </w:t>
            </w:r>
          </w:p>
        </w:tc>
      </w:tr>
      <w:tr w:rsidR="008835EB" w:rsidTr="007E3F2E">
        <w:trPr>
          <w:trHeight w:val="240"/>
        </w:trPr>
        <w:tc>
          <w:tcPr>
            <w:tcW w:w="634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Overdue by:</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634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200" w:firstLine="360"/>
              <w:rPr>
                <w:rFonts w:cs="Calibri"/>
                <w:szCs w:val="18"/>
              </w:rPr>
            </w:pPr>
            <w:r>
              <w:rPr>
                <w:rFonts w:cs="Calibri"/>
                <w:szCs w:val="18"/>
              </w:rPr>
              <w:t>0 to 30 days</w:t>
            </w:r>
          </w:p>
        </w:tc>
        <w:tc>
          <w:tcPr>
            <w:tcW w:w="1252"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9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14 </w:t>
            </w:r>
          </w:p>
        </w:tc>
      </w:tr>
      <w:tr w:rsidR="008835EB" w:rsidTr="007E3F2E">
        <w:trPr>
          <w:trHeight w:val="255"/>
        </w:trPr>
        <w:tc>
          <w:tcPr>
            <w:tcW w:w="634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200" w:firstLine="360"/>
              <w:rPr>
                <w:rFonts w:cs="Calibri"/>
                <w:szCs w:val="18"/>
              </w:rPr>
            </w:pPr>
            <w:r>
              <w:rPr>
                <w:rFonts w:cs="Calibri"/>
                <w:szCs w:val="18"/>
              </w:rPr>
              <w:t>31 to 60 days</w:t>
            </w:r>
          </w:p>
        </w:tc>
        <w:tc>
          <w:tcPr>
            <w:tcW w:w="1252"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163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14 </w:t>
            </w:r>
          </w:p>
        </w:tc>
      </w:tr>
      <w:tr w:rsidR="008835EB" w:rsidTr="007E3F2E">
        <w:trPr>
          <w:trHeight w:val="255"/>
        </w:trPr>
        <w:tc>
          <w:tcPr>
            <w:tcW w:w="634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200" w:firstLine="360"/>
              <w:rPr>
                <w:rFonts w:cs="Calibri"/>
                <w:szCs w:val="18"/>
              </w:rPr>
            </w:pPr>
            <w:r>
              <w:rPr>
                <w:rFonts w:cs="Calibri"/>
                <w:szCs w:val="18"/>
              </w:rPr>
              <w:t>61 to 90 days</w:t>
            </w:r>
          </w:p>
        </w:tc>
        <w:tc>
          <w:tcPr>
            <w:tcW w:w="1252"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180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53 </w:t>
            </w:r>
          </w:p>
        </w:tc>
      </w:tr>
      <w:tr w:rsidR="008835EB" w:rsidTr="007E3F2E">
        <w:trPr>
          <w:trHeight w:val="255"/>
        </w:trPr>
        <w:tc>
          <w:tcPr>
            <w:tcW w:w="634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200" w:firstLine="360"/>
              <w:rPr>
                <w:rFonts w:cs="Calibri"/>
                <w:szCs w:val="18"/>
              </w:rPr>
            </w:pPr>
            <w:r>
              <w:rPr>
                <w:rFonts w:cs="Calibri"/>
                <w:szCs w:val="18"/>
              </w:rPr>
              <w:t>More than 90 days</w:t>
            </w:r>
          </w:p>
        </w:tc>
        <w:tc>
          <w:tcPr>
            <w:tcW w:w="1252"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2,474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539 </w:t>
            </w:r>
          </w:p>
        </w:tc>
      </w:tr>
      <w:tr w:rsidR="008835EB" w:rsidTr="007E3F2E">
        <w:trPr>
          <w:trHeight w:val="240"/>
        </w:trPr>
        <w:tc>
          <w:tcPr>
            <w:tcW w:w="6346" w:type="dxa"/>
            <w:tcBorders>
              <w:top w:val="nil"/>
              <w:left w:val="nil"/>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Total receivables (gross)</w:t>
            </w:r>
          </w:p>
        </w:tc>
        <w:tc>
          <w:tcPr>
            <w:tcW w:w="1252" w:type="dxa"/>
            <w:tcBorders>
              <w:top w:val="single" w:sz="4" w:space="0" w:color="auto"/>
              <w:left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44,520</w:t>
            </w:r>
          </w:p>
        </w:tc>
        <w:tc>
          <w:tcPr>
            <w:tcW w:w="239" w:type="dxa"/>
            <w:tcBorders>
              <w:top w:val="nil"/>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single" w:sz="4" w:space="0" w:color="auto"/>
              <w:left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32,302</w:t>
            </w:r>
          </w:p>
        </w:tc>
      </w:tr>
      <w:tr w:rsidR="008835EB" w:rsidTr="007E3F2E">
        <w:trPr>
          <w:trHeight w:val="60"/>
        </w:trPr>
        <w:tc>
          <w:tcPr>
            <w:tcW w:w="6346" w:type="dxa"/>
            <w:tcBorders>
              <w:top w:val="nil"/>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2" w:type="dxa"/>
            <w:tcBorders>
              <w:top w:val="nil"/>
              <w:left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 </w:t>
            </w:r>
          </w:p>
        </w:tc>
        <w:tc>
          <w:tcPr>
            <w:tcW w:w="239" w:type="dxa"/>
            <w:tcBorders>
              <w:top w:val="nil"/>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55"/>
        </w:trPr>
        <w:tc>
          <w:tcPr>
            <w:tcW w:w="6346" w:type="dxa"/>
            <w:tcBorders>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Impairment allowance aged as follows</w:t>
            </w:r>
          </w:p>
        </w:tc>
        <w:tc>
          <w:tcPr>
            <w:tcW w:w="1252" w:type="dxa"/>
            <w:tcBorders>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9" w:type="dxa"/>
            <w:tcBorders>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634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Overdue by:</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634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200" w:firstLine="360"/>
              <w:rPr>
                <w:rFonts w:cs="Calibri"/>
                <w:szCs w:val="18"/>
              </w:rPr>
            </w:pPr>
            <w:r>
              <w:rPr>
                <w:rFonts w:cs="Calibri"/>
                <w:szCs w:val="18"/>
              </w:rPr>
              <w:t>More than 90 days</w:t>
            </w:r>
          </w:p>
        </w:tc>
        <w:tc>
          <w:tcPr>
            <w:tcW w:w="1252"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(2,142)</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(137)</w:t>
            </w:r>
          </w:p>
        </w:tc>
      </w:tr>
      <w:tr w:rsidR="008835EB" w:rsidTr="007E3F2E">
        <w:trPr>
          <w:trHeight w:val="270"/>
        </w:trPr>
        <w:tc>
          <w:tcPr>
            <w:tcW w:w="6346" w:type="dxa"/>
            <w:tcBorders>
              <w:top w:val="nil"/>
              <w:left w:val="nil"/>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Total impairment allowance</w:t>
            </w:r>
          </w:p>
        </w:tc>
        <w:tc>
          <w:tcPr>
            <w:tcW w:w="1252" w:type="dxa"/>
            <w:tcBorders>
              <w:top w:val="single" w:sz="4" w:space="0" w:color="auto"/>
              <w:left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(2,142)</w:t>
            </w:r>
          </w:p>
        </w:tc>
        <w:tc>
          <w:tcPr>
            <w:tcW w:w="239" w:type="dxa"/>
            <w:tcBorders>
              <w:top w:val="nil"/>
              <w:left w:val="nil"/>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 </w:t>
            </w:r>
          </w:p>
        </w:tc>
        <w:tc>
          <w:tcPr>
            <w:tcW w:w="1250" w:type="dxa"/>
            <w:tcBorders>
              <w:top w:val="single" w:sz="4" w:space="0" w:color="auto"/>
              <w:left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(137)</w:t>
            </w:r>
          </w:p>
        </w:tc>
      </w:tr>
      <w:tr w:rsidR="008835EB" w:rsidTr="007E3F2E">
        <w:trPr>
          <w:trHeight w:val="120"/>
        </w:trPr>
        <w:tc>
          <w:tcPr>
            <w:tcW w:w="6346" w:type="dxa"/>
            <w:tcBorders>
              <w:top w:val="nil"/>
              <w:left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c>
          <w:tcPr>
            <w:tcW w:w="1252" w:type="dxa"/>
            <w:tcBorders>
              <w:top w:val="nil"/>
              <w:left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c>
          <w:tcPr>
            <w:tcW w:w="239" w:type="dxa"/>
            <w:tcBorders>
              <w:top w:val="nil"/>
              <w:left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c>
          <w:tcPr>
            <w:tcW w:w="1250" w:type="dxa"/>
            <w:tcBorders>
              <w:top w:val="nil"/>
              <w:left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r>
      <w:tr w:rsidR="008835EB" w:rsidTr="007E3F2E">
        <w:trPr>
          <w:trHeight w:val="255"/>
        </w:trPr>
        <w:tc>
          <w:tcPr>
            <w:tcW w:w="9087" w:type="dxa"/>
            <w:gridSpan w:val="4"/>
            <w:tcBorders>
              <w:left w:val="nil"/>
              <w:bottom w:val="single" w:sz="4" w:space="0" w:color="D9D9D9"/>
              <w:right w:val="nil"/>
            </w:tcBorders>
            <w:shd w:val="clear" w:color="000000" w:fill="D9D9D9"/>
            <w:vAlign w:val="bottom"/>
            <w:hideMark/>
          </w:tcPr>
          <w:p w:rsidR="008835EB" w:rsidRDefault="008835EB" w:rsidP="007E3F2E">
            <w:pPr>
              <w:rPr>
                <w:rFonts w:cs="Calibri"/>
                <w:szCs w:val="18"/>
              </w:rPr>
            </w:pPr>
            <w:r>
              <w:rPr>
                <w:rFonts w:cs="Calibri"/>
                <w:szCs w:val="18"/>
              </w:rPr>
              <w:t>Credit terms are within 30 days.</w:t>
            </w:r>
          </w:p>
        </w:tc>
      </w:tr>
      <w:tr w:rsidR="008835EB" w:rsidTr="007E3F2E">
        <w:trPr>
          <w:trHeight w:val="255"/>
        </w:trPr>
        <w:tc>
          <w:tcPr>
            <w:tcW w:w="6346"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c>
          <w:tcPr>
            <w:tcW w:w="1252"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c>
          <w:tcPr>
            <w:tcW w:w="239"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c>
          <w:tcPr>
            <w:tcW w:w="1250"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r>
      <w:tr w:rsidR="008835EB" w:rsidTr="007E3F2E">
        <w:trPr>
          <w:trHeight w:val="255"/>
        </w:trPr>
        <w:tc>
          <w:tcPr>
            <w:tcW w:w="6346"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Reconciliation of the Impairment Allowance</w:t>
            </w:r>
          </w:p>
        </w:tc>
        <w:tc>
          <w:tcPr>
            <w:tcW w:w="1252"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c>
          <w:tcPr>
            <w:tcW w:w="239"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c>
          <w:tcPr>
            <w:tcW w:w="1250"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r>
      <w:tr w:rsidR="008835EB" w:rsidTr="007E3F2E">
        <w:trPr>
          <w:trHeight w:val="255"/>
        </w:trPr>
        <w:tc>
          <w:tcPr>
            <w:tcW w:w="6346"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Movements in relation to 2016</w:t>
            </w:r>
          </w:p>
        </w:tc>
        <w:tc>
          <w:tcPr>
            <w:tcW w:w="1252"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c>
          <w:tcPr>
            <w:tcW w:w="239"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c>
          <w:tcPr>
            <w:tcW w:w="1250"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r>
      <w:tr w:rsidR="008835EB" w:rsidTr="007E3F2E">
        <w:trPr>
          <w:trHeight w:val="480"/>
        </w:trPr>
        <w:tc>
          <w:tcPr>
            <w:tcW w:w="6346" w:type="dxa"/>
            <w:tcBorders>
              <w:top w:val="single" w:sz="4" w:space="0" w:color="auto"/>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2" w:type="dxa"/>
            <w:tcBorders>
              <w:top w:val="single" w:sz="4" w:space="0" w:color="auto"/>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Goods and services</w:t>
            </w:r>
          </w:p>
        </w:tc>
        <w:tc>
          <w:tcPr>
            <w:tcW w:w="239" w:type="dxa"/>
            <w:tcBorders>
              <w:top w:val="single" w:sz="4" w:space="0" w:color="auto"/>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 </w:t>
            </w:r>
          </w:p>
        </w:tc>
        <w:tc>
          <w:tcPr>
            <w:tcW w:w="1250" w:type="dxa"/>
            <w:tcBorders>
              <w:top w:val="single" w:sz="4" w:space="0" w:color="auto"/>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Total</w:t>
            </w:r>
          </w:p>
        </w:tc>
      </w:tr>
      <w:tr w:rsidR="008835EB" w:rsidTr="007E3F2E">
        <w:trPr>
          <w:trHeight w:val="255"/>
        </w:trPr>
        <w:tc>
          <w:tcPr>
            <w:tcW w:w="6346" w:type="dxa"/>
            <w:tcBorders>
              <w:top w:val="nil"/>
              <w:left w:val="nil"/>
              <w:bottom w:val="single" w:sz="4" w:space="0" w:color="auto"/>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2" w:type="dxa"/>
            <w:tcBorders>
              <w:top w:val="nil"/>
              <w:left w:val="nil"/>
              <w:bottom w:val="single" w:sz="4" w:space="0" w:color="auto"/>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$'000</w:t>
            </w:r>
          </w:p>
        </w:tc>
        <w:tc>
          <w:tcPr>
            <w:tcW w:w="239" w:type="dxa"/>
            <w:tcBorders>
              <w:top w:val="nil"/>
              <w:left w:val="nil"/>
              <w:bottom w:val="single" w:sz="4" w:space="0" w:color="auto"/>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 </w:t>
            </w:r>
          </w:p>
        </w:tc>
        <w:tc>
          <w:tcPr>
            <w:tcW w:w="1250" w:type="dxa"/>
            <w:tcBorders>
              <w:top w:val="nil"/>
              <w:left w:val="nil"/>
              <w:bottom w:val="single" w:sz="4" w:space="0" w:color="auto"/>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$'000</w:t>
            </w:r>
          </w:p>
        </w:tc>
      </w:tr>
      <w:tr w:rsidR="008835EB" w:rsidTr="007E3F2E">
        <w:trPr>
          <w:trHeight w:val="255"/>
        </w:trPr>
        <w:tc>
          <w:tcPr>
            <w:tcW w:w="6346"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Opening balance</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(137)</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b/>
                <w:bCs/>
                <w:szCs w:val="18"/>
              </w:rPr>
            </w:pPr>
            <w:r>
              <w:rPr>
                <w:rFonts w:cs="Calibri"/>
                <w:b/>
                <w:bCs/>
                <w:szCs w:val="18"/>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(137)</w:t>
            </w:r>
          </w:p>
        </w:tc>
      </w:tr>
      <w:tr w:rsidR="008835EB" w:rsidTr="007E3F2E">
        <w:trPr>
          <w:trHeight w:val="255"/>
        </w:trPr>
        <w:tc>
          <w:tcPr>
            <w:tcW w:w="6346" w:type="dxa"/>
            <w:tcBorders>
              <w:top w:val="nil"/>
              <w:left w:val="nil"/>
              <w:bottom w:val="nil"/>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Amounts written off</w:t>
            </w:r>
          </w:p>
        </w:tc>
        <w:tc>
          <w:tcPr>
            <w:tcW w:w="1252"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129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b/>
                <w:bCs/>
                <w:szCs w:val="18"/>
              </w:rPr>
            </w:pPr>
            <w:r>
              <w:rPr>
                <w:rFonts w:cs="Calibri"/>
                <w:b/>
                <w:bCs/>
                <w:szCs w:val="18"/>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129</w:t>
            </w:r>
          </w:p>
        </w:tc>
      </w:tr>
      <w:tr w:rsidR="008835EB" w:rsidTr="007E3F2E">
        <w:trPr>
          <w:trHeight w:val="255"/>
        </w:trPr>
        <w:tc>
          <w:tcPr>
            <w:tcW w:w="6346" w:type="dxa"/>
            <w:tcBorders>
              <w:top w:val="nil"/>
              <w:left w:val="nil"/>
              <w:bottom w:val="nil"/>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Increase recognised in net cost of services</w:t>
            </w:r>
          </w:p>
        </w:tc>
        <w:tc>
          <w:tcPr>
            <w:tcW w:w="1252"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(2,134)</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b/>
                <w:bCs/>
                <w:szCs w:val="18"/>
              </w:rPr>
            </w:pPr>
            <w:r>
              <w:rPr>
                <w:rFonts w:cs="Calibri"/>
                <w:b/>
                <w:bCs/>
                <w:szCs w:val="18"/>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(2,134)</w:t>
            </w:r>
          </w:p>
        </w:tc>
      </w:tr>
      <w:tr w:rsidR="008835EB" w:rsidTr="007E3F2E">
        <w:trPr>
          <w:trHeight w:val="255"/>
        </w:trPr>
        <w:tc>
          <w:tcPr>
            <w:tcW w:w="6346" w:type="dxa"/>
            <w:tcBorders>
              <w:top w:val="single" w:sz="4" w:space="0" w:color="auto"/>
              <w:left w:val="nil"/>
              <w:bottom w:val="single" w:sz="4" w:space="0" w:color="auto"/>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Closing balance</w:t>
            </w:r>
          </w:p>
        </w:tc>
        <w:tc>
          <w:tcPr>
            <w:tcW w:w="1252"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(2,142)</w:t>
            </w:r>
          </w:p>
        </w:tc>
        <w:tc>
          <w:tcPr>
            <w:tcW w:w="239"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rPr>
                <w:rFonts w:cs="Calibri"/>
                <w:b/>
                <w:bCs/>
                <w:szCs w:val="18"/>
              </w:rPr>
            </w:pPr>
            <w:r>
              <w:rPr>
                <w:rFonts w:cs="Calibri"/>
                <w:b/>
                <w:bCs/>
                <w:szCs w:val="18"/>
              </w:rPr>
              <w:t> </w:t>
            </w:r>
          </w:p>
        </w:tc>
        <w:tc>
          <w:tcPr>
            <w:tcW w:w="1250"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(2,142)</w:t>
            </w:r>
          </w:p>
        </w:tc>
      </w:tr>
      <w:tr w:rsidR="008835EB" w:rsidTr="007E3F2E">
        <w:trPr>
          <w:trHeight w:val="255"/>
        </w:trPr>
        <w:tc>
          <w:tcPr>
            <w:tcW w:w="6346" w:type="dxa"/>
            <w:tcBorders>
              <w:top w:val="nil"/>
              <w:left w:val="nil"/>
              <w:bottom w:val="nil"/>
              <w:right w:val="nil"/>
            </w:tcBorders>
            <w:shd w:val="clear" w:color="000000" w:fill="D9D9D9"/>
            <w:vAlign w:val="bottom"/>
            <w:hideMark/>
          </w:tcPr>
          <w:p w:rsidR="008835EB" w:rsidRDefault="008835EB" w:rsidP="007E3F2E">
            <w:pPr>
              <w:rPr>
                <w:rFonts w:cs="Calibri"/>
                <w:szCs w:val="18"/>
              </w:rPr>
            </w:pPr>
            <w:r>
              <w:rPr>
                <w:rFonts w:cs="Calibri"/>
                <w:szCs w:val="18"/>
              </w:rPr>
              <w:t>Movements in relation to 2015</w:t>
            </w:r>
          </w:p>
        </w:tc>
        <w:tc>
          <w:tcPr>
            <w:tcW w:w="1252"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c>
          <w:tcPr>
            <w:tcW w:w="239"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c>
          <w:tcPr>
            <w:tcW w:w="1250"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r>
      <w:tr w:rsidR="008835EB" w:rsidTr="007E3F2E">
        <w:trPr>
          <w:trHeight w:val="480"/>
        </w:trPr>
        <w:tc>
          <w:tcPr>
            <w:tcW w:w="6346" w:type="dxa"/>
            <w:tcBorders>
              <w:top w:val="single" w:sz="4" w:space="0" w:color="auto"/>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2" w:type="dxa"/>
            <w:tcBorders>
              <w:top w:val="single" w:sz="4" w:space="0" w:color="auto"/>
              <w:left w:val="nil"/>
              <w:bottom w:val="nil"/>
              <w:right w:val="nil"/>
            </w:tcBorders>
            <w:shd w:val="clear" w:color="000000" w:fill="D9D9D9"/>
            <w:vAlign w:val="bottom"/>
            <w:hideMark/>
          </w:tcPr>
          <w:p w:rsidR="008835EB" w:rsidRDefault="008835EB" w:rsidP="007E3F2E">
            <w:pPr>
              <w:jc w:val="right"/>
              <w:rPr>
                <w:rFonts w:cs="Calibri"/>
                <w:szCs w:val="18"/>
              </w:rPr>
            </w:pPr>
            <w:r>
              <w:rPr>
                <w:rFonts w:cs="Calibri"/>
                <w:szCs w:val="18"/>
              </w:rPr>
              <w:t>Goods and services</w:t>
            </w:r>
          </w:p>
        </w:tc>
        <w:tc>
          <w:tcPr>
            <w:tcW w:w="239" w:type="dxa"/>
            <w:tcBorders>
              <w:top w:val="single" w:sz="4" w:space="0" w:color="auto"/>
              <w:left w:val="nil"/>
              <w:bottom w:val="nil"/>
              <w:right w:val="nil"/>
            </w:tcBorders>
            <w:shd w:val="clear" w:color="000000" w:fill="D9D9D9"/>
            <w:vAlign w:val="bottom"/>
            <w:hideMark/>
          </w:tcPr>
          <w:p w:rsidR="008835EB" w:rsidRDefault="008835EB" w:rsidP="007E3F2E">
            <w:pPr>
              <w:jc w:val="right"/>
              <w:rPr>
                <w:rFonts w:cs="Calibri"/>
                <w:szCs w:val="18"/>
              </w:rPr>
            </w:pPr>
            <w:r>
              <w:rPr>
                <w:rFonts w:cs="Calibri"/>
                <w:szCs w:val="18"/>
              </w:rPr>
              <w:t> </w:t>
            </w:r>
          </w:p>
        </w:tc>
        <w:tc>
          <w:tcPr>
            <w:tcW w:w="1250" w:type="dxa"/>
            <w:tcBorders>
              <w:top w:val="single" w:sz="4" w:space="0" w:color="auto"/>
              <w:left w:val="nil"/>
              <w:bottom w:val="nil"/>
              <w:right w:val="nil"/>
            </w:tcBorders>
            <w:shd w:val="clear" w:color="000000" w:fill="D9D9D9"/>
            <w:vAlign w:val="bottom"/>
            <w:hideMark/>
          </w:tcPr>
          <w:p w:rsidR="008835EB" w:rsidRDefault="008835EB" w:rsidP="007E3F2E">
            <w:pPr>
              <w:jc w:val="right"/>
              <w:rPr>
                <w:rFonts w:cs="Calibri"/>
                <w:szCs w:val="18"/>
              </w:rPr>
            </w:pPr>
            <w:r>
              <w:rPr>
                <w:rFonts w:cs="Calibri"/>
                <w:szCs w:val="18"/>
              </w:rPr>
              <w:t>Total</w:t>
            </w:r>
          </w:p>
        </w:tc>
      </w:tr>
      <w:tr w:rsidR="008835EB" w:rsidTr="007E3F2E">
        <w:trPr>
          <w:trHeight w:val="255"/>
        </w:trPr>
        <w:tc>
          <w:tcPr>
            <w:tcW w:w="6346" w:type="dxa"/>
            <w:tcBorders>
              <w:top w:val="nil"/>
              <w:left w:val="nil"/>
              <w:bottom w:val="single" w:sz="4" w:space="0" w:color="auto"/>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lastRenderedPageBreak/>
              <w:t> </w:t>
            </w:r>
          </w:p>
        </w:tc>
        <w:tc>
          <w:tcPr>
            <w:tcW w:w="1252" w:type="dxa"/>
            <w:tcBorders>
              <w:top w:val="nil"/>
              <w:left w:val="nil"/>
              <w:bottom w:val="single" w:sz="4" w:space="0" w:color="auto"/>
              <w:right w:val="nil"/>
            </w:tcBorders>
            <w:shd w:val="clear" w:color="000000" w:fill="D9D9D9"/>
            <w:vAlign w:val="bottom"/>
            <w:hideMark/>
          </w:tcPr>
          <w:p w:rsidR="008835EB" w:rsidRDefault="008835EB" w:rsidP="007E3F2E">
            <w:pPr>
              <w:jc w:val="right"/>
              <w:rPr>
                <w:rFonts w:cs="Calibri"/>
                <w:szCs w:val="18"/>
              </w:rPr>
            </w:pPr>
            <w:r>
              <w:rPr>
                <w:rFonts w:cs="Calibri"/>
                <w:szCs w:val="18"/>
              </w:rPr>
              <w:t>$'000</w:t>
            </w:r>
          </w:p>
        </w:tc>
        <w:tc>
          <w:tcPr>
            <w:tcW w:w="239" w:type="dxa"/>
            <w:tcBorders>
              <w:top w:val="nil"/>
              <w:left w:val="nil"/>
              <w:bottom w:val="single" w:sz="4" w:space="0" w:color="auto"/>
              <w:right w:val="nil"/>
            </w:tcBorders>
            <w:shd w:val="clear" w:color="000000" w:fill="D9D9D9"/>
            <w:vAlign w:val="bottom"/>
            <w:hideMark/>
          </w:tcPr>
          <w:p w:rsidR="008835EB" w:rsidRDefault="008835EB" w:rsidP="007E3F2E">
            <w:pPr>
              <w:jc w:val="right"/>
              <w:rPr>
                <w:rFonts w:cs="Calibri"/>
                <w:szCs w:val="18"/>
              </w:rPr>
            </w:pPr>
            <w:r>
              <w:rPr>
                <w:rFonts w:cs="Calibri"/>
                <w:szCs w:val="18"/>
              </w:rPr>
              <w:t> </w:t>
            </w:r>
          </w:p>
        </w:tc>
        <w:tc>
          <w:tcPr>
            <w:tcW w:w="1250" w:type="dxa"/>
            <w:tcBorders>
              <w:top w:val="nil"/>
              <w:left w:val="nil"/>
              <w:bottom w:val="single" w:sz="4" w:space="0" w:color="auto"/>
              <w:right w:val="nil"/>
            </w:tcBorders>
            <w:shd w:val="clear" w:color="000000" w:fill="D9D9D9"/>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6346" w:type="dxa"/>
            <w:tcBorders>
              <w:top w:val="nil"/>
              <w:left w:val="nil"/>
              <w:bottom w:val="nil"/>
              <w:right w:val="nil"/>
            </w:tcBorders>
            <w:shd w:val="clear" w:color="000000" w:fill="D9D9D9"/>
            <w:vAlign w:val="bottom"/>
            <w:hideMark/>
          </w:tcPr>
          <w:p w:rsidR="008835EB" w:rsidRDefault="008835EB" w:rsidP="007E3F2E">
            <w:pPr>
              <w:rPr>
                <w:rFonts w:cs="Calibri"/>
                <w:szCs w:val="18"/>
              </w:rPr>
            </w:pPr>
            <w:r>
              <w:rPr>
                <w:rFonts w:cs="Calibri"/>
                <w:szCs w:val="18"/>
              </w:rPr>
              <w:t>Opening balance</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(141)</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(141)</w:t>
            </w:r>
          </w:p>
        </w:tc>
      </w:tr>
      <w:tr w:rsidR="008835EB" w:rsidTr="007E3F2E">
        <w:trPr>
          <w:trHeight w:val="255"/>
        </w:trPr>
        <w:tc>
          <w:tcPr>
            <w:tcW w:w="6346" w:type="dxa"/>
            <w:tcBorders>
              <w:top w:val="nil"/>
              <w:left w:val="nil"/>
              <w:bottom w:val="nil"/>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Amounts written off</w:t>
            </w:r>
          </w:p>
        </w:tc>
        <w:tc>
          <w:tcPr>
            <w:tcW w:w="1252"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141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141</w:t>
            </w:r>
          </w:p>
        </w:tc>
      </w:tr>
      <w:tr w:rsidR="008835EB" w:rsidTr="007E3F2E">
        <w:trPr>
          <w:trHeight w:val="255"/>
        </w:trPr>
        <w:tc>
          <w:tcPr>
            <w:tcW w:w="6346" w:type="dxa"/>
            <w:tcBorders>
              <w:top w:val="nil"/>
              <w:left w:val="nil"/>
              <w:bottom w:val="single" w:sz="4" w:space="0" w:color="auto"/>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Increase recognised in net cost of services</w:t>
            </w:r>
          </w:p>
        </w:tc>
        <w:tc>
          <w:tcPr>
            <w:tcW w:w="1252" w:type="dxa"/>
            <w:tcBorders>
              <w:top w:val="nil"/>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(137)</w:t>
            </w:r>
          </w:p>
        </w:tc>
        <w:tc>
          <w:tcPr>
            <w:tcW w:w="239" w:type="dxa"/>
            <w:tcBorders>
              <w:top w:val="nil"/>
              <w:left w:val="nil"/>
              <w:bottom w:val="single" w:sz="4" w:space="0" w:color="auto"/>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(137)</w:t>
            </w:r>
          </w:p>
        </w:tc>
      </w:tr>
      <w:tr w:rsidR="008835EB" w:rsidTr="007E3F2E">
        <w:trPr>
          <w:trHeight w:val="255"/>
        </w:trPr>
        <w:tc>
          <w:tcPr>
            <w:tcW w:w="6346" w:type="dxa"/>
            <w:tcBorders>
              <w:top w:val="single" w:sz="4" w:space="0" w:color="auto"/>
              <w:left w:val="nil"/>
              <w:bottom w:val="single" w:sz="4" w:space="0" w:color="auto"/>
              <w:right w:val="nil"/>
            </w:tcBorders>
            <w:shd w:val="clear" w:color="000000" w:fill="D9D9D9"/>
            <w:vAlign w:val="bottom"/>
            <w:hideMark/>
          </w:tcPr>
          <w:p w:rsidR="008835EB" w:rsidRDefault="008835EB" w:rsidP="007E3F2E">
            <w:pPr>
              <w:rPr>
                <w:rFonts w:cs="Calibri"/>
                <w:i/>
                <w:iCs/>
                <w:szCs w:val="18"/>
              </w:rPr>
            </w:pPr>
            <w:r>
              <w:rPr>
                <w:rFonts w:cs="Calibri"/>
                <w:i/>
                <w:iCs/>
                <w:szCs w:val="18"/>
              </w:rPr>
              <w:t>Closing balance</w:t>
            </w:r>
          </w:p>
        </w:tc>
        <w:tc>
          <w:tcPr>
            <w:tcW w:w="1252"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(137)</w:t>
            </w:r>
          </w:p>
        </w:tc>
        <w:tc>
          <w:tcPr>
            <w:tcW w:w="239"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c>
          <w:tcPr>
            <w:tcW w:w="1250"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(137)</w:t>
            </w:r>
          </w:p>
        </w:tc>
      </w:tr>
    </w:tbl>
    <w:p w:rsidR="008835EB" w:rsidRDefault="008835EB" w:rsidP="008835EB">
      <w:pPr>
        <w:pStyle w:val="GreyShadeTableBreak"/>
      </w:pPr>
      <w:bookmarkStart w:id="316" w:name="RANGE!D7:G66"/>
      <w:bookmarkStart w:id="317" w:name="RANGE!D7:G69"/>
      <w:bookmarkStart w:id="318" w:name="RANGE!D7:G19"/>
      <w:bookmarkStart w:id="319" w:name="RANGE!D6:H27"/>
      <w:bookmarkEnd w:id="316"/>
      <w:bookmarkEnd w:id="317"/>
      <w:bookmarkEnd w:id="318"/>
      <w:bookmarkEnd w:id="319"/>
      <w:r>
        <w:t xml:space="preserve"> </w:t>
      </w:r>
    </w:p>
    <w:p w:rsidR="008835EB" w:rsidRPr="009637AE" w:rsidRDefault="008835EB" w:rsidP="008835EB">
      <w:pPr>
        <w:pStyle w:val="Policytextadminbold"/>
      </w:pPr>
      <w:r>
        <w:t>Accounting Policy</w:t>
      </w:r>
    </w:p>
    <w:p w:rsidR="008835EB" w:rsidRPr="00200687" w:rsidRDefault="008835EB" w:rsidP="008835EB">
      <w:pPr>
        <w:pStyle w:val="Policytextadminunderline"/>
      </w:pPr>
      <w:r w:rsidRPr="00200687">
        <w:t xml:space="preserve">Loans and </w:t>
      </w:r>
      <w:r>
        <w:t>R</w:t>
      </w:r>
      <w:r w:rsidRPr="00200687">
        <w:t>eceivables</w:t>
      </w:r>
    </w:p>
    <w:p w:rsidR="008835EB" w:rsidRPr="009637AE" w:rsidRDefault="008835EB" w:rsidP="008835EB">
      <w:pPr>
        <w:pStyle w:val="PolicyTextAdmin"/>
        <w:spacing w:after="0"/>
      </w:pPr>
      <w:r w:rsidRPr="009637AE">
        <w:t xml:space="preserve">Where loans and receivables are not subject to concessional treatment, they are carried at amortised cost using </w:t>
      </w:r>
      <w:r>
        <w:t xml:space="preserve">the effective interest method. </w:t>
      </w:r>
      <w:r w:rsidRPr="009637AE">
        <w:t xml:space="preserve">Gains and losses due to </w:t>
      </w:r>
      <w:proofErr w:type="gramStart"/>
      <w:r w:rsidRPr="009637AE">
        <w:t>impairment,</w:t>
      </w:r>
      <w:proofErr w:type="gramEnd"/>
      <w:r w:rsidRPr="009637AE">
        <w:t xml:space="preserve"> </w:t>
      </w:r>
      <w:proofErr w:type="spellStart"/>
      <w:r w:rsidRPr="009637AE">
        <w:t>derecognition</w:t>
      </w:r>
      <w:proofErr w:type="spellEnd"/>
      <w:r w:rsidRPr="009637AE">
        <w:t xml:space="preserve"> and amortisation are recognised through profit or loss.  </w:t>
      </w:r>
    </w:p>
    <w:p w:rsidR="008835EB" w:rsidRDefault="008835EB" w:rsidP="008835EB">
      <w:pPr>
        <w:pStyle w:val="GreyShadeTableBreak"/>
        <w:rPr>
          <w:rFonts w:asciiTheme="minorHAnsi" w:hAnsiTheme="minorHAnsi" w:cstheme="minorHAnsi"/>
        </w:rPr>
      </w:pPr>
    </w:p>
    <w:tbl>
      <w:tblPr>
        <w:tblW w:w="9087" w:type="dxa"/>
        <w:tblInd w:w="80" w:type="dxa"/>
        <w:tblLayout w:type="fixed"/>
        <w:tblLook w:val="04A0" w:firstRow="1" w:lastRow="0" w:firstColumn="1" w:lastColumn="0" w:noHBand="0" w:noVBand="1"/>
      </w:tblPr>
      <w:tblGrid>
        <w:gridCol w:w="6363"/>
        <w:gridCol w:w="1233"/>
        <w:gridCol w:w="239"/>
        <w:gridCol w:w="1252"/>
      </w:tblGrid>
      <w:tr w:rsidR="008835EB" w:rsidTr="007E3F2E">
        <w:trPr>
          <w:trHeight w:val="255"/>
        </w:trPr>
        <w:tc>
          <w:tcPr>
            <w:tcW w:w="6363"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bookmarkStart w:id="320" w:name="Note_AOVTABLE1" w:colFirst="0" w:colLast="0"/>
            <w:r>
              <w:rPr>
                <w:rFonts w:ascii="Arial" w:hAnsi="Arial" w:cs="Arial"/>
                <w:sz w:val="16"/>
                <w:szCs w:val="16"/>
              </w:rPr>
              <w:t> </w:t>
            </w:r>
          </w:p>
        </w:tc>
        <w:tc>
          <w:tcPr>
            <w:tcW w:w="1233"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2016</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2015</w:t>
            </w:r>
          </w:p>
        </w:tc>
      </w:tr>
      <w:bookmarkEnd w:id="320"/>
      <w:tr w:rsidR="008835EB" w:rsidTr="007E3F2E">
        <w:trPr>
          <w:trHeight w:val="255"/>
        </w:trPr>
        <w:tc>
          <w:tcPr>
            <w:tcW w:w="6363"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3" w:type="dxa"/>
            <w:tcBorders>
              <w:top w:val="nil"/>
              <w:left w:val="nil"/>
              <w:bottom w:val="single" w:sz="4" w:space="0" w:color="D9D9D9"/>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$'000</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6363" w:type="dxa"/>
            <w:tcBorders>
              <w:top w:val="nil"/>
              <w:left w:val="nil"/>
              <w:bottom w:val="nil"/>
              <w:right w:val="nil"/>
            </w:tcBorders>
            <w:shd w:val="clear" w:color="000000" w:fill="D9D9D9"/>
            <w:noWrap/>
            <w:hideMark/>
          </w:tcPr>
          <w:p w:rsidR="008835EB" w:rsidRDefault="008835EB" w:rsidP="007E3F2E">
            <w:pPr>
              <w:rPr>
                <w:rFonts w:cs="Calibri"/>
                <w:b/>
                <w:bCs/>
                <w:szCs w:val="18"/>
                <w:u w:val="single"/>
              </w:rPr>
            </w:pPr>
            <w:r>
              <w:rPr>
                <w:rFonts w:cs="Calibri"/>
                <w:b/>
                <w:bCs/>
                <w:szCs w:val="18"/>
                <w:u w:val="single"/>
              </w:rPr>
              <w:t xml:space="preserve">Note </w:t>
            </w:r>
            <w:proofErr w:type="spellStart"/>
            <w:r>
              <w:rPr>
                <w:rFonts w:cs="Calibri"/>
                <w:b/>
                <w:bCs/>
                <w:szCs w:val="18"/>
                <w:u w:val="single"/>
              </w:rPr>
              <w:t>4.1B</w:t>
            </w:r>
            <w:proofErr w:type="spellEnd"/>
            <w:r>
              <w:rPr>
                <w:rFonts w:cs="Calibri"/>
                <w:b/>
                <w:bCs/>
                <w:szCs w:val="18"/>
                <w:u w:val="single"/>
              </w:rPr>
              <w:t>: Other Investments</w:t>
            </w:r>
          </w:p>
        </w:tc>
        <w:tc>
          <w:tcPr>
            <w:tcW w:w="1233"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6363"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3"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6363"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Other Investments</w:t>
            </w:r>
          </w:p>
        </w:tc>
        <w:tc>
          <w:tcPr>
            <w:tcW w:w="1233"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85"/>
        </w:trPr>
        <w:tc>
          <w:tcPr>
            <w:tcW w:w="6363"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 xml:space="preserve">Coal Mining Industry </w:t>
            </w:r>
            <w:proofErr w:type="spellStart"/>
            <w:r>
              <w:rPr>
                <w:rFonts w:cs="Calibri"/>
                <w:szCs w:val="18"/>
              </w:rPr>
              <w:t>Corporation</w:t>
            </w:r>
            <w:r>
              <w:rPr>
                <w:rFonts w:cs="Calibri"/>
                <w:szCs w:val="18"/>
                <w:vertAlign w:val="superscript"/>
              </w:rPr>
              <w:t>1</w:t>
            </w:r>
            <w:proofErr w:type="spellEnd"/>
          </w:p>
        </w:tc>
        <w:tc>
          <w:tcPr>
            <w:tcW w:w="1233"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240,897</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224,658</w:t>
            </w:r>
          </w:p>
        </w:tc>
      </w:tr>
      <w:tr w:rsidR="008835EB" w:rsidTr="007E3F2E">
        <w:trPr>
          <w:trHeight w:val="270"/>
        </w:trPr>
        <w:tc>
          <w:tcPr>
            <w:tcW w:w="6363" w:type="dxa"/>
            <w:tcBorders>
              <w:top w:val="nil"/>
              <w:left w:val="nil"/>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Total other investments</w:t>
            </w:r>
          </w:p>
        </w:tc>
        <w:tc>
          <w:tcPr>
            <w:tcW w:w="1233" w:type="dxa"/>
            <w:tcBorders>
              <w:top w:val="single" w:sz="4" w:space="0" w:color="auto"/>
              <w:left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240,897</w:t>
            </w:r>
          </w:p>
        </w:tc>
        <w:tc>
          <w:tcPr>
            <w:tcW w:w="239" w:type="dxa"/>
            <w:tcBorders>
              <w:top w:val="nil"/>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2" w:type="dxa"/>
            <w:tcBorders>
              <w:top w:val="single" w:sz="4" w:space="0" w:color="auto"/>
              <w:left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224,658</w:t>
            </w:r>
          </w:p>
        </w:tc>
      </w:tr>
      <w:tr w:rsidR="008835EB" w:rsidTr="007E3F2E">
        <w:trPr>
          <w:trHeight w:val="255"/>
        </w:trPr>
        <w:tc>
          <w:tcPr>
            <w:tcW w:w="6363" w:type="dxa"/>
            <w:tcBorders>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33" w:type="dxa"/>
            <w:tcBorders>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9" w:type="dxa"/>
            <w:tcBorders>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2" w:type="dxa"/>
            <w:tcBorders>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9087" w:type="dxa"/>
            <w:gridSpan w:val="4"/>
            <w:tcBorders>
              <w:left w:val="nil"/>
              <w:right w:val="nil"/>
            </w:tcBorders>
            <w:shd w:val="clear" w:color="000000" w:fill="D9D9D9"/>
            <w:noWrap/>
            <w:vAlign w:val="bottom"/>
          </w:tcPr>
          <w:p w:rsidR="008835EB" w:rsidRDefault="008835EB" w:rsidP="007E3F2E">
            <w:pPr>
              <w:pStyle w:val="GreyShadeTableBreak"/>
            </w:pPr>
            <w:r>
              <w:t xml:space="preserve">All Other Investments are expected to be recovered in greater than 12 months. </w:t>
            </w:r>
          </w:p>
          <w:p w:rsidR="008835EB" w:rsidRDefault="008835EB" w:rsidP="007E3F2E">
            <w:pPr>
              <w:pStyle w:val="GreyShadeTableBreak"/>
              <w:spacing w:before="120"/>
            </w:pPr>
            <w:r>
              <w:t>The Department retains 100 per cent ownership of the listed investment. The principle activity of the Department’s administered investment is as follows:</w:t>
            </w:r>
          </w:p>
          <w:p w:rsidR="008835EB" w:rsidRPr="00815D14" w:rsidRDefault="008835EB" w:rsidP="007E3F2E">
            <w:pPr>
              <w:pStyle w:val="GreyShadeTableBreak"/>
            </w:pPr>
            <w:proofErr w:type="spellStart"/>
            <w:r>
              <w:rPr>
                <w:vertAlign w:val="superscript"/>
              </w:rPr>
              <w:t>1</w:t>
            </w:r>
            <w:r>
              <w:rPr>
                <w:i/>
              </w:rPr>
              <w:t>Coal</w:t>
            </w:r>
            <w:proofErr w:type="spellEnd"/>
            <w:r>
              <w:rPr>
                <w:i/>
              </w:rPr>
              <w:t xml:space="preserve"> Mining Industry Corporation (</w:t>
            </w:r>
            <w:proofErr w:type="spellStart"/>
            <w:r>
              <w:rPr>
                <w:i/>
              </w:rPr>
              <w:t>CMIC</w:t>
            </w:r>
            <w:proofErr w:type="spellEnd"/>
            <w:r>
              <w:rPr>
                <w:i/>
              </w:rPr>
              <w:t>)</w:t>
            </w:r>
            <w:r>
              <w:t xml:space="preserve"> –the administration of the Coal Mining Industry Long Service Leave Fund. The fund has operated since 1949 to provide reimbursement payments to employers paying long service leave to persons employed in the black coal industry in New South Wales, Queensland, Western Australia and Tasmania on the basis of industry employment service. </w:t>
            </w:r>
          </w:p>
        </w:tc>
      </w:tr>
    </w:tbl>
    <w:p w:rsidR="008835EB" w:rsidRPr="0090730B" w:rsidRDefault="008835EB" w:rsidP="008835EB">
      <w:pPr>
        <w:pStyle w:val="Policytextadminunderline"/>
        <w:rPr>
          <w:b/>
          <w:i w:val="0"/>
          <w:u w:val="none"/>
        </w:rPr>
      </w:pPr>
      <w:r w:rsidRPr="0090730B">
        <w:rPr>
          <w:b/>
          <w:i w:val="0"/>
          <w:u w:val="none"/>
        </w:rPr>
        <w:t>Accounting Policy</w:t>
      </w:r>
    </w:p>
    <w:p w:rsidR="008835EB" w:rsidRPr="00200687" w:rsidRDefault="008835EB" w:rsidP="008835EB">
      <w:pPr>
        <w:pStyle w:val="Policytextadminunderline"/>
      </w:pPr>
      <w:r w:rsidRPr="00200687">
        <w:t xml:space="preserve">Administered </w:t>
      </w:r>
      <w:r>
        <w:t>I</w:t>
      </w:r>
      <w:r w:rsidRPr="00200687">
        <w:t>nvestments</w:t>
      </w:r>
    </w:p>
    <w:p w:rsidR="008835EB" w:rsidRPr="00200687" w:rsidRDefault="008835EB" w:rsidP="008835EB">
      <w:pPr>
        <w:pStyle w:val="PolicyTextAdmin"/>
      </w:pPr>
      <w:r w:rsidRPr="00200687">
        <w:t>Administered investments in subsidiaries, joint ventures and associates are not consolidated because their consolidation is relevant only at the Whole of Government level.</w:t>
      </w:r>
    </w:p>
    <w:p w:rsidR="008835EB" w:rsidRDefault="008835EB" w:rsidP="008835EB">
      <w:pPr>
        <w:pStyle w:val="PolicyTextAdmin"/>
      </w:pPr>
      <w:r w:rsidRPr="00200687">
        <w:t xml:space="preserve">Administered investments other than those held for sale are classified as available-for-sale and are measured at their fair value as at 30 June </w:t>
      </w:r>
      <w:r w:rsidR="00FA455C">
        <w:t>2016</w:t>
      </w:r>
      <w:r>
        <w:t xml:space="preserve">. </w:t>
      </w:r>
      <w:r w:rsidRPr="00200687">
        <w:t xml:space="preserve">Fair value has been taken to be the Australian Government's proportional interest in the net assets of the entities as at the end of the reporting period.  </w:t>
      </w:r>
    </w:p>
    <w:p w:rsidR="008835EB" w:rsidRDefault="008835EB" w:rsidP="008835EB">
      <w:pPr>
        <w:pStyle w:val="SubHeading"/>
      </w:pPr>
      <w:bookmarkStart w:id="321" w:name="_Toc456689853"/>
      <w:r>
        <w:t>Administered—Payables</w:t>
      </w:r>
      <w:bookmarkEnd w:id="321"/>
    </w:p>
    <w:tbl>
      <w:tblPr>
        <w:tblW w:w="9087" w:type="dxa"/>
        <w:tblInd w:w="80" w:type="dxa"/>
        <w:tblLayout w:type="fixed"/>
        <w:tblLook w:val="04A0" w:firstRow="1" w:lastRow="0" w:firstColumn="1" w:lastColumn="0" w:noHBand="0" w:noVBand="1"/>
      </w:tblPr>
      <w:tblGrid>
        <w:gridCol w:w="6346"/>
        <w:gridCol w:w="1252"/>
        <w:gridCol w:w="239"/>
        <w:gridCol w:w="1250"/>
      </w:tblGrid>
      <w:tr w:rsidR="008835EB" w:rsidTr="007E3F2E">
        <w:trPr>
          <w:trHeight w:val="240"/>
        </w:trPr>
        <w:tc>
          <w:tcPr>
            <w:tcW w:w="634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bookmarkStart w:id="322" w:name="Note_ASPTABLE1" w:colFirst="0" w:colLast="0"/>
            <w:r>
              <w:rPr>
                <w:rFonts w:ascii="Arial" w:hAnsi="Arial" w:cs="Arial"/>
                <w:sz w:val="16"/>
                <w:szCs w:val="16"/>
              </w:rPr>
              <w:t> </w:t>
            </w:r>
          </w:p>
        </w:tc>
        <w:tc>
          <w:tcPr>
            <w:tcW w:w="1252" w:type="dxa"/>
            <w:tcBorders>
              <w:top w:val="nil"/>
              <w:left w:val="nil"/>
              <w:bottom w:val="single" w:sz="4" w:space="0" w:color="D9D9D9"/>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2016</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2015</w:t>
            </w:r>
          </w:p>
        </w:tc>
      </w:tr>
      <w:bookmarkEnd w:id="322"/>
      <w:tr w:rsidR="008835EB" w:rsidTr="007E3F2E">
        <w:trPr>
          <w:trHeight w:val="240"/>
        </w:trPr>
        <w:tc>
          <w:tcPr>
            <w:tcW w:w="634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2" w:type="dxa"/>
            <w:tcBorders>
              <w:top w:val="nil"/>
              <w:left w:val="nil"/>
              <w:bottom w:val="single" w:sz="4" w:space="0" w:color="D9D9D9"/>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$'000</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6346" w:type="dxa"/>
            <w:tcBorders>
              <w:top w:val="nil"/>
              <w:left w:val="nil"/>
              <w:bottom w:val="nil"/>
              <w:right w:val="nil"/>
            </w:tcBorders>
            <w:shd w:val="clear" w:color="000000" w:fill="D9D9D9"/>
            <w:noWrap/>
            <w:hideMark/>
          </w:tcPr>
          <w:p w:rsidR="008835EB" w:rsidRDefault="008835EB" w:rsidP="007E3F2E">
            <w:pPr>
              <w:rPr>
                <w:rFonts w:cs="Calibri"/>
                <w:b/>
                <w:bCs/>
                <w:szCs w:val="18"/>
                <w:u w:val="single"/>
              </w:rPr>
            </w:pPr>
            <w:r>
              <w:rPr>
                <w:rFonts w:cs="Calibri"/>
                <w:b/>
                <w:bCs/>
                <w:szCs w:val="18"/>
                <w:u w:val="single"/>
              </w:rPr>
              <w:t xml:space="preserve">Note </w:t>
            </w:r>
            <w:proofErr w:type="spellStart"/>
            <w:r>
              <w:rPr>
                <w:rFonts w:cs="Calibri"/>
                <w:b/>
                <w:bCs/>
                <w:szCs w:val="18"/>
                <w:u w:val="single"/>
              </w:rPr>
              <w:t>4.2A</w:t>
            </w:r>
            <w:proofErr w:type="spellEnd"/>
            <w:r>
              <w:rPr>
                <w:rFonts w:cs="Calibri"/>
                <w:b/>
                <w:bCs/>
                <w:szCs w:val="18"/>
                <w:u w:val="single"/>
              </w:rPr>
              <w:t>: Suppliers</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6346" w:type="dxa"/>
            <w:tcBorders>
              <w:top w:val="nil"/>
              <w:left w:val="nil"/>
              <w:bottom w:val="single" w:sz="4" w:space="0" w:color="D9D9D9"/>
              <w:right w:val="nil"/>
            </w:tcBorders>
            <w:shd w:val="clear" w:color="000000" w:fill="D9D9D9"/>
            <w:noWrap/>
            <w:vAlign w:val="bottom"/>
          </w:tcPr>
          <w:p w:rsidR="008835EB" w:rsidRDefault="008835EB" w:rsidP="007E3F2E">
            <w:pPr>
              <w:rPr>
                <w:rFonts w:ascii="Arial" w:hAnsi="Arial" w:cs="Arial"/>
                <w:sz w:val="16"/>
                <w:szCs w:val="16"/>
              </w:rPr>
            </w:pPr>
          </w:p>
        </w:tc>
        <w:tc>
          <w:tcPr>
            <w:tcW w:w="1252" w:type="dxa"/>
            <w:tcBorders>
              <w:top w:val="nil"/>
              <w:left w:val="nil"/>
              <w:bottom w:val="single" w:sz="4" w:space="0" w:color="D9D9D9"/>
              <w:right w:val="nil"/>
            </w:tcBorders>
            <w:shd w:val="clear" w:color="000000" w:fill="D9D9D9"/>
            <w:noWrap/>
            <w:vAlign w:val="bottom"/>
          </w:tcPr>
          <w:p w:rsidR="008835EB" w:rsidRDefault="008835EB" w:rsidP="007E3F2E">
            <w:pPr>
              <w:rPr>
                <w:rFonts w:ascii="Arial" w:hAnsi="Arial" w:cs="Arial"/>
                <w:sz w:val="16"/>
                <w:szCs w:val="16"/>
              </w:rPr>
            </w:pPr>
          </w:p>
        </w:tc>
        <w:tc>
          <w:tcPr>
            <w:tcW w:w="239" w:type="dxa"/>
            <w:tcBorders>
              <w:top w:val="nil"/>
              <w:left w:val="nil"/>
              <w:bottom w:val="single" w:sz="4" w:space="0" w:color="D9D9D9"/>
              <w:right w:val="nil"/>
            </w:tcBorders>
            <w:shd w:val="clear" w:color="000000" w:fill="D9D9D9"/>
            <w:noWrap/>
            <w:vAlign w:val="bottom"/>
          </w:tcPr>
          <w:p w:rsidR="008835EB" w:rsidRDefault="008835EB" w:rsidP="007E3F2E">
            <w:pPr>
              <w:rPr>
                <w:rFonts w:ascii="Arial" w:hAnsi="Arial" w:cs="Arial"/>
                <w:sz w:val="16"/>
                <w:szCs w:val="16"/>
              </w:rPr>
            </w:pPr>
          </w:p>
        </w:tc>
        <w:tc>
          <w:tcPr>
            <w:tcW w:w="1250" w:type="dxa"/>
            <w:tcBorders>
              <w:top w:val="nil"/>
              <w:left w:val="nil"/>
              <w:bottom w:val="single" w:sz="4" w:space="0" w:color="D9D9D9"/>
              <w:right w:val="nil"/>
            </w:tcBorders>
            <w:shd w:val="clear" w:color="000000" w:fill="D9D9D9"/>
            <w:noWrap/>
            <w:vAlign w:val="bottom"/>
          </w:tcPr>
          <w:p w:rsidR="008835EB" w:rsidRDefault="008835EB" w:rsidP="007E3F2E">
            <w:pPr>
              <w:rPr>
                <w:rFonts w:ascii="Arial" w:hAnsi="Arial" w:cs="Arial"/>
                <w:sz w:val="16"/>
                <w:szCs w:val="16"/>
              </w:rPr>
            </w:pPr>
          </w:p>
        </w:tc>
      </w:tr>
      <w:tr w:rsidR="008835EB" w:rsidTr="007E3F2E">
        <w:trPr>
          <w:trHeight w:val="255"/>
        </w:trPr>
        <w:tc>
          <w:tcPr>
            <w:tcW w:w="634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6346"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Trade creditors and accruals</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60,980</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99,475</w:t>
            </w:r>
          </w:p>
        </w:tc>
      </w:tr>
      <w:tr w:rsidR="008835EB" w:rsidTr="007E3F2E">
        <w:trPr>
          <w:trHeight w:val="270"/>
        </w:trPr>
        <w:tc>
          <w:tcPr>
            <w:tcW w:w="6346" w:type="dxa"/>
            <w:tcBorders>
              <w:top w:val="nil"/>
              <w:left w:val="nil"/>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Total suppliers</w:t>
            </w:r>
          </w:p>
        </w:tc>
        <w:tc>
          <w:tcPr>
            <w:tcW w:w="1252" w:type="dxa"/>
            <w:tcBorders>
              <w:top w:val="single" w:sz="4" w:space="0" w:color="auto"/>
              <w:left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60,980</w:t>
            </w:r>
          </w:p>
        </w:tc>
        <w:tc>
          <w:tcPr>
            <w:tcW w:w="239" w:type="dxa"/>
            <w:tcBorders>
              <w:top w:val="nil"/>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single" w:sz="4" w:space="0" w:color="auto"/>
              <w:left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99,475</w:t>
            </w:r>
          </w:p>
        </w:tc>
      </w:tr>
      <w:tr w:rsidR="008835EB" w:rsidTr="007E3F2E">
        <w:trPr>
          <w:trHeight w:val="353"/>
        </w:trPr>
        <w:tc>
          <w:tcPr>
            <w:tcW w:w="6346" w:type="dxa"/>
            <w:tcBorders>
              <w:left w:val="nil"/>
              <w:bottom w:val="nil"/>
              <w:right w:val="nil"/>
            </w:tcBorders>
            <w:shd w:val="clear" w:color="000000" w:fill="D9D9D9"/>
            <w:vAlign w:val="bottom"/>
            <w:hideMark/>
          </w:tcPr>
          <w:p w:rsidR="008835EB" w:rsidRPr="003C2073" w:rsidRDefault="008835EB" w:rsidP="007E3F2E">
            <w:pPr>
              <w:pStyle w:val="GreyShadeTableBreak"/>
            </w:pPr>
            <w:bookmarkStart w:id="323" w:name="RANGE!D9:G16"/>
            <w:bookmarkEnd w:id="323"/>
            <w:r>
              <w:t>All suppliers are expected to be settled in no more than 12 months.</w:t>
            </w:r>
          </w:p>
        </w:tc>
        <w:tc>
          <w:tcPr>
            <w:tcW w:w="1252" w:type="dxa"/>
            <w:tcBorders>
              <w:left w:val="nil"/>
              <w:right w:val="nil"/>
            </w:tcBorders>
            <w:shd w:val="clear" w:color="000000" w:fill="D9D9D9"/>
            <w:noWrap/>
            <w:vAlign w:val="bottom"/>
            <w:hideMark/>
          </w:tcPr>
          <w:p w:rsidR="008835EB" w:rsidRPr="003C2073" w:rsidRDefault="008835EB" w:rsidP="007E3F2E">
            <w:pPr>
              <w:jc w:val="right"/>
              <w:rPr>
                <w:rFonts w:cs="Calibri"/>
                <w:b/>
                <w:bCs/>
                <w:szCs w:val="18"/>
              </w:rPr>
            </w:pPr>
          </w:p>
        </w:tc>
        <w:tc>
          <w:tcPr>
            <w:tcW w:w="239" w:type="dxa"/>
            <w:tcBorders>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p>
        </w:tc>
        <w:tc>
          <w:tcPr>
            <w:tcW w:w="1250" w:type="dxa"/>
            <w:tcBorders>
              <w:left w:val="nil"/>
              <w:right w:val="nil"/>
            </w:tcBorders>
            <w:shd w:val="clear" w:color="000000" w:fill="D9D9D9"/>
            <w:noWrap/>
            <w:vAlign w:val="bottom"/>
            <w:hideMark/>
          </w:tcPr>
          <w:p w:rsidR="008835EB" w:rsidRPr="003C2073" w:rsidRDefault="008835EB" w:rsidP="007E3F2E">
            <w:pPr>
              <w:jc w:val="right"/>
              <w:rPr>
                <w:rFonts w:cs="Calibri"/>
                <w:szCs w:val="18"/>
              </w:rPr>
            </w:pPr>
          </w:p>
        </w:tc>
      </w:tr>
      <w:tr w:rsidR="008835EB" w:rsidTr="007E3F2E">
        <w:trPr>
          <w:trHeight w:val="270"/>
        </w:trPr>
        <w:tc>
          <w:tcPr>
            <w:tcW w:w="6346" w:type="dxa"/>
            <w:tcBorders>
              <w:top w:val="nil"/>
              <w:left w:val="nil"/>
              <w:bottom w:val="single" w:sz="8" w:space="0" w:color="D9D9D9"/>
              <w:right w:val="nil"/>
            </w:tcBorders>
            <w:shd w:val="clear" w:color="000000" w:fill="D9D9D9"/>
            <w:vAlign w:val="bottom"/>
          </w:tcPr>
          <w:p w:rsidR="008835EB" w:rsidRDefault="008835EB" w:rsidP="007E3F2E">
            <w:pPr>
              <w:pStyle w:val="GreyShadeTableBreak"/>
            </w:pPr>
            <w:r>
              <w:t>Settlement was made within 30 days</w:t>
            </w:r>
          </w:p>
        </w:tc>
        <w:tc>
          <w:tcPr>
            <w:tcW w:w="1252" w:type="dxa"/>
            <w:tcBorders>
              <w:left w:val="nil"/>
              <w:right w:val="nil"/>
            </w:tcBorders>
            <w:shd w:val="clear" w:color="000000" w:fill="D9D9D9"/>
            <w:noWrap/>
            <w:vAlign w:val="bottom"/>
          </w:tcPr>
          <w:p w:rsidR="008835EB" w:rsidRPr="003C2073" w:rsidRDefault="008835EB" w:rsidP="007E3F2E">
            <w:pPr>
              <w:jc w:val="right"/>
              <w:rPr>
                <w:rFonts w:cs="Calibri"/>
                <w:b/>
                <w:bCs/>
                <w:szCs w:val="18"/>
              </w:rPr>
            </w:pPr>
          </w:p>
        </w:tc>
        <w:tc>
          <w:tcPr>
            <w:tcW w:w="239" w:type="dxa"/>
            <w:tcBorders>
              <w:top w:val="nil"/>
              <w:left w:val="nil"/>
              <w:bottom w:val="single" w:sz="4" w:space="0" w:color="D9D9D9"/>
              <w:right w:val="nil"/>
            </w:tcBorders>
            <w:shd w:val="clear" w:color="000000" w:fill="D9D9D9"/>
            <w:noWrap/>
            <w:vAlign w:val="bottom"/>
          </w:tcPr>
          <w:p w:rsidR="008835EB" w:rsidRDefault="008835EB" w:rsidP="007E3F2E">
            <w:pPr>
              <w:rPr>
                <w:rFonts w:ascii="Arial" w:hAnsi="Arial" w:cs="Arial"/>
                <w:sz w:val="16"/>
                <w:szCs w:val="16"/>
              </w:rPr>
            </w:pPr>
          </w:p>
        </w:tc>
        <w:tc>
          <w:tcPr>
            <w:tcW w:w="1250" w:type="dxa"/>
            <w:tcBorders>
              <w:left w:val="nil"/>
              <w:right w:val="nil"/>
            </w:tcBorders>
            <w:shd w:val="clear" w:color="000000" w:fill="D9D9D9"/>
            <w:noWrap/>
            <w:vAlign w:val="bottom"/>
          </w:tcPr>
          <w:p w:rsidR="008835EB" w:rsidRPr="003C2073" w:rsidRDefault="008835EB" w:rsidP="007E3F2E">
            <w:pPr>
              <w:jc w:val="right"/>
              <w:rPr>
                <w:rFonts w:cs="Calibri"/>
                <w:szCs w:val="18"/>
              </w:rPr>
            </w:pPr>
          </w:p>
        </w:tc>
      </w:tr>
    </w:tbl>
    <w:p w:rsidR="008835EB" w:rsidRDefault="008835EB" w:rsidP="008835EB">
      <w:pPr>
        <w:spacing w:line="240" w:lineRule="auto"/>
      </w:pPr>
      <w:r>
        <w:br w:type="page"/>
      </w:r>
    </w:p>
    <w:tbl>
      <w:tblPr>
        <w:tblW w:w="9087" w:type="dxa"/>
        <w:tblInd w:w="80" w:type="dxa"/>
        <w:tblLayout w:type="fixed"/>
        <w:tblLook w:val="04A0" w:firstRow="1" w:lastRow="0" w:firstColumn="1" w:lastColumn="0" w:noHBand="0" w:noVBand="1"/>
      </w:tblPr>
      <w:tblGrid>
        <w:gridCol w:w="6346"/>
        <w:gridCol w:w="1252"/>
        <w:gridCol w:w="239"/>
        <w:gridCol w:w="1250"/>
      </w:tblGrid>
      <w:tr w:rsidR="008835EB" w:rsidTr="007E3F2E">
        <w:trPr>
          <w:trHeight w:val="255"/>
        </w:trPr>
        <w:tc>
          <w:tcPr>
            <w:tcW w:w="6346" w:type="dxa"/>
            <w:tcBorders>
              <w:top w:val="nil"/>
              <w:left w:val="nil"/>
              <w:bottom w:val="nil"/>
              <w:right w:val="nil"/>
            </w:tcBorders>
            <w:shd w:val="clear" w:color="000000" w:fill="D9D9D9"/>
            <w:noWrap/>
            <w:hideMark/>
          </w:tcPr>
          <w:p w:rsidR="008835EB" w:rsidRDefault="008835EB" w:rsidP="007E3F2E">
            <w:pPr>
              <w:rPr>
                <w:rFonts w:cs="Calibri"/>
                <w:b/>
                <w:bCs/>
                <w:szCs w:val="18"/>
                <w:u w:val="single"/>
              </w:rPr>
            </w:pPr>
            <w:bookmarkStart w:id="324" w:name="Note_AUPTABLE1" w:colFirst="0" w:colLast="0"/>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2016</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2015</w:t>
            </w:r>
          </w:p>
        </w:tc>
      </w:tr>
      <w:bookmarkEnd w:id="324"/>
      <w:tr w:rsidR="008835EB" w:rsidTr="007E3F2E">
        <w:trPr>
          <w:trHeight w:val="255"/>
        </w:trPr>
        <w:tc>
          <w:tcPr>
            <w:tcW w:w="634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$'000</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6346"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b/>
                <w:bCs/>
                <w:szCs w:val="18"/>
                <w:u w:val="single"/>
              </w:rPr>
            </w:pPr>
            <w:r>
              <w:rPr>
                <w:rFonts w:cs="Calibri"/>
                <w:b/>
                <w:bCs/>
                <w:szCs w:val="18"/>
                <w:u w:val="single"/>
              </w:rPr>
              <w:t xml:space="preserve">Note </w:t>
            </w:r>
            <w:proofErr w:type="spellStart"/>
            <w:r>
              <w:rPr>
                <w:rFonts w:cs="Calibri"/>
                <w:b/>
                <w:bCs/>
                <w:szCs w:val="18"/>
                <w:u w:val="single"/>
              </w:rPr>
              <w:t>4.2B</w:t>
            </w:r>
            <w:proofErr w:type="spellEnd"/>
            <w:r>
              <w:rPr>
                <w:rFonts w:cs="Calibri"/>
                <w:b/>
                <w:bCs/>
                <w:szCs w:val="18"/>
                <w:u w:val="single"/>
              </w:rPr>
              <w:t>: Subsidies</w:t>
            </w:r>
          </w:p>
          <w:p w:rsidR="008835EB" w:rsidRDefault="008835EB" w:rsidP="007E3F2E">
            <w:pPr>
              <w:rPr>
                <w:rFonts w:cs="Calibri"/>
                <w:szCs w:val="18"/>
              </w:rPr>
            </w:pPr>
          </w:p>
          <w:p w:rsidR="008835EB" w:rsidRDefault="008835EB" w:rsidP="008835EB">
            <w:pPr>
              <w:ind w:firstLineChars="100" w:firstLine="180"/>
              <w:rPr>
                <w:rFonts w:cs="Calibri"/>
                <w:szCs w:val="18"/>
              </w:rPr>
            </w:pPr>
            <w:r>
              <w:rPr>
                <w:rFonts w:cs="Calibri"/>
                <w:szCs w:val="18"/>
              </w:rPr>
              <w:t>Subsidies</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24,135</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52,573</w:t>
            </w:r>
          </w:p>
        </w:tc>
      </w:tr>
      <w:tr w:rsidR="008835EB" w:rsidTr="007E3F2E">
        <w:trPr>
          <w:trHeight w:val="270"/>
        </w:trPr>
        <w:tc>
          <w:tcPr>
            <w:tcW w:w="6346" w:type="dxa"/>
            <w:tcBorders>
              <w:top w:val="nil"/>
              <w:left w:val="nil"/>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Total subsidies</w:t>
            </w:r>
          </w:p>
        </w:tc>
        <w:tc>
          <w:tcPr>
            <w:tcW w:w="1252" w:type="dxa"/>
            <w:tcBorders>
              <w:top w:val="single" w:sz="4" w:space="0" w:color="auto"/>
              <w:left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24,135</w:t>
            </w:r>
          </w:p>
        </w:tc>
        <w:tc>
          <w:tcPr>
            <w:tcW w:w="239" w:type="dxa"/>
            <w:tcBorders>
              <w:top w:val="nil"/>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single" w:sz="4" w:space="0" w:color="auto"/>
              <w:left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52,573</w:t>
            </w:r>
          </w:p>
        </w:tc>
      </w:tr>
      <w:tr w:rsidR="008835EB" w:rsidTr="007E3F2E">
        <w:trPr>
          <w:trHeight w:val="411"/>
        </w:trPr>
        <w:tc>
          <w:tcPr>
            <w:tcW w:w="6346" w:type="dxa"/>
            <w:tcBorders>
              <w:top w:val="nil"/>
              <w:left w:val="nil"/>
              <w:right w:val="nil"/>
            </w:tcBorders>
            <w:shd w:val="clear" w:color="000000" w:fill="D9D9D9"/>
            <w:noWrap/>
            <w:vAlign w:val="bottom"/>
          </w:tcPr>
          <w:p w:rsidR="008835EB" w:rsidRDefault="008835EB" w:rsidP="007E3F2E">
            <w:pPr>
              <w:rPr>
                <w:rFonts w:cs="Calibri"/>
                <w:sz w:val="16"/>
                <w:szCs w:val="16"/>
              </w:rPr>
            </w:pPr>
            <w:r w:rsidRPr="00963F8F">
              <w:t>All subsidies are expected to be settled in no more than 12 months.</w:t>
            </w:r>
          </w:p>
        </w:tc>
        <w:tc>
          <w:tcPr>
            <w:tcW w:w="1252" w:type="dxa"/>
            <w:tcBorders>
              <w:top w:val="nil"/>
              <w:left w:val="nil"/>
              <w:right w:val="nil"/>
            </w:tcBorders>
            <w:shd w:val="clear" w:color="000000" w:fill="D9D9D9"/>
            <w:vAlign w:val="bottom"/>
          </w:tcPr>
          <w:p w:rsidR="008835EB" w:rsidRDefault="008835EB" w:rsidP="007E3F2E">
            <w:pPr>
              <w:jc w:val="right"/>
              <w:rPr>
                <w:rFonts w:cs="Calibri"/>
                <w:b/>
                <w:bCs/>
                <w:szCs w:val="18"/>
              </w:rPr>
            </w:pPr>
          </w:p>
        </w:tc>
        <w:tc>
          <w:tcPr>
            <w:tcW w:w="239" w:type="dxa"/>
            <w:tcBorders>
              <w:top w:val="nil"/>
              <w:left w:val="nil"/>
              <w:right w:val="nil"/>
            </w:tcBorders>
            <w:shd w:val="clear" w:color="000000" w:fill="D9D9D9"/>
            <w:noWrap/>
            <w:vAlign w:val="bottom"/>
          </w:tcPr>
          <w:p w:rsidR="008835EB" w:rsidRDefault="008835EB" w:rsidP="007E3F2E">
            <w:pPr>
              <w:rPr>
                <w:rFonts w:cs="Calibri"/>
                <w:sz w:val="16"/>
                <w:szCs w:val="16"/>
              </w:rPr>
            </w:pPr>
          </w:p>
        </w:tc>
        <w:tc>
          <w:tcPr>
            <w:tcW w:w="1250" w:type="dxa"/>
            <w:tcBorders>
              <w:top w:val="nil"/>
              <w:left w:val="nil"/>
              <w:right w:val="nil"/>
            </w:tcBorders>
            <w:shd w:val="clear" w:color="000000" w:fill="D9D9D9"/>
            <w:noWrap/>
            <w:vAlign w:val="bottom"/>
          </w:tcPr>
          <w:p w:rsidR="008835EB" w:rsidRDefault="008835EB" w:rsidP="007E3F2E">
            <w:pPr>
              <w:jc w:val="right"/>
              <w:rPr>
                <w:rFonts w:cs="Calibri"/>
                <w:szCs w:val="18"/>
              </w:rPr>
            </w:pPr>
          </w:p>
        </w:tc>
      </w:tr>
      <w:tr w:rsidR="008835EB" w:rsidTr="007E3F2E">
        <w:trPr>
          <w:trHeight w:val="240"/>
        </w:trPr>
        <w:tc>
          <w:tcPr>
            <w:tcW w:w="6346" w:type="dxa"/>
            <w:tcBorders>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bookmarkStart w:id="325" w:name="Note_APPTABLE1" w:colFirst="0" w:colLast="0"/>
            <w:r>
              <w:rPr>
                <w:rFonts w:cs="Calibri"/>
                <w:sz w:val="16"/>
                <w:szCs w:val="16"/>
              </w:rPr>
              <w:t> </w:t>
            </w:r>
          </w:p>
        </w:tc>
        <w:tc>
          <w:tcPr>
            <w:tcW w:w="1252" w:type="dxa"/>
            <w:tcBorders>
              <w:left w:val="nil"/>
              <w:bottom w:val="single" w:sz="4" w:space="0" w:color="D9D9D9"/>
              <w:right w:val="nil"/>
            </w:tcBorders>
            <w:shd w:val="clear" w:color="000000" w:fill="D9D9D9"/>
            <w:vAlign w:val="bottom"/>
          </w:tcPr>
          <w:p w:rsidR="008835EB" w:rsidRDefault="008835EB" w:rsidP="007E3F2E">
            <w:pPr>
              <w:jc w:val="right"/>
              <w:rPr>
                <w:rFonts w:cs="Calibri"/>
                <w:b/>
                <w:bCs/>
                <w:szCs w:val="18"/>
              </w:rPr>
            </w:pPr>
          </w:p>
        </w:tc>
        <w:tc>
          <w:tcPr>
            <w:tcW w:w="239" w:type="dxa"/>
            <w:tcBorders>
              <w:left w:val="nil"/>
              <w:bottom w:val="single" w:sz="4" w:space="0" w:color="D9D9D9"/>
              <w:right w:val="nil"/>
            </w:tcBorders>
            <w:shd w:val="clear" w:color="000000" w:fill="D9D9D9"/>
            <w:noWrap/>
            <w:vAlign w:val="bottom"/>
          </w:tcPr>
          <w:p w:rsidR="008835EB" w:rsidRDefault="008835EB" w:rsidP="007E3F2E">
            <w:pPr>
              <w:rPr>
                <w:rFonts w:cs="Calibri"/>
                <w:sz w:val="16"/>
                <w:szCs w:val="16"/>
              </w:rPr>
            </w:pPr>
          </w:p>
        </w:tc>
        <w:tc>
          <w:tcPr>
            <w:tcW w:w="1250" w:type="dxa"/>
            <w:tcBorders>
              <w:left w:val="nil"/>
              <w:bottom w:val="single" w:sz="4" w:space="0" w:color="D9D9D9"/>
              <w:right w:val="nil"/>
            </w:tcBorders>
            <w:shd w:val="clear" w:color="000000" w:fill="D9D9D9"/>
            <w:noWrap/>
            <w:vAlign w:val="bottom"/>
          </w:tcPr>
          <w:p w:rsidR="008835EB" w:rsidRDefault="008835EB" w:rsidP="007E3F2E">
            <w:pPr>
              <w:jc w:val="right"/>
              <w:rPr>
                <w:rFonts w:cs="Calibri"/>
                <w:szCs w:val="18"/>
              </w:rPr>
            </w:pPr>
          </w:p>
        </w:tc>
      </w:tr>
      <w:bookmarkEnd w:id="325"/>
      <w:tr w:rsidR="008835EB" w:rsidTr="007E3F2E">
        <w:trPr>
          <w:trHeight w:val="255"/>
        </w:trPr>
        <w:tc>
          <w:tcPr>
            <w:tcW w:w="6346" w:type="dxa"/>
            <w:tcBorders>
              <w:top w:val="nil"/>
              <w:left w:val="nil"/>
              <w:bottom w:val="nil"/>
              <w:right w:val="nil"/>
            </w:tcBorders>
            <w:shd w:val="clear" w:color="000000" w:fill="D9D9D9"/>
            <w:noWrap/>
            <w:hideMark/>
          </w:tcPr>
          <w:p w:rsidR="008835EB" w:rsidRDefault="008835EB" w:rsidP="007E3F2E">
            <w:pPr>
              <w:rPr>
                <w:rFonts w:cs="Calibri"/>
                <w:b/>
                <w:bCs/>
                <w:szCs w:val="18"/>
                <w:u w:val="single"/>
              </w:rPr>
            </w:pPr>
            <w:r>
              <w:rPr>
                <w:rFonts w:cs="Calibri"/>
                <w:b/>
                <w:bCs/>
                <w:szCs w:val="18"/>
                <w:u w:val="single"/>
              </w:rPr>
              <w:t xml:space="preserve">Note </w:t>
            </w:r>
            <w:proofErr w:type="spellStart"/>
            <w:r>
              <w:rPr>
                <w:rFonts w:cs="Calibri"/>
                <w:b/>
                <w:bCs/>
                <w:szCs w:val="18"/>
                <w:u w:val="single"/>
              </w:rPr>
              <w:t>4.2C</w:t>
            </w:r>
            <w:proofErr w:type="spellEnd"/>
            <w:r>
              <w:rPr>
                <w:rFonts w:cs="Calibri"/>
                <w:b/>
                <w:bCs/>
                <w:szCs w:val="18"/>
                <w:u w:val="single"/>
              </w:rPr>
              <w:t>: Personal Benefits</w:t>
            </w:r>
          </w:p>
        </w:tc>
        <w:tc>
          <w:tcPr>
            <w:tcW w:w="1252" w:type="dxa"/>
            <w:tcBorders>
              <w:top w:val="nil"/>
              <w:left w:val="nil"/>
              <w:bottom w:val="single" w:sz="4" w:space="0" w:color="D9D9D9"/>
              <w:right w:val="nil"/>
            </w:tcBorders>
            <w:shd w:val="clear" w:color="000000" w:fill="D9D9D9"/>
            <w:noWrap/>
            <w:vAlign w:val="bottom"/>
          </w:tcPr>
          <w:p w:rsidR="008835EB" w:rsidRDefault="008835EB" w:rsidP="007E3F2E">
            <w:pPr>
              <w:rPr>
                <w:rFonts w:cs="Calibri"/>
                <w:sz w:val="16"/>
                <w:szCs w:val="16"/>
              </w:rPr>
            </w:pPr>
          </w:p>
        </w:tc>
        <w:tc>
          <w:tcPr>
            <w:tcW w:w="239" w:type="dxa"/>
            <w:tcBorders>
              <w:top w:val="nil"/>
              <w:left w:val="nil"/>
              <w:bottom w:val="single" w:sz="4" w:space="0" w:color="D9D9D9"/>
              <w:right w:val="nil"/>
            </w:tcBorders>
            <w:shd w:val="clear" w:color="000000" w:fill="D9D9D9"/>
            <w:noWrap/>
            <w:vAlign w:val="bottom"/>
          </w:tcPr>
          <w:p w:rsidR="008835EB" w:rsidRDefault="008835EB" w:rsidP="007E3F2E">
            <w:pPr>
              <w:rPr>
                <w:rFonts w:cs="Calibri"/>
                <w:sz w:val="16"/>
                <w:szCs w:val="16"/>
              </w:rPr>
            </w:pPr>
          </w:p>
        </w:tc>
        <w:tc>
          <w:tcPr>
            <w:tcW w:w="1250" w:type="dxa"/>
            <w:tcBorders>
              <w:top w:val="nil"/>
              <w:left w:val="nil"/>
              <w:bottom w:val="single" w:sz="4" w:space="0" w:color="D9D9D9"/>
              <w:right w:val="nil"/>
            </w:tcBorders>
            <w:shd w:val="clear" w:color="000000" w:fill="D9D9D9"/>
            <w:noWrap/>
            <w:vAlign w:val="bottom"/>
          </w:tcPr>
          <w:p w:rsidR="008835EB" w:rsidRDefault="008835EB" w:rsidP="007E3F2E">
            <w:pPr>
              <w:rPr>
                <w:rFonts w:cs="Calibri"/>
                <w:sz w:val="16"/>
                <w:szCs w:val="16"/>
              </w:rPr>
            </w:pPr>
          </w:p>
        </w:tc>
      </w:tr>
      <w:tr w:rsidR="008835EB" w:rsidTr="007E3F2E">
        <w:trPr>
          <w:trHeight w:val="255"/>
        </w:trPr>
        <w:tc>
          <w:tcPr>
            <w:tcW w:w="6346" w:type="dxa"/>
            <w:tcBorders>
              <w:top w:val="nil"/>
              <w:left w:val="nil"/>
              <w:bottom w:val="single" w:sz="4" w:space="0" w:color="D9D9D9"/>
              <w:right w:val="nil"/>
            </w:tcBorders>
            <w:shd w:val="clear" w:color="000000" w:fill="D9D9D9"/>
            <w:noWrap/>
            <w:vAlign w:val="bottom"/>
          </w:tcPr>
          <w:p w:rsidR="008835EB" w:rsidRDefault="008835EB" w:rsidP="007E3F2E">
            <w:pPr>
              <w:rPr>
                <w:rFonts w:cs="Calibri"/>
                <w:sz w:val="16"/>
                <w:szCs w:val="16"/>
              </w:rPr>
            </w:pPr>
          </w:p>
        </w:tc>
        <w:tc>
          <w:tcPr>
            <w:tcW w:w="1252" w:type="dxa"/>
            <w:tcBorders>
              <w:top w:val="nil"/>
              <w:left w:val="nil"/>
              <w:bottom w:val="single" w:sz="4" w:space="0" w:color="D9D9D9"/>
              <w:right w:val="nil"/>
            </w:tcBorders>
            <w:shd w:val="clear" w:color="000000" w:fill="D9D9D9"/>
            <w:noWrap/>
            <w:vAlign w:val="bottom"/>
          </w:tcPr>
          <w:p w:rsidR="008835EB" w:rsidRDefault="008835EB" w:rsidP="007E3F2E">
            <w:pPr>
              <w:rPr>
                <w:rFonts w:cs="Calibri"/>
                <w:sz w:val="16"/>
                <w:szCs w:val="16"/>
              </w:rPr>
            </w:pPr>
          </w:p>
        </w:tc>
        <w:tc>
          <w:tcPr>
            <w:tcW w:w="239" w:type="dxa"/>
            <w:tcBorders>
              <w:top w:val="nil"/>
              <w:left w:val="nil"/>
              <w:bottom w:val="single" w:sz="4" w:space="0" w:color="D9D9D9"/>
              <w:right w:val="nil"/>
            </w:tcBorders>
            <w:shd w:val="clear" w:color="000000" w:fill="D9D9D9"/>
            <w:noWrap/>
            <w:vAlign w:val="bottom"/>
          </w:tcPr>
          <w:p w:rsidR="008835EB" w:rsidRDefault="008835EB" w:rsidP="007E3F2E">
            <w:pPr>
              <w:rPr>
                <w:rFonts w:cs="Calibri"/>
                <w:sz w:val="16"/>
                <w:szCs w:val="16"/>
              </w:rPr>
            </w:pPr>
          </w:p>
        </w:tc>
        <w:tc>
          <w:tcPr>
            <w:tcW w:w="1250" w:type="dxa"/>
            <w:tcBorders>
              <w:top w:val="nil"/>
              <w:left w:val="nil"/>
              <w:bottom w:val="single" w:sz="4" w:space="0" w:color="D9D9D9"/>
              <w:right w:val="nil"/>
            </w:tcBorders>
            <w:shd w:val="clear" w:color="000000" w:fill="D9D9D9"/>
            <w:noWrap/>
            <w:vAlign w:val="bottom"/>
          </w:tcPr>
          <w:p w:rsidR="008835EB" w:rsidRDefault="008835EB" w:rsidP="007E3F2E">
            <w:pPr>
              <w:rPr>
                <w:rFonts w:cs="Calibri"/>
                <w:sz w:val="16"/>
                <w:szCs w:val="16"/>
              </w:rPr>
            </w:pPr>
          </w:p>
        </w:tc>
      </w:tr>
      <w:tr w:rsidR="008835EB" w:rsidTr="007E3F2E">
        <w:trPr>
          <w:trHeight w:val="255"/>
        </w:trPr>
        <w:tc>
          <w:tcPr>
            <w:tcW w:w="6346"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Labour market assistance to job seekers and industry - Direct</w:t>
            </w:r>
          </w:p>
        </w:tc>
        <w:tc>
          <w:tcPr>
            <w:tcW w:w="1252"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2,744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2,142 </w:t>
            </w:r>
          </w:p>
        </w:tc>
      </w:tr>
      <w:tr w:rsidR="008835EB" w:rsidTr="007E3F2E">
        <w:trPr>
          <w:trHeight w:val="255"/>
        </w:trPr>
        <w:tc>
          <w:tcPr>
            <w:tcW w:w="6346"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Labour market assistance to job seekers and industry - Indirect</w:t>
            </w:r>
          </w:p>
        </w:tc>
        <w:tc>
          <w:tcPr>
            <w:tcW w:w="1252"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9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 -</w:t>
            </w:r>
          </w:p>
        </w:tc>
      </w:tr>
      <w:tr w:rsidR="008835EB" w:rsidTr="007E3F2E">
        <w:trPr>
          <w:trHeight w:val="255"/>
        </w:trPr>
        <w:tc>
          <w:tcPr>
            <w:tcW w:w="6346"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Industrial relations - Indirect</w:t>
            </w:r>
          </w:p>
        </w:tc>
        <w:tc>
          <w:tcPr>
            <w:tcW w:w="1252"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4,550 </w:t>
            </w:r>
          </w:p>
        </w:tc>
      </w:tr>
      <w:tr w:rsidR="008835EB" w:rsidTr="007E3F2E">
        <w:trPr>
          <w:trHeight w:val="270"/>
        </w:trPr>
        <w:tc>
          <w:tcPr>
            <w:tcW w:w="6346" w:type="dxa"/>
            <w:tcBorders>
              <w:top w:val="nil"/>
              <w:left w:val="nil"/>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Total personal benefits</w:t>
            </w:r>
          </w:p>
        </w:tc>
        <w:tc>
          <w:tcPr>
            <w:tcW w:w="1252" w:type="dxa"/>
            <w:tcBorders>
              <w:top w:val="single" w:sz="4" w:space="0" w:color="auto"/>
              <w:left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2,753</w:t>
            </w:r>
          </w:p>
        </w:tc>
        <w:tc>
          <w:tcPr>
            <w:tcW w:w="239" w:type="dxa"/>
            <w:tcBorders>
              <w:top w:val="nil"/>
              <w:left w:val="nil"/>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1250" w:type="dxa"/>
            <w:tcBorders>
              <w:top w:val="single" w:sz="4" w:space="0" w:color="auto"/>
              <w:left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6,692</w:t>
            </w:r>
          </w:p>
        </w:tc>
      </w:tr>
      <w:tr w:rsidR="008835EB" w:rsidTr="007E3F2E">
        <w:trPr>
          <w:trHeight w:val="255"/>
        </w:trPr>
        <w:tc>
          <w:tcPr>
            <w:tcW w:w="6346" w:type="dxa"/>
            <w:tcBorders>
              <w:left w:val="nil"/>
              <w:right w:val="nil"/>
            </w:tcBorders>
            <w:shd w:val="clear" w:color="000000" w:fill="D9D9D9"/>
            <w:noWrap/>
            <w:vAlign w:val="bottom"/>
          </w:tcPr>
          <w:p w:rsidR="008835EB" w:rsidRDefault="008835EB" w:rsidP="007E3F2E">
            <w:pPr>
              <w:rPr>
                <w:rFonts w:cs="Calibri"/>
                <w:szCs w:val="18"/>
              </w:rPr>
            </w:pPr>
          </w:p>
        </w:tc>
        <w:tc>
          <w:tcPr>
            <w:tcW w:w="1252" w:type="dxa"/>
            <w:tcBorders>
              <w:left w:val="nil"/>
              <w:right w:val="nil"/>
            </w:tcBorders>
            <w:shd w:val="clear" w:color="000000" w:fill="D9D9D9"/>
            <w:noWrap/>
            <w:vAlign w:val="bottom"/>
          </w:tcPr>
          <w:p w:rsidR="008835EB" w:rsidRDefault="008835EB" w:rsidP="007E3F2E">
            <w:pPr>
              <w:rPr>
                <w:rFonts w:cs="Calibri"/>
                <w:b/>
                <w:bCs/>
                <w:szCs w:val="18"/>
              </w:rPr>
            </w:pPr>
          </w:p>
        </w:tc>
        <w:tc>
          <w:tcPr>
            <w:tcW w:w="239" w:type="dxa"/>
            <w:tcBorders>
              <w:left w:val="nil"/>
              <w:right w:val="nil"/>
            </w:tcBorders>
            <w:shd w:val="clear" w:color="000000" w:fill="D9D9D9"/>
            <w:noWrap/>
            <w:vAlign w:val="bottom"/>
          </w:tcPr>
          <w:p w:rsidR="008835EB" w:rsidRDefault="008835EB" w:rsidP="007E3F2E">
            <w:pPr>
              <w:rPr>
                <w:rFonts w:cs="Calibri"/>
                <w:sz w:val="16"/>
                <w:szCs w:val="16"/>
              </w:rPr>
            </w:pPr>
          </w:p>
        </w:tc>
        <w:tc>
          <w:tcPr>
            <w:tcW w:w="1250" w:type="dxa"/>
            <w:tcBorders>
              <w:left w:val="nil"/>
              <w:right w:val="nil"/>
            </w:tcBorders>
            <w:shd w:val="clear" w:color="000000" w:fill="D9D9D9"/>
            <w:noWrap/>
            <w:vAlign w:val="bottom"/>
          </w:tcPr>
          <w:p w:rsidR="008835EB" w:rsidRDefault="008835EB" w:rsidP="007E3F2E">
            <w:pPr>
              <w:rPr>
                <w:rFonts w:cs="Calibri"/>
                <w:szCs w:val="18"/>
              </w:rPr>
            </w:pPr>
          </w:p>
        </w:tc>
      </w:tr>
      <w:tr w:rsidR="008835EB" w:rsidTr="007E3F2E">
        <w:trPr>
          <w:trHeight w:val="240"/>
        </w:trPr>
        <w:tc>
          <w:tcPr>
            <w:tcW w:w="6346" w:type="dxa"/>
            <w:tcBorders>
              <w:left w:val="nil"/>
              <w:bottom w:val="nil"/>
              <w:right w:val="nil"/>
            </w:tcBorders>
            <w:shd w:val="clear" w:color="000000" w:fill="D9D9D9"/>
            <w:noWrap/>
            <w:vAlign w:val="bottom"/>
          </w:tcPr>
          <w:p w:rsidR="008835EB" w:rsidRDefault="008835EB" w:rsidP="007E3F2E">
            <w:pPr>
              <w:spacing w:line="240" w:lineRule="auto"/>
              <w:rPr>
                <w:rFonts w:ascii="Arial" w:hAnsi="Arial" w:cs="Arial"/>
                <w:color w:val="FFFFFF"/>
                <w:sz w:val="16"/>
                <w:szCs w:val="16"/>
              </w:rPr>
            </w:pPr>
            <w:r w:rsidRPr="00963F8F">
              <w:t xml:space="preserve">All </w:t>
            </w:r>
            <w:r>
              <w:t xml:space="preserve">personal benefits </w:t>
            </w:r>
            <w:r w:rsidRPr="00963F8F">
              <w:t>are expected to be settled in no more than 12 months.</w:t>
            </w:r>
          </w:p>
        </w:tc>
        <w:tc>
          <w:tcPr>
            <w:tcW w:w="1252" w:type="dxa"/>
            <w:tcBorders>
              <w:left w:val="nil"/>
              <w:bottom w:val="nil"/>
              <w:right w:val="nil"/>
            </w:tcBorders>
            <w:shd w:val="clear" w:color="000000" w:fill="D9D9D9"/>
            <w:noWrap/>
            <w:vAlign w:val="bottom"/>
          </w:tcPr>
          <w:p w:rsidR="008835EB" w:rsidRDefault="008835EB" w:rsidP="007E3F2E">
            <w:pPr>
              <w:spacing w:line="240" w:lineRule="auto"/>
              <w:jc w:val="right"/>
              <w:rPr>
                <w:rFonts w:cs="Calibri"/>
                <w:b/>
                <w:bCs/>
                <w:szCs w:val="18"/>
              </w:rPr>
            </w:pPr>
          </w:p>
        </w:tc>
        <w:tc>
          <w:tcPr>
            <w:tcW w:w="239" w:type="dxa"/>
            <w:tcBorders>
              <w:left w:val="nil"/>
              <w:bottom w:val="nil"/>
              <w:right w:val="nil"/>
            </w:tcBorders>
            <w:shd w:val="clear" w:color="000000" w:fill="D9D9D9"/>
            <w:noWrap/>
            <w:vAlign w:val="bottom"/>
          </w:tcPr>
          <w:p w:rsidR="008835EB" w:rsidRDefault="008835EB" w:rsidP="007E3F2E">
            <w:pPr>
              <w:spacing w:line="240" w:lineRule="auto"/>
              <w:jc w:val="right"/>
              <w:rPr>
                <w:rFonts w:cs="Calibri"/>
                <w:b/>
                <w:bCs/>
                <w:szCs w:val="18"/>
              </w:rPr>
            </w:pPr>
          </w:p>
        </w:tc>
        <w:tc>
          <w:tcPr>
            <w:tcW w:w="1250" w:type="dxa"/>
            <w:tcBorders>
              <w:left w:val="nil"/>
              <w:bottom w:val="nil"/>
              <w:right w:val="nil"/>
            </w:tcBorders>
            <w:shd w:val="clear" w:color="000000" w:fill="D9D9D9"/>
            <w:noWrap/>
            <w:vAlign w:val="bottom"/>
          </w:tcPr>
          <w:p w:rsidR="008835EB" w:rsidRDefault="008835EB" w:rsidP="007E3F2E">
            <w:pPr>
              <w:spacing w:line="240" w:lineRule="auto"/>
              <w:jc w:val="right"/>
              <w:rPr>
                <w:rFonts w:cs="Calibri"/>
                <w:szCs w:val="18"/>
              </w:rPr>
            </w:pPr>
          </w:p>
        </w:tc>
      </w:tr>
      <w:tr w:rsidR="008835EB" w:rsidTr="007E3F2E">
        <w:trPr>
          <w:trHeight w:val="240"/>
        </w:trPr>
        <w:tc>
          <w:tcPr>
            <w:tcW w:w="6346"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color w:val="FFFFFF"/>
                <w:sz w:val="16"/>
                <w:szCs w:val="16"/>
              </w:rPr>
            </w:pPr>
            <w:bookmarkStart w:id="326" w:name="Note_AGPTABLE1" w:colFirst="0" w:colLast="0"/>
            <w:r>
              <w:rPr>
                <w:rFonts w:ascii="Arial" w:hAnsi="Arial" w:cs="Arial"/>
                <w:color w:val="FFFFFF"/>
                <w:sz w:val="16"/>
                <w:szCs w:val="16"/>
              </w:rPr>
              <w:t> </w:t>
            </w:r>
          </w:p>
        </w:tc>
        <w:tc>
          <w:tcPr>
            <w:tcW w:w="1252" w:type="dxa"/>
            <w:tcBorders>
              <w:top w:val="nil"/>
              <w:left w:val="nil"/>
              <w:bottom w:val="nil"/>
              <w:right w:val="nil"/>
            </w:tcBorders>
            <w:shd w:val="clear" w:color="000000" w:fill="D9D9D9"/>
            <w:noWrap/>
            <w:vAlign w:val="bottom"/>
          </w:tcPr>
          <w:p w:rsidR="008835EB" w:rsidRDefault="008835EB" w:rsidP="007E3F2E">
            <w:pPr>
              <w:jc w:val="right"/>
              <w:rPr>
                <w:rFonts w:cs="Calibri"/>
                <w:b/>
                <w:bCs/>
                <w:szCs w:val="18"/>
              </w:rPr>
            </w:pPr>
          </w:p>
        </w:tc>
        <w:tc>
          <w:tcPr>
            <w:tcW w:w="239" w:type="dxa"/>
            <w:tcBorders>
              <w:top w:val="nil"/>
              <w:left w:val="nil"/>
              <w:bottom w:val="nil"/>
              <w:right w:val="nil"/>
            </w:tcBorders>
            <w:shd w:val="clear" w:color="000000" w:fill="D9D9D9"/>
            <w:noWrap/>
            <w:vAlign w:val="bottom"/>
          </w:tcPr>
          <w:p w:rsidR="008835EB" w:rsidRDefault="008835EB" w:rsidP="007E3F2E">
            <w:pPr>
              <w:jc w:val="right"/>
              <w:rPr>
                <w:rFonts w:cs="Calibri"/>
                <w:b/>
                <w:bCs/>
                <w:szCs w:val="18"/>
              </w:rPr>
            </w:pPr>
          </w:p>
        </w:tc>
        <w:tc>
          <w:tcPr>
            <w:tcW w:w="1250" w:type="dxa"/>
            <w:tcBorders>
              <w:top w:val="nil"/>
              <w:left w:val="nil"/>
              <w:bottom w:val="nil"/>
              <w:right w:val="nil"/>
            </w:tcBorders>
            <w:shd w:val="clear" w:color="000000" w:fill="D9D9D9"/>
            <w:noWrap/>
            <w:vAlign w:val="bottom"/>
          </w:tcPr>
          <w:p w:rsidR="008835EB" w:rsidRDefault="008835EB" w:rsidP="007E3F2E">
            <w:pPr>
              <w:jc w:val="right"/>
              <w:rPr>
                <w:rFonts w:cs="Calibri"/>
                <w:szCs w:val="18"/>
              </w:rPr>
            </w:pPr>
          </w:p>
        </w:tc>
      </w:tr>
      <w:bookmarkEnd w:id="326"/>
      <w:tr w:rsidR="008835EB" w:rsidTr="007E3F2E">
        <w:trPr>
          <w:trHeight w:val="255"/>
        </w:trPr>
        <w:tc>
          <w:tcPr>
            <w:tcW w:w="6346" w:type="dxa"/>
            <w:tcBorders>
              <w:top w:val="nil"/>
              <w:left w:val="nil"/>
              <w:bottom w:val="nil"/>
              <w:right w:val="nil"/>
            </w:tcBorders>
            <w:shd w:val="clear" w:color="000000" w:fill="D9D9D9"/>
            <w:noWrap/>
            <w:hideMark/>
          </w:tcPr>
          <w:p w:rsidR="008835EB" w:rsidRDefault="008835EB" w:rsidP="007E3F2E">
            <w:pPr>
              <w:rPr>
                <w:rFonts w:cs="Calibri"/>
                <w:b/>
                <w:bCs/>
                <w:szCs w:val="18"/>
                <w:u w:val="single"/>
              </w:rPr>
            </w:pPr>
            <w:r>
              <w:rPr>
                <w:rFonts w:cs="Calibri"/>
                <w:b/>
                <w:bCs/>
                <w:szCs w:val="18"/>
                <w:u w:val="single"/>
              </w:rPr>
              <w:t xml:space="preserve">Note </w:t>
            </w:r>
            <w:proofErr w:type="spellStart"/>
            <w:r>
              <w:rPr>
                <w:rFonts w:cs="Calibri"/>
                <w:b/>
                <w:bCs/>
                <w:szCs w:val="18"/>
                <w:u w:val="single"/>
              </w:rPr>
              <w:t>4.2D</w:t>
            </w:r>
            <w:proofErr w:type="spellEnd"/>
            <w:r>
              <w:rPr>
                <w:rFonts w:cs="Calibri"/>
                <w:b/>
                <w:bCs/>
                <w:szCs w:val="18"/>
                <w:u w:val="single"/>
              </w:rPr>
              <w:t>: Grants</w:t>
            </w:r>
          </w:p>
        </w:tc>
        <w:tc>
          <w:tcPr>
            <w:tcW w:w="1252" w:type="dxa"/>
            <w:tcBorders>
              <w:top w:val="nil"/>
              <w:left w:val="nil"/>
              <w:bottom w:val="nil"/>
              <w:right w:val="nil"/>
            </w:tcBorders>
            <w:shd w:val="clear" w:color="000000" w:fill="D9D9D9"/>
            <w:noWrap/>
            <w:vAlign w:val="bottom"/>
          </w:tcPr>
          <w:p w:rsidR="008835EB" w:rsidRDefault="008835EB" w:rsidP="007E3F2E">
            <w:pPr>
              <w:jc w:val="right"/>
              <w:rPr>
                <w:rFonts w:cs="Calibri"/>
                <w:b/>
                <w:bCs/>
                <w:szCs w:val="18"/>
              </w:rPr>
            </w:pPr>
          </w:p>
        </w:tc>
        <w:tc>
          <w:tcPr>
            <w:tcW w:w="239" w:type="dxa"/>
            <w:tcBorders>
              <w:top w:val="nil"/>
              <w:left w:val="nil"/>
              <w:bottom w:val="single" w:sz="4" w:space="0" w:color="D9D9D9"/>
              <w:right w:val="nil"/>
            </w:tcBorders>
            <w:shd w:val="clear" w:color="000000" w:fill="D9D9D9"/>
            <w:noWrap/>
            <w:vAlign w:val="bottom"/>
          </w:tcPr>
          <w:p w:rsidR="008835EB" w:rsidRDefault="008835EB" w:rsidP="007E3F2E">
            <w:pPr>
              <w:jc w:val="right"/>
              <w:rPr>
                <w:rFonts w:cs="Calibri"/>
                <w:b/>
                <w:bCs/>
                <w:szCs w:val="18"/>
              </w:rPr>
            </w:pPr>
          </w:p>
        </w:tc>
        <w:tc>
          <w:tcPr>
            <w:tcW w:w="1250" w:type="dxa"/>
            <w:tcBorders>
              <w:top w:val="nil"/>
              <w:left w:val="nil"/>
              <w:bottom w:val="nil"/>
              <w:right w:val="nil"/>
            </w:tcBorders>
            <w:shd w:val="clear" w:color="000000" w:fill="D9D9D9"/>
            <w:noWrap/>
            <w:vAlign w:val="bottom"/>
          </w:tcPr>
          <w:p w:rsidR="008835EB" w:rsidRDefault="008835EB" w:rsidP="007E3F2E">
            <w:pPr>
              <w:jc w:val="right"/>
              <w:rPr>
                <w:rFonts w:cs="Calibri"/>
                <w:szCs w:val="18"/>
              </w:rPr>
            </w:pPr>
          </w:p>
        </w:tc>
      </w:tr>
      <w:tr w:rsidR="008835EB" w:rsidTr="007E3F2E">
        <w:trPr>
          <w:trHeight w:val="255"/>
        </w:trPr>
        <w:tc>
          <w:tcPr>
            <w:tcW w:w="634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2"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20"/>
              </w:rPr>
            </w:pPr>
            <w:r>
              <w:rPr>
                <w:rFonts w:ascii="Arial" w:hAnsi="Arial" w:cs="Arial"/>
                <w:sz w:val="20"/>
              </w:rPr>
              <w:t> </w:t>
            </w:r>
          </w:p>
        </w:tc>
        <w:tc>
          <w:tcPr>
            <w:tcW w:w="239"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20"/>
              </w:rPr>
            </w:pPr>
            <w:r>
              <w:rPr>
                <w:rFonts w:ascii="Arial" w:hAnsi="Arial" w:cs="Arial"/>
                <w:sz w:val="20"/>
              </w:rPr>
              <w:t> </w:t>
            </w:r>
          </w:p>
        </w:tc>
        <w:tc>
          <w:tcPr>
            <w:tcW w:w="1250"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20"/>
              </w:rPr>
            </w:pPr>
            <w:r>
              <w:rPr>
                <w:rFonts w:ascii="Arial" w:hAnsi="Arial" w:cs="Arial"/>
                <w:sz w:val="20"/>
              </w:rPr>
              <w:t> </w:t>
            </w:r>
          </w:p>
        </w:tc>
      </w:tr>
      <w:tr w:rsidR="008835EB" w:rsidTr="007E3F2E">
        <w:trPr>
          <w:trHeight w:val="255"/>
        </w:trPr>
        <w:tc>
          <w:tcPr>
            <w:tcW w:w="6346"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Private sector</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b/>
                <w:bCs/>
                <w:szCs w:val="18"/>
              </w:rPr>
            </w:pPr>
            <w:r>
              <w:rPr>
                <w:rFonts w:cs="Calibri"/>
                <w:b/>
                <w:bCs/>
                <w:szCs w:val="18"/>
              </w:rPr>
              <w:t>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634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Non-profit organisations</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306</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w:t>
            </w:r>
          </w:p>
        </w:tc>
      </w:tr>
      <w:tr w:rsidR="008835EB" w:rsidTr="007E3F2E">
        <w:trPr>
          <w:trHeight w:val="255"/>
        </w:trPr>
        <w:tc>
          <w:tcPr>
            <w:tcW w:w="634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Other</w:t>
            </w:r>
          </w:p>
        </w:tc>
        <w:tc>
          <w:tcPr>
            <w:tcW w:w="1252"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1,862</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w:t>
            </w:r>
          </w:p>
        </w:tc>
      </w:tr>
      <w:tr w:rsidR="008835EB" w:rsidTr="007E3F2E">
        <w:trPr>
          <w:trHeight w:val="270"/>
        </w:trPr>
        <w:tc>
          <w:tcPr>
            <w:tcW w:w="6346" w:type="dxa"/>
            <w:tcBorders>
              <w:top w:val="nil"/>
              <w:left w:val="nil"/>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Total grants</w:t>
            </w:r>
          </w:p>
        </w:tc>
        <w:tc>
          <w:tcPr>
            <w:tcW w:w="1252" w:type="dxa"/>
            <w:tcBorders>
              <w:top w:val="single" w:sz="4" w:space="0" w:color="auto"/>
              <w:left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2,168</w:t>
            </w:r>
          </w:p>
        </w:tc>
        <w:tc>
          <w:tcPr>
            <w:tcW w:w="239" w:type="dxa"/>
            <w:tcBorders>
              <w:top w:val="nil"/>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single" w:sz="4" w:space="0" w:color="auto"/>
              <w:left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w:t>
            </w:r>
          </w:p>
        </w:tc>
      </w:tr>
      <w:tr w:rsidR="008835EB" w:rsidTr="007E3F2E">
        <w:trPr>
          <w:trHeight w:val="422"/>
        </w:trPr>
        <w:tc>
          <w:tcPr>
            <w:tcW w:w="6346" w:type="dxa"/>
            <w:tcBorders>
              <w:left w:val="nil"/>
              <w:right w:val="nil"/>
            </w:tcBorders>
            <w:shd w:val="clear" w:color="000000" w:fill="D9D9D9"/>
            <w:noWrap/>
            <w:vAlign w:val="bottom"/>
            <w:hideMark/>
          </w:tcPr>
          <w:p w:rsidR="008835EB" w:rsidRDefault="008835EB" w:rsidP="007E3F2E">
            <w:pPr>
              <w:rPr>
                <w:rFonts w:cs="Calibri"/>
                <w:szCs w:val="18"/>
              </w:rPr>
            </w:pPr>
            <w:r>
              <w:rPr>
                <w:rFonts w:cs="Calibri"/>
                <w:szCs w:val="18"/>
              </w:rPr>
              <w:t>All grants are expected to be settled in no more than 12 months.</w:t>
            </w:r>
          </w:p>
        </w:tc>
        <w:tc>
          <w:tcPr>
            <w:tcW w:w="1252" w:type="dxa"/>
            <w:tcBorders>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9" w:type="dxa"/>
            <w:tcBorders>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85"/>
        </w:trPr>
        <w:tc>
          <w:tcPr>
            <w:tcW w:w="6346" w:type="dxa"/>
            <w:tcBorders>
              <w:left w:val="nil"/>
              <w:right w:val="nil"/>
            </w:tcBorders>
            <w:shd w:val="clear" w:color="000000" w:fill="D9D9D9"/>
            <w:noWrap/>
            <w:vAlign w:val="bottom"/>
          </w:tcPr>
          <w:p w:rsidR="008835EB" w:rsidRDefault="008835EB" w:rsidP="007E3F2E">
            <w:pPr>
              <w:rPr>
                <w:rFonts w:cs="Calibri"/>
                <w:szCs w:val="18"/>
              </w:rPr>
            </w:pPr>
          </w:p>
        </w:tc>
        <w:tc>
          <w:tcPr>
            <w:tcW w:w="1252" w:type="dxa"/>
            <w:tcBorders>
              <w:left w:val="nil"/>
              <w:right w:val="nil"/>
            </w:tcBorders>
            <w:shd w:val="clear" w:color="000000" w:fill="D9D9D9"/>
            <w:noWrap/>
            <w:vAlign w:val="bottom"/>
          </w:tcPr>
          <w:p w:rsidR="008835EB" w:rsidRDefault="008835EB" w:rsidP="007E3F2E">
            <w:pPr>
              <w:rPr>
                <w:rFonts w:ascii="Arial" w:hAnsi="Arial" w:cs="Arial"/>
                <w:sz w:val="16"/>
                <w:szCs w:val="16"/>
              </w:rPr>
            </w:pPr>
          </w:p>
        </w:tc>
        <w:tc>
          <w:tcPr>
            <w:tcW w:w="239" w:type="dxa"/>
            <w:tcBorders>
              <w:left w:val="nil"/>
              <w:right w:val="nil"/>
            </w:tcBorders>
            <w:shd w:val="clear" w:color="000000" w:fill="D9D9D9"/>
            <w:noWrap/>
            <w:vAlign w:val="bottom"/>
          </w:tcPr>
          <w:p w:rsidR="008835EB" w:rsidRDefault="008835EB" w:rsidP="007E3F2E">
            <w:pPr>
              <w:rPr>
                <w:rFonts w:ascii="Arial" w:hAnsi="Arial" w:cs="Arial"/>
                <w:sz w:val="16"/>
                <w:szCs w:val="16"/>
              </w:rPr>
            </w:pPr>
          </w:p>
        </w:tc>
        <w:tc>
          <w:tcPr>
            <w:tcW w:w="1250" w:type="dxa"/>
            <w:tcBorders>
              <w:left w:val="nil"/>
              <w:right w:val="nil"/>
            </w:tcBorders>
            <w:shd w:val="clear" w:color="000000" w:fill="D9D9D9"/>
            <w:noWrap/>
            <w:vAlign w:val="bottom"/>
          </w:tcPr>
          <w:p w:rsidR="008835EB" w:rsidRDefault="008835EB" w:rsidP="007E3F2E">
            <w:pPr>
              <w:rPr>
                <w:rFonts w:ascii="Arial" w:hAnsi="Arial" w:cs="Arial"/>
                <w:sz w:val="16"/>
                <w:szCs w:val="16"/>
              </w:rPr>
            </w:pPr>
          </w:p>
        </w:tc>
      </w:tr>
      <w:tr w:rsidR="008835EB" w:rsidTr="007E3F2E">
        <w:trPr>
          <w:trHeight w:val="216"/>
        </w:trPr>
        <w:tc>
          <w:tcPr>
            <w:tcW w:w="6348" w:type="dxa"/>
            <w:tcBorders>
              <w:left w:val="nil"/>
              <w:bottom w:val="nil"/>
              <w:right w:val="nil"/>
            </w:tcBorders>
            <w:shd w:val="clear" w:color="000000" w:fill="D9D9D9"/>
            <w:noWrap/>
            <w:hideMark/>
          </w:tcPr>
          <w:p w:rsidR="008835EB" w:rsidRDefault="008835EB" w:rsidP="007E3F2E">
            <w:pPr>
              <w:rPr>
                <w:rFonts w:cs="Calibri"/>
                <w:b/>
                <w:bCs/>
                <w:szCs w:val="18"/>
                <w:u w:val="single"/>
              </w:rPr>
            </w:pPr>
            <w:bookmarkStart w:id="327" w:name="RANGE!D9:G18"/>
            <w:bookmarkEnd w:id="327"/>
            <w:r>
              <w:rPr>
                <w:rFonts w:cs="Calibri"/>
                <w:b/>
                <w:bCs/>
                <w:szCs w:val="18"/>
                <w:u w:val="single"/>
              </w:rPr>
              <w:t xml:space="preserve">Note </w:t>
            </w:r>
            <w:proofErr w:type="spellStart"/>
            <w:r>
              <w:rPr>
                <w:rFonts w:cs="Calibri"/>
                <w:b/>
                <w:bCs/>
                <w:szCs w:val="18"/>
                <w:u w:val="single"/>
              </w:rPr>
              <w:t>4.2E</w:t>
            </w:r>
            <w:proofErr w:type="spellEnd"/>
            <w:r>
              <w:rPr>
                <w:rFonts w:cs="Calibri"/>
                <w:b/>
                <w:bCs/>
                <w:szCs w:val="18"/>
                <w:u w:val="single"/>
              </w:rPr>
              <w:t>: Other Payables</w:t>
            </w:r>
          </w:p>
        </w:tc>
        <w:tc>
          <w:tcPr>
            <w:tcW w:w="1250" w:type="dxa"/>
            <w:tcBorders>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9" w:type="dxa"/>
            <w:tcBorders>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6348"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85"/>
        </w:trPr>
        <w:tc>
          <w:tcPr>
            <w:tcW w:w="6348"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proofErr w:type="spellStart"/>
            <w:r>
              <w:rPr>
                <w:rFonts w:cs="Calibri"/>
                <w:szCs w:val="18"/>
              </w:rPr>
              <w:t>Comcare</w:t>
            </w:r>
            <w:proofErr w:type="spellEnd"/>
            <w:r>
              <w:rPr>
                <w:rFonts w:cs="Calibri"/>
                <w:szCs w:val="18"/>
              </w:rPr>
              <w:t xml:space="preserve"> </w:t>
            </w:r>
            <w:proofErr w:type="spellStart"/>
            <w:r>
              <w:rPr>
                <w:rFonts w:cs="Calibri"/>
                <w:szCs w:val="18"/>
              </w:rPr>
              <w:t>payable</w:t>
            </w:r>
            <w:r>
              <w:rPr>
                <w:rFonts w:cs="Calibri"/>
                <w:szCs w:val="18"/>
                <w:vertAlign w:val="superscript"/>
              </w:rPr>
              <w:t>1</w:t>
            </w:r>
            <w:proofErr w:type="spellEnd"/>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2,802,684</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2,787,681</w:t>
            </w:r>
          </w:p>
        </w:tc>
      </w:tr>
      <w:tr w:rsidR="008835EB" w:rsidTr="007E3F2E">
        <w:trPr>
          <w:trHeight w:val="255"/>
        </w:trPr>
        <w:tc>
          <w:tcPr>
            <w:tcW w:w="6348"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Cs w:val="18"/>
              </w:rPr>
            </w:pPr>
            <w:r>
              <w:rPr>
                <w:rFonts w:cs="Calibri"/>
                <w:szCs w:val="18"/>
              </w:rPr>
              <w:t>GST payable</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7,605</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6,765</w:t>
            </w:r>
          </w:p>
        </w:tc>
      </w:tr>
      <w:tr w:rsidR="008835EB" w:rsidTr="007E3F2E">
        <w:trPr>
          <w:trHeight w:val="270"/>
        </w:trPr>
        <w:tc>
          <w:tcPr>
            <w:tcW w:w="6348" w:type="dxa"/>
            <w:tcBorders>
              <w:top w:val="nil"/>
              <w:left w:val="nil"/>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Total other payables</w:t>
            </w:r>
          </w:p>
        </w:tc>
        <w:tc>
          <w:tcPr>
            <w:tcW w:w="1250" w:type="dxa"/>
            <w:tcBorders>
              <w:top w:val="single" w:sz="4" w:space="0" w:color="auto"/>
              <w:left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2,810,289</w:t>
            </w:r>
          </w:p>
        </w:tc>
        <w:tc>
          <w:tcPr>
            <w:tcW w:w="239" w:type="dxa"/>
            <w:tcBorders>
              <w:top w:val="nil"/>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single" w:sz="4" w:space="0" w:color="auto"/>
              <w:left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2,794,446</w:t>
            </w:r>
          </w:p>
        </w:tc>
      </w:tr>
      <w:tr w:rsidR="008835EB" w:rsidTr="007E3F2E">
        <w:trPr>
          <w:trHeight w:val="255"/>
        </w:trPr>
        <w:tc>
          <w:tcPr>
            <w:tcW w:w="6348" w:type="dxa"/>
            <w:tcBorders>
              <w:top w:val="nil"/>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9" w:type="dxa"/>
            <w:tcBorders>
              <w:top w:val="nil"/>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6348" w:type="dxa"/>
            <w:tcBorders>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Other payables expected to be settled</w:t>
            </w:r>
          </w:p>
        </w:tc>
        <w:tc>
          <w:tcPr>
            <w:tcW w:w="1250" w:type="dxa"/>
            <w:tcBorders>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39" w:type="dxa"/>
            <w:tcBorders>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6348"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No more than 12 months</w:t>
            </w:r>
          </w:p>
        </w:tc>
        <w:tc>
          <w:tcPr>
            <w:tcW w:w="1250"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7,605 </w:t>
            </w:r>
          </w:p>
        </w:tc>
        <w:tc>
          <w:tcPr>
            <w:tcW w:w="239"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6,765 </w:t>
            </w:r>
          </w:p>
        </w:tc>
      </w:tr>
      <w:tr w:rsidR="008835EB" w:rsidTr="007E3F2E">
        <w:trPr>
          <w:trHeight w:val="255"/>
        </w:trPr>
        <w:tc>
          <w:tcPr>
            <w:tcW w:w="6348" w:type="dxa"/>
            <w:tcBorders>
              <w:top w:val="nil"/>
              <w:left w:val="nil"/>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More than 12 months</w:t>
            </w:r>
          </w:p>
        </w:tc>
        <w:tc>
          <w:tcPr>
            <w:tcW w:w="1250" w:type="dxa"/>
            <w:tcBorders>
              <w:top w:val="nil"/>
              <w:left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2,802,684 </w:t>
            </w:r>
          </w:p>
        </w:tc>
        <w:tc>
          <w:tcPr>
            <w:tcW w:w="239" w:type="dxa"/>
            <w:tcBorders>
              <w:top w:val="nil"/>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0" w:type="dxa"/>
            <w:tcBorders>
              <w:top w:val="nil"/>
              <w:left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2,787,681 </w:t>
            </w:r>
          </w:p>
        </w:tc>
      </w:tr>
      <w:tr w:rsidR="008835EB" w:rsidTr="007E3F2E">
        <w:trPr>
          <w:trHeight w:val="270"/>
        </w:trPr>
        <w:tc>
          <w:tcPr>
            <w:tcW w:w="6348" w:type="dxa"/>
            <w:tcBorders>
              <w:left w:val="nil"/>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Total other payables</w:t>
            </w:r>
          </w:p>
        </w:tc>
        <w:tc>
          <w:tcPr>
            <w:tcW w:w="1250" w:type="dxa"/>
            <w:tcBorders>
              <w:left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2,810,289</w:t>
            </w:r>
          </w:p>
        </w:tc>
        <w:tc>
          <w:tcPr>
            <w:tcW w:w="239" w:type="dxa"/>
            <w:tcBorders>
              <w:left w:val="nil"/>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 </w:t>
            </w:r>
          </w:p>
        </w:tc>
        <w:tc>
          <w:tcPr>
            <w:tcW w:w="1250" w:type="dxa"/>
            <w:tcBorders>
              <w:left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2,794,446</w:t>
            </w:r>
          </w:p>
        </w:tc>
      </w:tr>
    </w:tbl>
    <w:p w:rsidR="008835EB" w:rsidRDefault="008835EB" w:rsidP="008835EB">
      <w:pPr>
        <w:pStyle w:val="GreyShadeTableBreak"/>
        <w:rPr>
          <w:szCs w:val="18"/>
        </w:rPr>
      </w:pPr>
    </w:p>
    <w:p w:rsidR="008835EB" w:rsidRDefault="008835EB" w:rsidP="008835EB">
      <w:pPr>
        <w:pStyle w:val="GreyShadeTableBreak"/>
      </w:pPr>
      <w:r w:rsidRPr="00735F0A">
        <w:rPr>
          <w:szCs w:val="18"/>
        </w:rPr>
        <w:t>1</w:t>
      </w:r>
      <w:r>
        <w:rPr>
          <w:szCs w:val="18"/>
        </w:rPr>
        <w:t>.</w:t>
      </w:r>
      <w:r>
        <w:t xml:space="preserve"> The amount payable to </w:t>
      </w:r>
      <w:proofErr w:type="spellStart"/>
      <w:r>
        <w:t>Comcare</w:t>
      </w:r>
      <w:proofErr w:type="spellEnd"/>
      <w:r>
        <w:t xml:space="preserve"> represents amounts payable by the Commonwealth for:</w:t>
      </w:r>
    </w:p>
    <w:p w:rsidR="008835EB" w:rsidRDefault="008835EB" w:rsidP="008835EB">
      <w:pPr>
        <w:pStyle w:val="GreyShadeTableBreak"/>
        <w:numPr>
          <w:ilvl w:val="0"/>
          <w:numId w:val="10"/>
        </w:numPr>
        <w:ind w:left="284" w:hanging="284"/>
      </w:pPr>
      <w:r>
        <w:t>— workers compensation claims resulting from injuries that occurred prior to 1 July 1989, referred to as ‘pre-premium’ claims;</w:t>
      </w:r>
    </w:p>
    <w:p w:rsidR="008835EB" w:rsidRDefault="008835EB" w:rsidP="008835EB">
      <w:pPr>
        <w:pStyle w:val="GreyShadeTableBreak"/>
        <w:numPr>
          <w:ilvl w:val="0"/>
          <w:numId w:val="10"/>
        </w:numPr>
        <w:ind w:left="284" w:hanging="284"/>
      </w:pPr>
      <w:r>
        <w:t>— workers compensation claims resulting from injuries that have occurred since 1 July 1989, referred to as ‘premium’ claims; and</w:t>
      </w:r>
    </w:p>
    <w:p w:rsidR="008835EB" w:rsidRDefault="008835EB" w:rsidP="008835EB">
      <w:pPr>
        <w:pStyle w:val="GreyShadeTableBreak"/>
        <w:numPr>
          <w:ilvl w:val="0"/>
          <w:numId w:val="10"/>
        </w:numPr>
        <w:ind w:left="284" w:hanging="284"/>
      </w:pPr>
      <w:r>
        <w:t xml:space="preserve">— </w:t>
      </w:r>
      <w:proofErr w:type="gramStart"/>
      <w:r>
        <w:t>the</w:t>
      </w:r>
      <w:proofErr w:type="gramEnd"/>
      <w:r>
        <w:t xml:space="preserve"> management of asbestos related personal injury common law disease claims against the Commonwealth.</w:t>
      </w:r>
    </w:p>
    <w:p w:rsidR="008835EB" w:rsidRDefault="008835EB" w:rsidP="008835EB">
      <w:pPr>
        <w:pStyle w:val="GreyShadeTableBreak"/>
        <w:spacing w:before="240"/>
      </w:pPr>
      <w:r>
        <w:t xml:space="preserve">Full details of the amounts payable may be found in the </w:t>
      </w:r>
      <w:proofErr w:type="spellStart"/>
      <w:r>
        <w:t>Comcare</w:t>
      </w:r>
      <w:proofErr w:type="spellEnd"/>
      <w:r>
        <w:t xml:space="preserve"> annual report.</w:t>
      </w:r>
    </w:p>
    <w:p w:rsidR="008835EB" w:rsidRDefault="008835EB" w:rsidP="008835EB">
      <w:pPr>
        <w:rPr>
          <w:rFonts w:ascii="Arial" w:hAnsi="Arial" w:cs="Arial"/>
          <w:b/>
          <w:bCs/>
          <w:szCs w:val="18"/>
        </w:rPr>
      </w:pPr>
    </w:p>
    <w:p w:rsidR="008835EB" w:rsidRDefault="008835EB" w:rsidP="008835EB">
      <w:pPr>
        <w:rPr>
          <w:rFonts w:ascii="Arial" w:hAnsi="Arial" w:cs="Arial"/>
          <w:b/>
          <w:bCs/>
          <w:szCs w:val="18"/>
        </w:rPr>
        <w:sectPr w:rsidR="008835EB" w:rsidSect="00F74C23">
          <w:pgSz w:w="11906" w:h="16838"/>
          <w:pgMar w:top="1134" w:right="1134" w:bottom="1134" w:left="1134" w:header="958" w:footer="737" w:gutter="0"/>
          <w:cols w:space="720"/>
        </w:sectPr>
      </w:pPr>
    </w:p>
    <w:p w:rsidR="008835EB" w:rsidRDefault="008835EB" w:rsidP="008835EB">
      <w:pPr>
        <w:pStyle w:val="SectionHeading"/>
      </w:pPr>
      <w:bookmarkStart w:id="328" w:name="_Toc443469538"/>
      <w:bookmarkStart w:id="329" w:name="_Toc444065792"/>
      <w:bookmarkStart w:id="330" w:name="_Toc444077350"/>
      <w:bookmarkStart w:id="331" w:name="_Toc456689854"/>
      <w:r>
        <w:lastRenderedPageBreak/>
        <w:t>Funding</w:t>
      </w:r>
      <w:bookmarkEnd w:id="328"/>
      <w:bookmarkEnd w:id="329"/>
      <w:bookmarkEnd w:id="330"/>
      <w:bookmarkEnd w:id="331"/>
    </w:p>
    <w:p w:rsidR="008835EB" w:rsidRDefault="008835EB" w:rsidP="008835EB">
      <w:pPr>
        <w:spacing w:after="120"/>
      </w:pPr>
      <w:r w:rsidRPr="00185212">
        <w:t xml:space="preserve">This section identifies the </w:t>
      </w:r>
      <w:r w:rsidR="00FA455C">
        <w:t>Department of Employment</w:t>
      </w:r>
      <w:r>
        <w:t xml:space="preserve">’s </w:t>
      </w:r>
      <w:r w:rsidRPr="00185212">
        <w:t>funding structure.</w:t>
      </w:r>
    </w:p>
    <w:p w:rsidR="008835EB" w:rsidRPr="00B87FC3" w:rsidRDefault="008835EB" w:rsidP="008835EB">
      <w:pPr>
        <w:pStyle w:val="SubHeading"/>
      </w:pPr>
      <w:bookmarkStart w:id="332" w:name="_Toc456689855"/>
      <w:r w:rsidRPr="00B87FC3">
        <w:t>A</w:t>
      </w:r>
      <w:r>
        <w:t>ppropriations</w:t>
      </w:r>
      <w:bookmarkEnd w:id="332"/>
    </w:p>
    <w:p w:rsidR="008835EB" w:rsidRDefault="008835EB" w:rsidP="008835EB">
      <w:pPr>
        <w:spacing w:line="240" w:lineRule="auto"/>
      </w:pPr>
    </w:p>
    <w:tbl>
      <w:tblPr>
        <w:tblW w:w="13991" w:type="dxa"/>
        <w:tblInd w:w="80" w:type="dxa"/>
        <w:tblLayout w:type="fixed"/>
        <w:tblLook w:val="04A0" w:firstRow="1" w:lastRow="0" w:firstColumn="1" w:lastColumn="0" w:noHBand="0" w:noVBand="1"/>
      </w:tblPr>
      <w:tblGrid>
        <w:gridCol w:w="3690"/>
        <w:gridCol w:w="1652"/>
        <w:gridCol w:w="1652"/>
        <w:gridCol w:w="1338"/>
        <w:gridCol w:w="1338"/>
        <w:gridCol w:w="1338"/>
        <w:gridCol w:w="1338"/>
        <w:gridCol w:w="1645"/>
      </w:tblGrid>
      <w:tr w:rsidR="008835EB" w:rsidTr="007E3F2E">
        <w:trPr>
          <w:trHeight w:val="255"/>
        </w:trPr>
        <w:tc>
          <w:tcPr>
            <w:tcW w:w="6248" w:type="dxa"/>
            <w:gridSpan w:val="3"/>
            <w:tcBorders>
              <w:top w:val="nil"/>
              <w:left w:val="nil"/>
              <w:bottom w:val="nil"/>
              <w:right w:val="nil"/>
            </w:tcBorders>
            <w:shd w:val="clear" w:color="FFFFFF" w:fill="FFFFFF"/>
            <w:noWrap/>
            <w:vAlign w:val="bottom"/>
            <w:hideMark/>
          </w:tcPr>
          <w:p w:rsidR="008835EB" w:rsidRDefault="008835EB" w:rsidP="007E3F2E">
            <w:pPr>
              <w:rPr>
                <w:rFonts w:cs="Calibri"/>
                <w:b/>
                <w:bCs/>
                <w:szCs w:val="18"/>
                <w:u w:val="single"/>
              </w:rPr>
            </w:pPr>
            <w:bookmarkStart w:id="333" w:name="Note_DAPTABLE1" w:colFirst="0" w:colLast="0"/>
            <w:r>
              <w:rPr>
                <w:rFonts w:cs="Calibri"/>
                <w:b/>
                <w:bCs/>
                <w:szCs w:val="18"/>
                <w:u w:val="single"/>
              </w:rPr>
              <w:t xml:space="preserve">Note </w:t>
            </w:r>
            <w:proofErr w:type="spellStart"/>
            <w:r>
              <w:rPr>
                <w:rFonts w:cs="Calibri"/>
                <w:b/>
                <w:bCs/>
                <w:szCs w:val="18"/>
                <w:u w:val="single"/>
              </w:rPr>
              <w:t>5.1A</w:t>
            </w:r>
            <w:proofErr w:type="spellEnd"/>
            <w:r>
              <w:rPr>
                <w:rFonts w:cs="Calibri"/>
                <w:b/>
                <w:bCs/>
                <w:szCs w:val="18"/>
                <w:u w:val="single"/>
              </w:rPr>
              <w:t>: Annual Appropriations ('Recoverable GST exclusive')</w:t>
            </w:r>
          </w:p>
        </w:tc>
        <w:tc>
          <w:tcPr>
            <w:tcW w:w="119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19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19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19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470"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bookmarkEnd w:id="333"/>
      <w:tr w:rsidR="008835EB" w:rsidTr="007E3F2E">
        <w:trPr>
          <w:trHeight w:val="255"/>
        </w:trPr>
        <w:tc>
          <w:tcPr>
            <w:tcW w:w="329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47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47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19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19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19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19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470"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3296" w:type="dxa"/>
            <w:tcBorders>
              <w:top w:val="single" w:sz="4" w:space="0" w:color="auto"/>
              <w:left w:val="single" w:sz="4" w:space="0" w:color="auto"/>
              <w:bottom w:val="nil"/>
              <w:right w:val="single" w:sz="4" w:space="0" w:color="auto"/>
            </w:tcBorders>
            <w:shd w:val="clear" w:color="FFFFFF" w:fill="FFFFFF"/>
            <w:vAlign w:val="bottom"/>
            <w:hideMark/>
          </w:tcPr>
          <w:p w:rsidR="008835EB" w:rsidRDefault="008835EB" w:rsidP="007E3F2E">
            <w:pPr>
              <w:rPr>
                <w:rFonts w:cs="Calibri"/>
                <w:b/>
                <w:bCs/>
                <w:color w:val="000000"/>
                <w:sz w:val="16"/>
                <w:szCs w:val="16"/>
              </w:rPr>
            </w:pPr>
            <w:r>
              <w:rPr>
                <w:rFonts w:cs="Calibri"/>
                <w:b/>
                <w:bCs/>
                <w:color w:val="000000"/>
                <w:sz w:val="16"/>
                <w:szCs w:val="16"/>
              </w:rPr>
              <w:t> </w:t>
            </w:r>
          </w:p>
        </w:tc>
        <w:tc>
          <w:tcPr>
            <w:tcW w:w="6540" w:type="dxa"/>
            <w:gridSpan w:val="5"/>
            <w:tcBorders>
              <w:top w:val="single" w:sz="4" w:space="0" w:color="auto"/>
              <w:left w:val="nil"/>
              <w:bottom w:val="single" w:sz="4" w:space="0" w:color="auto"/>
              <w:right w:val="single" w:sz="4" w:space="0" w:color="000000"/>
            </w:tcBorders>
            <w:shd w:val="clear" w:color="FFFFFF" w:fill="FFFFFF"/>
            <w:vAlign w:val="bottom"/>
            <w:hideMark/>
          </w:tcPr>
          <w:p w:rsidR="008835EB" w:rsidRDefault="008835EB" w:rsidP="007E3F2E">
            <w:pPr>
              <w:jc w:val="center"/>
              <w:rPr>
                <w:rFonts w:cs="Calibri"/>
                <w:b/>
                <w:bCs/>
                <w:sz w:val="16"/>
                <w:szCs w:val="16"/>
              </w:rPr>
            </w:pPr>
            <w:r>
              <w:rPr>
                <w:rFonts w:cs="Calibri"/>
                <w:b/>
                <w:bCs/>
                <w:sz w:val="16"/>
                <w:szCs w:val="16"/>
              </w:rPr>
              <w:t>2016 Appropriations</w:t>
            </w:r>
          </w:p>
        </w:tc>
        <w:tc>
          <w:tcPr>
            <w:tcW w:w="1196" w:type="dxa"/>
            <w:vMerge w:val="restart"/>
            <w:tcBorders>
              <w:top w:val="single" w:sz="4" w:space="0" w:color="auto"/>
              <w:left w:val="single" w:sz="4" w:space="0" w:color="auto"/>
              <w:bottom w:val="nil"/>
              <w:right w:val="single" w:sz="4" w:space="0" w:color="auto"/>
            </w:tcBorders>
            <w:shd w:val="clear" w:color="FFFFFF" w:fill="FFFFFF"/>
            <w:vAlign w:val="bottom"/>
            <w:hideMark/>
          </w:tcPr>
          <w:p w:rsidR="008835EB" w:rsidRDefault="008835EB" w:rsidP="007E3F2E">
            <w:pPr>
              <w:jc w:val="right"/>
              <w:rPr>
                <w:rFonts w:cs="Calibri"/>
                <w:b/>
                <w:bCs/>
                <w:sz w:val="16"/>
                <w:szCs w:val="16"/>
              </w:rPr>
            </w:pPr>
            <w:r>
              <w:rPr>
                <w:rFonts w:cs="Calibri"/>
                <w:b/>
                <w:bCs/>
                <w:sz w:val="16"/>
                <w:szCs w:val="16"/>
              </w:rPr>
              <w:t>Appropriation applied in 2016 (current and prior years)</w:t>
            </w:r>
          </w:p>
        </w:tc>
        <w:tc>
          <w:tcPr>
            <w:tcW w:w="1470" w:type="dxa"/>
            <w:tcBorders>
              <w:top w:val="single" w:sz="4" w:space="0" w:color="auto"/>
              <w:left w:val="nil"/>
              <w:bottom w:val="nil"/>
              <w:right w:val="single" w:sz="4" w:space="0" w:color="auto"/>
            </w:tcBorders>
            <w:shd w:val="clear" w:color="FFFFFF" w:fill="FFFFFF"/>
            <w:vAlign w:val="bottom"/>
            <w:hideMark/>
          </w:tcPr>
          <w:p w:rsidR="008835EB" w:rsidRDefault="008835EB" w:rsidP="007E3F2E">
            <w:pPr>
              <w:jc w:val="right"/>
              <w:rPr>
                <w:rFonts w:cs="Calibri"/>
                <w:b/>
                <w:bCs/>
                <w:sz w:val="16"/>
                <w:szCs w:val="16"/>
              </w:rPr>
            </w:pPr>
            <w:r>
              <w:rPr>
                <w:rFonts w:cs="Calibri"/>
                <w:b/>
                <w:bCs/>
                <w:sz w:val="16"/>
                <w:szCs w:val="16"/>
              </w:rPr>
              <w:t> </w:t>
            </w:r>
          </w:p>
        </w:tc>
      </w:tr>
      <w:tr w:rsidR="008835EB" w:rsidTr="007E3F2E">
        <w:trPr>
          <w:trHeight w:val="252"/>
        </w:trPr>
        <w:tc>
          <w:tcPr>
            <w:tcW w:w="3296" w:type="dxa"/>
            <w:tcBorders>
              <w:top w:val="nil"/>
              <w:left w:val="single" w:sz="4" w:space="0" w:color="auto"/>
              <w:bottom w:val="nil"/>
              <w:right w:val="single" w:sz="4" w:space="0" w:color="auto"/>
            </w:tcBorders>
            <w:shd w:val="clear" w:color="FFFFFF" w:fill="FFFFFF"/>
            <w:vAlign w:val="bottom"/>
            <w:hideMark/>
          </w:tcPr>
          <w:p w:rsidR="008835EB" w:rsidRDefault="008835EB" w:rsidP="007E3F2E">
            <w:pPr>
              <w:rPr>
                <w:rFonts w:cs="Calibri"/>
                <w:b/>
                <w:bCs/>
                <w:color w:val="000000"/>
                <w:sz w:val="16"/>
                <w:szCs w:val="16"/>
              </w:rPr>
            </w:pPr>
            <w:r>
              <w:rPr>
                <w:rFonts w:cs="Calibri"/>
                <w:b/>
                <w:bCs/>
                <w:color w:val="000000"/>
                <w:sz w:val="16"/>
                <w:szCs w:val="16"/>
              </w:rPr>
              <w:t> </w:t>
            </w:r>
          </w:p>
        </w:tc>
        <w:tc>
          <w:tcPr>
            <w:tcW w:w="2952" w:type="dxa"/>
            <w:gridSpan w:val="2"/>
            <w:tcBorders>
              <w:top w:val="single" w:sz="4" w:space="0" w:color="auto"/>
              <w:left w:val="nil"/>
              <w:bottom w:val="single" w:sz="4" w:space="0" w:color="auto"/>
              <w:right w:val="single" w:sz="4" w:space="0" w:color="000000"/>
            </w:tcBorders>
            <w:shd w:val="clear" w:color="FFFFFF" w:fill="FFFFFF"/>
            <w:vAlign w:val="bottom"/>
            <w:hideMark/>
          </w:tcPr>
          <w:p w:rsidR="008835EB" w:rsidRDefault="008835EB" w:rsidP="007E3F2E">
            <w:pPr>
              <w:jc w:val="center"/>
              <w:rPr>
                <w:rFonts w:cs="Calibri"/>
                <w:b/>
                <w:bCs/>
                <w:i/>
                <w:iCs/>
                <w:color w:val="000000"/>
                <w:sz w:val="16"/>
                <w:szCs w:val="16"/>
              </w:rPr>
            </w:pPr>
            <w:r>
              <w:rPr>
                <w:rFonts w:cs="Calibri"/>
                <w:b/>
                <w:bCs/>
                <w:i/>
                <w:iCs/>
                <w:color w:val="000000"/>
                <w:sz w:val="16"/>
                <w:szCs w:val="16"/>
              </w:rPr>
              <w:t>Appropriation Act</w:t>
            </w:r>
          </w:p>
        </w:tc>
        <w:tc>
          <w:tcPr>
            <w:tcW w:w="2392" w:type="dxa"/>
            <w:gridSpan w:val="2"/>
            <w:tcBorders>
              <w:top w:val="single" w:sz="4" w:space="0" w:color="auto"/>
              <w:left w:val="nil"/>
              <w:bottom w:val="single" w:sz="4" w:space="0" w:color="auto"/>
              <w:right w:val="single" w:sz="4" w:space="0" w:color="000000"/>
            </w:tcBorders>
            <w:shd w:val="clear" w:color="FFFFFF" w:fill="FFFFFF"/>
            <w:vAlign w:val="bottom"/>
            <w:hideMark/>
          </w:tcPr>
          <w:p w:rsidR="008835EB" w:rsidRDefault="008835EB" w:rsidP="007E3F2E">
            <w:pPr>
              <w:jc w:val="center"/>
              <w:rPr>
                <w:rFonts w:cs="Calibri"/>
                <w:b/>
                <w:bCs/>
                <w:i/>
                <w:iCs/>
                <w:color w:val="000000"/>
                <w:sz w:val="16"/>
                <w:szCs w:val="16"/>
              </w:rPr>
            </w:pPr>
            <w:proofErr w:type="spellStart"/>
            <w:r>
              <w:rPr>
                <w:rFonts w:cs="Calibri"/>
                <w:b/>
                <w:bCs/>
                <w:i/>
                <w:iCs/>
                <w:color w:val="000000"/>
                <w:sz w:val="16"/>
                <w:szCs w:val="16"/>
              </w:rPr>
              <w:t>PGPA</w:t>
            </w:r>
            <w:proofErr w:type="spellEnd"/>
            <w:r>
              <w:rPr>
                <w:rFonts w:cs="Calibri"/>
                <w:b/>
                <w:bCs/>
                <w:i/>
                <w:iCs/>
                <w:color w:val="000000"/>
                <w:sz w:val="16"/>
                <w:szCs w:val="16"/>
              </w:rPr>
              <w:t xml:space="preserve"> Act</w:t>
            </w:r>
          </w:p>
        </w:tc>
        <w:tc>
          <w:tcPr>
            <w:tcW w:w="1196" w:type="dxa"/>
            <w:vMerge w:val="restart"/>
            <w:tcBorders>
              <w:top w:val="nil"/>
              <w:left w:val="single" w:sz="4" w:space="0" w:color="auto"/>
              <w:bottom w:val="nil"/>
              <w:right w:val="single" w:sz="4" w:space="0" w:color="auto"/>
            </w:tcBorders>
            <w:shd w:val="clear" w:color="FFFFFF" w:fill="FFFFFF"/>
            <w:vAlign w:val="bottom"/>
            <w:hideMark/>
          </w:tcPr>
          <w:p w:rsidR="008835EB" w:rsidRDefault="008835EB" w:rsidP="007E3F2E">
            <w:pPr>
              <w:jc w:val="right"/>
              <w:rPr>
                <w:rFonts w:cs="Calibri"/>
                <w:b/>
                <w:bCs/>
                <w:sz w:val="16"/>
                <w:szCs w:val="16"/>
              </w:rPr>
            </w:pPr>
            <w:r>
              <w:rPr>
                <w:rFonts w:cs="Calibri"/>
                <w:b/>
                <w:bCs/>
                <w:sz w:val="16"/>
                <w:szCs w:val="16"/>
              </w:rPr>
              <w:t>Total appropriation</w:t>
            </w:r>
          </w:p>
        </w:tc>
        <w:tc>
          <w:tcPr>
            <w:tcW w:w="1196" w:type="dxa"/>
            <w:vMerge/>
            <w:tcBorders>
              <w:top w:val="single" w:sz="4" w:space="0" w:color="auto"/>
              <w:left w:val="single" w:sz="4" w:space="0" w:color="auto"/>
              <w:bottom w:val="nil"/>
              <w:right w:val="single" w:sz="4" w:space="0" w:color="auto"/>
            </w:tcBorders>
            <w:vAlign w:val="center"/>
            <w:hideMark/>
          </w:tcPr>
          <w:p w:rsidR="008835EB" w:rsidRDefault="008835EB" w:rsidP="007E3F2E">
            <w:pPr>
              <w:rPr>
                <w:rFonts w:cs="Calibri"/>
                <w:b/>
                <w:bCs/>
                <w:sz w:val="16"/>
                <w:szCs w:val="16"/>
              </w:rPr>
            </w:pPr>
          </w:p>
        </w:tc>
        <w:tc>
          <w:tcPr>
            <w:tcW w:w="1470" w:type="dxa"/>
            <w:tcBorders>
              <w:top w:val="nil"/>
              <w:left w:val="nil"/>
              <w:bottom w:val="nil"/>
              <w:right w:val="single" w:sz="4" w:space="0" w:color="auto"/>
            </w:tcBorders>
            <w:shd w:val="clear" w:color="FFFFFF" w:fill="FFFFFF"/>
            <w:vAlign w:val="bottom"/>
            <w:hideMark/>
          </w:tcPr>
          <w:p w:rsidR="008835EB" w:rsidRDefault="008835EB" w:rsidP="007E3F2E">
            <w:pPr>
              <w:jc w:val="right"/>
              <w:rPr>
                <w:rFonts w:cs="Calibri"/>
                <w:b/>
                <w:bCs/>
                <w:sz w:val="16"/>
                <w:szCs w:val="16"/>
              </w:rPr>
            </w:pPr>
            <w:r>
              <w:rPr>
                <w:rFonts w:cs="Calibri"/>
                <w:b/>
                <w:bCs/>
                <w:sz w:val="16"/>
                <w:szCs w:val="16"/>
              </w:rPr>
              <w:t> </w:t>
            </w:r>
          </w:p>
        </w:tc>
      </w:tr>
      <w:tr w:rsidR="008835EB" w:rsidTr="007E3F2E">
        <w:trPr>
          <w:trHeight w:val="458"/>
        </w:trPr>
        <w:tc>
          <w:tcPr>
            <w:tcW w:w="3296" w:type="dxa"/>
            <w:tcBorders>
              <w:top w:val="nil"/>
              <w:left w:val="single" w:sz="4" w:space="0" w:color="auto"/>
              <w:bottom w:val="nil"/>
              <w:right w:val="single" w:sz="4" w:space="0" w:color="auto"/>
            </w:tcBorders>
            <w:shd w:val="clear" w:color="FFFFFF" w:fill="FFFFFF"/>
            <w:vAlign w:val="bottom"/>
            <w:hideMark/>
          </w:tcPr>
          <w:p w:rsidR="008835EB" w:rsidRDefault="008835EB" w:rsidP="007E3F2E">
            <w:pPr>
              <w:rPr>
                <w:rFonts w:cs="Calibri"/>
                <w:b/>
                <w:bCs/>
                <w:color w:val="000000"/>
                <w:sz w:val="16"/>
                <w:szCs w:val="16"/>
              </w:rPr>
            </w:pPr>
            <w:r>
              <w:rPr>
                <w:rFonts w:cs="Calibri"/>
                <w:b/>
                <w:bCs/>
                <w:color w:val="000000"/>
                <w:sz w:val="16"/>
                <w:szCs w:val="16"/>
              </w:rPr>
              <w:t> </w:t>
            </w:r>
          </w:p>
        </w:tc>
        <w:tc>
          <w:tcPr>
            <w:tcW w:w="1476" w:type="dxa"/>
            <w:tcBorders>
              <w:top w:val="nil"/>
              <w:left w:val="nil"/>
              <w:bottom w:val="nil"/>
              <w:right w:val="nil"/>
            </w:tcBorders>
            <w:shd w:val="clear" w:color="FFFFFF" w:fill="FFFFFF"/>
            <w:vAlign w:val="bottom"/>
            <w:hideMark/>
          </w:tcPr>
          <w:p w:rsidR="008835EB" w:rsidRDefault="008835EB" w:rsidP="007E3F2E">
            <w:pPr>
              <w:jc w:val="right"/>
              <w:rPr>
                <w:rFonts w:cs="Calibri"/>
                <w:b/>
                <w:bCs/>
                <w:sz w:val="16"/>
                <w:szCs w:val="16"/>
              </w:rPr>
            </w:pPr>
            <w:r>
              <w:rPr>
                <w:rFonts w:cs="Calibri"/>
                <w:b/>
                <w:bCs/>
                <w:sz w:val="16"/>
                <w:szCs w:val="16"/>
              </w:rPr>
              <w:t>Annual Appropriation</w:t>
            </w:r>
          </w:p>
        </w:tc>
        <w:tc>
          <w:tcPr>
            <w:tcW w:w="1476" w:type="dxa"/>
            <w:tcBorders>
              <w:top w:val="nil"/>
              <w:left w:val="nil"/>
              <w:bottom w:val="nil"/>
              <w:right w:val="nil"/>
            </w:tcBorders>
            <w:shd w:val="clear" w:color="FFFFFF" w:fill="FFFFFF"/>
            <w:vAlign w:val="bottom"/>
            <w:hideMark/>
          </w:tcPr>
          <w:p w:rsidR="008835EB" w:rsidRDefault="008835EB" w:rsidP="007E3F2E">
            <w:pPr>
              <w:jc w:val="right"/>
              <w:rPr>
                <w:rFonts w:cs="Calibri"/>
                <w:b/>
                <w:bCs/>
                <w:sz w:val="16"/>
                <w:szCs w:val="16"/>
              </w:rPr>
            </w:pPr>
            <w:proofErr w:type="spellStart"/>
            <w:r>
              <w:rPr>
                <w:rFonts w:cs="Calibri"/>
                <w:b/>
                <w:bCs/>
                <w:sz w:val="16"/>
                <w:szCs w:val="16"/>
              </w:rPr>
              <w:t>AFM</w:t>
            </w:r>
            <w:proofErr w:type="spellEnd"/>
          </w:p>
        </w:tc>
        <w:tc>
          <w:tcPr>
            <w:tcW w:w="1196" w:type="dxa"/>
            <w:tcBorders>
              <w:top w:val="nil"/>
              <w:left w:val="single" w:sz="4" w:space="0" w:color="auto"/>
              <w:bottom w:val="nil"/>
              <w:right w:val="nil"/>
            </w:tcBorders>
            <w:shd w:val="clear" w:color="FFFFFF" w:fill="FFFFFF"/>
            <w:vAlign w:val="bottom"/>
            <w:hideMark/>
          </w:tcPr>
          <w:p w:rsidR="008835EB" w:rsidRDefault="008835EB" w:rsidP="007E3F2E">
            <w:pPr>
              <w:jc w:val="right"/>
              <w:rPr>
                <w:rFonts w:cs="Calibri"/>
                <w:b/>
                <w:bCs/>
                <w:sz w:val="16"/>
                <w:szCs w:val="16"/>
              </w:rPr>
            </w:pPr>
            <w:r>
              <w:rPr>
                <w:rFonts w:cs="Calibri"/>
                <w:b/>
                <w:bCs/>
                <w:sz w:val="16"/>
                <w:szCs w:val="16"/>
              </w:rPr>
              <w:t>Section 74</w:t>
            </w:r>
          </w:p>
        </w:tc>
        <w:tc>
          <w:tcPr>
            <w:tcW w:w="1196" w:type="dxa"/>
            <w:tcBorders>
              <w:top w:val="nil"/>
              <w:left w:val="nil"/>
              <w:bottom w:val="nil"/>
              <w:right w:val="nil"/>
            </w:tcBorders>
            <w:shd w:val="clear" w:color="FFFFFF" w:fill="FFFFFF"/>
            <w:vAlign w:val="bottom"/>
            <w:hideMark/>
          </w:tcPr>
          <w:p w:rsidR="008835EB" w:rsidRDefault="008835EB" w:rsidP="007E3F2E">
            <w:pPr>
              <w:jc w:val="right"/>
              <w:rPr>
                <w:rFonts w:cs="Calibri"/>
                <w:b/>
                <w:bCs/>
                <w:sz w:val="16"/>
                <w:szCs w:val="16"/>
              </w:rPr>
            </w:pPr>
            <w:r>
              <w:rPr>
                <w:rFonts w:cs="Calibri"/>
                <w:b/>
                <w:bCs/>
                <w:sz w:val="16"/>
                <w:szCs w:val="16"/>
              </w:rPr>
              <w:t>Section 75</w:t>
            </w:r>
          </w:p>
        </w:tc>
        <w:tc>
          <w:tcPr>
            <w:tcW w:w="1196" w:type="dxa"/>
            <w:vMerge/>
            <w:tcBorders>
              <w:top w:val="nil"/>
              <w:left w:val="single" w:sz="4" w:space="0" w:color="auto"/>
              <w:bottom w:val="nil"/>
              <w:right w:val="single" w:sz="4" w:space="0" w:color="auto"/>
            </w:tcBorders>
            <w:vAlign w:val="center"/>
            <w:hideMark/>
          </w:tcPr>
          <w:p w:rsidR="008835EB" w:rsidRDefault="008835EB" w:rsidP="007E3F2E">
            <w:pPr>
              <w:rPr>
                <w:rFonts w:cs="Calibri"/>
                <w:b/>
                <w:bCs/>
                <w:sz w:val="16"/>
                <w:szCs w:val="16"/>
              </w:rPr>
            </w:pPr>
          </w:p>
        </w:tc>
        <w:tc>
          <w:tcPr>
            <w:tcW w:w="1196" w:type="dxa"/>
            <w:vMerge/>
            <w:tcBorders>
              <w:top w:val="single" w:sz="4" w:space="0" w:color="auto"/>
              <w:left w:val="single" w:sz="4" w:space="0" w:color="auto"/>
              <w:bottom w:val="nil"/>
              <w:right w:val="single" w:sz="4" w:space="0" w:color="auto"/>
            </w:tcBorders>
            <w:vAlign w:val="center"/>
            <w:hideMark/>
          </w:tcPr>
          <w:p w:rsidR="008835EB" w:rsidRDefault="008835EB" w:rsidP="007E3F2E">
            <w:pPr>
              <w:rPr>
                <w:rFonts w:cs="Calibri"/>
                <w:b/>
                <w:bCs/>
                <w:sz w:val="16"/>
                <w:szCs w:val="16"/>
              </w:rPr>
            </w:pPr>
          </w:p>
        </w:tc>
        <w:tc>
          <w:tcPr>
            <w:tcW w:w="1470" w:type="dxa"/>
            <w:tcBorders>
              <w:top w:val="nil"/>
              <w:left w:val="nil"/>
              <w:bottom w:val="nil"/>
              <w:right w:val="single" w:sz="4" w:space="0" w:color="auto"/>
            </w:tcBorders>
            <w:shd w:val="clear" w:color="FFFFFF" w:fill="FFFFFF"/>
            <w:vAlign w:val="bottom"/>
            <w:hideMark/>
          </w:tcPr>
          <w:p w:rsidR="008835EB" w:rsidRDefault="008835EB" w:rsidP="007E3F2E">
            <w:pPr>
              <w:jc w:val="right"/>
              <w:rPr>
                <w:rFonts w:cs="Calibri"/>
                <w:b/>
                <w:bCs/>
                <w:sz w:val="16"/>
                <w:szCs w:val="16"/>
              </w:rPr>
            </w:pPr>
            <w:proofErr w:type="spellStart"/>
            <w:r>
              <w:rPr>
                <w:rFonts w:cs="Calibri"/>
                <w:b/>
                <w:bCs/>
                <w:sz w:val="16"/>
                <w:szCs w:val="16"/>
              </w:rPr>
              <w:t>Variance</w:t>
            </w:r>
            <w:r>
              <w:rPr>
                <w:rFonts w:cs="Calibri"/>
                <w:b/>
                <w:bCs/>
                <w:sz w:val="16"/>
                <w:szCs w:val="16"/>
                <w:vertAlign w:val="superscript"/>
              </w:rPr>
              <w:t>1</w:t>
            </w:r>
            <w:proofErr w:type="spellEnd"/>
          </w:p>
        </w:tc>
      </w:tr>
      <w:tr w:rsidR="008835EB" w:rsidTr="007E3F2E">
        <w:trPr>
          <w:trHeight w:val="255"/>
        </w:trPr>
        <w:tc>
          <w:tcPr>
            <w:tcW w:w="3296" w:type="dxa"/>
            <w:tcBorders>
              <w:top w:val="nil"/>
              <w:left w:val="single" w:sz="4" w:space="0" w:color="auto"/>
              <w:bottom w:val="single" w:sz="4" w:space="0" w:color="auto"/>
              <w:right w:val="single" w:sz="4" w:space="0" w:color="auto"/>
            </w:tcBorders>
            <w:shd w:val="clear" w:color="FFFFFF" w:fill="FFFFFF"/>
            <w:vAlign w:val="bottom"/>
            <w:hideMark/>
          </w:tcPr>
          <w:p w:rsidR="008835EB" w:rsidRDefault="008835EB" w:rsidP="007E3F2E">
            <w:pPr>
              <w:rPr>
                <w:rFonts w:cs="Calibri"/>
                <w:b/>
                <w:bCs/>
                <w:color w:val="000000"/>
                <w:sz w:val="16"/>
                <w:szCs w:val="16"/>
              </w:rPr>
            </w:pPr>
            <w:r>
              <w:rPr>
                <w:rFonts w:cs="Calibri"/>
                <w:b/>
                <w:bCs/>
                <w:color w:val="000000"/>
                <w:sz w:val="16"/>
                <w:szCs w:val="16"/>
              </w:rPr>
              <w:t> </w:t>
            </w:r>
          </w:p>
        </w:tc>
        <w:tc>
          <w:tcPr>
            <w:tcW w:w="1476"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b/>
                <w:bCs/>
                <w:sz w:val="16"/>
                <w:szCs w:val="16"/>
              </w:rPr>
            </w:pPr>
            <w:r>
              <w:rPr>
                <w:rFonts w:cs="Calibri"/>
                <w:b/>
                <w:bCs/>
                <w:sz w:val="16"/>
                <w:szCs w:val="16"/>
              </w:rPr>
              <w:t>$'000</w:t>
            </w:r>
          </w:p>
        </w:tc>
        <w:tc>
          <w:tcPr>
            <w:tcW w:w="1476" w:type="dxa"/>
            <w:tcBorders>
              <w:top w:val="nil"/>
              <w:left w:val="nil"/>
              <w:bottom w:val="single" w:sz="4" w:space="0" w:color="auto"/>
              <w:right w:val="single" w:sz="4" w:space="0" w:color="auto"/>
            </w:tcBorders>
            <w:shd w:val="clear" w:color="FFFFFF" w:fill="FFFFFF"/>
            <w:vAlign w:val="bottom"/>
            <w:hideMark/>
          </w:tcPr>
          <w:p w:rsidR="008835EB" w:rsidRDefault="008835EB" w:rsidP="007E3F2E">
            <w:pPr>
              <w:jc w:val="right"/>
              <w:rPr>
                <w:rFonts w:cs="Calibri"/>
                <w:b/>
                <w:bCs/>
                <w:sz w:val="16"/>
                <w:szCs w:val="16"/>
              </w:rPr>
            </w:pPr>
            <w:r>
              <w:rPr>
                <w:rFonts w:cs="Calibri"/>
                <w:b/>
                <w:bCs/>
                <w:sz w:val="16"/>
                <w:szCs w:val="16"/>
              </w:rPr>
              <w:t>$'000</w:t>
            </w:r>
          </w:p>
        </w:tc>
        <w:tc>
          <w:tcPr>
            <w:tcW w:w="1196"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b/>
                <w:bCs/>
                <w:sz w:val="16"/>
                <w:szCs w:val="16"/>
              </w:rPr>
            </w:pPr>
            <w:r>
              <w:rPr>
                <w:rFonts w:cs="Calibri"/>
                <w:b/>
                <w:bCs/>
                <w:sz w:val="16"/>
                <w:szCs w:val="16"/>
              </w:rPr>
              <w:t>$'000</w:t>
            </w:r>
          </w:p>
        </w:tc>
        <w:tc>
          <w:tcPr>
            <w:tcW w:w="1196"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b/>
                <w:bCs/>
                <w:sz w:val="16"/>
                <w:szCs w:val="16"/>
              </w:rPr>
            </w:pPr>
            <w:r>
              <w:rPr>
                <w:rFonts w:cs="Calibri"/>
                <w:b/>
                <w:bCs/>
                <w:sz w:val="16"/>
                <w:szCs w:val="16"/>
              </w:rPr>
              <w:t>$'000</w:t>
            </w:r>
          </w:p>
        </w:tc>
        <w:tc>
          <w:tcPr>
            <w:tcW w:w="1196" w:type="dxa"/>
            <w:tcBorders>
              <w:top w:val="nil"/>
              <w:left w:val="single" w:sz="4" w:space="0" w:color="auto"/>
              <w:bottom w:val="single" w:sz="4" w:space="0" w:color="auto"/>
              <w:right w:val="single" w:sz="4" w:space="0" w:color="auto"/>
            </w:tcBorders>
            <w:shd w:val="clear" w:color="FFFFFF" w:fill="FFFFFF"/>
            <w:vAlign w:val="bottom"/>
            <w:hideMark/>
          </w:tcPr>
          <w:p w:rsidR="008835EB" w:rsidRDefault="008835EB" w:rsidP="007E3F2E">
            <w:pPr>
              <w:jc w:val="right"/>
              <w:rPr>
                <w:rFonts w:cs="Calibri"/>
                <w:b/>
                <w:bCs/>
                <w:sz w:val="16"/>
                <w:szCs w:val="16"/>
              </w:rPr>
            </w:pPr>
            <w:r>
              <w:rPr>
                <w:rFonts w:cs="Calibri"/>
                <w:b/>
                <w:bCs/>
                <w:sz w:val="16"/>
                <w:szCs w:val="16"/>
              </w:rPr>
              <w:t>$'000</w:t>
            </w:r>
          </w:p>
        </w:tc>
        <w:tc>
          <w:tcPr>
            <w:tcW w:w="1196" w:type="dxa"/>
            <w:tcBorders>
              <w:top w:val="nil"/>
              <w:left w:val="nil"/>
              <w:bottom w:val="single" w:sz="4" w:space="0" w:color="auto"/>
              <w:right w:val="single" w:sz="4" w:space="0" w:color="auto"/>
            </w:tcBorders>
            <w:shd w:val="clear" w:color="FFFFFF" w:fill="FFFFFF"/>
            <w:vAlign w:val="bottom"/>
            <w:hideMark/>
          </w:tcPr>
          <w:p w:rsidR="008835EB" w:rsidRDefault="008835EB" w:rsidP="007E3F2E">
            <w:pPr>
              <w:jc w:val="right"/>
              <w:rPr>
                <w:rFonts w:cs="Calibri"/>
                <w:b/>
                <w:bCs/>
                <w:sz w:val="16"/>
                <w:szCs w:val="16"/>
              </w:rPr>
            </w:pPr>
            <w:r>
              <w:rPr>
                <w:rFonts w:cs="Calibri"/>
                <w:b/>
                <w:bCs/>
                <w:sz w:val="16"/>
                <w:szCs w:val="16"/>
              </w:rPr>
              <w:t>$'000</w:t>
            </w:r>
          </w:p>
        </w:tc>
        <w:tc>
          <w:tcPr>
            <w:tcW w:w="1470" w:type="dxa"/>
            <w:tcBorders>
              <w:top w:val="nil"/>
              <w:left w:val="nil"/>
              <w:bottom w:val="single" w:sz="4" w:space="0" w:color="auto"/>
              <w:right w:val="single" w:sz="4" w:space="0" w:color="auto"/>
            </w:tcBorders>
            <w:shd w:val="clear" w:color="FFFFFF" w:fill="FFFFFF"/>
            <w:vAlign w:val="bottom"/>
            <w:hideMark/>
          </w:tcPr>
          <w:p w:rsidR="008835EB" w:rsidRDefault="008835EB" w:rsidP="007E3F2E">
            <w:pPr>
              <w:jc w:val="right"/>
              <w:rPr>
                <w:rFonts w:cs="Calibri"/>
                <w:b/>
                <w:bCs/>
                <w:sz w:val="16"/>
                <w:szCs w:val="16"/>
              </w:rPr>
            </w:pPr>
            <w:r>
              <w:rPr>
                <w:rFonts w:cs="Calibri"/>
                <w:b/>
                <w:bCs/>
                <w:sz w:val="16"/>
                <w:szCs w:val="16"/>
              </w:rPr>
              <w:t>$'000</w:t>
            </w:r>
          </w:p>
        </w:tc>
      </w:tr>
      <w:tr w:rsidR="008835EB" w:rsidTr="007E3F2E">
        <w:trPr>
          <w:trHeight w:val="255"/>
        </w:trPr>
        <w:tc>
          <w:tcPr>
            <w:tcW w:w="3296" w:type="dxa"/>
            <w:tcBorders>
              <w:top w:val="nil"/>
              <w:left w:val="single" w:sz="4" w:space="0" w:color="auto"/>
              <w:bottom w:val="nil"/>
              <w:right w:val="single" w:sz="4" w:space="0" w:color="auto"/>
            </w:tcBorders>
            <w:shd w:val="clear" w:color="FFFFFF" w:fill="FFFFFF"/>
            <w:vAlign w:val="bottom"/>
            <w:hideMark/>
          </w:tcPr>
          <w:p w:rsidR="008835EB" w:rsidRDefault="008835EB" w:rsidP="007E3F2E">
            <w:pPr>
              <w:rPr>
                <w:rFonts w:cs="Calibri"/>
                <w:b/>
                <w:bCs/>
                <w:color w:val="000000"/>
                <w:sz w:val="16"/>
                <w:szCs w:val="16"/>
              </w:rPr>
            </w:pPr>
            <w:r>
              <w:rPr>
                <w:rFonts w:cs="Calibri"/>
                <w:b/>
                <w:bCs/>
                <w:color w:val="000000"/>
                <w:sz w:val="16"/>
                <w:szCs w:val="16"/>
              </w:rPr>
              <w:t>DEPARTMENTAL</w:t>
            </w:r>
          </w:p>
        </w:tc>
        <w:tc>
          <w:tcPr>
            <w:tcW w:w="1476" w:type="dxa"/>
            <w:tcBorders>
              <w:top w:val="nil"/>
              <w:left w:val="nil"/>
              <w:bottom w:val="nil"/>
              <w:right w:val="nil"/>
            </w:tcBorders>
            <w:shd w:val="clear" w:color="FFFFFF" w:fill="FFFFFF"/>
            <w:vAlign w:val="bottom"/>
            <w:hideMark/>
          </w:tcPr>
          <w:p w:rsidR="008835EB" w:rsidRDefault="008835EB" w:rsidP="007E3F2E">
            <w:pPr>
              <w:rPr>
                <w:rFonts w:cs="Calibri"/>
                <w:sz w:val="16"/>
                <w:szCs w:val="16"/>
              </w:rPr>
            </w:pPr>
            <w:r>
              <w:rPr>
                <w:rFonts w:cs="Calibri"/>
                <w:sz w:val="16"/>
                <w:szCs w:val="16"/>
              </w:rPr>
              <w:t> </w:t>
            </w:r>
          </w:p>
        </w:tc>
        <w:tc>
          <w:tcPr>
            <w:tcW w:w="1476" w:type="dxa"/>
            <w:tcBorders>
              <w:top w:val="nil"/>
              <w:left w:val="nil"/>
              <w:bottom w:val="nil"/>
              <w:right w:val="single" w:sz="4" w:space="0" w:color="auto"/>
            </w:tcBorders>
            <w:shd w:val="clear" w:color="FFFFFF" w:fill="FFFFFF"/>
            <w:vAlign w:val="bottom"/>
            <w:hideMark/>
          </w:tcPr>
          <w:p w:rsidR="008835EB" w:rsidRDefault="008835EB" w:rsidP="007E3F2E">
            <w:pPr>
              <w:rPr>
                <w:rFonts w:cs="Calibri"/>
                <w:sz w:val="16"/>
                <w:szCs w:val="16"/>
              </w:rPr>
            </w:pPr>
            <w:r>
              <w:rPr>
                <w:rFonts w:cs="Calibri"/>
                <w:sz w:val="16"/>
                <w:szCs w:val="16"/>
              </w:rPr>
              <w:t> </w:t>
            </w:r>
          </w:p>
        </w:tc>
        <w:tc>
          <w:tcPr>
            <w:tcW w:w="1196" w:type="dxa"/>
            <w:tcBorders>
              <w:top w:val="nil"/>
              <w:left w:val="nil"/>
              <w:bottom w:val="nil"/>
              <w:right w:val="nil"/>
            </w:tcBorders>
            <w:shd w:val="clear" w:color="FFFFFF" w:fill="FFFFFF"/>
            <w:vAlign w:val="bottom"/>
            <w:hideMark/>
          </w:tcPr>
          <w:p w:rsidR="008835EB" w:rsidRDefault="008835EB" w:rsidP="007E3F2E">
            <w:pPr>
              <w:rPr>
                <w:rFonts w:cs="Calibri"/>
                <w:sz w:val="16"/>
                <w:szCs w:val="16"/>
              </w:rPr>
            </w:pPr>
            <w:r>
              <w:rPr>
                <w:rFonts w:cs="Calibri"/>
                <w:sz w:val="16"/>
                <w:szCs w:val="16"/>
              </w:rPr>
              <w:t> </w:t>
            </w:r>
          </w:p>
        </w:tc>
        <w:tc>
          <w:tcPr>
            <w:tcW w:w="1196" w:type="dxa"/>
            <w:tcBorders>
              <w:top w:val="nil"/>
              <w:left w:val="nil"/>
              <w:bottom w:val="nil"/>
              <w:right w:val="nil"/>
            </w:tcBorders>
            <w:shd w:val="clear" w:color="FFFFFF" w:fill="FFFFFF"/>
            <w:vAlign w:val="bottom"/>
            <w:hideMark/>
          </w:tcPr>
          <w:p w:rsidR="008835EB" w:rsidRDefault="008835EB" w:rsidP="007E3F2E">
            <w:pPr>
              <w:rPr>
                <w:rFonts w:cs="Calibri"/>
                <w:sz w:val="16"/>
                <w:szCs w:val="16"/>
              </w:rPr>
            </w:pPr>
            <w:r>
              <w:rPr>
                <w:rFonts w:cs="Calibri"/>
                <w:sz w:val="16"/>
                <w:szCs w:val="16"/>
              </w:rPr>
              <w:t> </w:t>
            </w:r>
          </w:p>
        </w:tc>
        <w:tc>
          <w:tcPr>
            <w:tcW w:w="1196" w:type="dxa"/>
            <w:tcBorders>
              <w:top w:val="nil"/>
              <w:left w:val="single" w:sz="4" w:space="0" w:color="auto"/>
              <w:bottom w:val="nil"/>
              <w:right w:val="single" w:sz="4" w:space="0" w:color="auto"/>
            </w:tcBorders>
            <w:shd w:val="clear" w:color="FFFFFF" w:fill="FFFFFF"/>
            <w:vAlign w:val="bottom"/>
            <w:hideMark/>
          </w:tcPr>
          <w:p w:rsidR="008835EB" w:rsidRDefault="008835EB" w:rsidP="007E3F2E">
            <w:pPr>
              <w:rPr>
                <w:rFonts w:cs="Calibri"/>
                <w:sz w:val="16"/>
                <w:szCs w:val="16"/>
              </w:rPr>
            </w:pPr>
            <w:r>
              <w:rPr>
                <w:rFonts w:cs="Calibri"/>
                <w:sz w:val="16"/>
                <w:szCs w:val="16"/>
              </w:rPr>
              <w:t> </w:t>
            </w:r>
          </w:p>
        </w:tc>
        <w:tc>
          <w:tcPr>
            <w:tcW w:w="1196" w:type="dxa"/>
            <w:tcBorders>
              <w:top w:val="nil"/>
              <w:left w:val="nil"/>
              <w:bottom w:val="nil"/>
              <w:right w:val="single" w:sz="4" w:space="0" w:color="auto"/>
            </w:tcBorders>
            <w:shd w:val="clear" w:color="FFFFFF" w:fill="FFFFFF"/>
            <w:vAlign w:val="bottom"/>
            <w:hideMark/>
          </w:tcPr>
          <w:p w:rsidR="008835EB" w:rsidRDefault="008835EB" w:rsidP="007E3F2E">
            <w:pPr>
              <w:rPr>
                <w:rFonts w:cs="Calibri"/>
                <w:b/>
                <w:bCs/>
                <w:color w:val="000000"/>
                <w:sz w:val="16"/>
                <w:szCs w:val="16"/>
              </w:rPr>
            </w:pPr>
            <w:r>
              <w:rPr>
                <w:rFonts w:cs="Calibri"/>
                <w:b/>
                <w:bCs/>
                <w:color w:val="000000"/>
                <w:sz w:val="16"/>
                <w:szCs w:val="16"/>
              </w:rPr>
              <w:t> </w:t>
            </w:r>
          </w:p>
        </w:tc>
        <w:tc>
          <w:tcPr>
            <w:tcW w:w="1470" w:type="dxa"/>
            <w:tcBorders>
              <w:top w:val="nil"/>
              <w:left w:val="nil"/>
              <w:bottom w:val="nil"/>
              <w:right w:val="single" w:sz="4" w:space="0" w:color="auto"/>
            </w:tcBorders>
            <w:shd w:val="clear" w:color="FFFFFF" w:fill="FFFFFF"/>
            <w:vAlign w:val="bottom"/>
            <w:hideMark/>
          </w:tcPr>
          <w:p w:rsidR="008835EB" w:rsidRDefault="008835EB" w:rsidP="007E3F2E">
            <w:pPr>
              <w:rPr>
                <w:rFonts w:cs="Calibri"/>
                <w:b/>
                <w:bCs/>
                <w:color w:val="000000"/>
                <w:sz w:val="16"/>
                <w:szCs w:val="16"/>
              </w:rPr>
            </w:pPr>
            <w:r>
              <w:rPr>
                <w:rFonts w:cs="Calibri"/>
                <w:b/>
                <w:bCs/>
                <w:color w:val="000000"/>
                <w:sz w:val="16"/>
                <w:szCs w:val="16"/>
              </w:rPr>
              <w:t> </w:t>
            </w:r>
          </w:p>
        </w:tc>
      </w:tr>
      <w:tr w:rsidR="008835EB" w:rsidTr="007E3F2E">
        <w:trPr>
          <w:trHeight w:val="255"/>
        </w:trPr>
        <w:tc>
          <w:tcPr>
            <w:tcW w:w="3296" w:type="dxa"/>
            <w:tcBorders>
              <w:top w:val="nil"/>
              <w:left w:val="single" w:sz="4" w:space="0" w:color="auto"/>
              <w:bottom w:val="nil"/>
              <w:right w:val="single" w:sz="4" w:space="0" w:color="auto"/>
            </w:tcBorders>
            <w:shd w:val="clear" w:color="FFFFFF" w:fill="FFFFFF"/>
            <w:vAlign w:val="bottom"/>
            <w:hideMark/>
          </w:tcPr>
          <w:p w:rsidR="008835EB" w:rsidRDefault="008835EB" w:rsidP="007E3F2E">
            <w:pPr>
              <w:ind w:firstLineChars="100" w:firstLine="160"/>
              <w:rPr>
                <w:rFonts w:cs="Calibri"/>
                <w:color w:val="000000"/>
                <w:sz w:val="16"/>
                <w:szCs w:val="16"/>
              </w:rPr>
            </w:pPr>
            <w:r>
              <w:rPr>
                <w:rFonts w:cs="Calibri"/>
                <w:color w:val="000000"/>
                <w:sz w:val="16"/>
                <w:szCs w:val="16"/>
              </w:rPr>
              <w:t>Ordinary annual services</w:t>
            </w:r>
          </w:p>
        </w:tc>
        <w:tc>
          <w:tcPr>
            <w:tcW w:w="1476"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 w:val="16"/>
                <w:szCs w:val="16"/>
              </w:rPr>
            </w:pPr>
            <w:r>
              <w:rPr>
                <w:rFonts w:cs="Calibri"/>
                <w:b/>
                <w:bCs/>
                <w:sz w:val="16"/>
                <w:szCs w:val="16"/>
              </w:rPr>
              <w:t xml:space="preserve">285,566 </w:t>
            </w:r>
          </w:p>
        </w:tc>
        <w:tc>
          <w:tcPr>
            <w:tcW w:w="1476"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 w:val="16"/>
                <w:szCs w:val="16"/>
              </w:rPr>
            </w:pPr>
            <w:r>
              <w:rPr>
                <w:rFonts w:cs="Calibri"/>
                <w:b/>
                <w:bCs/>
                <w:sz w:val="16"/>
                <w:szCs w:val="16"/>
              </w:rPr>
              <w:t xml:space="preserve"> -</w:t>
            </w:r>
          </w:p>
        </w:tc>
        <w:tc>
          <w:tcPr>
            <w:tcW w:w="1196"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 w:val="16"/>
                <w:szCs w:val="16"/>
              </w:rPr>
            </w:pPr>
            <w:r>
              <w:rPr>
                <w:rFonts w:cs="Calibri"/>
                <w:b/>
                <w:bCs/>
                <w:sz w:val="16"/>
                <w:szCs w:val="16"/>
              </w:rPr>
              <w:t xml:space="preserve">24,286 </w:t>
            </w:r>
          </w:p>
        </w:tc>
        <w:tc>
          <w:tcPr>
            <w:tcW w:w="1196"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 w:val="16"/>
                <w:szCs w:val="16"/>
              </w:rPr>
            </w:pPr>
            <w:r>
              <w:rPr>
                <w:rFonts w:cs="Calibri"/>
                <w:b/>
                <w:bCs/>
                <w:sz w:val="16"/>
                <w:szCs w:val="16"/>
              </w:rPr>
              <w:t xml:space="preserve"> -</w:t>
            </w:r>
          </w:p>
        </w:tc>
        <w:tc>
          <w:tcPr>
            <w:tcW w:w="1196" w:type="dxa"/>
            <w:tcBorders>
              <w:top w:val="nil"/>
              <w:left w:val="single" w:sz="4" w:space="0" w:color="auto"/>
              <w:bottom w:val="nil"/>
              <w:right w:val="single" w:sz="4" w:space="0" w:color="auto"/>
            </w:tcBorders>
            <w:shd w:val="clear" w:color="FFFFFF" w:fill="FFFFFF"/>
            <w:noWrap/>
            <w:vAlign w:val="bottom"/>
            <w:hideMark/>
          </w:tcPr>
          <w:p w:rsidR="008835EB" w:rsidRDefault="008835EB" w:rsidP="007E3F2E">
            <w:pPr>
              <w:jc w:val="right"/>
              <w:rPr>
                <w:rFonts w:cs="Calibri"/>
                <w:b/>
                <w:bCs/>
                <w:sz w:val="16"/>
                <w:szCs w:val="16"/>
              </w:rPr>
            </w:pPr>
            <w:r>
              <w:rPr>
                <w:rFonts w:cs="Calibri"/>
                <w:b/>
                <w:bCs/>
                <w:sz w:val="16"/>
                <w:szCs w:val="16"/>
              </w:rPr>
              <w:t>309,852</w:t>
            </w:r>
          </w:p>
        </w:tc>
        <w:tc>
          <w:tcPr>
            <w:tcW w:w="1196"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 w:val="16"/>
                <w:szCs w:val="16"/>
              </w:rPr>
            </w:pPr>
            <w:r>
              <w:rPr>
                <w:rFonts w:cs="Calibri"/>
                <w:b/>
                <w:bCs/>
                <w:sz w:val="16"/>
                <w:szCs w:val="16"/>
              </w:rPr>
              <w:t xml:space="preserve">303,178 </w:t>
            </w:r>
          </w:p>
        </w:tc>
        <w:tc>
          <w:tcPr>
            <w:tcW w:w="1470"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 w:val="16"/>
                <w:szCs w:val="16"/>
              </w:rPr>
            </w:pPr>
            <w:r>
              <w:rPr>
                <w:rFonts w:cs="Calibri"/>
                <w:b/>
                <w:bCs/>
                <w:sz w:val="16"/>
                <w:szCs w:val="16"/>
              </w:rPr>
              <w:t>6,674</w:t>
            </w:r>
          </w:p>
        </w:tc>
      </w:tr>
      <w:tr w:rsidR="008835EB" w:rsidTr="007E3F2E">
        <w:trPr>
          <w:trHeight w:val="255"/>
        </w:trPr>
        <w:tc>
          <w:tcPr>
            <w:tcW w:w="3296" w:type="dxa"/>
            <w:tcBorders>
              <w:top w:val="nil"/>
              <w:left w:val="single" w:sz="4" w:space="0" w:color="auto"/>
              <w:bottom w:val="nil"/>
              <w:right w:val="single" w:sz="4" w:space="0" w:color="auto"/>
            </w:tcBorders>
            <w:shd w:val="clear" w:color="FFFFFF" w:fill="FFFFFF"/>
            <w:vAlign w:val="bottom"/>
            <w:hideMark/>
          </w:tcPr>
          <w:p w:rsidR="008835EB" w:rsidRDefault="008835EB" w:rsidP="007E3F2E">
            <w:pPr>
              <w:ind w:firstLineChars="100" w:firstLine="160"/>
              <w:rPr>
                <w:rFonts w:cs="Calibri"/>
                <w:color w:val="000000"/>
                <w:sz w:val="16"/>
                <w:szCs w:val="16"/>
              </w:rPr>
            </w:pPr>
            <w:r>
              <w:rPr>
                <w:rFonts w:cs="Calibri"/>
                <w:color w:val="000000"/>
                <w:sz w:val="16"/>
                <w:szCs w:val="16"/>
              </w:rPr>
              <w:t xml:space="preserve">Capital </w:t>
            </w:r>
            <w:proofErr w:type="spellStart"/>
            <w:r>
              <w:rPr>
                <w:rFonts w:cs="Calibri"/>
                <w:color w:val="000000"/>
                <w:sz w:val="16"/>
                <w:szCs w:val="16"/>
              </w:rPr>
              <w:t>Budget</w:t>
            </w:r>
            <w:r>
              <w:rPr>
                <w:rFonts w:cs="Calibri"/>
                <w:color w:val="000000"/>
                <w:sz w:val="16"/>
                <w:szCs w:val="16"/>
                <w:vertAlign w:val="superscript"/>
              </w:rPr>
              <w:t>2</w:t>
            </w:r>
            <w:proofErr w:type="spellEnd"/>
          </w:p>
        </w:tc>
        <w:tc>
          <w:tcPr>
            <w:tcW w:w="1476"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 w:val="16"/>
                <w:szCs w:val="16"/>
              </w:rPr>
            </w:pPr>
            <w:r>
              <w:rPr>
                <w:rFonts w:cs="Calibri"/>
                <w:b/>
                <w:bCs/>
                <w:sz w:val="16"/>
                <w:szCs w:val="16"/>
              </w:rPr>
              <w:t xml:space="preserve">27,378 </w:t>
            </w:r>
          </w:p>
        </w:tc>
        <w:tc>
          <w:tcPr>
            <w:tcW w:w="1476"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 w:val="16"/>
                <w:szCs w:val="16"/>
              </w:rPr>
            </w:pPr>
            <w:r>
              <w:rPr>
                <w:rFonts w:cs="Calibri"/>
                <w:b/>
                <w:bCs/>
                <w:sz w:val="16"/>
                <w:szCs w:val="16"/>
              </w:rPr>
              <w:t xml:space="preserve"> -</w:t>
            </w:r>
          </w:p>
        </w:tc>
        <w:tc>
          <w:tcPr>
            <w:tcW w:w="1196"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 w:val="16"/>
                <w:szCs w:val="16"/>
              </w:rPr>
            </w:pPr>
            <w:r>
              <w:rPr>
                <w:rFonts w:cs="Calibri"/>
                <w:b/>
                <w:bCs/>
                <w:sz w:val="16"/>
                <w:szCs w:val="16"/>
              </w:rPr>
              <w:t xml:space="preserve"> -</w:t>
            </w:r>
          </w:p>
        </w:tc>
        <w:tc>
          <w:tcPr>
            <w:tcW w:w="1196"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 w:val="16"/>
                <w:szCs w:val="16"/>
              </w:rPr>
            </w:pPr>
            <w:r>
              <w:rPr>
                <w:rFonts w:cs="Calibri"/>
                <w:b/>
                <w:bCs/>
                <w:sz w:val="16"/>
                <w:szCs w:val="16"/>
              </w:rPr>
              <w:t xml:space="preserve"> -</w:t>
            </w:r>
          </w:p>
        </w:tc>
        <w:tc>
          <w:tcPr>
            <w:tcW w:w="1196" w:type="dxa"/>
            <w:tcBorders>
              <w:top w:val="nil"/>
              <w:left w:val="single" w:sz="4" w:space="0" w:color="auto"/>
              <w:bottom w:val="nil"/>
              <w:right w:val="single" w:sz="4" w:space="0" w:color="auto"/>
            </w:tcBorders>
            <w:shd w:val="clear" w:color="FFFFFF" w:fill="FFFFFF"/>
            <w:noWrap/>
            <w:vAlign w:val="bottom"/>
            <w:hideMark/>
          </w:tcPr>
          <w:p w:rsidR="008835EB" w:rsidRDefault="008835EB" w:rsidP="007E3F2E">
            <w:pPr>
              <w:jc w:val="right"/>
              <w:rPr>
                <w:rFonts w:cs="Calibri"/>
                <w:b/>
                <w:bCs/>
                <w:sz w:val="16"/>
                <w:szCs w:val="16"/>
              </w:rPr>
            </w:pPr>
            <w:r>
              <w:rPr>
                <w:rFonts w:cs="Calibri"/>
                <w:b/>
                <w:bCs/>
                <w:sz w:val="16"/>
                <w:szCs w:val="16"/>
              </w:rPr>
              <w:t>27,378</w:t>
            </w:r>
          </w:p>
        </w:tc>
        <w:tc>
          <w:tcPr>
            <w:tcW w:w="1196"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 w:val="16"/>
                <w:szCs w:val="16"/>
              </w:rPr>
            </w:pPr>
            <w:r>
              <w:rPr>
                <w:rFonts w:cs="Calibri"/>
                <w:b/>
                <w:bCs/>
                <w:sz w:val="16"/>
                <w:szCs w:val="16"/>
              </w:rPr>
              <w:t xml:space="preserve">29,231 </w:t>
            </w:r>
          </w:p>
        </w:tc>
        <w:tc>
          <w:tcPr>
            <w:tcW w:w="1470"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 w:val="16"/>
                <w:szCs w:val="16"/>
              </w:rPr>
            </w:pPr>
            <w:r>
              <w:rPr>
                <w:rFonts w:cs="Calibri"/>
                <w:b/>
                <w:bCs/>
                <w:sz w:val="16"/>
                <w:szCs w:val="16"/>
              </w:rPr>
              <w:t>(1,853)</w:t>
            </w:r>
          </w:p>
        </w:tc>
      </w:tr>
      <w:tr w:rsidR="008835EB" w:rsidTr="007E3F2E">
        <w:trPr>
          <w:trHeight w:val="255"/>
        </w:trPr>
        <w:tc>
          <w:tcPr>
            <w:tcW w:w="3296" w:type="dxa"/>
            <w:tcBorders>
              <w:top w:val="nil"/>
              <w:left w:val="single" w:sz="4" w:space="0" w:color="auto"/>
              <w:bottom w:val="nil"/>
              <w:right w:val="single" w:sz="4" w:space="0" w:color="auto"/>
            </w:tcBorders>
            <w:shd w:val="clear" w:color="FFFFFF" w:fill="FFFFFF"/>
            <w:vAlign w:val="bottom"/>
            <w:hideMark/>
          </w:tcPr>
          <w:p w:rsidR="008835EB" w:rsidRDefault="008835EB" w:rsidP="007E3F2E">
            <w:pPr>
              <w:ind w:firstLineChars="100" w:firstLine="160"/>
              <w:rPr>
                <w:rFonts w:cs="Calibri"/>
                <w:color w:val="000000"/>
                <w:sz w:val="16"/>
                <w:szCs w:val="16"/>
              </w:rPr>
            </w:pPr>
            <w:r>
              <w:rPr>
                <w:rFonts w:cs="Calibri"/>
                <w:color w:val="000000"/>
                <w:sz w:val="16"/>
                <w:szCs w:val="16"/>
              </w:rPr>
              <w:t>Other services</w:t>
            </w:r>
          </w:p>
        </w:tc>
        <w:tc>
          <w:tcPr>
            <w:tcW w:w="1476" w:type="dxa"/>
            <w:tcBorders>
              <w:top w:val="nil"/>
              <w:left w:val="nil"/>
              <w:bottom w:val="nil"/>
              <w:right w:val="nil"/>
            </w:tcBorders>
            <w:shd w:val="clear" w:color="FFFFFF" w:fill="FFFFFF"/>
            <w:vAlign w:val="bottom"/>
            <w:hideMark/>
          </w:tcPr>
          <w:p w:rsidR="008835EB" w:rsidRDefault="008835EB" w:rsidP="007E3F2E">
            <w:pPr>
              <w:rPr>
                <w:rFonts w:cs="Calibri"/>
                <w:b/>
                <w:bCs/>
                <w:sz w:val="16"/>
                <w:szCs w:val="16"/>
              </w:rPr>
            </w:pPr>
            <w:r>
              <w:rPr>
                <w:rFonts w:cs="Calibri"/>
                <w:b/>
                <w:bCs/>
                <w:sz w:val="16"/>
                <w:szCs w:val="16"/>
              </w:rPr>
              <w:t> </w:t>
            </w:r>
          </w:p>
        </w:tc>
        <w:tc>
          <w:tcPr>
            <w:tcW w:w="1476" w:type="dxa"/>
            <w:tcBorders>
              <w:top w:val="nil"/>
              <w:left w:val="nil"/>
              <w:bottom w:val="nil"/>
              <w:right w:val="single" w:sz="4" w:space="0" w:color="auto"/>
            </w:tcBorders>
            <w:shd w:val="clear" w:color="FFFFFF" w:fill="FFFFFF"/>
            <w:vAlign w:val="bottom"/>
            <w:hideMark/>
          </w:tcPr>
          <w:p w:rsidR="008835EB" w:rsidRDefault="008835EB" w:rsidP="007E3F2E">
            <w:pPr>
              <w:rPr>
                <w:rFonts w:cs="Calibri"/>
                <w:b/>
                <w:bCs/>
                <w:sz w:val="16"/>
                <w:szCs w:val="16"/>
              </w:rPr>
            </w:pPr>
            <w:r>
              <w:rPr>
                <w:rFonts w:cs="Calibri"/>
                <w:b/>
                <w:bCs/>
                <w:sz w:val="16"/>
                <w:szCs w:val="16"/>
              </w:rPr>
              <w:t> </w:t>
            </w:r>
          </w:p>
        </w:tc>
        <w:tc>
          <w:tcPr>
            <w:tcW w:w="1196" w:type="dxa"/>
            <w:tcBorders>
              <w:top w:val="nil"/>
              <w:left w:val="nil"/>
              <w:bottom w:val="nil"/>
              <w:right w:val="nil"/>
            </w:tcBorders>
            <w:shd w:val="clear" w:color="FFFFFF" w:fill="FFFFFF"/>
            <w:vAlign w:val="bottom"/>
            <w:hideMark/>
          </w:tcPr>
          <w:p w:rsidR="008835EB" w:rsidRDefault="008835EB" w:rsidP="007E3F2E">
            <w:pPr>
              <w:rPr>
                <w:rFonts w:cs="Calibri"/>
                <w:b/>
                <w:bCs/>
                <w:sz w:val="16"/>
                <w:szCs w:val="16"/>
              </w:rPr>
            </w:pPr>
            <w:r>
              <w:rPr>
                <w:rFonts w:cs="Calibri"/>
                <w:b/>
                <w:bCs/>
                <w:sz w:val="16"/>
                <w:szCs w:val="16"/>
              </w:rPr>
              <w:t> </w:t>
            </w:r>
          </w:p>
        </w:tc>
        <w:tc>
          <w:tcPr>
            <w:tcW w:w="1196" w:type="dxa"/>
            <w:tcBorders>
              <w:top w:val="nil"/>
              <w:left w:val="nil"/>
              <w:bottom w:val="nil"/>
              <w:right w:val="nil"/>
            </w:tcBorders>
            <w:shd w:val="clear" w:color="FFFFFF" w:fill="FFFFFF"/>
            <w:vAlign w:val="bottom"/>
            <w:hideMark/>
          </w:tcPr>
          <w:p w:rsidR="008835EB" w:rsidRDefault="008835EB" w:rsidP="007E3F2E">
            <w:pPr>
              <w:rPr>
                <w:rFonts w:cs="Calibri"/>
                <w:b/>
                <w:bCs/>
                <w:sz w:val="16"/>
                <w:szCs w:val="16"/>
              </w:rPr>
            </w:pPr>
            <w:r>
              <w:rPr>
                <w:rFonts w:cs="Calibri"/>
                <w:b/>
                <w:bCs/>
                <w:sz w:val="16"/>
                <w:szCs w:val="16"/>
              </w:rPr>
              <w:t> </w:t>
            </w:r>
          </w:p>
        </w:tc>
        <w:tc>
          <w:tcPr>
            <w:tcW w:w="1196" w:type="dxa"/>
            <w:tcBorders>
              <w:top w:val="nil"/>
              <w:left w:val="single" w:sz="4" w:space="0" w:color="auto"/>
              <w:bottom w:val="nil"/>
              <w:right w:val="single" w:sz="4" w:space="0" w:color="auto"/>
            </w:tcBorders>
            <w:shd w:val="clear" w:color="FFFFFF" w:fill="FFFFFF"/>
            <w:noWrap/>
            <w:vAlign w:val="bottom"/>
            <w:hideMark/>
          </w:tcPr>
          <w:p w:rsidR="008835EB" w:rsidRDefault="008835EB" w:rsidP="007E3F2E">
            <w:pPr>
              <w:jc w:val="right"/>
              <w:rPr>
                <w:rFonts w:cs="Calibri"/>
                <w:b/>
                <w:bCs/>
                <w:sz w:val="16"/>
                <w:szCs w:val="16"/>
              </w:rPr>
            </w:pPr>
            <w:r>
              <w:rPr>
                <w:rFonts w:cs="Calibri"/>
                <w:b/>
                <w:bCs/>
                <w:sz w:val="16"/>
                <w:szCs w:val="16"/>
              </w:rPr>
              <w:t> </w:t>
            </w:r>
          </w:p>
        </w:tc>
        <w:tc>
          <w:tcPr>
            <w:tcW w:w="1196" w:type="dxa"/>
            <w:tcBorders>
              <w:top w:val="nil"/>
              <w:left w:val="nil"/>
              <w:bottom w:val="nil"/>
              <w:right w:val="single" w:sz="4" w:space="0" w:color="auto"/>
            </w:tcBorders>
            <w:shd w:val="clear" w:color="FFFFFF" w:fill="FFFFFF"/>
            <w:vAlign w:val="bottom"/>
            <w:hideMark/>
          </w:tcPr>
          <w:p w:rsidR="008835EB" w:rsidRDefault="008835EB" w:rsidP="007E3F2E">
            <w:pPr>
              <w:rPr>
                <w:rFonts w:cs="Calibri"/>
                <w:b/>
                <w:bCs/>
                <w:sz w:val="16"/>
                <w:szCs w:val="16"/>
              </w:rPr>
            </w:pPr>
            <w:r>
              <w:rPr>
                <w:rFonts w:cs="Calibri"/>
                <w:b/>
                <w:bCs/>
                <w:sz w:val="16"/>
                <w:szCs w:val="16"/>
              </w:rPr>
              <w:t> </w:t>
            </w:r>
          </w:p>
        </w:tc>
        <w:tc>
          <w:tcPr>
            <w:tcW w:w="1470"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 w:val="16"/>
                <w:szCs w:val="16"/>
              </w:rPr>
            </w:pPr>
            <w:r>
              <w:rPr>
                <w:rFonts w:cs="Calibri"/>
                <w:b/>
                <w:bCs/>
                <w:sz w:val="16"/>
                <w:szCs w:val="16"/>
              </w:rPr>
              <w:t> </w:t>
            </w:r>
          </w:p>
        </w:tc>
      </w:tr>
      <w:tr w:rsidR="008835EB" w:rsidTr="007E3F2E">
        <w:trPr>
          <w:trHeight w:val="255"/>
        </w:trPr>
        <w:tc>
          <w:tcPr>
            <w:tcW w:w="3296" w:type="dxa"/>
            <w:tcBorders>
              <w:top w:val="nil"/>
              <w:left w:val="single" w:sz="4" w:space="0" w:color="auto"/>
              <w:bottom w:val="nil"/>
              <w:right w:val="single" w:sz="4" w:space="0" w:color="auto"/>
            </w:tcBorders>
            <w:shd w:val="clear" w:color="FFFFFF" w:fill="FFFFFF"/>
            <w:vAlign w:val="bottom"/>
            <w:hideMark/>
          </w:tcPr>
          <w:p w:rsidR="008835EB" w:rsidRDefault="008835EB" w:rsidP="007E3F2E">
            <w:pPr>
              <w:ind w:firstLineChars="200" w:firstLine="320"/>
              <w:rPr>
                <w:rFonts w:cs="Calibri"/>
                <w:color w:val="000000"/>
                <w:sz w:val="16"/>
                <w:szCs w:val="16"/>
              </w:rPr>
            </w:pPr>
            <w:r>
              <w:rPr>
                <w:rFonts w:cs="Calibri"/>
                <w:color w:val="000000"/>
                <w:sz w:val="16"/>
                <w:szCs w:val="16"/>
              </w:rPr>
              <w:t>Equity</w:t>
            </w:r>
          </w:p>
        </w:tc>
        <w:tc>
          <w:tcPr>
            <w:tcW w:w="1476"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 w:val="16"/>
                <w:szCs w:val="16"/>
              </w:rPr>
            </w:pPr>
            <w:r>
              <w:rPr>
                <w:rFonts w:cs="Calibri"/>
                <w:b/>
                <w:bCs/>
                <w:sz w:val="16"/>
                <w:szCs w:val="16"/>
              </w:rPr>
              <w:t xml:space="preserve">15,408 </w:t>
            </w:r>
          </w:p>
        </w:tc>
        <w:tc>
          <w:tcPr>
            <w:tcW w:w="1476"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 w:val="16"/>
                <w:szCs w:val="16"/>
              </w:rPr>
            </w:pPr>
            <w:r>
              <w:rPr>
                <w:rFonts w:cs="Calibri"/>
                <w:b/>
                <w:bCs/>
                <w:sz w:val="16"/>
                <w:szCs w:val="16"/>
              </w:rPr>
              <w:t xml:space="preserve"> -</w:t>
            </w:r>
          </w:p>
        </w:tc>
        <w:tc>
          <w:tcPr>
            <w:tcW w:w="1196" w:type="dxa"/>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b/>
                <w:bCs/>
                <w:sz w:val="16"/>
                <w:szCs w:val="16"/>
              </w:rPr>
            </w:pPr>
            <w:r>
              <w:rPr>
                <w:rFonts w:cs="Calibri"/>
                <w:b/>
                <w:bCs/>
                <w:sz w:val="16"/>
                <w:szCs w:val="16"/>
              </w:rPr>
              <w:t xml:space="preserve"> -</w:t>
            </w:r>
          </w:p>
        </w:tc>
        <w:tc>
          <w:tcPr>
            <w:tcW w:w="1196" w:type="dxa"/>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b/>
                <w:bCs/>
                <w:sz w:val="16"/>
                <w:szCs w:val="16"/>
              </w:rPr>
            </w:pPr>
            <w:r>
              <w:rPr>
                <w:rFonts w:cs="Calibri"/>
                <w:b/>
                <w:bCs/>
                <w:sz w:val="16"/>
                <w:szCs w:val="16"/>
              </w:rPr>
              <w:t xml:space="preserve"> -</w:t>
            </w:r>
          </w:p>
        </w:tc>
        <w:tc>
          <w:tcPr>
            <w:tcW w:w="1196" w:type="dxa"/>
            <w:tcBorders>
              <w:top w:val="nil"/>
              <w:left w:val="single" w:sz="4" w:space="0" w:color="auto"/>
              <w:bottom w:val="nil"/>
              <w:right w:val="single" w:sz="4" w:space="0" w:color="auto"/>
            </w:tcBorders>
            <w:shd w:val="clear" w:color="FFFFFF" w:fill="FFFFFF"/>
            <w:noWrap/>
            <w:vAlign w:val="bottom"/>
            <w:hideMark/>
          </w:tcPr>
          <w:p w:rsidR="008835EB" w:rsidRDefault="008835EB" w:rsidP="007E3F2E">
            <w:pPr>
              <w:jc w:val="right"/>
              <w:rPr>
                <w:rFonts w:cs="Calibri"/>
                <w:b/>
                <w:bCs/>
                <w:sz w:val="16"/>
                <w:szCs w:val="16"/>
              </w:rPr>
            </w:pPr>
            <w:r>
              <w:rPr>
                <w:rFonts w:cs="Calibri"/>
                <w:b/>
                <w:bCs/>
                <w:sz w:val="16"/>
                <w:szCs w:val="16"/>
              </w:rPr>
              <w:t>15,408</w:t>
            </w:r>
          </w:p>
        </w:tc>
        <w:tc>
          <w:tcPr>
            <w:tcW w:w="1196" w:type="dxa"/>
            <w:tcBorders>
              <w:top w:val="nil"/>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b/>
                <w:bCs/>
                <w:sz w:val="16"/>
                <w:szCs w:val="16"/>
              </w:rPr>
            </w:pPr>
            <w:r>
              <w:rPr>
                <w:rFonts w:cs="Calibri"/>
                <w:b/>
                <w:bCs/>
                <w:sz w:val="16"/>
                <w:szCs w:val="16"/>
              </w:rPr>
              <w:t xml:space="preserve">12,572 </w:t>
            </w:r>
          </w:p>
        </w:tc>
        <w:tc>
          <w:tcPr>
            <w:tcW w:w="1470"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 w:val="16"/>
                <w:szCs w:val="16"/>
              </w:rPr>
            </w:pPr>
            <w:r>
              <w:rPr>
                <w:rFonts w:cs="Calibri"/>
                <w:b/>
                <w:bCs/>
                <w:sz w:val="16"/>
                <w:szCs w:val="16"/>
              </w:rPr>
              <w:t>2,836</w:t>
            </w:r>
          </w:p>
        </w:tc>
      </w:tr>
      <w:tr w:rsidR="008835EB" w:rsidTr="007E3F2E">
        <w:trPr>
          <w:trHeight w:val="255"/>
        </w:trPr>
        <w:tc>
          <w:tcPr>
            <w:tcW w:w="3296"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8835EB" w:rsidRDefault="008835EB" w:rsidP="007E3F2E">
            <w:pPr>
              <w:rPr>
                <w:rFonts w:cs="Calibri"/>
                <w:b/>
                <w:bCs/>
                <w:color w:val="000000"/>
                <w:sz w:val="16"/>
                <w:szCs w:val="16"/>
              </w:rPr>
            </w:pPr>
            <w:r>
              <w:rPr>
                <w:rFonts w:cs="Calibri"/>
                <w:b/>
                <w:bCs/>
                <w:color w:val="000000"/>
                <w:sz w:val="16"/>
                <w:szCs w:val="16"/>
              </w:rPr>
              <w:t>Total departmental</w:t>
            </w:r>
          </w:p>
        </w:tc>
        <w:tc>
          <w:tcPr>
            <w:tcW w:w="147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 w:val="16"/>
                <w:szCs w:val="16"/>
              </w:rPr>
            </w:pPr>
            <w:r>
              <w:rPr>
                <w:rFonts w:cs="Calibri"/>
                <w:b/>
                <w:bCs/>
                <w:sz w:val="16"/>
                <w:szCs w:val="16"/>
              </w:rPr>
              <w:t>328,352</w:t>
            </w:r>
          </w:p>
        </w:tc>
        <w:tc>
          <w:tcPr>
            <w:tcW w:w="1476" w:type="dxa"/>
            <w:tcBorders>
              <w:top w:val="single" w:sz="4" w:space="0" w:color="auto"/>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b/>
                <w:bCs/>
                <w:sz w:val="16"/>
                <w:szCs w:val="16"/>
              </w:rPr>
            </w:pPr>
            <w:r>
              <w:rPr>
                <w:rFonts w:cs="Calibri"/>
                <w:b/>
                <w:bCs/>
                <w:sz w:val="16"/>
                <w:szCs w:val="16"/>
              </w:rPr>
              <w:t>-</w:t>
            </w:r>
          </w:p>
        </w:tc>
        <w:tc>
          <w:tcPr>
            <w:tcW w:w="1196" w:type="dxa"/>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b/>
                <w:bCs/>
                <w:sz w:val="16"/>
                <w:szCs w:val="16"/>
              </w:rPr>
            </w:pPr>
            <w:r>
              <w:rPr>
                <w:rFonts w:cs="Calibri"/>
                <w:b/>
                <w:bCs/>
                <w:sz w:val="16"/>
                <w:szCs w:val="16"/>
              </w:rPr>
              <w:t>24,286</w:t>
            </w:r>
          </w:p>
        </w:tc>
        <w:tc>
          <w:tcPr>
            <w:tcW w:w="1196" w:type="dxa"/>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b/>
                <w:bCs/>
                <w:sz w:val="16"/>
                <w:szCs w:val="16"/>
              </w:rPr>
            </w:pPr>
            <w:r>
              <w:rPr>
                <w:rFonts w:cs="Calibri"/>
                <w:b/>
                <w:bCs/>
                <w:sz w:val="16"/>
                <w:szCs w:val="16"/>
              </w:rPr>
              <w:t>-</w:t>
            </w:r>
          </w:p>
        </w:tc>
        <w:tc>
          <w:tcPr>
            <w:tcW w:w="1196"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835EB" w:rsidRDefault="008835EB" w:rsidP="007E3F2E">
            <w:pPr>
              <w:jc w:val="right"/>
              <w:rPr>
                <w:rFonts w:cs="Calibri"/>
                <w:b/>
                <w:bCs/>
                <w:sz w:val="16"/>
                <w:szCs w:val="16"/>
              </w:rPr>
            </w:pPr>
            <w:r>
              <w:rPr>
                <w:rFonts w:cs="Calibri"/>
                <w:b/>
                <w:bCs/>
                <w:sz w:val="16"/>
                <w:szCs w:val="16"/>
              </w:rPr>
              <w:t>352,638</w:t>
            </w:r>
          </w:p>
        </w:tc>
        <w:tc>
          <w:tcPr>
            <w:tcW w:w="1196" w:type="dxa"/>
            <w:tcBorders>
              <w:top w:val="nil"/>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b/>
                <w:bCs/>
                <w:sz w:val="16"/>
                <w:szCs w:val="16"/>
              </w:rPr>
            </w:pPr>
            <w:r>
              <w:rPr>
                <w:rFonts w:cs="Calibri"/>
                <w:b/>
                <w:bCs/>
                <w:sz w:val="16"/>
                <w:szCs w:val="16"/>
              </w:rPr>
              <w:t>344,981</w:t>
            </w:r>
          </w:p>
        </w:tc>
        <w:tc>
          <w:tcPr>
            <w:tcW w:w="1470" w:type="dxa"/>
            <w:tcBorders>
              <w:top w:val="single" w:sz="4" w:space="0" w:color="auto"/>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b/>
                <w:bCs/>
                <w:sz w:val="16"/>
                <w:szCs w:val="16"/>
              </w:rPr>
            </w:pPr>
            <w:r>
              <w:rPr>
                <w:rFonts w:cs="Calibri"/>
                <w:b/>
                <w:bCs/>
                <w:sz w:val="16"/>
                <w:szCs w:val="16"/>
              </w:rPr>
              <w:t>7,657</w:t>
            </w:r>
          </w:p>
        </w:tc>
      </w:tr>
      <w:tr w:rsidR="008835EB" w:rsidTr="007E3F2E">
        <w:trPr>
          <w:trHeight w:val="255"/>
        </w:trPr>
        <w:tc>
          <w:tcPr>
            <w:tcW w:w="3296" w:type="dxa"/>
            <w:tcBorders>
              <w:top w:val="nil"/>
              <w:left w:val="single" w:sz="4" w:space="0" w:color="auto"/>
              <w:bottom w:val="nil"/>
              <w:right w:val="single" w:sz="4" w:space="0" w:color="auto"/>
            </w:tcBorders>
            <w:shd w:val="clear" w:color="000000" w:fill="D9D9D9"/>
            <w:vAlign w:val="bottom"/>
            <w:hideMark/>
          </w:tcPr>
          <w:p w:rsidR="008835EB" w:rsidRDefault="008835EB" w:rsidP="007E3F2E">
            <w:pPr>
              <w:rPr>
                <w:rFonts w:cs="Calibri"/>
                <w:b/>
                <w:bCs/>
                <w:sz w:val="16"/>
                <w:szCs w:val="16"/>
              </w:rPr>
            </w:pPr>
            <w:r>
              <w:rPr>
                <w:rFonts w:cs="Calibri"/>
                <w:b/>
                <w:bCs/>
                <w:sz w:val="16"/>
                <w:szCs w:val="16"/>
              </w:rPr>
              <w:t>ADMINISTERED</w:t>
            </w:r>
          </w:p>
        </w:tc>
        <w:tc>
          <w:tcPr>
            <w:tcW w:w="1476" w:type="dxa"/>
            <w:tcBorders>
              <w:top w:val="nil"/>
              <w:left w:val="nil"/>
              <w:bottom w:val="nil"/>
              <w:right w:val="nil"/>
            </w:tcBorders>
            <w:shd w:val="clear" w:color="000000" w:fill="D9D9D9"/>
            <w:noWrap/>
            <w:vAlign w:val="bottom"/>
            <w:hideMark/>
          </w:tcPr>
          <w:p w:rsidR="008835EB" w:rsidRDefault="008835EB" w:rsidP="007E3F2E">
            <w:pPr>
              <w:rPr>
                <w:rFonts w:cs="Calibri"/>
                <w:b/>
                <w:bCs/>
                <w:sz w:val="16"/>
                <w:szCs w:val="16"/>
              </w:rPr>
            </w:pPr>
            <w:r>
              <w:rPr>
                <w:rFonts w:cs="Calibri"/>
                <w:b/>
                <w:bCs/>
                <w:sz w:val="16"/>
                <w:szCs w:val="16"/>
              </w:rPr>
              <w:t> </w:t>
            </w:r>
          </w:p>
        </w:tc>
        <w:tc>
          <w:tcPr>
            <w:tcW w:w="1476" w:type="dxa"/>
            <w:tcBorders>
              <w:top w:val="nil"/>
              <w:left w:val="nil"/>
              <w:bottom w:val="nil"/>
              <w:right w:val="single" w:sz="4" w:space="0" w:color="auto"/>
            </w:tcBorders>
            <w:shd w:val="clear" w:color="000000" w:fill="D9D9D9"/>
            <w:noWrap/>
            <w:vAlign w:val="bottom"/>
            <w:hideMark/>
          </w:tcPr>
          <w:p w:rsidR="008835EB" w:rsidRDefault="008835EB" w:rsidP="007E3F2E">
            <w:pPr>
              <w:rPr>
                <w:rFonts w:cs="Calibri"/>
                <w:b/>
                <w:bCs/>
                <w:sz w:val="16"/>
                <w:szCs w:val="16"/>
              </w:rPr>
            </w:pPr>
            <w:r>
              <w:rPr>
                <w:rFonts w:cs="Calibri"/>
                <w:b/>
                <w:bCs/>
                <w:sz w:val="16"/>
                <w:szCs w:val="16"/>
              </w:rPr>
              <w:t> </w:t>
            </w:r>
          </w:p>
        </w:tc>
        <w:tc>
          <w:tcPr>
            <w:tcW w:w="1196" w:type="dxa"/>
            <w:tcBorders>
              <w:top w:val="nil"/>
              <w:left w:val="nil"/>
              <w:bottom w:val="nil"/>
              <w:right w:val="nil"/>
            </w:tcBorders>
            <w:shd w:val="clear" w:color="000000" w:fill="D9D9D9"/>
            <w:noWrap/>
            <w:vAlign w:val="bottom"/>
            <w:hideMark/>
          </w:tcPr>
          <w:p w:rsidR="008835EB" w:rsidRDefault="008835EB" w:rsidP="007E3F2E">
            <w:pPr>
              <w:rPr>
                <w:rFonts w:cs="Calibri"/>
                <w:b/>
                <w:bCs/>
                <w:sz w:val="16"/>
                <w:szCs w:val="16"/>
              </w:rPr>
            </w:pPr>
            <w:r>
              <w:rPr>
                <w:rFonts w:cs="Calibri"/>
                <w:b/>
                <w:bCs/>
                <w:sz w:val="16"/>
                <w:szCs w:val="16"/>
              </w:rPr>
              <w:t> </w:t>
            </w:r>
          </w:p>
        </w:tc>
        <w:tc>
          <w:tcPr>
            <w:tcW w:w="1196" w:type="dxa"/>
            <w:tcBorders>
              <w:top w:val="nil"/>
              <w:left w:val="nil"/>
              <w:bottom w:val="nil"/>
              <w:right w:val="nil"/>
            </w:tcBorders>
            <w:shd w:val="clear" w:color="000000" w:fill="D9D9D9"/>
            <w:noWrap/>
            <w:vAlign w:val="bottom"/>
            <w:hideMark/>
          </w:tcPr>
          <w:p w:rsidR="008835EB" w:rsidRDefault="008835EB" w:rsidP="007E3F2E">
            <w:pPr>
              <w:rPr>
                <w:rFonts w:cs="Calibri"/>
                <w:b/>
                <w:bCs/>
                <w:sz w:val="16"/>
                <w:szCs w:val="16"/>
              </w:rPr>
            </w:pPr>
            <w:r>
              <w:rPr>
                <w:rFonts w:cs="Calibri"/>
                <w:b/>
                <w:bCs/>
                <w:sz w:val="16"/>
                <w:szCs w:val="16"/>
              </w:rPr>
              <w:t> </w:t>
            </w:r>
          </w:p>
        </w:tc>
        <w:tc>
          <w:tcPr>
            <w:tcW w:w="1196" w:type="dxa"/>
            <w:tcBorders>
              <w:top w:val="nil"/>
              <w:left w:val="single" w:sz="4" w:space="0" w:color="auto"/>
              <w:bottom w:val="nil"/>
              <w:right w:val="single" w:sz="4" w:space="0" w:color="auto"/>
            </w:tcBorders>
            <w:shd w:val="clear" w:color="000000" w:fill="D9D9D9"/>
            <w:noWrap/>
            <w:vAlign w:val="bottom"/>
            <w:hideMark/>
          </w:tcPr>
          <w:p w:rsidR="008835EB" w:rsidRDefault="008835EB" w:rsidP="007E3F2E">
            <w:pPr>
              <w:rPr>
                <w:rFonts w:cs="Calibri"/>
                <w:b/>
                <w:bCs/>
                <w:sz w:val="16"/>
                <w:szCs w:val="16"/>
              </w:rPr>
            </w:pPr>
            <w:r>
              <w:rPr>
                <w:rFonts w:cs="Calibri"/>
                <w:b/>
                <w:bCs/>
                <w:sz w:val="16"/>
                <w:szCs w:val="16"/>
              </w:rPr>
              <w:t> </w:t>
            </w:r>
          </w:p>
        </w:tc>
        <w:tc>
          <w:tcPr>
            <w:tcW w:w="1196" w:type="dxa"/>
            <w:tcBorders>
              <w:top w:val="nil"/>
              <w:left w:val="nil"/>
              <w:bottom w:val="nil"/>
              <w:right w:val="single" w:sz="4" w:space="0" w:color="auto"/>
            </w:tcBorders>
            <w:shd w:val="clear" w:color="000000" w:fill="D9D9D9"/>
            <w:noWrap/>
            <w:vAlign w:val="bottom"/>
            <w:hideMark/>
          </w:tcPr>
          <w:p w:rsidR="008835EB" w:rsidRDefault="008835EB" w:rsidP="007E3F2E">
            <w:pPr>
              <w:rPr>
                <w:rFonts w:cs="Calibri"/>
                <w:b/>
                <w:bCs/>
                <w:sz w:val="16"/>
                <w:szCs w:val="16"/>
              </w:rPr>
            </w:pPr>
            <w:r>
              <w:rPr>
                <w:rFonts w:cs="Calibri"/>
                <w:b/>
                <w:bCs/>
                <w:sz w:val="16"/>
                <w:szCs w:val="16"/>
              </w:rPr>
              <w:t> </w:t>
            </w:r>
          </w:p>
        </w:tc>
        <w:tc>
          <w:tcPr>
            <w:tcW w:w="1470" w:type="dxa"/>
            <w:tcBorders>
              <w:top w:val="nil"/>
              <w:left w:val="nil"/>
              <w:bottom w:val="nil"/>
              <w:right w:val="single" w:sz="4" w:space="0" w:color="auto"/>
            </w:tcBorders>
            <w:shd w:val="clear" w:color="000000" w:fill="D9D9D9"/>
            <w:noWrap/>
            <w:vAlign w:val="bottom"/>
            <w:hideMark/>
          </w:tcPr>
          <w:p w:rsidR="008835EB" w:rsidRDefault="008835EB" w:rsidP="007E3F2E">
            <w:pPr>
              <w:rPr>
                <w:rFonts w:cs="Calibri"/>
                <w:b/>
                <w:bCs/>
                <w:sz w:val="16"/>
                <w:szCs w:val="16"/>
              </w:rPr>
            </w:pPr>
            <w:r>
              <w:rPr>
                <w:rFonts w:cs="Calibri"/>
                <w:b/>
                <w:bCs/>
                <w:sz w:val="16"/>
                <w:szCs w:val="16"/>
              </w:rPr>
              <w:t> </w:t>
            </w:r>
          </w:p>
        </w:tc>
      </w:tr>
      <w:tr w:rsidR="008835EB" w:rsidTr="007E3F2E">
        <w:trPr>
          <w:trHeight w:val="255"/>
        </w:trPr>
        <w:tc>
          <w:tcPr>
            <w:tcW w:w="3296" w:type="dxa"/>
            <w:tcBorders>
              <w:top w:val="nil"/>
              <w:left w:val="single" w:sz="4" w:space="0" w:color="auto"/>
              <w:bottom w:val="nil"/>
              <w:right w:val="single" w:sz="4" w:space="0" w:color="auto"/>
            </w:tcBorders>
            <w:shd w:val="clear" w:color="000000" w:fill="D9D9D9"/>
            <w:vAlign w:val="bottom"/>
            <w:hideMark/>
          </w:tcPr>
          <w:p w:rsidR="008835EB" w:rsidRDefault="008835EB" w:rsidP="007E3F2E">
            <w:pPr>
              <w:ind w:firstLineChars="100" w:firstLine="160"/>
              <w:rPr>
                <w:rFonts w:cs="Calibri"/>
                <w:sz w:val="16"/>
                <w:szCs w:val="16"/>
              </w:rPr>
            </w:pPr>
            <w:r>
              <w:rPr>
                <w:rFonts w:cs="Calibri"/>
                <w:sz w:val="16"/>
                <w:szCs w:val="16"/>
              </w:rPr>
              <w:t>Ordinary annual services</w:t>
            </w:r>
          </w:p>
        </w:tc>
        <w:tc>
          <w:tcPr>
            <w:tcW w:w="1476" w:type="dxa"/>
            <w:tcBorders>
              <w:top w:val="nil"/>
              <w:left w:val="nil"/>
              <w:bottom w:val="nil"/>
              <w:right w:val="nil"/>
            </w:tcBorders>
            <w:shd w:val="clear" w:color="000000" w:fill="D9D9D9"/>
            <w:noWrap/>
            <w:vAlign w:val="bottom"/>
            <w:hideMark/>
          </w:tcPr>
          <w:p w:rsidR="008835EB" w:rsidRDefault="008835EB" w:rsidP="007E3F2E">
            <w:pPr>
              <w:rPr>
                <w:rFonts w:cs="Calibri"/>
                <w:b/>
                <w:bCs/>
                <w:sz w:val="16"/>
                <w:szCs w:val="16"/>
              </w:rPr>
            </w:pPr>
            <w:r>
              <w:rPr>
                <w:rFonts w:cs="Calibri"/>
                <w:b/>
                <w:bCs/>
                <w:sz w:val="16"/>
                <w:szCs w:val="16"/>
              </w:rPr>
              <w:t> </w:t>
            </w:r>
          </w:p>
        </w:tc>
        <w:tc>
          <w:tcPr>
            <w:tcW w:w="1476" w:type="dxa"/>
            <w:tcBorders>
              <w:top w:val="nil"/>
              <w:left w:val="nil"/>
              <w:bottom w:val="nil"/>
              <w:right w:val="single" w:sz="4" w:space="0" w:color="auto"/>
            </w:tcBorders>
            <w:shd w:val="clear" w:color="000000" w:fill="D9D9D9"/>
            <w:noWrap/>
            <w:vAlign w:val="bottom"/>
            <w:hideMark/>
          </w:tcPr>
          <w:p w:rsidR="008835EB" w:rsidRDefault="008835EB" w:rsidP="007E3F2E">
            <w:pPr>
              <w:rPr>
                <w:rFonts w:cs="Calibri"/>
                <w:b/>
                <w:bCs/>
                <w:sz w:val="16"/>
                <w:szCs w:val="16"/>
              </w:rPr>
            </w:pPr>
            <w:r>
              <w:rPr>
                <w:rFonts w:cs="Calibri"/>
                <w:b/>
                <w:bCs/>
                <w:sz w:val="16"/>
                <w:szCs w:val="16"/>
              </w:rPr>
              <w:t> </w:t>
            </w:r>
          </w:p>
        </w:tc>
        <w:tc>
          <w:tcPr>
            <w:tcW w:w="1196" w:type="dxa"/>
            <w:tcBorders>
              <w:top w:val="nil"/>
              <w:left w:val="nil"/>
              <w:bottom w:val="nil"/>
              <w:right w:val="nil"/>
            </w:tcBorders>
            <w:shd w:val="clear" w:color="000000" w:fill="D9D9D9"/>
            <w:noWrap/>
            <w:vAlign w:val="bottom"/>
            <w:hideMark/>
          </w:tcPr>
          <w:p w:rsidR="008835EB" w:rsidRDefault="008835EB" w:rsidP="007E3F2E">
            <w:pPr>
              <w:rPr>
                <w:rFonts w:cs="Calibri"/>
                <w:b/>
                <w:bCs/>
                <w:sz w:val="16"/>
                <w:szCs w:val="16"/>
              </w:rPr>
            </w:pPr>
            <w:r>
              <w:rPr>
                <w:rFonts w:cs="Calibri"/>
                <w:b/>
                <w:bCs/>
                <w:sz w:val="16"/>
                <w:szCs w:val="16"/>
              </w:rPr>
              <w:t> </w:t>
            </w:r>
          </w:p>
        </w:tc>
        <w:tc>
          <w:tcPr>
            <w:tcW w:w="1196" w:type="dxa"/>
            <w:tcBorders>
              <w:top w:val="nil"/>
              <w:left w:val="nil"/>
              <w:bottom w:val="nil"/>
              <w:right w:val="nil"/>
            </w:tcBorders>
            <w:shd w:val="clear" w:color="000000" w:fill="D9D9D9"/>
            <w:noWrap/>
            <w:vAlign w:val="bottom"/>
            <w:hideMark/>
          </w:tcPr>
          <w:p w:rsidR="008835EB" w:rsidRDefault="008835EB" w:rsidP="007E3F2E">
            <w:pPr>
              <w:rPr>
                <w:rFonts w:cs="Calibri"/>
                <w:b/>
                <w:bCs/>
                <w:sz w:val="16"/>
                <w:szCs w:val="16"/>
              </w:rPr>
            </w:pPr>
            <w:r>
              <w:rPr>
                <w:rFonts w:cs="Calibri"/>
                <w:b/>
                <w:bCs/>
                <w:sz w:val="16"/>
                <w:szCs w:val="16"/>
              </w:rPr>
              <w:t> </w:t>
            </w:r>
          </w:p>
        </w:tc>
        <w:tc>
          <w:tcPr>
            <w:tcW w:w="1196" w:type="dxa"/>
            <w:tcBorders>
              <w:top w:val="nil"/>
              <w:left w:val="single" w:sz="4" w:space="0" w:color="auto"/>
              <w:bottom w:val="nil"/>
              <w:right w:val="single" w:sz="4" w:space="0" w:color="auto"/>
            </w:tcBorders>
            <w:shd w:val="clear" w:color="000000" w:fill="D9D9D9"/>
            <w:noWrap/>
            <w:vAlign w:val="bottom"/>
            <w:hideMark/>
          </w:tcPr>
          <w:p w:rsidR="008835EB" w:rsidRDefault="008835EB" w:rsidP="007E3F2E">
            <w:pPr>
              <w:rPr>
                <w:rFonts w:cs="Calibri"/>
                <w:b/>
                <w:bCs/>
                <w:sz w:val="16"/>
                <w:szCs w:val="16"/>
              </w:rPr>
            </w:pPr>
            <w:r>
              <w:rPr>
                <w:rFonts w:cs="Calibri"/>
                <w:b/>
                <w:bCs/>
                <w:sz w:val="16"/>
                <w:szCs w:val="16"/>
              </w:rPr>
              <w:t> </w:t>
            </w:r>
          </w:p>
        </w:tc>
        <w:tc>
          <w:tcPr>
            <w:tcW w:w="1196" w:type="dxa"/>
            <w:tcBorders>
              <w:top w:val="nil"/>
              <w:left w:val="nil"/>
              <w:bottom w:val="nil"/>
              <w:right w:val="single" w:sz="4" w:space="0" w:color="auto"/>
            </w:tcBorders>
            <w:shd w:val="clear" w:color="000000" w:fill="D9D9D9"/>
            <w:noWrap/>
            <w:vAlign w:val="bottom"/>
            <w:hideMark/>
          </w:tcPr>
          <w:p w:rsidR="008835EB" w:rsidRDefault="008835EB" w:rsidP="007E3F2E">
            <w:pPr>
              <w:rPr>
                <w:rFonts w:cs="Calibri"/>
                <w:b/>
                <w:bCs/>
                <w:sz w:val="16"/>
                <w:szCs w:val="16"/>
              </w:rPr>
            </w:pPr>
            <w:r>
              <w:rPr>
                <w:rFonts w:cs="Calibri"/>
                <w:b/>
                <w:bCs/>
                <w:sz w:val="16"/>
                <w:szCs w:val="16"/>
              </w:rPr>
              <w:t> </w:t>
            </w:r>
          </w:p>
        </w:tc>
        <w:tc>
          <w:tcPr>
            <w:tcW w:w="1470" w:type="dxa"/>
            <w:tcBorders>
              <w:top w:val="nil"/>
              <w:left w:val="nil"/>
              <w:bottom w:val="nil"/>
              <w:right w:val="single" w:sz="4" w:space="0" w:color="auto"/>
            </w:tcBorders>
            <w:shd w:val="clear" w:color="000000" w:fill="D9D9D9"/>
            <w:noWrap/>
            <w:vAlign w:val="bottom"/>
            <w:hideMark/>
          </w:tcPr>
          <w:p w:rsidR="008835EB" w:rsidRDefault="008835EB" w:rsidP="007E3F2E">
            <w:pPr>
              <w:rPr>
                <w:rFonts w:cs="Calibri"/>
                <w:b/>
                <w:bCs/>
                <w:sz w:val="16"/>
                <w:szCs w:val="16"/>
              </w:rPr>
            </w:pPr>
            <w:r>
              <w:rPr>
                <w:rFonts w:cs="Calibri"/>
                <w:b/>
                <w:bCs/>
                <w:sz w:val="16"/>
                <w:szCs w:val="16"/>
              </w:rPr>
              <w:t> </w:t>
            </w:r>
          </w:p>
        </w:tc>
      </w:tr>
      <w:tr w:rsidR="008835EB" w:rsidTr="007E3F2E">
        <w:trPr>
          <w:trHeight w:val="255"/>
        </w:trPr>
        <w:tc>
          <w:tcPr>
            <w:tcW w:w="3296" w:type="dxa"/>
            <w:tcBorders>
              <w:top w:val="nil"/>
              <w:left w:val="single" w:sz="4" w:space="0" w:color="auto"/>
              <w:bottom w:val="nil"/>
              <w:right w:val="nil"/>
            </w:tcBorders>
            <w:shd w:val="clear" w:color="000000" w:fill="D9D9D9"/>
            <w:vAlign w:val="bottom"/>
            <w:hideMark/>
          </w:tcPr>
          <w:p w:rsidR="008835EB" w:rsidRDefault="008835EB" w:rsidP="007E3F2E">
            <w:pPr>
              <w:ind w:firstLineChars="200" w:firstLine="320"/>
              <w:rPr>
                <w:rFonts w:cs="Calibri"/>
                <w:color w:val="000000"/>
                <w:sz w:val="16"/>
                <w:szCs w:val="16"/>
              </w:rPr>
            </w:pPr>
            <w:r>
              <w:rPr>
                <w:rFonts w:cs="Calibri"/>
                <w:color w:val="000000"/>
                <w:sz w:val="16"/>
                <w:szCs w:val="16"/>
              </w:rPr>
              <w:t>Administered items</w:t>
            </w:r>
          </w:p>
        </w:tc>
        <w:tc>
          <w:tcPr>
            <w:tcW w:w="1476"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b/>
                <w:bCs/>
                <w:sz w:val="16"/>
                <w:szCs w:val="16"/>
              </w:rPr>
            </w:pPr>
            <w:r>
              <w:rPr>
                <w:rFonts w:cs="Calibri"/>
                <w:b/>
                <w:bCs/>
                <w:sz w:val="16"/>
                <w:szCs w:val="16"/>
              </w:rPr>
              <w:t xml:space="preserve">1,544,684 </w:t>
            </w:r>
          </w:p>
        </w:tc>
        <w:tc>
          <w:tcPr>
            <w:tcW w:w="1476" w:type="dxa"/>
            <w:tcBorders>
              <w:top w:val="nil"/>
              <w:left w:val="nil"/>
              <w:bottom w:val="nil"/>
              <w:right w:val="single" w:sz="4" w:space="0" w:color="auto"/>
            </w:tcBorders>
            <w:shd w:val="clear" w:color="000000" w:fill="D9D9D9"/>
            <w:noWrap/>
            <w:vAlign w:val="bottom"/>
            <w:hideMark/>
          </w:tcPr>
          <w:p w:rsidR="008835EB" w:rsidRDefault="008835EB" w:rsidP="007E3F2E">
            <w:pPr>
              <w:jc w:val="right"/>
              <w:rPr>
                <w:rFonts w:cs="Calibri"/>
                <w:b/>
                <w:bCs/>
                <w:sz w:val="16"/>
                <w:szCs w:val="16"/>
              </w:rPr>
            </w:pPr>
            <w:r>
              <w:rPr>
                <w:rFonts w:cs="Calibri"/>
                <w:b/>
                <w:bCs/>
                <w:sz w:val="16"/>
                <w:szCs w:val="16"/>
              </w:rPr>
              <w:t xml:space="preserve"> -</w:t>
            </w:r>
          </w:p>
        </w:tc>
        <w:tc>
          <w:tcPr>
            <w:tcW w:w="119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 w:val="16"/>
                <w:szCs w:val="16"/>
              </w:rPr>
            </w:pPr>
            <w:r>
              <w:rPr>
                <w:rFonts w:cs="Calibri"/>
                <w:b/>
                <w:bCs/>
                <w:sz w:val="16"/>
                <w:szCs w:val="16"/>
              </w:rPr>
              <w:t xml:space="preserve"> -</w:t>
            </w:r>
          </w:p>
        </w:tc>
        <w:tc>
          <w:tcPr>
            <w:tcW w:w="1196" w:type="dxa"/>
            <w:tcBorders>
              <w:top w:val="nil"/>
              <w:left w:val="nil"/>
              <w:bottom w:val="nil"/>
              <w:right w:val="single" w:sz="4" w:space="0" w:color="auto"/>
            </w:tcBorders>
            <w:shd w:val="clear" w:color="000000" w:fill="D9D9D9"/>
            <w:noWrap/>
            <w:vAlign w:val="bottom"/>
            <w:hideMark/>
          </w:tcPr>
          <w:p w:rsidR="008835EB" w:rsidRDefault="008835EB" w:rsidP="007E3F2E">
            <w:pPr>
              <w:jc w:val="right"/>
              <w:rPr>
                <w:rFonts w:cs="Calibri"/>
                <w:b/>
                <w:bCs/>
                <w:sz w:val="16"/>
                <w:szCs w:val="16"/>
              </w:rPr>
            </w:pPr>
            <w:r>
              <w:rPr>
                <w:rFonts w:cs="Calibri"/>
                <w:b/>
                <w:bCs/>
                <w:sz w:val="16"/>
                <w:szCs w:val="16"/>
              </w:rPr>
              <w:t xml:space="preserve"> -</w:t>
            </w:r>
          </w:p>
        </w:tc>
        <w:tc>
          <w:tcPr>
            <w:tcW w:w="1196" w:type="dxa"/>
            <w:tcBorders>
              <w:top w:val="nil"/>
              <w:left w:val="nil"/>
              <w:bottom w:val="nil"/>
              <w:right w:val="single" w:sz="4" w:space="0" w:color="auto"/>
            </w:tcBorders>
            <w:shd w:val="clear" w:color="000000" w:fill="D9D9D9"/>
            <w:noWrap/>
            <w:vAlign w:val="bottom"/>
            <w:hideMark/>
          </w:tcPr>
          <w:p w:rsidR="008835EB" w:rsidRDefault="008835EB" w:rsidP="007E3F2E">
            <w:pPr>
              <w:jc w:val="right"/>
              <w:rPr>
                <w:rFonts w:cs="Calibri"/>
                <w:b/>
                <w:bCs/>
                <w:sz w:val="16"/>
                <w:szCs w:val="16"/>
              </w:rPr>
            </w:pPr>
            <w:r>
              <w:rPr>
                <w:rFonts w:cs="Calibri"/>
                <w:b/>
                <w:bCs/>
                <w:sz w:val="16"/>
                <w:szCs w:val="16"/>
              </w:rPr>
              <w:t xml:space="preserve">1,544,684 </w:t>
            </w:r>
          </w:p>
        </w:tc>
        <w:tc>
          <w:tcPr>
            <w:tcW w:w="1196" w:type="dxa"/>
            <w:tcBorders>
              <w:top w:val="nil"/>
              <w:left w:val="nil"/>
              <w:bottom w:val="nil"/>
              <w:right w:val="single" w:sz="4" w:space="0" w:color="auto"/>
            </w:tcBorders>
            <w:shd w:val="clear" w:color="000000" w:fill="D9D9D9"/>
            <w:noWrap/>
            <w:vAlign w:val="bottom"/>
            <w:hideMark/>
          </w:tcPr>
          <w:p w:rsidR="008835EB" w:rsidRDefault="008835EB" w:rsidP="007E3F2E">
            <w:pPr>
              <w:jc w:val="right"/>
              <w:rPr>
                <w:rFonts w:cs="Calibri"/>
                <w:b/>
                <w:bCs/>
                <w:sz w:val="16"/>
                <w:szCs w:val="16"/>
              </w:rPr>
            </w:pPr>
            <w:r>
              <w:rPr>
                <w:rFonts w:cs="Calibri"/>
                <w:b/>
                <w:bCs/>
                <w:sz w:val="16"/>
                <w:szCs w:val="16"/>
              </w:rPr>
              <w:t xml:space="preserve">1,127,770 </w:t>
            </w:r>
          </w:p>
        </w:tc>
        <w:tc>
          <w:tcPr>
            <w:tcW w:w="1470" w:type="dxa"/>
            <w:tcBorders>
              <w:top w:val="nil"/>
              <w:left w:val="nil"/>
              <w:bottom w:val="nil"/>
              <w:right w:val="single" w:sz="4" w:space="0" w:color="auto"/>
            </w:tcBorders>
            <w:shd w:val="clear" w:color="000000" w:fill="D9D9D9"/>
            <w:noWrap/>
            <w:vAlign w:val="bottom"/>
            <w:hideMark/>
          </w:tcPr>
          <w:p w:rsidR="008835EB" w:rsidRDefault="008835EB" w:rsidP="007E3F2E">
            <w:pPr>
              <w:jc w:val="right"/>
              <w:rPr>
                <w:rFonts w:cs="Calibri"/>
                <w:b/>
                <w:bCs/>
                <w:sz w:val="16"/>
                <w:szCs w:val="16"/>
              </w:rPr>
            </w:pPr>
            <w:r>
              <w:rPr>
                <w:rFonts w:cs="Calibri"/>
                <w:b/>
                <w:bCs/>
                <w:sz w:val="16"/>
                <w:szCs w:val="16"/>
              </w:rPr>
              <w:t xml:space="preserve"> 416,914 </w:t>
            </w:r>
          </w:p>
        </w:tc>
      </w:tr>
      <w:tr w:rsidR="008835EB" w:rsidTr="007E3F2E">
        <w:trPr>
          <w:trHeight w:val="196"/>
        </w:trPr>
        <w:tc>
          <w:tcPr>
            <w:tcW w:w="3296" w:type="dxa"/>
            <w:tcBorders>
              <w:top w:val="nil"/>
              <w:left w:val="single" w:sz="4" w:space="0" w:color="auto"/>
              <w:bottom w:val="nil"/>
              <w:right w:val="nil"/>
            </w:tcBorders>
            <w:shd w:val="clear" w:color="000000" w:fill="D9D9D9"/>
            <w:vAlign w:val="bottom"/>
            <w:hideMark/>
          </w:tcPr>
          <w:p w:rsidR="008835EB" w:rsidRDefault="008835EB" w:rsidP="007E3F2E">
            <w:pPr>
              <w:ind w:firstLineChars="200" w:firstLine="320"/>
              <w:rPr>
                <w:rFonts w:cs="Calibri"/>
                <w:color w:val="000000"/>
                <w:sz w:val="16"/>
                <w:szCs w:val="16"/>
              </w:rPr>
            </w:pPr>
            <w:r>
              <w:rPr>
                <w:rFonts w:cs="Calibri"/>
                <w:color w:val="000000"/>
                <w:sz w:val="16"/>
                <w:szCs w:val="16"/>
              </w:rPr>
              <w:t>Payments to corporate Commonwealth entities</w:t>
            </w:r>
          </w:p>
        </w:tc>
        <w:tc>
          <w:tcPr>
            <w:tcW w:w="1476" w:type="dxa"/>
            <w:tcBorders>
              <w:top w:val="nil"/>
              <w:left w:val="single" w:sz="4" w:space="0" w:color="auto"/>
              <w:bottom w:val="single" w:sz="4" w:space="0" w:color="auto"/>
              <w:right w:val="nil"/>
            </w:tcBorders>
            <w:shd w:val="clear" w:color="000000" w:fill="D9D9D9"/>
            <w:noWrap/>
            <w:vAlign w:val="bottom"/>
            <w:hideMark/>
          </w:tcPr>
          <w:p w:rsidR="008835EB" w:rsidRDefault="008835EB" w:rsidP="007E3F2E">
            <w:pPr>
              <w:jc w:val="right"/>
              <w:rPr>
                <w:rFonts w:cs="Calibri"/>
                <w:b/>
                <w:bCs/>
                <w:sz w:val="16"/>
                <w:szCs w:val="16"/>
              </w:rPr>
            </w:pPr>
            <w:r>
              <w:rPr>
                <w:rFonts w:cs="Calibri"/>
                <w:b/>
                <w:bCs/>
                <w:sz w:val="16"/>
                <w:szCs w:val="16"/>
              </w:rPr>
              <w:t xml:space="preserve">7,727 </w:t>
            </w:r>
          </w:p>
        </w:tc>
        <w:tc>
          <w:tcPr>
            <w:tcW w:w="1476" w:type="dxa"/>
            <w:tcBorders>
              <w:top w:val="nil"/>
              <w:left w:val="nil"/>
              <w:bottom w:val="single" w:sz="4" w:space="0" w:color="auto"/>
              <w:right w:val="single" w:sz="4" w:space="0" w:color="auto"/>
            </w:tcBorders>
            <w:shd w:val="clear" w:color="000000" w:fill="D9D9D9"/>
            <w:noWrap/>
            <w:vAlign w:val="bottom"/>
            <w:hideMark/>
          </w:tcPr>
          <w:p w:rsidR="008835EB" w:rsidRDefault="008835EB" w:rsidP="007E3F2E">
            <w:pPr>
              <w:jc w:val="right"/>
              <w:rPr>
                <w:rFonts w:cs="Calibri"/>
                <w:b/>
                <w:bCs/>
                <w:sz w:val="16"/>
                <w:szCs w:val="16"/>
              </w:rPr>
            </w:pPr>
            <w:r>
              <w:rPr>
                <w:rFonts w:cs="Calibri"/>
                <w:b/>
                <w:bCs/>
                <w:sz w:val="16"/>
                <w:szCs w:val="16"/>
              </w:rPr>
              <w:t xml:space="preserve"> -</w:t>
            </w:r>
          </w:p>
        </w:tc>
        <w:tc>
          <w:tcPr>
            <w:tcW w:w="1196" w:type="dxa"/>
            <w:tcBorders>
              <w:top w:val="nil"/>
              <w:left w:val="nil"/>
              <w:bottom w:val="single" w:sz="4" w:space="0" w:color="auto"/>
              <w:right w:val="nil"/>
            </w:tcBorders>
            <w:shd w:val="clear" w:color="000000" w:fill="D9D9D9"/>
            <w:noWrap/>
            <w:vAlign w:val="bottom"/>
            <w:hideMark/>
          </w:tcPr>
          <w:p w:rsidR="008835EB" w:rsidRDefault="008835EB" w:rsidP="007E3F2E">
            <w:pPr>
              <w:jc w:val="right"/>
              <w:rPr>
                <w:rFonts w:cs="Calibri"/>
                <w:b/>
                <w:bCs/>
                <w:sz w:val="16"/>
                <w:szCs w:val="16"/>
              </w:rPr>
            </w:pPr>
            <w:r>
              <w:rPr>
                <w:rFonts w:cs="Calibri"/>
                <w:b/>
                <w:bCs/>
                <w:sz w:val="16"/>
                <w:szCs w:val="16"/>
              </w:rPr>
              <w:t xml:space="preserve"> -</w:t>
            </w:r>
          </w:p>
        </w:tc>
        <w:tc>
          <w:tcPr>
            <w:tcW w:w="1196" w:type="dxa"/>
            <w:tcBorders>
              <w:top w:val="nil"/>
              <w:left w:val="nil"/>
              <w:bottom w:val="single" w:sz="4" w:space="0" w:color="auto"/>
              <w:right w:val="single" w:sz="4" w:space="0" w:color="auto"/>
            </w:tcBorders>
            <w:shd w:val="clear" w:color="000000" w:fill="D9D9D9"/>
            <w:noWrap/>
            <w:vAlign w:val="bottom"/>
            <w:hideMark/>
          </w:tcPr>
          <w:p w:rsidR="008835EB" w:rsidRDefault="008835EB" w:rsidP="007E3F2E">
            <w:pPr>
              <w:jc w:val="right"/>
              <w:rPr>
                <w:rFonts w:cs="Calibri"/>
                <w:b/>
                <w:bCs/>
                <w:sz w:val="16"/>
                <w:szCs w:val="16"/>
              </w:rPr>
            </w:pPr>
            <w:r>
              <w:rPr>
                <w:rFonts w:cs="Calibri"/>
                <w:b/>
                <w:bCs/>
                <w:sz w:val="16"/>
                <w:szCs w:val="16"/>
              </w:rPr>
              <w:t xml:space="preserve"> -</w:t>
            </w:r>
          </w:p>
        </w:tc>
        <w:tc>
          <w:tcPr>
            <w:tcW w:w="1196" w:type="dxa"/>
            <w:tcBorders>
              <w:top w:val="nil"/>
              <w:left w:val="nil"/>
              <w:bottom w:val="nil"/>
              <w:right w:val="single" w:sz="4" w:space="0" w:color="auto"/>
            </w:tcBorders>
            <w:shd w:val="clear" w:color="000000" w:fill="D9D9D9"/>
            <w:noWrap/>
            <w:vAlign w:val="bottom"/>
            <w:hideMark/>
          </w:tcPr>
          <w:p w:rsidR="008835EB" w:rsidRDefault="008835EB" w:rsidP="007E3F2E">
            <w:pPr>
              <w:jc w:val="right"/>
              <w:rPr>
                <w:rFonts w:cs="Calibri"/>
                <w:b/>
                <w:bCs/>
                <w:sz w:val="16"/>
                <w:szCs w:val="16"/>
              </w:rPr>
            </w:pPr>
            <w:r>
              <w:rPr>
                <w:rFonts w:cs="Calibri"/>
                <w:b/>
                <w:bCs/>
                <w:sz w:val="16"/>
                <w:szCs w:val="16"/>
              </w:rPr>
              <w:t xml:space="preserve">7,727 </w:t>
            </w:r>
          </w:p>
        </w:tc>
        <w:tc>
          <w:tcPr>
            <w:tcW w:w="1196" w:type="dxa"/>
            <w:tcBorders>
              <w:top w:val="nil"/>
              <w:left w:val="nil"/>
              <w:bottom w:val="single" w:sz="4" w:space="0" w:color="auto"/>
              <w:right w:val="single" w:sz="4" w:space="0" w:color="auto"/>
            </w:tcBorders>
            <w:shd w:val="clear" w:color="000000" w:fill="D9D9D9"/>
            <w:noWrap/>
            <w:vAlign w:val="bottom"/>
            <w:hideMark/>
          </w:tcPr>
          <w:p w:rsidR="008835EB" w:rsidRDefault="008835EB" w:rsidP="007E3F2E">
            <w:pPr>
              <w:jc w:val="right"/>
              <w:rPr>
                <w:rFonts w:cs="Calibri"/>
                <w:b/>
                <w:bCs/>
                <w:sz w:val="16"/>
                <w:szCs w:val="16"/>
              </w:rPr>
            </w:pPr>
            <w:r>
              <w:rPr>
                <w:rFonts w:cs="Calibri"/>
                <w:b/>
                <w:bCs/>
                <w:sz w:val="16"/>
                <w:szCs w:val="16"/>
              </w:rPr>
              <w:t xml:space="preserve">7,727 </w:t>
            </w:r>
          </w:p>
        </w:tc>
        <w:tc>
          <w:tcPr>
            <w:tcW w:w="1470" w:type="dxa"/>
            <w:tcBorders>
              <w:top w:val="nil"/>
              <w:left w:val="nil"/>
              <w:bottom w:val="nil"/>
              <w:right w:val="single" w:sz="4" w:space="0" w:color="auto"/>
            </w:tcBorders>
            <w:shd w:val="clear" w:color="000000" w:fill="D9D9D9"/>
            <w:noWrap/>
            <w:vAlign w:val="bottom"/>
            <w:hideMark/>
          </w:tcPr>
          <w:p w:rsidR="008835EB" w:rsidRDefault="008835EB" w:rsidP="007E3F2E">
            <w:pPr>
              <w:jc w:val="right"/>
              <w:rPr>
                <w:rFonts w:cs="Calibri"/>
                <w:b/>
                <w:bCs/>
                <w:sz w:val="16"/>
                <w:szCs w:val="16"/>
              </w:rPr>
            </w:pPr>
            <w:r>
              <w:rPr>
                <w:rFonts w:cs="Calibri"/>
                <w:b/>
                <w:bCs/>
                <w:sz w:val="16"/>
                <w:szCs w:val="16"/>
              </w:rPr>
              <w:t xml:space="preserve"> -   </w:t>
            </w:r>
          </w:p>
        </w:tc>
      </w:tr>
      <w:tr w:rsidR="008835EB" w:rsidTr="007E3F2E">
        <w:trPr>
          <w:trHeight w:val="255"/>
        </w:trPr>
        <w:tc>
          <w:tcPr>
            <w:tcW w:w="3296"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8835EB" w:rsidRDefault="008835EB" w:rsidP="007E3F2E">
            <w:pPr>
              <w:rPr>
                <w:rFonts w:cs="Calibri"/>
                <w:b/>
                <w:bCs/>
                <w:sz w:val="16"/>
                <w:szCs w:val="16"/>
              </w:rPr>
            </w:pPr>
            <w:r>
              <w:rPr>
                <w:rFonts w:cs="Calibri"/>
                <w:b/>
                <w:bCs/>
                <w:sz w:val="16"/>
                <w:szCs w:val="16"/>
              </w:rPr>
              <w:t>Total administered</w:t>
            </w:r>
          </w:p>
        </w:tc>
        <w:tc>
          <w:tcPr>
            <w:tcW w:w="1476" w:type="dxa"/>
            <w:tcBorders>
              <w:top w:val="nil"/>
              <w:left w:val="nil"/>
              <w:bottom w:val="single" w:sz="4" w:space="0" w:color="auto"/>
              <w:right w:val="nil"/>
            </w:tcBorders>
            <w:shd w:val="clear" w:color="000000" w:fill="D9D9D9"/>
            <w:noWrap/>
            <w:vAlign w:val="bottom"/>
            <w:hideMark/>
          </w:tcPr>
          <w:p w:rsidR="008835EB" w:rsidRDefault="008835EB" w:rsidP="007E3F2E">
            <w:pPr>
              <w:jc w:val="right"/>
              <w:rPr>
                <w:rFonts w:cs="Calibri"/>
                <w:b/>
                <w:bCs/>
                <w:sz w:val="16"/>
                <w:szCs w:val="16"/>
              </w:rPr>
            </w:pPr>
            <w:r>
              <w:rPr>
                <w:rFonts w:cs="Calibri"/>
                <w:b/>
                <w:bCs/>
                <w:sz w:val="16"/>
                <w:szCs w:val="16"/>
              </w:rPr>
              <w:t>1,552,411</w:t>
            </w:r>
          </w:p>
        </w:tc>
        <w:tc>
          <w:tcPr>
            <w:tcW w:w="1476" w:type="dxa"/>
            <w:tcBorders>
              <w:top w:val="nil"/>
              <w:left w:val="nil"/>
              <w:bottom w:val="single" w:sz="4" w:space="0" w:color="auto"/>
              <w:right w:val="single" w:sz="4" w:space="0" w:color="auto"/>
            </w:tcBorders>
            <w:shd w:val="clear" w:color="000000" w:fill="D9D9D9"/>
            <w:noWrap/>
            <w:vAlign w:val="bottom"/>
            <w:hideMark/>
          </w:tcPr>
          <w:p w:rsidR="008835EB" w:rsidRDefault="008835EB" w:rsidP="007E3F2E">
            <w:pPr>
              <w:jc w:val="right"/>
              <w:rPr>
                <w:rFonts w:cs="Calibri"/>
                <w:b/>
                <w:bCs/>
                <w:sz w:val="16"/>
                <w:szCs w:val="16"/>
              </w:rPr>
            </w:pPr>
            <w:r>
              <w:rPr>
                <w:rFonts w:cs="Calibri"/>
                <w:b/>
                <w:bCs/>
                <w:sz w:val="16"/>
                <w:szCs w:val="16"/>
              </w:rPr>
              <w:t>-</w:t>
            </w:r>
          </w:p>
        </w:tc>
        <w:tc>
          <w:tcPr>
            <w:tcW w:w="1196" w:type="dxa"/>
            <w:tcBorders>
              <w:top w:val="nil"/>
              <w:left w:val="nil"/>
              <w:bottom w:val="single" w:sz="4" w:space="0" w:color="auto"/>
              <w:right w:val="nil"/>
            </w:tcBorders>
            <w:shd w:val="clear" w:color="000000" w:fill="D9D9D9"/>
            <w:noWrap/>
            <w:vAlign w:val="bottom"/>
            <w:hideMark/>
          </w:tcPr>
          <w:p w:rsidR="008835EB" w:rsidRDefault="008835EB" w:rsidP="007E3F2E">
            <w:pPr>
              <w:jc w:val="right"/>
              <w:rPr>
                <w:rFonts w:cs="Calibri"/>
                <w:b/>
                <w:bCs/>
                <w:sz w:val="16"/>
                <w:szCs w:val="16"/>
              </w:rPr>
            </w:pPr>
            <w:r>
              <w:rPr>
                <w:rFonts w:cs="Calibri"/>
                <w:b/>
                <w:bCs/>
                <w:sz w:val="16"/>
                <w:szCs w:val="16"/>
              </w:rPr>
              <w:t>-</w:t>
            </w:r>
          </w:p>
        </w:tc>
        <w:tc>
          <w:tcPr>
            <w:tcW w:w="1196" w:type="dxa"/>
            <w:tcBorders>
              <w:top w:val="nil"/>
              <w:left w:val="nil"/>
              <w:bottom w:val="single" w:sz="4" w:space="0" w:color="auto"/>
              <w:right w:val="single" w:sz="4" w:space="0" w:color="auto"/>
            </w:tcBorders>
            <w:shd w:val="clear" w:color="000000" w:fill="D9D9D9"/>
            <w:noWrap/>
            <w:vAlign w:val="bottom"/>
            <w:hideMark/>
          </w:tcPr>
          <w:p w:rsidR="008835EB" w:rsidRDefault="008835EB" w:rsidP="007E3F2E">
            <w:pPr>
              <w:jc w:val="right"/>
              <w:rPr>
                <w:rFonts w:cs="Calibri"/>
                <w:b/>
                <w:bCs/>
                <w:sz w:val="16"/>
                <w:szCs w:val="16"/>
              </w:rPr>
            </w:pPr>
            <w:r>
              <w:rPr>
                <w:rFonts w:cs="Calibri"/>
                <w:b/>
                <w:bCs/>
                <w:sz w:val="16"/>
                <w:szCs w:val="16"/>
              </w:rPr>
              <w:t>-</w:t>
            </w:r>
          </w:p>
        </w:tc>
        <w:tc>
          <w:tcPr>
            <w:tcW w:w="1196" w:type="dxa"/>
            <w:tcBorders>
              <w:top w:val="single" w:sz="4" w:space="0" w:color="auto"/>
              <w:left w:val="nil"/>
              <w:bottom w:val="single" w:sz="4" w:space="0" w:color="auto"/>
              <w:right w:val="single" w:sz="4" w:space="0" w:color="auto"/>
            </w:tcBorders>
            <w:shd w:val="clear" w:color="000000" w:fill="D9D9D9"/>
            <w:noWrap/>
            <w:vAlign w:val="bottom"/>
            <w:hideMark/>
          </w:tcPr>
          <w:p w:rsidR="008835EB" w:rsidRDefault="008835EB" w:rsidP="007E3F2E">
            <w:pPr>
              <w:jc w:val="right"/>
              <w:rPr>
                <w:rFonts w:cs="Calibri"/>
                <w:b/>
                <w:bCs/>
                <w:sz w:val="16"/>
                <w:szCs w:val="16"/>
              </w:rPr>
            </w:pPr>
            <w:r>
              <w:rPr>
                <w:rFonts w:cs="Calibri"/>
                <w:b/>
                <w:bCs/>
                <w:sz w:val="16"/>
                <w:szCs w:val="16"/>
              </w:rPr>
              <w:t>1,552,411</w:t>
            </w:r>
          </w:p>
        </w:tc>
        <w:tc>
          <w:tcPr>
            <w:tcW w:w="1196" w:type="dxa"/>
            <w:tcBorders>
              <w:top w:val="nil"/>
              <w:left w:val="nil"/>
              <w:bottom w:val="single" w:sz="4" w:space="0" w:color="auto"/>
              <w:right w:val="single" w:sz="4" w:space="0" w:color="auto"/>
            </w:tcBorders>
            <w:shd w:val="clear" w:color="000000" w:fill="D9D9D9"/>
            <w:noWrap/>
            <w:vAlign w:val="bottom"/>
            <w:hideMark/>
          </w:tcPr>
          <w:p w:rsidR="008835EB" w:rsidRDefault="008835EB" w:rsidP="007E3F2E">
            <w:pPr>
              <w:jc w:val="right"/>
              <w:rPr>
                <w:rFonts w:cs="Calibri"/>
                <w:b/>
                <w:bCs/>
                <w:sz w:val="16"/>
                <w:szCs w:val="16"/>
              </w:rPr>
            </w:pPr>
            <w:r>
              <w:rPr>
                <w:rFonts w:cs="Calibri"/>
                <w:b/>
                <w:bCs/>
                <w:sz w:val="16"/>
                <w:szCs w:val="16"/>
              </w:rPr>
              <w:t>1,135,497</w:t>
            </w:r>
          </w:p>
        </w:tc>
        <w:tc>
          <w:tcPr>
            <w:tcW w:w="1470" w:type="dxa"/>
            <w:tcBorders>
              <w:top w:val="single" w:sz="4" w:space="0" w:color="auto"/>
              <w:left w:val="nil"/>
              <w:bottom w:val="single" w:sz="4" w:space="0" w:color="auto"/>
              <w:right w:val="single" w:sz="4" w:space="0" w:color="auto"/>
            </w:tcBorders>
            <w:shd w:val="clear" w:color="000000" w:fill="D9D9D9"/>
            <w:noWrap/>
            <w:vAlign w:val="bottom"/>
            <w:hideMark/>
          </w:tcPr>
          <w:p w:rsidR="008835EB" w:rsidRDefault="008835EB" w:rsidP="007E3F2E">
            <w:pPr>
              <w:jc w:val="right"/>
              <w:rPr>
                <w:rFonts w:cs="Calibri"/>
                <w:b/>
                <w:bCs/>
                <w:sz w:val="16"/>
                <w:szCs w:val="16"/>
              </w:rPr>
            </w:pPr>
            <w:r>
              <w:rPr>
                <w:rFonts w:cs="Calibri"/>
                <w:b/>
                <w:bCs/>
                <w:sz w:val="16"/>
                <w:szCs w:val="16"/>
              </w:rPr>
              <w:t>416,914</w:t>
            </w:r>
          </w:p>
        </w:tc>
      </w:tr>
    </w:tbl>
    <w:p w:rsidR="008835EB" w:rsidRDefault="008835EB" w:rsidP="008835EB">
      <w:pPr>
        <w:pStyle w:val="ReportText"/>
      </w:pPr>
      <w:bookmarkStart w:id="334" w:name="RANGE!D7:L24"/>
      <w:bookmarkStart w:id="335" w:name="RANGE!D7:L27"/>
      <w:bookmarkStart w:id="336" w:name="RANGE!D35:M54"/>
      <w:bookmarkEnd w:id="334"/>
      <w:bookmarkEnd w:id="335"/>
      <w:bookmarkEnd w:id="336"/>
      <w:r>
        <w:t>1. The departmental ordinary annual services variance is due to closing liabilities not yet paid and an operating surplus. The administered items variance relates to lower than planned administered expenditure. The Capital variances are due to timing differences between financial years.</w:t>
      </w:r>
    </w:p>
    <w:p w:rsidR="008835EB" w:rsidRDefault="008835EB" w:rsidP="008835EB">
      <w:pPr>
        <w:pStyle w:val="ReportText"/>
      </w:pPr>
      <w:r>
        <w:t>2. Departmental and Administered Capital Budgets are appropriated through Appropriation Acts (</w:t>
      </w:r>
      <w:proofErr w:type="spellStart"/>
      <w:r>
        <w:t>No.1</w:t>
      </w:r>
      <w:proofErr w:type="spellEnd"/>
      <w:r>
        <w:t>, 3 &amp; 5). They form part of ordinary annual services and are not separately identified in the Appropriation Acts.</w:t>
      </w:r>
    </w:p>
    <w:p w:rsidR="008835EB" w:rsidRDefault="008835EB" w:rsidP="008835EB">
      <w:pPr>
        <w:pStyle w:val="ReportText"/>
      </w:pPr>
      <w:r w:rsidRPr="00406C2B">
        <w:t>3. A section 51</w:t>
      </w:r>
      <w:r>
        <w:t xml:space="preserve"> determination reducing departmental o</w:t>
      </w:r>
      <w:r w:rsidRPr="00406C2B">
        <w:t>rdinary annual services</w:t>
      </w:r>
      <w:r>
        <w:t xml:space="preserve"> by $</w:t>
      </w:r>
      <w:proofErr w:type="spellStart"/>
      <w:r>
        <w:t>5.3m</w:t>
      </w:r>
      <w:proofErr w:type="spellEnd"/>
      <w:r>
        <w:t xml:space="preserve"> was processed in 2015–16.</w:t>
      </w:r>
    </w:p>
    <w:p w:rsidR="008835EB" w:rsidRDefault="008835EB" w:rsidP="008835EB">
      <w:pPr>
        <w:pStyle w:val="Policytextadminbold"/>
      </w:pPr>
      <w:r>
        <w:t>Accounting Policy</w:t>
      </w:r>
    </w:p>
    <w:p w:rsidR="008835EB" w:rsidRPr="008B022A" w:rsidRDefault="008835EB" w:rsidP="008835EB">
      <w:pPr>
        <w:pStyle w:val="Policytextadminunderline"/>
      </w:pPr>
      <w:r w:rsidRPr="008B022A">
        <w:t>Payments to Corporate Commonwealth Entities</w:t>
      </w:r>
    </w:p>
    <w:p w:rsidR="008835EB" w:rsidRDefault="008835EB" w:rsidP="008835EB">
      <w:pPr>
        <w:pStyle w:val="PolicyTextAdmin"/>
      </w:pPr>
      <w:r w:rsidRPr="008B022A">
        <w:t xml:space="preserve">Payments to </w:t>
      </w:r>
      <w:proofErr w:type="spellStart"/>
      <w:r w:rsidRPr="008B022A">
        <w:t>Comcare</w:t>
      </w:r>
      <w:proofErr w:type="spellEnd"/>
      <w:r w:rsidRPr="008B022A">
        <w:t xml:space="preserve"> from amounts appropriated for that purpose are classified as administer</w:t>
      </w:r>
      <w:r>
        <w:t xml:space="preserve">ed expenses of the Department. </w:t>
      </w:r>
      <w:r>
        <w:br w:type="page"/>
      </w:r>
    </w:p>
    <w:p w:rsidR="008835EB" w:rsidRDefault="008835EB" w:rsidP="008835EB">
      <w:pPr>
        <w:pStyle w:val="NotesText0"/>
      </w:pPr>
    </w:p>
    <w:tbl>
      <w:tblPr>
        <w:tblW w:w="13991" w:type="dxa"/>
        <w:tblInd w:w="80" w:type="dxa"/>
        <w:tblLayout w:type="fixed"/>
        <w:tblLook w:val="04A0" w:firstRow="1" w:lastRow="0" w:firstColumn="1" w:lastColumn="0" w:noHBand="0" w:noVBand="1"/>
      </w:tblPr>
      <w:tblGrid>
        <w:gridCol w:w="3711"/>
        <w:gridCol w:w="1662"/>
        <w:gridCol w:w="1662"/>
        <w:gridCol w:w="1346"/>
        <w:gridCol w:w="1346"/>
        <w:gridCol w:w="1346"/>
        <w:gridCol w:w="1346"/>
        <w:gridCol w:w="1572"/>
      </w:tblGrid>
      <w:tr w:rsidR="008835EB" w:rsidTr="007E3F2E">
        <w:trPr>
          <w:trHeight w:val="255"/>
        </w:trPr>
        <w:tc>
          <w:tcPr>
            <w:tcW w:w="3296" w:type="dxa"/>
            <w:tcBorders>
              <w:top w:val="single" w:sz="4" w:space="0" w:color="auto"/>
              <w:left w:val="single" w:sz="4" w:space="0" w:color="auto"/>
              <w:bottom w:val="nil"/>
              <w:right w:val="single" w:sz="4" w:space="0" w:color="auto"/>
            </w:tcBorders>
            <w:shd w:val="clear" w:color="FFFFFF" w:fill="FFFFFF"/>
            <w:vAlign w:val="bottom"/>
            <w:hideMark/>
          </w:tcPr>
          <w:p w:rsidR="008835EB" w:rsidRDefault="008835EB" w:rsidP="007E3F2E">
            <w:pPr>
              <w:rPr>
                <w:rFonts w:cs="Calibri"/>
                <w:color w:val="000000"/>
                <w:sz w:val="16"/>
                <w:szCs w:val="16"/>
              </w:rPr>
            </w:pPr>
            <w:bookmarkStart w:id="337" w:name="RANGE!D31:D46"/>
            <w:bookmarkStart w:id="338" w:name="Note_DAPTABLE2" w:colFirst="0" w:colLast="0"/>
            <w:r>
              <w:rPr>
                <w:rFonts w:cs="Calibri"/>
                <w:color w:val="000000"/>
                <w:sz w:val="16"/>
                <w:szCs w:val="16"/>
              </w:rPr>
              <w:t> </w:t>
            </w:r>
            <w:bookmarkEnd w:id="337"/>
          </w:p>
        </w:tc>
        <w:tc>
          <w:tcPr>
            <w:tcW w:w="9132" w:type="dxa"/>
            <w:gridSpan w:val="7"/>
            <w:tcBorders>
              <w:top w:val="single" w:sz="4" w:space="0" w:color="auto"/>
              <w:left w:val="nil"/>
              <w:bottom w:val="single" w:sz="4" w:space="0" w:color="auto"/>
              <w:right w:val="single" w:sz="4" w:space="0" w:color="000000"/>
            </w:tcBorders>
            <w:shd w:val="clear" w:color="FFFFFF" w:fill="FFFFFF"/>
            <w:vAlign w:val="bottom"/>
            <w:hideMark/>
          </w:tcPr>
          <w:p w:rsidR="008835EB" w:rsidRDefault="008835EB" w:rsidP="007E3F2E">
            <w:pPr>
              <w:jc w:val="center"/>
              <w:rPr>
                <w:rFonts w:cs="Calibri"/>
                <w:sz w:val="16"/>
                <w:szCs w:val="16"/>
              </w:rPr>
            </w:pPr>
            <w:r>
              <w:rPr>
                <w:rFonts w:cs="Calibri"/>
                <w:sz w:val="16"/>
                <w:szCs w:val="16"/>
              </w:rPr>
              <w:t>2015 Appropriations</w:t>
            </w:r>
          </w:p>
        </w:tc>
      </w:tr>
      <w:bookmarkEnd w:id="338"/>
      <w:tr w:rsidR="008835EB" w:rsidTr="007E3F2E">
        <w:trPr>
          <w:trHeight w:val="443"/>
        </w:trPr>
        <w:tc>
          <w:tcPr>
            <w:tcW w:w="3296" w:type="dxa"/>
            <w:tcBorders>
              <w:top w:val="nil"/>
              <w:left w:val="single" w:sz="4" w:space="0" w:color="auto"/>
              <w:bottom w:val="nil"/>
              <w:right w:val="single" w:sz="4" w:space="0" w:color="auto"/>
            </w:tcBorders>
            <w:shd w:val="clear" w:color="FFFFFF" w:fill="FFFFFF"/>
            <w:vAlign w:val="bottom"/>
            <w:hideMark/>
          </w:tcPr>
          <w:p w:rsidR="008835EB" w:rsidRDefault="008835EB" w:rsidP="007E3F2E">
            <w:pPr>
              <w:rPr>
                <w:rFonts w:cs="Calibri"/>
                <w:color w:val="000000"/>
                <w:sz w:val="16"/>
                <w:szCs w:val="16"/>
              </w:rPr>
            </w:pPr>
            <w:r>
              <w:rPr>
                <w:rFonts w:cs="Calibri"/>
                <w:color w:val="000000"/>
                <w:sz w:val="16"/>
                <w:szCs w:val="16"/>
              </w:rPr>
              <w:t> </w:t>
            </w:r>
          </w:p>
        </w:tc>
        <w:tc>
          <w:tcPr>
            <w:tcW w:w="2952" w:type="dxa"/>
            <w:gridSpan w:val="2"/>
            <w:tcBorders>
              <w:top w:val="single" w:sz="4" w:space="0" w:color="auto"/>
              <w:left w:val="nil"/>
              <w:bottom w:val="single" w:sz="4" w:space="0" w:color="auto"/>
              <w:right w:val="nil"/>
            </w:tcBorders>
            <w:shd w:val="clear" w:color="FFFFFF" w:fill="FFFFFF"/>
            <w:vAlign w:val="bottom"/>
            <w:hideMark/>
          </w:tcPr>
          <w:p w:rsidR="008835EB" w:rsidRDefault="008835EB" w:rsidP="007E3F2E">
            <w:pPr>
              <w:jc w:val="center"/>
              <w:rPr>
                <w:rFonts w:cs="Calibri"/>
                <w:i/>
                <w:iCs/>
                <w:color w:val="000000"/>
                <w:sz w:val="16"/>
                <w:szCs w:val="16"/>
              </w:rPr>
            </w:pPr>
            <w:r>
              <w:rPr>
                <w:rFonts w:cs="Calibri"/>
                <w:i/>
                <w:iCs/>
                <w:color w:val="000000"/>
                <w:sz w:val="16"/>
                <w:szCs w:val="16"/>
              </w:rPr>
              <w:t>Appropriation Act</w:t>
            </w:r>
          </w:p>
        </w:tc>
        <w:tc>
          <w:tcPr>
            <w:tcW w:w="2392" w:type="dxa"/>
            <w:gridSpan w:val="2"/>
            <w:tcBorders>
              <w:top w:val="single" w:sz="4" w:space="0" w:color="auto"/>
              <w:left w:val="single" w:sz="4" w:space="0" w:color="auto"/>
              <w:bottom w:val="single" w:sz="4" w:space="0" w:color="auto"/>
              <w:right w:val="nil"/>
            </w:tcBorders>
            <w:shd w:val="clear" w:color="FFFFFF" w:fill="FFFFFF"/>
            <w:vAlign w:val="bottom"/>
            <w:hideMark/>
          </w:tcPr>
          <w:p w:rsidR="008835EB" w:rsidRDefault="008835EB" w:rsidP="007E3F2E">
            <w:pPr>
              <w:jc w:val="center"/>
              <w:rPr>
                <w:rFonts w:cs="Calibri"/>
                <w:i/>
                <w:iCs/>
                <w:color w:val="000000"/>
                <w:sz w:val="16"/>
                <w:szCs w:val="16"/>
              </w:rPr>
            </w:pPr>
            <w:proofErr w:type="spellStart"/>
            <w:r>
              <w:rPr>
                <w:rFonts w:cs="Calibri"/>
                <w:i/>
                <w:iCs/>
                <w:color w:val="000000"/>
                <w:sz w:val="16"/>
                <w:szCs w:val="16"/>
              </w:rPr>
              <w:t>PGPA</w:t>
            </w:r>
            <w:proofErr w:type="spellEnd"/>
            <w:r>
              <w:rPr>
                <w:rFonts w:cs="Calibri"/>
                <w:i/>
                <w:iCs/>
                <w:color w:val="000000"/>
                <w:sz w:val="16"/>
                <w:szCs w:val="16"/>
              </w:rPr>
              <w:t xml:space="preserve"> Act</w:t>
            </w:r>
          </w:p>
        </w:tc>
        <w:tc>
          <w:tcPr>
            <w:tcW w:w="1196" w:type="dxa"/>
            <w:vMerge w:val="restart"/>
            <w:tcBorders>
              <w:top w:val="nil"/>
              <w:left w:val="single" w:sz="4" w:space="0" w:color="auto"/>
              <w:bottom w:val="nil"/>
              <w:right w:val="single" w:sz="4" w:space="0" w:color="auto"/>
            </w:tcBorders>
            <w:shd w:val="clear" w:color="FFFFFF" w:fill="FFFFFF"/>
            <w:vAlign w:val="bottom"/>
            <w:hideMark/>
          </w:tcPr>
          <w:p w:rsidR="008835EB" w:rsidRDefault="008835EB" w:rsidP="007E3F2E">
            <w:pPr>
              <w:jc w:val="right"/>
              <w:rPr>
                <w:rFonts w:cs="Calibri"/>
                <w:sz w:val="16"/>
                <w:szCs w:val="16"/>
              </w:rPr>
            </w:pPr>
            <w:r>
              <w:rPr>
                <w:rFonts w:cs="Calibri"/>
                <w:sz w:val="16"/>
                <w:szCs w:val="16"/>
              </w:rPr>
              <w:t>Total appropriation</w:t>
            </w:r>
          </w:p>
        </w:tc>
        <w:tc>
          <w:tcPr>
            <w:tcW w:w="1196" w:type="dxa"/>
            <w:vMerge w:val="restart"/>
            <w:tcBorders>
              <w:top w:val="nil"/>
              <w:left w:val="nil"/>
              <w:bottom w:val="nil"/>
              <w:right w:val="single" w:sz="4" w:space="0" w:color="auto"/>
            </w:tcBorders>
            <w:shd w:val="clear" w:color="FFFFFF" w:fill="FFFFFF"/>
            <w:vAlign w:val="bottom"/>
            <w:hideMark/>
          </w:tcPr>
          <w:p w:rsidR="008835EB" w:rsidRDefault="008835EB" w:rsidP="007E3F2E">
            <w:pPr>
              <w:jc w:val="right"/>
              <w:rPr>
                <w:rFonts w:cs="Calibri"/>
                <w:sz w:val="16"/>
                <w:szCs w:val="16"/>
              </w:rPr>
            </w:pPr>
            <w:r>
              <w:rPr>
                <w:rFonts w:cs="Calibri"/>
                <w:sz w:val="16"/>
                <w:szCs w:val="16"/>
              </w:rPr>
              <w:t>Appropriation applied in 2015 (current and prior years)</w:t>
            </w:r>
          </w:p>
        </w:tc>
        <w:tc>
          <w:tcPr>
            <w:tcW w:w="1396" w:type="dxa"/>
            <w:tcBorders>
              <w:top w:val="nil"/>
              <w:left w:val="nil"/>
              <w:bottom w:val="nil"/>
              <w:right w:val="single" w:sz="4" w:space="0" w:color="auto"/>
            </w:tcBorders>
            <w:shd w:val="clear" w:color="FFFFFF" w:fill="FFFFFF"/>
            <w:vAlign w:val="bottom"/>
            <w:hideMark/>
          </w:tcPr>
          <w:p w:rsidR="008835EB" w:rsidRDefault="008835EB" w:rsidP="007E3F2E">
            <w:pPr>
              <w:jc w:val="right"/>
              <w:rPr>
                <w:rFonts w:cs="Calibri"/>
                <w:sz w:val="16"/>
                <w:szCs w:val="16"/>
              </w:rPr>
            </w:pPr>
            <w:r>
              <w:rPr>
                <w:rFonts w:cs="Calibri"/>
                <w:sz w:val="16"/>
                <w:szCs w:val="16"/>
              </w:rPr>
              <w:t> </w:t>
            </w:r>
          </w:p>
        </w:tc>
      </w:tr>
      <w:tr w:rsidR="008835EB" w:rsidTr="007E3F2E">
        <w:trPr>
          <w:trHeight w:val="503"/>
        </w:trPr>
        <w:tc>
          <w:tcPr>
            <w:tcW w:w="3296" w:type="dxa"/>
            <w:tcBorders>
              <w:top w:val="nil"/>
              <w:left w:val="single" w:sz="4" w:space="0" w:color="auto"/>
              <w:bottom w:val="nil"/>
              <w:right w:val="single" w:sz="4" w:space="0" w:color="auto"/>
            </w:tcBorders>
            <w:shd w:val="clear" w:color="FFFFFF" w:fill="FFFFFF"/>
            <w:vAlign w:val="bottom"/>
            <w:hideMark/>
          </w:tcPr>
          <w:p w:rsidR="008835EB" w:rsidRDefault="008835EB" w:rsidP="007E3F2E">
            <w:pPr>
              <w:rPr>
                <w:rFonts w:cs="Calibri"/>
                <w:color w:val="000000"/>
                <w:sz w:val="16"/>
                <w:szCs w:val="16"/>
              </w:rPr>
            </w:pPr>
            <w:r>
              <w:rPr>
                <w:rFonts w:cs="Calibri"/>
                <w:color w:val="000000"/>
                <w:sz w:val="16"/>
                <w:szCs w:val="16"/>
              </w:rPr>
              <w:t> </w:t>
            </w:r>
          </w:p>
        </w:tc>
        <w:tc>
          <w:tcPr>
            <w:tcW w:w="1476" w:type="dxa"/>
            <w:tcBorders>
              <w:top w:val="nil"/>
              <w:left w:val="nil"/>
              <w:bottom w:val="nil"/>
              <w:right w:val="nil"/>
            </w:tcBorders>
            <w:shd w:val="clear" w:color="FFFFFF" w:fill="FFFFFF"/>
            <w:vAlign w:val="bottom"/>
            <w:hideMark/>
          </w:tcPr>
          <w:p w:rsidR="008835EB" w:rsidRDefault="008835EB" w:rsidP="007E3F2E">
            <w:pPr>
              <w:jc w:val="right"/>
              <w:rPr>
                <w:rFonts w:cs="Calibri"/>
                <w:sz w:val="16"/>
                <w:szCs w:val="16"/>
              </w:rPr>
            </w:pPr>
            <w:r>
              <w:rPr>
                <w:rFonts w:cs="Calibri"/>
                <w:sz w:val="16"/>
                <w:szCs w:val="16"/>
              </w:rPr>
              <w:t>Annual Appropriation</w:t>
            </w:r>
          </w:p>
        </w:tc>
        <w:tc>
          <w:tcPr>
            <w:tcW w:w="1476" w:type="dxa"/>
            <w:tcBorders>
              <w:top w:val="nil"/>
              <w:left w:val="nil"/>
              <w:bottom w:val="nil"/>
              <w:right w:val="nil"/>
            </w:tcBorders>
            <w:shd w:val="clear" w:color="FFFFFF" w:fill="FFFFFF"/>
            <w:vAlign w:val="bottom"/>
            <w:hideMark/>
          </w:tcPr>
          <w:p w:rsidR="008835EB" w:rsidRDefault="008835EB" w:rsidP="007E3F2E">
            <w:pPr>
              <w:jc w:val="right"/>
              <w:rPr>
                <w:rFonts w:cs="Calibri"/>
                <w:sz w:val="16"/>
                <w:szCs w:val="16"/>
              </w:rPr>
            </w:pPr>
            <w:proofErr w:type="spellStart"/>
            <w:r>
              <w:rPr>
                <w:rFonts w:cs="Calibri"/>
                <w:sz w:val="16"/>
                <w:szCs w:val="16"/>
              </w:rPr>
              <w:t>AFM</w:t>
            </w:r>
            <w:proofErr w:type="spellEnd"/>
          </w:p>
        </w:tc>
        <w:tc>
          <w:tcPr>
            <w:tcW w:w="1196" w:type="dxa"/>
            <w:tcBorders>
              <w:top w:val="nil"/>
              <w:left w:val="single" w:sz="4" w:space="0" w:color="auto"/>
              <w:bottom w:val="nil"/>
              <w:right w:val="nil"/>
            </w:tcBorders>
            <w:shd w:val="clear" w:color="FFFFFF" w:fill="FFFFFF"/>
            <w:vAlign w:val="bottom"/>
            <w:hideMark/>
          </w:tcPr>
          <w:p w:rsidR="008835EB" w:rsidRDefault="008835EB" w:rsidP="007E3F2E">
            <w:pPr>
              <w:jc w:val="right"/>
              <w:rPr>
                <w:rFonts w:cs="Calibri"/>
                <w:sz w:val="16"/>
                <w:szCs w:val="16"/>
              </w:rPr>
            </w:pPr>
            <w:r>
              <w:rPr>
                <w:rFonts w:cs="Calibri"/>
                <w:sz w:val="16"/>
                <w:szCs w:val="16"/>
              </w:rPr>
              <w:t>Section 74</w:t>
            </w:r>
          </w:p>
        </w:tc>
        <w:tc>
          <w:tcPr>
            <w:tcW w:w="1196" w:type="dxa"/>
            <w:tcBorders>
              <w:top w:val="nil"/>
              <w:left w:val="nil"/>
              <w:bottom w:val="nil"/>
              <w:right w:val="nil"/>
            </w:tcBorders>
            <w:shd w:val="clear" w:color="FFFFFF" w:fill="FFFFFF"/>
            <w:vAlign w:val="bottom"/>
            <w:hideMark/>
          </w:tcPr>
          <w:p w:rsidR="008835EB" w:rsidRDefault="008835EB" w:rsidP="007E3F2E">
            <w:pPr>
              <w:jc w:val="right"/>
              <w:rPr>
                <w:rFonts w:cs="Calibri"/>
                <w:sz w:val="16"/>
                <w:szCs w:val="16"/>
              </w:rPr>
            </w:pPr>
            <w:r>
              <w:rPr>
                <w:rFonts w:cs="Calibri"/>
                <w:sz w:val="16"/>
                <w:szCs w:val="16"/>
              </w:rPr>
              <w:t>Section 75</w:t>
            </w:r>
          </w:p>
        </w:tc>
        <w:tc>
          <w:tcPr>
            <w:tcW w:w="1196" w:type="dxa"/>
            <w:vMerge/>
            <w:tcBorders>
              <w:top w:val="nil"/>
              <w:left w:val="single" w:sz="4" w:space="0" w:color="auto"/>
              <w:bottom w:val="nil"/>
              <w:right w:val="single" w:sz="4" w:space="0" w:color="auto"/>
            </w:tcBorders>
            <w:vAlign w:val="center"/>
            <w:hideMark/>
          </w:tcPr>
          <w:p w:rsidR="008835EB" w:rsidRDefault="008835EB" w:rsidP="007E3F2E">
            <w:pPr>
              <w:rPr>
                <w:rFonts w:cs="Calibri"/>
                <w:sz w:val="16"/>
                <w:szCs w:val="16"/>
              </w:rPr>
            </w:pPr>
          </w:p>
        </w:tc>
        <w:tc>
          <w:tcPr>
            <w:tcW w:w="1196" w:type="dxa"/>
            <w:vMerge/>
            <w:tcBorders>
              <w:top w:val="nil"/>
              <w:left w:val="nil"/>
              <w:bottom w:val="nil"/>
              <w:right w:val="single" w:sz="4" w:space="0" w:color="auto"/>
            </w:tcBorders>
            <w:vAlign w:val="center"/>
            <w:hideMark/>
          </w:tcPr>
          <w:p w:rsidR="008835EB" w:rsidRDefault="008835EB" w:rsidP="007E3F2E">
            <w:pPr>
              <w:rPr>
                <w:rFonts w:cs="Calibri"/>
                <w:sz w:val="16"/>
                <w:szCs w:val="16"/>
              </w:rPr>
            </w:pPr>
          </w:p>
        </w:tc>
        <w:tc>
          <w:tcPr>
            <w:tcW w:w="1396" w:type="dxa"/>
            <w:tcBorders>
              <w:top w:val="nil"/>
              <w:left w:val="nil"/>
              <w:bottom w:val="nil"/>
              <w:right w:val="single" w:sz="4" w:space="0" w:color="auto"/>
            </w:tcBorders>
            <w:shd w:val="clear" w:color="FFFFFF" w:fill="FFFFFF"/>
            <w:vAlign w:val="bottom"/>
            <w:hideMark/>
          </w:tcPr>
          <w:p w:rsidR="008835EB" w:rsidRDefault="008835EB" w:rsidP="007E3F2E">
            <w:pPr>
              <w:jc w:val="right"/>
              <w:rPr>
                <w:rFonts w:cs="Calibri"/>
                <w:sz w:val="16"/>
                <w:szCs w:val="16"/>
              </w:rPr>
            </w:pPr>
            <w:proofErr w:type="spellStart"/>
            <w:r>
              <w:rPr>
                <w:rFonts w:cs="Calibri"/>
                <w:sz w:val="16"/>
                <w:szCs w:val="16"/>
              </w:rPr>
              <w:t>Variance</w:t>
            </w:r>
            <w:r>
              <w:rPr>
                <w:rFonts w:cs="Calibri"/>
                <w:sz w:val="16"/>
                <w:szCs w:val="16"/>
                <w:vertAlign w:val="superscript"/>
              </w:rPr>
              <w:t>1</w:t>
            </w:r>
            <w:proofErr w:type="spellEnd"/>
          </w:p>
        </w:tc>
      </w:tr>
      <w:tr w:rsidR="008835EB" w:rsidTr="007E3F2E">
        <w:trPr>
          <w:trHeight w:val="255"/>
        </w:trPr>
        <w:tc>
          <w:tcPr>
            <w:tcW w:w="3296" w:type="dxa"/>
            <w:tcBorders>
              <w:top w:val="nil"/>
              <w:left w:val="single" w:sz="4" w:space="0" w:color="auto"/>
              <w:bottom w:val="single" w:sz="4" w:space="0" w:color="auto"/>
              <w:right w:val="single" w:sz="4" w:space="0" w:color="auto"/>
            </w:tcBorders>
            <w:shd w:val="clear" w:color="FFFFFF" w:fill="FFFFFF"/>
            <w:vAlign w:val="bottom"/>
            <w:hideMark/>
          </w:tcPr>
          <w:p w:rsidR="008835EB" w:rsidRDefault="008835EB" w:rsidP="007E3F2E">
            <w:pPr>
              <w:rPr>
                <w:rFonts w:cs="Calibri"/>
                <w:color w:val="000000"/>
                <w:sz w:val="16"/>
                <w:szCs w:val="16"/>
              </w:rPr>
            </w:pPr>
            <w:r>
              <w:rPr>
                <w:rFonts w:cs="Calibri"/>
                <w:color w:val="000000"/>
                <w:sz w:val="16"/>
                <w:szCs w:val="16"/>
              </w:rPr>
              <w:t> </w:t>
            </w:r>
          </w:p>
        </w:tc>
        <w:tc>
          <w:tcPr>
            <w:tcW w:w="1476"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sz w:val="16"/>
                <w:szCs w:val="16"/>
              </w:rPr>
            </w:pPr>
            <w:r>
              <w:rPr>
                <w:rFonts w:cs="Calibri"/>
                <w:sz w:val="16"/>
                <w:szCs w:val="16"/>
              </w:rPr>
              <w:t>$'000</w:t>
            </w:r>
          </w:p>
        </w:tc>
        <w:tc>
          <w:tcPr>
            <w:tcW w:w="1476" w:type="dxa"/>
            <w:tcBorders>
              <w:top w:val="nil"/>
              <w:left w:val="nil"/>
              <w:bottom w:val="single" w:sz="4" w:space="0" w:color="auto"/>
              <w:right w:val="single" w:sz="4" w:space="0" w:color="auto"/>
            </w:tcBorders>
            <w:shd w:val="clear" w:color="FFFFFF" w:fill="FFFFFF"/>
            <w:vAlign w:val="bottom"/>
            <w:hideMark/>
          </w:tcPr>
          <w:p w:rsidR="008835EB" w:rsidRDefault="008835EB" w:rsidP="007E3F2E">
            <w:pPr>
              <w:jc w:val="right"/>
              <w:rPr>
                <w:rFonts w:cs="Calibri"/>
                <w:sz w:val="16"/>
                <w:szCs w:val="16"/>
              </w:rPr>
            </w:pPr>
            <w:r>
              <w:rPr>
                <w:rFonts w:cs="Calibri"/>
                <w:sz w:val="16"/>
                <w:szCs w:val="16"/>
              </w:rPr>
              <w:t>$'000</w:t>
            </w:r>
          </w:p>
        </w:tc>
        <w:tc>
          <w:tcPr>
            <w:tcW w:w="1196"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sz w:val="16"/>
                <w:szCs w:val="16"/>
              </w:rPr>
            </w:pPr>
            <w:r>
              <w:rPr>
                <w:rFonts w:cs="Calibri"/>
                <w:sz w:val="16"/>
                <w:szCs w:val="16"/>
              </w:rPr>
              <w:t>$'000</w:t>
            </w:r>
          </w:p>
        </w:tc>
        <w:tc>
          <w:tcPr>
            <w:tcW w:w="1196"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sz w:val="16"/>
                <w:szCs w:val="16"/>
              </w:rPr>
            </w:pPr>
            <w:r>
              <w:rPr>
                <w:rFonts w:cs="Calibri"/>
                <w:sz w:val="16"/>
                <w:szCs w:val="16"/>
              </w:rPr>
              <w:t>$'000</w:t>
            </w:r>
          </w:p>
        </w:tc>
        <w:tc>
          <w:tcPr>
            <w:tcW w:w="1196" w:type="dxa"/>
            <w:tcBorders>
              <w:top w:val="nil"/>
              <w:left w:val="single" w:sz="4" w:space="0" w:color="auto"/>
              <w:bottom w:val="single" w:sz="4" w:space="0" w:color="auto"/>
              <w:right w:val="single" w:sz="4" w:space="0" w:color="auto"/>
            </w:tcBorders>
            <w:shd w:val="clear" w:color="FFFFFF" w:fill="FFFFFF"/>
            <w:vAlign w:val="bottom"/>
            <w:hideMark/>
          </w:tcPr>
          <w:p w:rsidR="008835EB" w:rsidRDefault="008835EB" w:rsidP="007E3F2E">
            <w:pPr>
              <w:jc w:val="right"/>
              <w:rPr>
                <w:rFonts w:cs="Calibri"/>
                <w:sz w:val="16"/>
                <w:szCs w:val="16"/>
              </w:rPr>
            </w:pPr>
            <w:r>
              <w:rPr>
                <w:rFonts w:cs="Calibri"/>
                <w:sz w:val="16"/>
                <w:szCs w:val="16"/>
              </w:rPr>
              <w:t>$'000</w:t>
            </w:r>
          </w:p>
        </w:tc>
        <w:tc>
          <w:tcPr>
            <w:tcW w:w="1196" w:type="dxa"/>
            <w:tcBorders>
              <w:top w:val="nil"/>
              <w:left w:val="nil"/>
              <w:bottom w:val="single" w:sz="4" w:space="0" w:color="auto"/>
              <w:right w:val="single" w:sz="4" w:space="0" w:color="auto"/>
            </w:tcBorders>
            <w:shd w:val="clear" w:color="FFFFFF" w:fill="FFFFFF"/>
            <w:vAlign w:val="bottom"/>
            <w:hideMark/>
          </w:tcPr>
          <w:p w:rsidR="008835EB" w:rsidRDefault="008835EB" w:rsidP="007E3F2E">
            <w:pPr>
              <w:jc w:val="right"/>
              <w:rPr>
                <w:rFonts w:cs="Calibri"/>
                <w:sz w:val="16"/>
                <w:szCs w:val="16"/>
              </w:rPr>
            </w:pPr>
            <w:r>
              <w:rPr>
                <w:rFonts w:cs="Calibri"/>
                <w:sz w:val="16"/>
                <w:szCs w:val="16"/>
              </w:rPr>
              <w:t>$'000</w:t>
            </w:r>
          </w:p>
        </w:tc>
        <w:tc>
          <w:tcPr>
            <w:tcW w:w="1396" w:type="dxa"/>
            <w:tcBorders>
              <w:top w:val="nil"/>
              <w:left w:val="nil"/>
              <w:bottom w:val="single" w:sz="4" w:space="0" w:color="auto"/>
              <w:right w:val="single" w:sz="4" w:space="0" w:color="auto"/>
            </w:tcBorders>
            <w:shd w:val="clear" w:color="FFFFFF" w:fill="FFFFFF"/>
            <w:vAlign w:val="bottom"/>
            <w:hideMark/>
          </w:tcPr>
          <w:p w:rsidR="008835EB" w:rsidRDefault="008835EB" w:rsidP="007E3F2E">
            <w:pPr>
              <w:jc w:val="right"/>
              <w:rPr>
                <w:rFonts w:cs="Calibri"/>
                <w:sz w:val="16"/>
                <w:szCs w:val="16"/>
              </w:rPr>
            </w:pPr>
            <w:r>
              <w:rPr>
                <w:rFonts w:cs="Calibri"/>
                <w:sz w:val="16"/>
                <w:szCs w:val="16"/>
              </w:rPr>
              <w:t>$'000</w:t>
            </w:r>
          </w:p>
        </w:tc>
      </w:tr>
      <w:tr w:rsidR="008835EB" w:rsidTr="007E3F2E">
        <w:trPr>
          <w:trHeight w:val="255"/>
        </w:trPr>
        <w:tc>
          <w:tcPr>
            <w:tcW w:w="3296" w:type="dxa"/>
            <w:tcBorders>
              <w:top w:val="nil"/>
              <w:left w:val="single" w:sz="4" w:space="0" w:color="auto"/>
              <w:bottom w:val="nil"/>
              <w:right w:val="single" w:sz="4" w:space="0" w:color="auto"/>
            </w:tcBorders>
            <w:shd w:val="clear" w:color="FFFFFF" w:fill="FFFFFF"/>
            <w:vAlign w:val="bottom"/>
            <w:hideMark/>
          </w:tcPr>
          <w:p w:rsidR="008835EB" w:rsidRDefault="008835EB" w:rsidP="007E3F2E">
            <w:pPr>
              <w:rPr>
                <w:rFonts w:cs="Calibri"/>
                <w:color w:val="000000"/>
                <w:sz w:val="16"/>
                <w:szCs w:val="16"/>
              </w:rPr>
            </w:pPr>
            <w:r>
              <w:rPr>
                <w:rFonts w:cs="Calibri"/>
                <w:color w:val="000000"/>
                <w:sz w:val="16"/>
                <w:szCs w:val="16"/>
              </w:rPr>
              <w:t>DEPARTMENTAL</w:t>
            </w:r>
          </w:p>
        </w:tc>
        <w:tc>
          <w:tcPr>
            <w:tcW w:w="1476" w:type="dxa"/>
            <w:tcBorders>
              <w:top w:val="nil"/>
              <w:left w:val="nil"/>
              <w:bottom w:val="nil"/>
              <w:right w:val="nil"/>
            </w:tcBorders>
            <w:shd w:val="clear" w:color="FFFFFF" w:fill="FFFFFF"/>
            <w:vAlign w:val="bottom"/>
            <w:hideMark/>
          </w:tcPr>
          <w:p w:rsidR="008835EB" w:rsidRDefault="008835EB" w:rsidP="007E3F2E">
            <w:pPr>
              <w:rPr>
                <w:rFonts w:cs="Calibri"/>
                <w:sz w:val="16"/>
                <w:szCs w:val="16"/>
              </w:rPr>
            </w:pPr>
            <w:r>
              <w:rPr>
                <w:rFonts w:cs="Calibri"/>
                <w:sz w:val="16"/>
                <w:szCs w:val="16"/>
              </w:rPr>
              <w:t> </w:t>
            </w:r>
          </w:p>
        </w:tc>
        <w:tc>
          <w:tcPr>
            <w:tcW w:w="1476" w:type="dxa"/>
            <w:tcBorders>
              <w:top w:val="nil"/>
              <w:left w:val="nil"/>
              <w:bottom w:val="nil"/>
              <w:right w:val="single" w:sz="4" w:space="0" w:color="auto"/>
            </w:tcBorders>
            <w:shd w:val="clear" w:color="FFFFFF" w:fill="FFFFFF"/>
            <w:vAlign w:val="bottom"/>
            <w:hideMark/>
          </w:tcPr>
          <w:p w:rsidR="008835EB" w:rsidRDefault="008835EB" w:rsidP="007E3F2E">
            <w:pPr>
              <w:rPr>
                <w:rFonts w:cs="Calibri"/>
                <w:sz w:val="16"/>
                <w:szCs w:val="16"/>
              </w:rPr>
            </w:pPr>
            <w:r>
              <w:rPr>
                <w:rFonts w:cs="Calibri"/>
                <w:sz w:val="16"/>
                <w:szCs w:val="16"/>
              </w:rPr>
              <w:t> </w:t>
            </w:r>
          </w:p>
        </w:tc>
        <w:tc>
          <w:tcPr>
            <w:tcW w:w="1196" w:type="dxa"/>
            <w:tcBorders>
              <w:top w:val="nil"/>
              <w:left w:val="nil"/>
              <w:bottom w:val="nil"/>
              <w:right w:val="nil"/>
            </w:tcBorders>
            <w:shd w:val="clear" w:color="FFFFFF" w:fill="FFFFFF"/>
            <w:vAlign w:val="bottom"/>
            <w:hideMark/>
          </w:tcPr>
          <w:p w:rsidR="008835EB" w:rsidRDefault="008835EB" w:rsidP="007E3F2E">
            <w:pPr>
              <w:rPr>
                <w:rFonts w:cs="Calibri"/>
                <w:sz w:val="16"/>
                <w:szCs w:val="16"/>
              </w:rPr>
            </w:pPr>
            <w:r>
              <w:rPr>
                <w:rFonts w:cs="Calibri"/>
                <w:sz w:val="16"/>
                <w:szCs w:val="16"/>
              </w:rPr>
              <w:t> </w:t>
            </w:r>
          </w:p>
        </w:tc>
        <w:tc>
          <w:tcPr>
            <w:tcW w:w="1196" w:type="dxa"/>
            <w:tcBorders>
              <w:top w:val="nil"/>
              <w:left w:val="nil"/>
              <w:bottom w:val="nil"/>
              <w:right w:val="single" w:sz="4" w:space="0" w:color="auto"/>
            </w:tcBorders>
            <w:shd w:val="clear" w:color="FFFFFF" w:fill="FFFFFF"/>
            <w:vAlign w:val="bottom"/>
            <w:hideMark/>
          </w:tcPr>
          <w:p w:rsidR="008835EB" w:rsidRDefault="008835EB" w:rsidP="007E3F2E">
            <w:pPr>
              <w:rPr>
                <w:rFonts w:cs="Calibri"/>
                <w:sz w:val="16"/>
                <w:szCs w:val="16"/>
              </w:rPr>
            </w:pPr>
            <w:r>
              <w:rPr>
                <w:rFonts w:cs="Calibri"/>
                <w:sz w:val="16"/>
                <w:szCs w:val="16"/>
              </w:rPr>
              <w:t> </w:t>
            </w:r>
          </w:p>
        </w:tc>
        <w:tc>
          <w:tcPr>
            <w:tcW w:w="1196" w:type="dxa"/>
            <w:tcBorders>
              <w:top w:val="nil"/>
              <w:left w:val="nil"/>
              <w:bottom w:val="nil"/>
              <w:right w:val="nil"/>
            </w:tcBorders>
            <w:shd w:val="clear" w:color="FFFFFF" w:fill="FFFFFF"/>
            <w:vAlign w:val="bottom"/>
            <w:hideMark/>
          </w:tcPr>
          <w:p w:rsidR="008835EB" w:rsidRDefault="008835EB" w:rsidP="007E3F2E">
            <w:pPr>
              <w:rPr>
                <w:rFonts w:cs="Calibri"/>
                <w:color w:val="000000"/>
                <w:sz w:val="16"/>
                <w:szCs w:val="16"/>
              </w:rPr>
            </w:pPr>
            <w:r>
              <w:rPr>
                <w:rFonts w:cs="Calibri"/>
                <w:color w:val="000000"/>
                <w:sz w:val="16"/>
                <w:szCs w:val="16"/>
              </w:rPr>
              <w:t> </w:t>
            </w:r>
          </w:p>
        </w:tc>
        <w:tc>
          <w:tcPr>
            <w:tcW w:w="1196" w:type="dxa"/>
            <w:tcBorders>
              <w:top w:val="nil"/>
              <w:left w:val="single" w:sz="4" w:space="0" w:color="auto"/>
              <w:bottom w:val="nil"/>
              <w:right w:val="single" w:sz="4" w:space="0" w:color="auto"/>
            </w:tcBorders>
            <w:shd w:val="clear" w:color="FFFFFF" w:fill="FFFFFF"/>
            <w:vAlign w:val="bottom"/>
            <w:hideMark/>
          </w:tcPr>
          <w:p w:rsidR="008835EB" w:rsidRDefault="008835EB" w:rsidP="007E3F2E">
            <w:pPr>
              <w:rPr>
                <w:rFonts w:cs="Calibri"/>
                <w:sz w:val="16"/>
                <w:szCs w:val="16"/>
              </w:rPr>
            </w:pPr>
            <w:r>
              <w:rPr>
                <w:rFonts w:cs="Calibri"/>
                <w:sz w:val="16"/>
                <w:szCs w:val="16"/>
              </w:rPr>
              <w:t> </w:t>
            </w:r>
          </w:p>
        </w:tc>
        <w:tc>
          <w:tcPr>
            <w:tcW w:w="1396" w:type="dxa"/>
            <w:tcBorders>
              <w:top w:val="nil"/>
              <w:left w:val="nil"/>
              <w:bottom w:val="nil"/>
              <w:right w:val="single" w:sz="4" w:space="0" w:color="auto"/>
            </w:tcBorders>
            <w:shd w:val="clear" w:color="FFFFFF" w:fill="FFFFFF"/>
            <w:vAlign w:val="bottom"/>
            <w:hideMark/>
          </w:tcPr>
          <w:p w:rsidR="008835EB" w:rsidRDefault="008835EB" w:rsidP="007E3F2E">
            <w:pPr>
              <w:rPr>
                <w:rFonts w:cs="Calibri"/>
                <w:color w:val="000000"/>
                <w:sz w:val="16"/>
                <w:szCs w:val="16"/>
              </w:rPr>
            </w:pPr>
            <w:r>
              <w:rPr>
                <w:rFonts w:cs="Calibri"/>
                <w:color w:val="000000"/>
                <w:sz w:val="16"/>
                <w:szCs w:val="16"/>
              </w:rPr>
              <w:t> </w:t>
            </w:r>
          </w:p>
        </w:tc>
      </w:tr>
      <w:tr w:rsidR="008835EB" w:rsidTr="007E3F2E">
        <w:trPr>
          <w:trHeight w:val="255"/>
        </w:trPr>
        <w:tc>
          <w:tcPr>
            <w:tcW w:w="3296" w:type="dxa"/>
            <w:tcBorders>
              <w:top w:val="nil"/>
              <w:left w:val="single" w:sz="4" w:space="0" w:color="auto"/>
              <w:bottom w:val="nil"/>
              <w:right w:val="single" w:sz="4" w:space="0" w:color="auto"/>
            </w:tcBorders>
            <w:shd w:val="clear" w:color="FFFFFF" w:fill="FFFFFF"/>
            <w:vAlign w:val="bottom"/>
            <w:hideMark/>
          </w:tcPr>
          <w:p w:rsidR="008835EB" w:rsidRDefault="008835EB" w:rsidP="007E3F2E">
            <w:pPr>
              <w:ind w:firstLineChars="100" w:firstLine="160"/>
              <w:rPr>
                <w:rFonts w:cs="Calibri"/>
                <w:color w:val="000000"/>
                <w:sz w:val="16"/>
                <w:szCs w:val="16"/>
              </w:rPr>
            </w:pPr>
            <w:r>
              <w:rPr>
                <w:rFonts w:cs="Calibri"/>
                <w:color w:val="000000"/>
                <w:sz w:val="16"/>
                <w:szCs w:val="16"/>
              </w:rPr>
              <w:t>Ordinary annual services</w:t>
            </w:r>
          </w:p>
        </w:tc>
        <w:tc>
          <w:tcPr>
            <w:tcW w:w="1476" w:type="dxa"/>
            <w:tcBorders>
              <w:top w:val="nil"/>
              <w:left w:val="nil"/>
              <w:bottom w:val="nil"/>
              <w:right w:val="nil"/>
            </w:tcBorders>
            <w:shd w:val="clear" w:color="FFFFFF" w:fill="FFFFFF"/>
            <w:noWrap/>
            <w:vAlign w:val="bottom"/>
            <w:hideMark/>
          </w:tcPr>
          <w:p w:rsidR="008835EB" w:rsidRDefault="008835EB" w:rsidP="007E3F2E">
            <w:pPr>
              <w:jc w:val="right"/>
              <w:rPr>
                <w:rFonts w:cs="Calibri"/>
                <w:sz w:val="16"/>
                <w:szCs w:val="16"/>
              </w:rPr>
            </w:pPr>
            <w:r>
              <w:rPr>
                <w:rFonts w:cs="Calibri"/>
                <w:sz w:val="16"/>
                <w:szCs w:val="16"/>
              </w:rPr>
              <w:t xml:space="preserve">295,989 </w:t>
            </w:r>
          </w:p>
        </w:tc>
        <w:tc>
          <w:tcPr>
            <w:tcW w:w="1476"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sz w:val="16"/>
                <w:szCs w:val="16"/>
              </w:rPr>
            </w:pPr>
            <w:r>
              <w:rPr>
                <w:rFonts w:cs="Calibri"/>
                <w:sz w:val="16"/>
                <w:szCs w:val="16"/>
              </w:rPr>
              <w:t xml:space="preserve"> -</w:t>
            </w:r>
          </w:p>
        </w:tc>
        <w:tc>
          <w:tcPr>
            <w:tcW w:w="1196" w:type="dxa"/>
            <w:tcBorders>
              <w:top w:val="nil"/>
              <w:left w:val="nil"/>
              <w:bottom w:val="nil"/>
              <w:right w:val="nil"/>
            </w:tcBorders>
            <w:shd w:val="clear" w:color="FFFFFF" w:fill="FFFFFF"/>
            <w:noWrap/>
            <w:vAlign w:val="bottom"/>
            <w:hideMark/>
          </w:tcPr>
          <w:p w:rsidR="008835EB" w:rsidRDefault="008835EB" w:rsidP="007E3F2E">
            <w:pPr>
              <w:jc w:val="right"/>
              <w:rPr>
                <w:rFonts w:cs="Calibri"/>
                <w:sz w:val="16"/>
                <w:szCs w:val="16"/>
              </w:rPr>
            </w:pPr>
            <w:r>
              <w:rPr>
                <w:rFonts w:cs="Calibri"/>
                <w:sz w:val="16"/>
                <w:szCs w:val="16"/>
              </w:rPr>
              <w:t xml:space="preserve">26,198 </w:t>
            </w:r>
          </w:p>
        </w:tc>
        <w:tc>
          <w:tcPr>
            <w:tcW w:w="1196" w:type="dxa"/>
            <w:tcBorders>
              <w:top w:val="nil"/>
              <w:left w:val="nil"/>
              <w:bottom w:val="nil"/>
              <w:right w:val="nil"/>
            </w:tcBorders>
            <w:shd w:val="clear" w:color="FFFFFF" w:fill="FFFFFF"/>
            <w:noWrap/>
            <w:vAlign w:val="bottom"/>
            <w:hideMark/>
          </w:tcPr>
          <w:p w:rsidR="008835EB" w:rsidRDefault="008835EB" w:rsidP="007E3F2E">
            <w:pPr>
              <w:jc w:val="right"/>
              <w:rPr>
                <w:rFonts w:cs="Calibri"/>
                <w:sz w:val="16"/>
                <w:szCs w:val="16"/>
              </w:rPr>
            </w:pPr>
            <w:r>
              <w:rPr>
                <w:rFonts w:cs="Calibri"/>
                <w:sz w:val="16"/>
                <w:szCs w:val="16"/>
              </w:rPr>
              <w:t xml:space="preserve"> -</w:t>
            </w:r>
          </w:p>
        </w:tc>
        <w:tc>
          <w:tcPr>
            <w:tcW w:w="1196" w:type="dxa"/>
            <w:tcBorders>
              <w:top w:val="nil"/>
              <w:left w:val="single" w:sz="4" w:space="0" w:color="auto"/>
              <w:bottom w:val="nil"/>
              <w:right w:val="single" w:sz="4" w:space="0" w:color="auto"/>
            </w:tcBorders>
            <w:shd w:val="clear" w:color="FFFFFF" w:fill="FFFFFF"/>
            <w:noWrap/>
            <w:vAlign w:val="bottom"/>
            <w:hideMark/>
          </w:tcPr>
          <w:p w:rsidR="008835EB" w:rsidRDefault="008835EB" w:rsidP="007E3F2E">
            <w:pPr>
              <w:jc w:val="right"/>
              <w:rPr>
                <w:rFonts w:cs="Calibri"/>
                <w:sz w:val="16"/>
                <w:szCs w:val="16"/>
              </w:rPr>
            </w:pPr>
            <w:r>
              <w:rPr>
                <w:rFonts w:cs="Calibri"/>
                <w:sz w:val="16"/>
                <w:szCs w:val="16"/>
              </w:rPr>
              <w:t>322,187</w:t>
            </w:r>
          </w:p>
        </w:tc>
        <w:tc>
          <w:tcPr>
            <w:tcW w:w="1196"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sz w:val="16"/>
                <w:szCs w:val="16"/>
              </w:rPr>
            </w:pPr>
            <w:r>
              <w:rPr>
                <w:rFonts w:cs="Calibri"/>
                <w:sz w:val="16"/>
                <w:szCs w:val="16"/>
              </w:rPr>
              <w:t xml:space="preserve">260,377 </w:t>
            </w:r>
          </w:p>
        </w:tc>
        <w:tc>
          <w:tcPr>
            <w:tcW w:w="1396"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sz w:val="16"/>
                <w:szCs w:val="16"/>
              </w:rPr>
            </w:pPr>
            <w:r>
              <w:rPr>
                <w:rFonts w:cs="Calibri"/>
                <w:sz w:val="16"/>
                <w:szCs w:val="16"/>
              </w:rPr>
              <w:t>61,810</w:t>
            </w:r>
          </w:p>
        </w:tc>
      </w:tr>
      <w:tr w:rsidR="008835EB" w:rsidTr="007E3F2E">
        <w:trPr>
          <w:trHeight w:val="255"/>
        </w:trPr>
        <w:tc>
          <w:tcPr>
            <w:tcW w:w="3296" w:type="dxa"/>
            <w:tcBorders>
              <w:top w:val="nil"/>
              <w:left w:val="single" w:sz="4" w:space="0" w:color="auto"/>
              <w:bottom w:val="nil"/>
              <w:right w:val="single" w:sz="4" w:space="0" w:color="auto"/>
            </w:tcBorders>
            <w:shd w:val="clear" w:color="FFFFFF" w:fill="FFFFFF"/>
            <w:vAlign w:val="bottom"/>
            <w:hideMark/>
          </w:tcPr>
          <w:p w:rsidR="008835EB" w:rsidRDefault="008835EB" w:rsidP="007E3F2E">
            <w:pPr>
              <w:ind w:firstLineChars="100" w:firstLine="160"/>
              <w:rPr>
                <w:rFonts w:cs="Calibri"/>
                <w:color w:val="000000"/>
                <w:sz w:val="16"/>
                <w:szCs w:val="16"/>
              </w:rPr>
            </w:pPr>
            <w:r>
              <w:rPr>
                <w:rFonts w:cs="Calibri"/>
                <w:color w:val="000000"/>
                <w:sz w:val="16"/>
                <w:szCs w:val="16"/>
              </w:rPr>
              <w:t xml:space="preserve">Capital </w:t>
            </w:r>
            <w:proofErr w:type="spellStart"/>
            <w:r>
              <w:rPr>
                <w:rFonts w:cs="Calibri"/>
                <w:color w:val="000000"/>
                <w:sz w:val="16"/>
                <w:szCs w:val="16"/>
              </w:rPr>
              <w:t>Budget</w:t>
            </w:r>
            <w:r>
              <w:rPr>
                <w:rFonts w:cs="Calibri"/>
                <w:color w:val="000000"/>
                <w:sz w:val="16"/>
                <w:szCs w:val="16"/>
                <w:vertAlign w:val="superscript"/>
              </w:rPr>
              <w:t>2</w:t>
            </w:r>
            <w:proofErr w:type="spellEnd"/>
          </w:p>
        </w:tc>
        <w:tc>
          <w:tcPr>
            <w:tcW w:w="1476" w:type="dxa"/>
            <w:tcBorders>
              <w:top w:val="nil"/>
              <w:left w:val="nil"/>
              <w:bottom w:val="nil"/>
              <w:right w:val="nil"/>
            </w:tcBorders>
            <w:shd w:val="clear" w:color="FFFFFF" w:fill="FFFFFF"/>
            <w:noWrap/>
            <w:vAlign w:val="bottom"/>
            <w:hideMark/>
          </w:tcPr>
          <w:p w:rsidR="008835EB" w:rsidRDefault="008835EB" w:rsidP="007E3F2E">
            <w:pPr>
              <w:jc w:val="right"/>
              <w:rPr>
                <w:rFonts w:cs="Calibri"/>
                <w:sz w:val="16"/>
                <w:szCs w:val="16"/>
              </w:rPr>
            </w:pPr>
            <w:r>
              <w:rPr>
                <w:rFonts w:cs="Calibri"/>
                <w:sz w:val="16"/>
                <w:szCs w:val="16"/>
              </w:rPr>
              <w:t xml:space="preserve">31,024 </w:t>
            </w:r>
          </w:p>
        </w:tc>
        <w:tc>
          <w:tcPr>
            <w:tcW w:w="1476"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sz w:val="16"/>
                <w:szCs w:val="16"/>
              </w:rPr>
            </w:pPr>
            <w:r>
              <w:rPr>
                <w:rFonts w:cs="Calibri"/>
                <w:sz w:val="16"/>
                <w:szCs w:val="16"/>
              </w:rPr>
              <w:t xml:space="preserve"> -</w:t>
            </w:r>
          </w:p>
        </w:tc>
        <w:tc>
          <w:tcPr>
            <w:tcW w:w="1196" w:type="dxa"/>
            <w:tcBorders>
              <w:top w:val="nil"/>
              <w:left w:val="nil"/>
              <w:bottom w:val="nil"/>
              <w:right w:val="nil"/>
            </w:tcBorders>
            <w:shd w:val="clear" w:color="FFFFFF" w:fill="FFFFFF"/>
            <w:noWrap/>
            <w:vAlign w:val="bottom"/>
            <w:hideMark/>
          </w:tcPr>
          <w:p w:rsidR="008835EB" w:rsidRDefault="008835EB" w:rsidP="007E3F2E">
            <w:pPr>
              <w:jc w:val="right"/>
              <w:rPr>
                <w:rFonts w:cs="Calibri"/>
                <w:sz w:val="16"/>
                <w:szCs w:val="16"/>
              </w:rPr>
            </w:pPr>
            <w:r>
              <w:rPr>
                <w:rFonts w:cs="Calibri"/>
                <w:sz w:val="16"/>
                <w:szCs w:val="16"/>
              </w:rPr>
              <w:t xml:space="preserve"> -</w:t>
            </w:r>
          </w:p>
        </w:tc>
        <w:tc>
          <w:tcPr>
            <w:tcW w:w="1196" w:type="dxa"/>
            <w:tcBorders>
              <w:top w:val="nil"/>
              <w:left w:val="nil"/>
              <w:bottom w:val="nil"/>
              <w:right w:val="nil"/>
            </w:tcBorders>
            <w:shd w:val="clear" w:color="FFFFFF" w:fill="FFFFFF"/>
            <w:noWrap/>
            <w:vAlign w:val="bottom"/>
            <w:hideMark/>
          </w:tcPr>
          <w:p w:rsidR="008835EB" w:rsidRDefault="008835EB" w:rsidP="007E3F2E">
            <w:pPr>
              <w:jc w:val="right"/>
              <w:rPr>
                <w:rFonts w:cs="Calibri"/>
                <w:sz w:val="16"/>
                <w:szCs w:val="16"/>
              </w:rPr>
            </w:pPr>
            <w:r>
              <w:rPr>
                <w:rFonts w:cs="Calibri"/>
                <w:sz w:val="16"/>
                <w:szCs w:val="16"/>
              </w:rPr>
              <w:t xml:space="preserve"> -</w:t>
            </w:r>
          </w:p>
        </w:tc>
        <w:tc>
          <w:tcPr>
            <w:tcW w:w="1196" w:type="dxa"/>
            <w:tcBorders>
              <w:top w:val="nil"/>
              <w:left w:val="single" w:sz="4" w:space="0" w:color="auto"/>
              <w:bottom w:val="nil"/>
              <w:right w:val="single" w:sz="4" w:space="0" w:color="auto"/>
            </w:tcBorders>
            <w:shd w:val="clear" w:color="FFFFFF" w:fill="FFFFFF"/>
            <w:noWrap/>
            <w:vAlign w:val="bottom"/>
            <w:hideMark/>
          </w:tcPr>
          <w:p w:rsidR="008835EB" w:rsidRDefault="008835EB" w:rsidP="007E3F2E">
            <w:pPr>
              <w:jc w:val="right"/>
              <w:rPr>
                <w:rFonts w:cs="Calibri"/>
                <w:sz w:val="16"/>
                <w:szCs w:val="16"/>
              </w:rPr>
            </w:pPr>
            <w:r>
              <w:rPr>
                <w:rFonts w:cs="Calibri"/>
                <w:sz w:val="16"/>
                <w:szCs w:val="16"/>
              </w:rPr>
              <w:t>31,024</w:t>
            </w:r>
          </w:p>
        </w:tc>
        <w:tc>
          <w:tcPr>
            <w:tcW w:w="1196"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sz w:val="16"/>
                <w:szCs w:val="16"/>
              </w:rPr>
            </w:pPr>
            <w:r>
              <w:rPr>
                <w:rFonts w:cs="Calibri"/>
                <w:sz w:val="16"/>
                <w:szCs w:val="16"/>
              </w:rPr>
              <w:t xml:space="preserve">47,619 </w:t>
            </w:r>
          </w:p>
        </w:tc>
        <w:tc>
          <w:tcPr>
            <w:tcW w:w="1396"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sz w:val="16"/>
                <w:szCs w:val="16"/>
              </w:rPr>
            </w:pPr>
            <w:r>
              <w:rPr>
                <w:rFonts w:cs="Calibri"/>
                <w:sz w:val="16"/>
                <w:szCs w:val="16"/>
              </w:rPr>
              <w:t>(16,595)</w:t>
            </w:r>
          </w:p>
        </w:tc>
      </w:tr>
      <w:tr w:rsidR="008835EB" w:rsidTr="007E3F2E">
        <w:trPr>
          <w:trHeight w:val="255"/>
        </w:trPr>
        <w:tc>
          <w:tcPr>
            <w:tcW w:w="3296" w:type="dxa"/>
            <w:tcBorders>
              <w:top w:val="nil"/>
              <w:left w:val="single" w:sz="4" w:space="0" w:color="auto"/>
              <w:bottom w:val="nil"/>
              <w:right w:val="single" w:sz="4" w:space="0" w:color="auto"/>
            </w:tcBorders>
            <w:shd w:val="clear" w:color="FFFFFF" w:fill="FFFFFF"/>
            <w:vAlign w:val="bottom"/>
            <w:hideMark/>
          </w:tcPr>
          <w:p w:rsidR="008835EB" w:rsidRDefault="008835EB" w:rsidP="007E3F2E">
            <w:pPr>
              <w:ind w:firstLineChars="100" w:firstLine="160"/>
              <w:rPr>
                <w:rFonts w:cs="Calibri"/>
                <w:color w:val="000000"/>
                <w:sz w:val="16"/>
                <w:szCs w:val="16"/>
              </w:rPr>
            </w:pPr>
            <w:r>
              <w:rPr>
                <w:rFonts w:cs="Calibri"/>
                <w:color w:val="000000"/>
                <w:sz w:val="16"/>
                <w:szCs w:val="16"/>
              </w:rPr>
              <w:t>Other services</w:t>
            </w:r>
          </w:p>
        </w:tc>
        <w:tc>
          <w:tcPr>
            <w:tcW w:w="1476" w:type="dxa"/>
            <w:tcBorders>
              <w:top w:val="nil"/>
              <w:left w:val="nil"/>
              <w:bottom w:val="nil"/>
              <w:right w:val="nil"/>
            </w:tcBorders>
            <w:shd w:val="clear" w:color="FFFFFF" w:fill="FFFFFF"/>
            <w:vAlign w:val="bottom"/>
            <w:hideMark/>
          </w:tcPr>
          <w:p w:rsidR="008835EB" w:rsidRDefault="008835EB" w:rsidP="007E3F2E">
            <w:pPr>
              <w:rPr>
                <w:rFonts w:cs="Calibri"/>
                <w:sz w:val="16"/>
                <w:szCs w:val="16"/>
              </w:rPr>
            </w:pPr>
            <w:r>
              <w:rPr>
                <w:rFonts w:cs="Calibri"/>
                <w:sz w:val="16"/>
                <w:szCs w:val="16"/>
              </w:rPr>
              <w:t> </w:t>
            </w:r>
          </w:p>
        </w:tc>
        <w:tc>
          <w:tcPr>
            <w:tcW w:w="1476" w:type="dxa"/>
            <w:tcBorders>
              <w:top w:val="nil"/>
              <w:left w:val="nil"/>
              <w:bottom w:val="nil"/>
              <w:right w:val="single" w:sz="4" w:space="0" w:color="auto"/>
            </w:tcBorders>
            <w:shd w:val="clear" w:color="FFFFFF" w:fill="FFFFFF"/>
            <w:vAlign w:val="bottom"/>
            <w:hideMark/>
          </w:tcPr>
          <w:p w:rsidR="008835EB" w:rsidRDefault="008835EB" w:rsidP="007E3F2E">
            <w:pPr>
              <w:rPr>
                <w:rFonts w:cs="Calibri"/>
                <w:sz w:val="16"/>
                <w:szCs w:val="16"/>
              </w:rPr>
            </w:pPr>
            <w:r>
              <w:rPr>
                <w:rFonts w:cs="Calibri"/>
                <w:sz w:val="16"/>
                <w:szCs w:val="16"/>
              </w:rPr>
              <w:t> </w:t>
            </w:r>
          </w:p>
        </w:tc>
        <w:tc>
          <w:tcPr>
            <w:tcW w:w="1196" w:type="dxa"/>
            <w:tcBorders>
              <w:top w:val="nil"/>
              <w:left w:val="nil"/>
              <w:bottom w:val="nil"/>
              <w:right w:val="nil"/>
            </w:tcBorders>
            <w:shd w:val="clear" w:color="FFFFFF" w:fill="FFFFFF"/>
            <w:vAlign w:val="bottom"/>
            <w:hideMark/>
          </w:tcPr>
          <w:p w:rsidR="008835EB" w:rsidRDefault="008835EB" w:rsidP="007E3F2E">
            <w:pPr>
              <w:rPr>
                <w:rFonts w:cs="Calibri"/>
                <w:sz w:val="16"/>
                <w:szCs w:val="16"/>
              </w:rPr>
            </w:pPr>
            <w:r>
              <w:rPr>
                <w:rFonts w:cs="Calibri"/>
                <w:sz w:val="16"/>
                <w:szCs w:val="16"/>
              </w:rPr>
              <w:t> </w:t>
            </w:r>
          </w:p>
        </w:tc>
        <w:tc>
          <w:tcPr>
            <w:tcW w:w="1196" w:type="dxa"/>
            <w:tcBorders>
              <w:top w:val="nil"/>
              <w:left w:val="nil"/>
              <w:bottom w:val="nil"/>
              <w:right w:val="nil"/>
            </w:tcBorders>
            <w:shd w:val="clear" w:color="FFFFFF" w:fill="FFFFFF"/>
            <w:vAlign w:val="bottom"/>
            <w:hideMark/>
          </w:tcPr>
          <w:p w:rsidR="008835EB" w:rsidRDefault="008835EB" w:rsidP="007E3F2E">
            <w:pPr>
              <w:rPr>
                <w:rFonts w:cs="Calibri"/>
                <w:sz w:val="16"/>
                <w:szCs w:val="16"/>
              </w:rPr>
            </w:pPr>
            <w:r>
              <w:rPr>
                <w:rFonts w:cs="Calibri"/>
                <w:sz w:val="16"/>
                <w:szCs w:val="16"/>
              </w:rPr>
              <w:t> </w:t>
            </w:r>
          </w:p>
        </w:tc>
        <w:tc>
          <w:tcPr>
            <w:tcW w:w="1196" w:type="dxa"/>
            <w:tcBorders>
              <w:top w:val="nil"/>
              <w:left w:val="single" w:sz="4" w:space="0" w:color="auto"/>
              <w:bottom w:val="nil"/>
              <w:right w:val="single" w:sz="4" w:space="0" w:color="auto"/>
            </w:tcBorders>
            <w:shd w:val="clear" w:color="FFFFFF" w:fill="FFFFFF"/>
            <w:noWrap/>
            <w:vAlign w:val="bottom"/>
            <w:hideMark/>
          </w:tcPr>
          <w:p w:rsidR="008835EB" w:rsidRDefault="008835EB" w:rsidP="007E3F2E">
            <w:pPr>
              <w:jc w:val="right"/>
              <w:rPr>
                <w:rFonts w:cs="Calibri"/>
                <w:sz w:val="16"/>
                <w:szCs w:val="16"/>
              </w:rPr>
            </w:pPr>
            <w:r>
              <w:rPr>
                <w:rFonts w:cs="Calibri"/>
                <w:sz w:val="16"/>
                <w:szCs w:val="16"/>
              </w:rPr>
              <w:t> </w:t>
            </w:r>
          </w:p>
        </w:tc>
        <w:tc>
          <w:tcPr>
            <w:tcW w:w="1196" w:type="dxa"/>
            <w:tcBorders>
              <w:top w:val="nil"/>
              <w:left w:val="nil"/>
              <w:bottom w:val="nil"/>
              <w:right w:val="single" w:sz="4" w:space="0" w:color="auto"/>
            </w:tcBorders>
            <w:shd w:val="clear" w:color="FFFFFF" w:fill="FFFFFF"/>
            <w:vAlign w:val="bottom"/>
            <w:hideMark/>
          </w:tcPr>
          <w:p w:rsidR="008835EB" w:rsidRDefault="008835EB" w:rsidP="007E3F2E">
            <w:pPr>
              <w:rPr>
                <w:rFonts w:cs="Calibri"/>
                <w:sz w:val="16"/>
                <w:szCs w:val="16"/>
              </w:rPr>
            </w:pPr>
            <w:r>
              <w:rPr>
                <w:rFonts w:cs="Calibri"/>
                <w:sz w:val="16"/>
                <w:szCs w:val="16"/>
              </w:rPr>
              <w:t> </w:t>
            </w:r>
          </w:p>
        </w:tc>
        <w:tc>
          <w:tcPr>
            <w:tcW w:w="1396"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sz w:val="16"/>
                <w:szCs w:val="16"/>
              </w:rPr>
            </w:pPr>
            <w:r>
              <w:rPr>
                <w:rFonts w:cs="Calibri"/>
                <w:sz w:val="16"/>
                <w:szCs w:val="16"/>
              </w:rPr>
              <w:t> </w:t>
            </w:r>
          </w:p>
        </w:tc>
      </w:tr>
      <w:tr w:rsidR="008835EB" w:rsidTr="007E3F2E">
        <w:trPr>
          <w:trHeight w:val="255"/>
        </w:trPr>
        <w:tc>
          <w:tcPr>
            <w:tcW w:w="3296" w:type="dxa"/>
            <w:tcBorders>
              <w:top w:val="nil"/>
              <w:left w:val="single" w:sz="4" w:space="0" w:color="auto"/>
              <w:bottom w:val="nil"/>
              <w:right w:val="single" w:sz="4" w:space="0" w:color="auto"/>
            </w:tcBorders>
            <w:shd w:val="clear" w:color="FFFFFF" w:fill="FFFFFF"/>
            <w:vAlign w:val="bottom"/>
            <w:hideMark/>
          </w:tcPr>
          <w:p w:rsidR="008835EB" w:rsidRDefault="008835EB" w:rsidP="007E3F2E">
            <w:pPr>
              <w:ind w:firstLineChars="200" w:firstLine="320"/>
              <w:rPr>
                <w:rFonts w:cs="Calibri"/>
                <w:color w:val="000000"/>
                <w:sz w:val="16"/>
                <w:szCs w:val="16"/>
              </w:rPr>
            </w:pPr>
            <w:r>
              <w:rPr>
                <w:rFonts w:cs="Calibri"/>
                <w:color w:val="000000"/>
                <w:sz w:val="16"/>
                <w:szCs w:val="16"/>
              </w:rPr>
              <w:t>Equity</w:t>
            </w:r>
          </w:p>
        </w:tc>
        <w:tc>
          <w:tcPr>
            <w:tcW w:w="1476" w:type="dxa"/>
            <w:tcBorders>
              <w:top w:val="nil"/>
              <w:left w:val="nil"/>
              <w:bottom w:val="nil"/>
              <w:right w:val="nil"/>
            </w:tcBorders>
            <w:shd w:val="clear" w:color="FFFFFF" w:fill="FFFFFF"/>
            <w:noWrap/>
            <w:vAlign w:val="bottom"/>
            <w:hideMark/>
          </w:tcPr>
          <w:p w:rsidR="008835EB" w:rsidRDefault="008835EB" w:rsidP="007E3F2E">
            <w:pPr>
              <w:jc w:val="right"/>
              <w:rPr>
                <w:rFonts w:cs="Calibri"/>
                <w:sz w:val="16"/>
                <w:szCs w:val="16"/>
              </w:rPr>
            </w:pPr>
            <w:r>
              <w:rPr>
                <w:rFonts w:cs="Calibri"/>
                <w:sz w:val="16"/>
                <w:szCs w:val="16"/>
              </w:rPr>
              <w:t xml:space="preserve">23,987 </w:t>
            </w:r>
          </w:p>
        </w:tc>
        <w:tc>
          <w:tcPr>
            <w:tcW w:w="1476"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sz w:val="16"/>
                <w:szCs w:val="16"/>
              </w:rPr>
            </w:pPr>
            <w:r>
              <w:rPr>
                <w:rFonts w:cs="Calibri"/>
                <w:sz w:val="16"/>
                <w:szCs w:val="16"/>
              </w:rPr>
              <w:t xml:space="preserve"> -</w:t>
            </w:r>
          </w:p>
        </w:tc>
        <w:tc>
          <w:tcPr>
            <w:tcW w:w="1196" w:type="dxa"/>
            <w:tcBorders>
              <w:top w:val="nil"/>
              <w:left w:val="nil"/>
              <w:bottom w:val="nil"/>
              <w:right w:val="nil"/>
            </w:tcBorders>
            <w:shd w:val="clear" w:color="FFFFFF" w:fill="FFFFFF"/>
            <w:noWrap/>
            <w:vAlign w:val="bottom"/>
            <w:hideMark/>
          </w:tcPr>
          <w:p w:rsidR="008835EB" w:rsidRDefault="008835EB" w:rsidP="007E3F2E">
            <w:pPr>
              <w:jc w:val="right"/>
              <w:rPr>
                <w:rFonts w:cs="Calibri"/>
                <w:sz w:val="16"/>
                <w:szCs w:val="16"/>
              </w:rPr>
            </w:pPr>
            <w:r>
              <w:rPr>
                <w:rFonts w:cs="Calibri"/>
                <w:sz w:val="16"/>
                <w:szCs w:val="16"/>
              </w:rPr>
              <w:t xml:space="preserve"> -</w:t>
            </w:r>
          </w:p>
        </w:tc>
        <w:tc>
          <w:tcPr>
            <w:tcW w:w="1196"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sz w:val="16"/>
                <w:szCs w:val="16"/>
              </w:rPr>
            </w:pPr>
            <w:r>
              <w:rPr>
                <w:rFonts w:cs="Calibri"/>
                <w:sz w:val="16"/>
                <w:szCs w:val="16"/>
              </w:rPr>
              <w:t xml:space="preserve"> -</w:t>
            </w:r>
          </w:p>
        </w:tc>
        <w:tc>
          <w:tcPr>
            <w:tcW w:w="1196"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sz w:val="16"/>
                <w:szCs w:val="16"/>
              </w:rPr>
            </w:pPr>
            <w:r>
              <w:rPr>
                <w:rFonts w:cs="Calibri"/>
                <w:sz w:val="16"/>
                <w:szCs w:val="16"/>
              </w:rPr>
              <w:t>23,987</w:t>
            </w:r>
          </w:p>
        </w:tc>
        <w:tc>
          <w:tcPr>
            <w:tcW w:w="1196"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sz w:val="16"/>
                <w:szCs w:val="16"/>
              </w:rPr>
            </w:pPr>
            <w:r>
              <w:rPr>
                <w:rFonts w:cs="Calibri"/>
                <w:sz w:val="16"/>
                <w:szCs w:val="16"/>
              </w:rPr>
              <w:t xml:space="preserve">26,114 </w:t>
            </w:r>
          </w:p>
        </w:tc>
        <w:tc>
          <w:tcPr>
            <w:tcW w:w="1396"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sz w:val="16"/>
                <w:szCs w:val="16"/>
              </w:rPr>
            </w:pPr>
            <w:r>
              <w:rPr>
                <w:rFonts w:cs="Calibri"/>
                <w:sz w:val="16"/>
                <w:szCs w:val="16"/>
              </w:rPr>
              <w:t>(2,127)</w:t>
            </w:r>
          </w:p>
        </w:tc>
      </w:tr>
      <w:tr w:rsidR="008835EB" w:rsidTr="007E3F2E">
        <w:trPr>
          <w:trHeight w:val="255"/>
        </w:trPr>
        <w:tc>
          <w:tcPr>
            <w:tcW w:w="3296"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8835EB" w:rsidRDefault="008835EB" w:rsidP="007E3F2E">
            <w:pPr>
              <w:rPr>
                <w:rFonts w:cs="Calibri"/>
                <w:color w:val="000000"/>
                <w:sz w:val="16"/>
                <w:szCs w:val="16"/>
              </w:rPr>
            </w:pPr>
            <w:r>
              <w:rPr>
                <w:rFonts w:cs="Calibri"/>
                <w:color w:val="000000"/>
                <w:sz w:val="16"/>
                <w:szCs w:val="16"/>
              </w:rPr>
              <w:t>Total departmental</w:t>
            </w:r>
          </w:p>
        </w:tc>
        <w:tc>
          <w:tcPr>
            <w:tcW w:w="147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 w:val="16"/>
                <w:szCs w:val="16"/>
              </w:rPr>
            </w:pPr>
            <w:r>
              <w:rPr>
                <w:rFonts w:cs="Calibri"/>
                <w:sz w:val="16"/>
                <w:szCs w:val="16"/>
              </w:rPr>
              <w:t>351,000</w:t>
            </w:r>
          </w:p>
        </w:tc>
        <w:tc>
          <w:tcPr>
            <w:tcW w:w="1476" w:type="dxa"/>
            <w:tcBorders>
              <w:top w:val="single" w:sz="4" w:space="0" w:color="auto"/>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sz w:val="16"/>
                <w:szCs w:val="16"/>
              </w:rPr>
            </w:pPr>
            <w:r>
              <w:rPr>
                <w:rFonts w:cs="Calibri"/>
                <w:sz w:val="16"/>
                <w:szCs w:val="16"/>
              </w:rPr>
              <w:t>-</w:t>
            </w:r>
          </w:p>
        </w:tc>
        <w:tc>
          <w:tcPr>
            <w:tcW w:w="119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 w:val="16"/>
                <w:szCs w:val="16"/>
              </w:rPr>
            </w:pPr>
            <w:r>
              <w:rPr>
                <w:rFonts w:cs="Calibri"/>
                <w:sz w:val="16"/>
                <w:szCs w:val="16"/>
              </w:rPr>
              <w:t>26,198</w:t>
            </w:r>
          </w:p>
        </w:tc>
        <w:tc>
          <w:tcPr>
            <w:tcW w:w="119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 w:val="16"/>
                <w:szCs w:val="16"/>
              </w:rPr>
            </w:pPr>
            <w:r>
              <w:rPr>
                <w:rFonts w:cs="Calibri"/>
                <w:sz w:val="16"/>
                <w:szCs w:val="16"/>
              </w:rPr>
              <w:t>-</w:t>
            </w:r>
          </w:p>
        </w:tc>
        <w:tc>
          <w:tcPr>
            <w:tcW w:w="1196"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835EB" w:rsidRDefault="008835EB" w:rsidP="007E3F2E">
            <w:pPr>
              <w:jc w:val="right"/>
              <w:rPr>
                <w:rFonts w:cs="Calibri"/>
                <w:sz w:val="16"/>
                <w:szCs w:val="16"/>
              </w:rPr>
            </w:pPr>
            <w:r>
              <w:rPr>
                <w:rFonts w:cs="Calibri"/>
                <w:sz w:val="16"/>
                <w:szCs w:val="16"/>
              </w:rPr>
              <w:t>377,198</w:t>
            </w:r>
          </w:p>
        </w:tc>
        <w:tc>
          <w:tcPr>
            <w:tcW w:w="1196" w:type="dxa"/>
            <w:tcBorders>
              <w:top w:val="single" w:sz="4" w:space="0" w:color="auto"/>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sz w:val="16"/>
                <w:szCs w:val="16"/>
              </w:rPr>
            </w:pPr>
            <w:r>
              <w:rPr>
                <w:rFonts w:cs="Calibri"/>
                <w:sz w:val="16"/>
                <w:szCs w:val="16"/>
              </w:rPr>
              <w:t>334,110</w:t>
            </w:r>
          </w:p>
        </w:tc>
        <w:tc>
          <w:tcPr>
            <w:tcW w:w="1396" w:type="dxa"/>
            <w:tcBorders>
              <w:top w:val="single" w:sz="4" w:space="0" w:color="auto"/>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sz w:val="16"/>
                <w:szCs w:val="16"/>
              </w:rPr>
            </w:pPr>
            <w:r>
              <w:rPr>
                <w:rFonts w:cs="Calibri"/>
                <w:sz w:val="16"/>
                <w:szCs w:val="16"/>
              </w:rPr>
              <w:t>43,088</w:t>
            </w:r>
          </w:p>
        </w:tc>
      </w:tr>
      <w:tr w:rsidR="008835EB" w:rsidTr="007E3F2E">
        <w:trPr>
          <w:trHeight w:val="255"/>
        </w:trPr>
        <w:tc>
          <w:tcPr>
            <w:tcW w:w="3296" w:type="dxa"/>
            <w:tcBorders>
              <w:top w:val="nil"/>
              <w:left w:val="single" w:sz="4" w:space="0" w:color="auto"/>
              <w:bottom w:val="nil"/>
              <w:right w:val="single" w:sz="4" w:space="0" w:color="auto"/>
            </w:tcBorders>
            <w:shd w:val="clear" w:color="000000" w:fill="D9D9D9"/>
            <w:vAlign w:val="bottom"/>
            <w:hideMark/>
          </w:tcPr>
          <w:p w:rsidR="008835EB" w:rsidRDefault="008835EB" w:rsidP="007E3F2E">
            <w:pPr>
              <w:rPr>
                <w:rFonts w:cs="Calibri"/>
                <w:sz w:val="16"/>
                <w:szCs w:val="16"/>
              </w:rPr>
            </w:pPr>
            <w:r>
              <w:rPr>
                <w:rFonts w:cs="Calibri"/>
                <w:sz w:val="16"/>
                <w:szCs w:val="16"/>
              </w:rPr>
              <w:t>ADMINISTERED</w:t>
            </w:r>
          </w:p>
        </w:tc>
        <w:tc>
          <w:tcPr>
            <w:tcW w:w="1476" w:type="dxa"/>
            <w:tcBorders>
              <w:top w:val="nil"/>
              <w:left w:val="nil"/>
              <w:bottom w:val="nil"/>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1476" w:type="dxa"/>
            <w:tcBorders>
              <w:top w:val="nil"/>
              <w:left w:val="nil"/>
              <w:bottom w:val="nil"/>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1196" w:type="dxa"/>
            <w:tcBorders>
              <w:top w:val="nil"/>
              <w:left w:val="single" w:sz="4" w:space="0" w:color="auto"/>
              <w:bottom w:val="nil"/>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1196" w:type="dxa"/>
            <w:tcBorders>
              <w:top w:val="nil"/>
              <w:left w:val="nil"/>
              <w:bottom w:val="nil"/>
              <w:right w:val="single" w:sz="4" w:space="0" w:color="auto"/>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1196" w:type="dxa"/>
            <w:tcBorders>
              <w:top w:val="nil"/>
              <w:left w:val="nil"/>
              <w:bottom w:val="nil"/>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1196" w:type="dxa"/>
            <w:tcBorders>
              <w:top w:val="nil"/>
              <w:left w:val="single" w:sz="4" w:space="0" w:color="auto"/>
              <w:bottom w:val="nil"/>
              <w:right w:val="single" w:sz="4" w:space="0" w:color="auto"/>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1396" w:type="dxa"/>
            <w:tcBorders>
              <w:top w:val="nil"/>
              <w:left w:val="nil"/>
              <w:bottom w:val="nil"/>
              <w:right w:val="single" w:sz="4" w:space="0" w:color="auto"/>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r>
      <w:tr w:rsidR="008835EB" w:rsidTr="007E3F2E">
        <w:trPr>
          <w:trHeight w:val="255"/>
        </w:trPr>
        <w:tc>
          <w:tcPr>
            <w:tcW w:w="3296" w:type="dxa"/>
            <w:tcBorders>
              <w:top w:val="nil"/>
              <w:left w:val="single" w:sz="4" w:space="0" w:color="auto"/>
              <w:bottom w:val="nil"/>
              <w:right w:val="single" w:sz="4" w:space="0" w:color="auto"/>
            </w:tcBorders>
            <w:shd w:val="clear" w:color="000000" w:fill="D9D9D9"/>
            <w:vAlign w:val="bottom"/>
            <w:hideMark/>
          </w:tcPr>
          <w:p w:rsidR="008835EB" w:rsidRDefault="008835EB" w:rsidP="007E3F2E">
            <w:pPr>
              <w:ind w:firstLineChars="100" w:firstLine="160"/>
              <w:rPr>
                <w:rFonts w:cs="Calibri"/>
                <w:sz w:val="16"/>
                <w:szCs w:val="16"/>
              </w:rPr>
            </w:pPr>
            <w:r>
              <w:rPr>
                <w:rFonts w:cs="Calibri"/>
                <w:sz w:val="16"/>
                <w:szCs w:val="16"/>
              </w:rPr>
              <w:t>Ordinary annual services</w:t>
            </w:r>
          </w:p>
        </w:tc>
        <w:tc>
          <w:tcPr>
            <w:tcW w:w="1476" w:type="dxa"/>
            <w:tcBorders>
              <w:top w:val="nil"/>
              <w:left w:val="nil"/>
              <w:bottom w:val="nil"/>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1476" w:type="dxa"/>
            <w:tcBorders>
              <w:top w:val="nil"/>
              <w:left w:val="nil"/>
              <w:bottom w:val="nil"/>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1196" w:type="dxa"/>
            <w:tcBorders>
              <w:top w:val="nil"/>
              <w:left w:val="single" w:sz="4" w:space="0" w:color="auto"/>
              <w:bottom w:val="nil"/>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1196" w:type="dxa"/>
            <w:tcBorders>
              <w:top w:val="nil"/>
              <w:left w:val="nil"/>
              <w:bottom w:val="nil"/>
              <w:right w:val="single" w:sz="4" w:space="0" w:color="auto"/>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1196" w:type="dxa"/>
            <w:tcBorders>
              <w:top w:val="nil"/>
              <w:left w:val="nil"/>
              <w:bottom w:val="nil"/>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1196" w:type="dxa"/>
            <w:tcBorders>
              <w:top w:val="nil"/>
              <w:left w:val="single" w:sz="4" w:space="0" w:color="auto"/>
              <w:bottom w:val="nil"/>
              <w:right w:val="single" w:sz="4" w:space="0" w:color="auto"/>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1396" w:type="dxa"/>
            <w:tcBorders>
              <w:top w:val="nil"/>
              <w:left w:val="nil"/>
              <w:bottom w:val="nil"/>
              <w:right w:val="single" w:sz="4" w:space="0" w:color="auto"/>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r>
      <w:tr w:rsidR="008835EB" w:rsidTr="007E3F2E">
        <w:trPr>
          <w:trHeight w:val="255"/>
        </w:trPr>
        <w:tc>
          <w:tcPr>
            <w:tcW w:w="3296" w:type="dxa"/>
            <w:tcBorders>
              <w:top w:val="nil"/>
              <w:left w:val="single" w:sz="4" w:space="0" w:color="auto"/>
              <w:bottom w:val="nil"/>
              <w:right w:val="single" w:sz="4" w:space="0" w:color="auto"/>
            </w:tcBorders>
            <w:shd w:val="clear" w:color="000000" w:fill="D9D9D9"/>
            <w:vAlign w:val="bottom"/>
            <w:hideMark/>
          </w:tcPr>
          <w:p w:rsidR="008835EB" w:rsidRDefault="008835EB" w:rsidP="007E3F2E">
            <w:pPr>
              <w:ind w:firstLineChars="200" w:firstLine="320"/>
              <w:rPr>
                <w:rFonts w:cs="Calibri"/>
                <w:color w:val="000000"/>
                <w:sz w:val="16"/>
                <w:szCs w:val="16"/>
              </w:rPr>
            </w:pPr>
            <w:r>
              <w:rPr>
                <w:rFonts w:cs="Calibri"/>
                <w:color w:val="000000"/>
                <w:sz w:val="16"/>
                <w:szCs w:val="16"/>
              </w:rPr>
              <w:t>Administered items</w:t>
            </w:r>
          </w:p>
        </w:tc>
        <w:tc>
          <w:tcPr>
            <w:tcW w:w="1476" w:type="dxa"/>
            <w:tcBorders>
              <w:top w:val="nil"/>
              <w:left w:val="nil"/>
              <w:bottom w:val="nil"/>
              <w:right w:val="nil"/>
            </w:tcBorders>
            <w:shd w:val="clear" w:color="000000" w:fill="D9D9D9"/>
            <w:noWrap/>
            <w:vAlign w:val="bottom"/>
            <w:hideMark/>
          </w:tcPr>
          <w:p w:rsidR="008835EB" w:rsidRDefault="008835EB" w:rsidP="007E3F2E">
            <w:pPr>
              <w:jc w:val="right"/>
              <w:rPr>
                <w:rFonts w:cs="Calibri"/>
                <w:sz w:val="16"/>
                <w:szCs w:val="16"/>
              </w:rPr>
            </w:pPr>
            <w:r>
              <w:rPr>
                <w:rFonts w:cs="Calibri"/>
                <w:sz w:val="16"/>
                <w:szCs w:val="16"/>
              </w:rPr>
              <w:t xml:space="preserve">1,552,552 </w:t>
            </w:r>
          </w:p>
        </w:tc>
        <w:tc>
          <w:tcPr>
            <w:tcW w:w="1476" w:type="dxa"/>
            <w:tcBorders>
              <w:top w:val="nil"/>
              <w:left w:val="nil"/>
              <w:bottom w:val="nil"/>
              <w:right w:val="single" w:sz="4" w:space="0" w:color="auto"/>
            </w:tcBorders>
            <w:shd w:val="clear" w:color="000000" w:fill="D9D9D9"/>
            <w:noWrap/>
            <w:vAlign w:val="bottom"/>
            <w:hideMark/>
          </w:tcPr>
          <w:p w:rsidR="008835EB" w:rsidRDefault="008835EB" w:rsidP="007E3F2E">
            <w:pPr>
              <w:jc w:val="right"/>
              <w:rPr>
                <w:rFonts w:cs="Calibri"/>
                <w:sz w:val="16"/>
                <w:szCs w:val="16"/>
              </w:rPr>
            </w:pPr>
            <w:r>
              <w:rPr>
                <w:rFonts w:cs="Calibri"/>
                <w:sz w:val="16"/>
                <w:szCs w:val="16"/>
              </w:rPr>
              <w:t xml:space="preserve"> -</w:t>
            </w:r>
          </w:p>
        </w:tc>
        <w:tc>
          <w:tcPr>
            <w:tcW w:w="1196" w:type="dxa"/>
            <w:tcBorders>
              <w:top w:val="nil"/>
              <w:left w:val="nil"/>
              <w:bottom w:val="nil"/>
              <w:right w:val="nil"/>
            </w:tcBorders>
            <w:shd w:val="clear" w:color="000000" w:fill="D9D9D9"/>
            <w:noWrap/>
            <w:vAlign w:val="bottom"/>
            <w:hideMark/>
          </w:tcPr>
          <w:p w:rsidR="008835EB" w:rsidRDefault="008835EB" w:rsidP="007E3F2E">
            <w:pPr>
              <w:jc w:val="right"/>
              <w:rPr>
                <w:rFonts w:cs="Calibri"/>
                <w:sz w:val="16"/>
                <w:szCs w:val="16"/>
              </w:rPr>
            </w:pPr>
            <w:r>
              <w:rPr>
                <w:rFonts w:cs="Calibri"/>
                <w:sz w:val="16"/>
                <w:szCs w:val="16"/>
              </w:rPr>
              <w:t xml:space="preserve"> -</w:t>
            </w:r>
          </w:p>
        </w:tc>
        <w:tc>
          <w:tcPr>
            <w:tcW w:w="1196" w:type="dxa"/>
            <w:tcBorders>
              <w:top w:val="nil"/>
              <w:left w:val="nil"/>
              <w:bottom w:val="nil"/>
              <w:right w:val="single" w:sz="4" w:space="0" w:color="auto"/>
            </w:tcBorders>
            <w:shd w:val="clear" w:color="000000" w:fill="D9D9D9"/>
            <w:noWrap/>
            <w:vAlign w:val="bottom"/>
            <w:hideMark/>
          </w:tcPr>
          <w:p w:rsidR="008835EB" w:rsidRDefault="008835EB" w:rsidP="007E3F2E">
            <w:pPr>
              <w:jc w:val="right"/>
              <w:rPr>
                <w:rFonts w:cs="Calibri"/>
                <w:sz w:val="16"/>
                <w:szCs w:val="16"/>
              </w:rPr>
            </w:pPr>
            <w:r>
              <w:rPr>
                <w:rFonts w:cs="Calibri"/>
                <w:sz w:val="16"/>
                <w:szCs w:val="16"/>
              </w:rPr>
              <w:t xml:space="preserve"> -</w:t>
            </w:r>
          </w:p>
        </w:tc>
        <w:tc>
          <w:tcPr>
            <w:tcW w:w="1196" w:type="dxa"/>
            <w:tcBorders>
              <w:top w:val="nil"/>
              <w:left w:val="nil"/>
              <w:bottom w:val="nil"/>
              <w:right w:val="nil"/>
            </w:tcBorders>
            <w:shd w:val="clear" w:color="000000" w:fill="D9D9D9"/>
            <w:noWrap/>
            <w:vAlign w:val="bottom"/>
            <w:hideMark/>
          </w:tcPr>
          <w:p w:rsidR="008835EB" w:rsidRDefault="008835EB" w:rsidP="007E3F2E">
            <w:pPr>
              <w:jc w:val="right"/>
              <w:rPr>
                <w:rFonts w:cs="Calibri"/>
                <w:sz w:val="16"/>
                <w:szCs w:val="16"/>
              </w:rPr>
            </w:pPr>
            <w:r>
              <w:rPr>
                <w:rFonts w:cs="Calibri"/>
                <w:sz w:val="16"/>
                <w:szCs w:val="16"/>
              </w:rPr>
              <w:t>1,552,552</w:t>
            </w:r>
          </w:p>
        </w:tc>
        <w:tc>
          <w:tcPr>
            <w:tcW w:w="1196" w:type="dxa"/>
            <w:tcBorders>
              <w:top w:val="nil"/>
              <w:left w:val="single" w:sz="4" w:space="0" w:color="auto"/>
              <w:bottom w:val="nil"/>
              <w:right w:val="single" w:sz="4" w:space="0" w:color="auto"/>
            </w:tcBorders>
            <w:shd w:val="clear" w:color="000000" w:fill="D9D9D9"/>
            <w:noWrap/>
            <w:vAlign w:val="bottom"/>
            <w:hideMark/>
          </w:tcPr>
          <w:p w:rsidR="008835EB" w:rsidRDefault="008835EB" w:rsidP="007E3F2E">
            <w:pPr>
              <w:jc w:val="right"/>
              <w:rPr>
                <w:rFonts w:cs="Calibri"/>
                <w:sz w:val="16"/>
                <w:szCs w:val="16"/>
              </w:rPr>
            </w:pPr>
            <w:r>
              <w:rPr>
                <w:rFonts w:cs="Calibri"/>
                <w:sz w:val="16"/>
                <w:szCs w:val="16"/>
              </w:rPr>
              <w:t xml:space="preserve">1,290,262 </w:t>
            </w:r>
          </w:p>
        </w:tc>
        <w:tc>
          <w:tcPr>
            <w:tcW w:w="1396" w:type="dxa"/>
            <w:tcBorders>
              <w:top w:val="nil"/>
              <w:left w:val="nil"/>
              <w:bottom w:val="nil"/>
              <w:right w:val="single" w:sz="4" w:space="0" w:color="auto"/>
            </w:tcBorders>
            <w:shd w:val="clear" w:color="000000" w:fill="D9D9D9"/>
            <w:noWrap/>
            <w:vAlign w:val="bottom"/>
            <w:hideMark/>
          </w:tcPr>
          <w:p w:rsidR="008835EB" w:rsidRDefault="008835EB" w:rsidP="007E3F2E">
            <w:pPr>
              <w:jc w:val="right"/>
              <w:rPr>
                <w:rFonts w:cs="Calibri"/>
                <w:sz w:val="16"/>
                <w:szCs w:val="16"/>
              </w:rPr>
            </w:pPr>
            <w:r>
              <w:rPr>
                <w:rFonts w:cs="Calibri"/>
                <w:sz w:val="16"/>
                <w:szCs w:val="16"/>
              </w:rPr>
              <w:t>262,290</w:t>
            </w:r>
          </w:p>
        </w:tc>
      </w:tr>
      <w:tr w:rsidR="008835EB" w:rsidTr="007E3F2E">
        <w:trPr>
          <w:trHeight w:val="255"/>
        </w:trPr>
        <w:tc>
          <w:tcPr>
            <w:tcW w:w="3296" w:type="dxa"/>
            <w:tcBorders>
              <w:top w:val="nil"/>
              <w:left w:val="single" w:sz="4" w:space="0" w:color="auto"/>
              <w:bottom w:val="nil"/>
              <w:right w:val="nil"/>
            </w:tcBorders>
            <w:shd w:val="clear" w:color="000000" w:fill="D9D9D9"/>
            <w:vAlign w:val="bottom"/>
            <w:hideMark/>
          </w:tcPr>
          <w:p w:rsidR="008835EB" w:rsidRDefault="008835EB" w:rsidP="007E3F2E">
            <w:pPr>
              <w:ind w:firstLineChars="200" w:firstLine="320"/>
              <w:rPr>
                <w:rFonts w:cs="Calibri"/>
                <w:sz w:val="16"/>
                <w:szCs w:val="16"/>
              </w:rPr>
            </w:pPr>
            <w:r>
              <w:rPr>
                <w:rFonts w:cs="Calibri"/>
                <w:sz w:val="16"/>
                <w:szCs w:val="16"/>
              </w:rPr>
              <w:t>Payments to corporate entities</w:t>
            </w:r>
          </w:p>
        </w:tc>
        <w:tc>
          <w:tcPr>
            <w:tcW w:w="1476"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sz w:val="16"/>
                <w:szCs w:val="16"/>
              </w:rPr>
            </w:pPr>
            <w:r>
              <w:rPr>
                <w:rFonts w:cs="Calibri"/>
                <w:sz w:val="16"/>
                <w:szCs w:val="16"/>
              </w:rPr>
              <w:t xml:space="preserve">7,563 </w:t>
            </w:r>
          </w:p>
        </w:tc>
        <w:tc>
          <w:tcPr>
            <w:tcW w:w="1476" w:type="dxa"/>
            <w:tcBorders>
              <w:top w:val="nil"/>
              <w:left w:val="nil"/>
              <w:bottom w:val="nil"/>
              <w:right w:val="single" w:sz="4" w:space="0" w:color="auto"/>
            </w:tcBorders>
            <w:shd w:val="clear" w:color="000000" w:fill="D9D9D9"/>
            <w:noWrap/>
            <w:vAlign w:val="bottom"/>
            <w:hideMark/>
          </w:tcPr>
          <w:p w:rsidR="008835EB" w:rsidRDefault="008835EB" w:rsidP="007E3F2E">
            <w:pPr>
              <w:jc w:val="right"/>
              <w:rPr>
                <w:rFonts w:cs="Calibri"/>
                <w:sz w:val="16"/>
                <w:szCs w:val="16"/>
              </w:rPr>
            </w:pPr>
            <w:r>
              <w:rPr>
                <w:rFonts w:cs="Calibri"/>
                <w:sz w:val="16"/>
                <w:szCs w:val="16"/>
              </w:rPr>
              <w:t xml:space="preserve"> -</w:t>
            </w:r>
          </w:p>
        </w:tc>
        <w:tc>
          <w:tcPr>
            <w:tcW w:w="1196" w:type="dxa"/>
            <w:tcBorders>
              <w:top w:val="nil"/>
              <w:left w:val="nil"/>
              <w:bottom w:val="nil"/>
              <w:right w:val="nil"/>
            </w:tcBorders>
            <w:shd w:val="clear" w:color="000000" w:fill="D9D9D9"/>
            <w:noWrap/>
            <w:vAlign w:val="bottom"/>
            <w:hideMark/>
          </w:tcPr>
          <w:p w:rsidR="008835EB" w:rsidRDefault="008835EB" w:rsidP="007E3F2E">
            <w:pPr>
              <w:jc w:val="right"/>
              <w:rPr>
                <w:rFonts w:cs="Calibri"/>
                <w:sz w:val="16"/>
                <w:szCs w:val="16"/>
              </w:rPr>
            </w:pPr>
            <w:r>
              <w:rPr>
                <w:rFonts w:cs="Calibri"/>
                <w:sz w:val="16"/>
                <w:szCs w:val="16"/>
              </w:rPr>
              <w:t xml:space="preserve"> -</w:t>
            </w:r>
          </w:p>
        </w:tc>
        <w:tc>
          <w:tcPr>
            <w:tcW w:w="1196" w:type="dxa"/>
            <w:tcBorders>
              <w:top w:val="nil"/>
              <w:left w:val="nil"/>
              <w:bottom w:val="nil"/>
              <w:right w:val="single" w:sz="4" w:space="0" w:color="auto"/>
            </w:tcBorders>
            <w:shd w:val="clear" w:color="000000" w:fill="D9D9D9"/>
            <w:noWrap/>
            <w:vAlign w:val="bottom"/>
            <w:hideMark/>
          </w:tcPr>
          <w:p w:rsidR="008835EB" w:rsidRDefault="008835EB" w:rsidP="007E3F2E">
            <w:pPr>
              <w:jc w:val="right"/>
              <w:rPr>
                <w:rFonts w:cs="Calibri"/>
                <w:sz w:val="16"/>
                <w:szCs w:val="16"/>
              </w:rPr>
            </w:pPr>
            <w:r>
              <w:rPr>
                <w:rFonts w:cs="Calibri"/>
                <w:sz w:val="16"/>
                <w:szCs w:val="16"/>
              </w:rPr>
              <w:t xml:space="preserve"> -</w:t>
            </w:r>
          </w:p>
        </w:tc>
        <w:tc>
          <w:tcPr>
            <w:tcW w:w="1196" w:type="dxa"/>
            <w:tcBorders>
              <w:top w:val="nil"/>
              <w:left w:val="nil"/>
              <w:bottom w:val="nil"/>
              <w:right w:val="nil"/>
            </w:tcBorders>
            <w:shd w:val="clear" w:color="000000" w:fill="D9D9D9"/>
            <w:noWrap/>
            <w:vAlign w:val="bottom"/>
            <w:hideMark/>
          </w:tcPr>
          <w:p w:rsidR="008835EB" w:rsidRDefault="008835EB" w:rsidP="007E3F2E">
            <w:pPr>
              <w:jc w:val="right"/>
              <w:rPr>
                <w:rFonts w:cs="Calibri"/>
                <w:sz w:val="16"/>
                <w:szCs w:val="16"/>
              </w:rPr>
            </w:pPr>
            <w:r>
              <w:rPr>
                <w:rFonts w:cs="Calibri"/>
                <w:sz w:val="16"/>
                <w:szCs w:val="16"/>
              </w:rPr>
              <w:t>7,563</w:t>
            </w:r>
          </w:p>
        </w:tc>
        <w:tc>
          <w:tcPr>
            <w:tcW w:w="1196" w:type="dxa"/>
            <w:tcBorders>
              <w:top w:val="nil"/>
              <w:left w:val="single" w:sz="4" w:space="0" w:color="auto"/>
              <w:bottom w:val="nil"/>
              <w:right w:val="single" w:sz="4" w:space="0" w:color="auto"/>
            </w:tcBorders>
            <w:shd w:val="clear" w:color="000000" w:fill="D9D9D9"/>
            <w:noWrap/>
            <w:vAlign w:val="bottom"/>
            <w:hideMark/>
          </w:tcPr>
          <w:p w:rsidR="008835EB" w:rsidRDefault="008835EB" w:rsidP="007E3F2E">
            <w:pPr>
              <w:jc w:val="right"/>
              <w:rPr>
                <w:rFonts w:cs="Calibri"/>
                <w:sz w:val="16"/>
                <w:szCs w:val="16"/>
              </w:rPr>
            </w:pPr>
            <w:r>
              <w:rPr>
                <w:rFonts w:cs="Calibri"/>
                <w:sz w:val="16"/>
                <w:szCs w:val="16"/>
              </w:rPr>
              <w:t xml:space="preserve">7,563 </w:t>
            </w:r>
          </w:p>
        </w:tc>
        <w:tc>
          <w:tcPr>
            <w:tcW w:w="1396" w:type="dxa"/>
            <w:tcBorders>
              <w:top w:val="nil"/>
              <w:left w:val="nil"/>
              <w:bottom w:val="nil"/>
              <w:right w:val="single" w:sz="4" w:space="0" w:color="auto"/>
            </w:tcBorders>
            <w:shd w:val="clear" w:color="000000" w:fill="D9D9D9"/>
            <w:noWrap/>
            <w:vAlign w:val="bottom"/>
            <w:hideMark/>
          </w:tcPr>
          <w:p w:rsidR="008835EB" w:rsidRDefault="008835EB" w:rsidP="007E3F2E">
            <w:pPr>
              <w:jc w:val="right"/>
              <w:rPr>
                <w:rFonts w:cs="Calibri"/>
                <w:sz w:val="16"/>
                <w:szCs w:val="16"/>
              </w:rPr>
            </w:pPr>
            <w:r>
              <w:rPr>
                <w:rFonts w:cs="Calibri"/>
                <w:sz w:val="16"/>
                <w:szCs w:val="16"/>
              </w:rPr>
              <w:t xml:space="preserve"> -</w:t>
            </w:r>
          </w:p>
        </w:tc>
      </w:tr>
      <w:tr w:rsidR="008835EB" w:rsidTr="007E3F2E">
        <w:trPr>
          <w:trHeight w:val="255"/>
        </w:trPr>
        <w:tc>
          <w:tcPr>
            <w:tcW w:w="3296" w:type="dxa"/>
            <w:tcBorders>
              <w:top w:val="nil"/>
              <w:left w:val="single" w:sz="4" w:space="0" w:color="auto"/>
              <w:bottom w:val="single" w:sz="4" w:space="0" w:color="auto"/>
              <w:right w:val="nil"/>
            </w:tcBorders>
            <w:shd w:val="clear" w:color="000000" w:fill="D9D9D9"/>
            <w:vAlign w:val="bottom"/>
            <w:hideMark/>
          </w:tcPr>
          <w:p w:rsidR="008835EB" w:rsidRDefault="008835EB" w:rsidP="007E3F2E">
            <w:pPr>
              <w:rPr>
                <w:rFonts w:cs="Calibri"/>
                <w:sz w:val="16"/>
                <w:szCs w:val="16"/>
              </w:rPr>
            </w:pPr>
            <w:r>
              <w:rPr>
                <w:rFonts w:cs="Calibri"/>
                <w:sz w:val="16"/>
                <w:szCs w:val="16"/>
              </w:rPr>
              <w:t>Total administered</w:t>
            </w:r>
          </w:p>
        </w:tc>
        <w:tc>
          <w:tcPr>
            <w:tcW w:w="1476" w:type="dxa"/>
            <w:tcBorders>
              <w:top w:val="single" w:sz="4" w:space="0" w:color="auto"/>
              <w:left w:val="single" w:sz="4" w:space="0" w:color="auto"/>
              <w:bottom w:val="single" w:sz="4" w:space="0" w:color="auto"/>
              <w:right w:val="nil"/>
            </w:tcBorders>
            <w:shd w:val="clear" w:color="000000" w:fill="D9D9D9"/>
            <w:noWrap/>
            <w:vAlign w:val="bottom"/>
            <w:hideMark/>
          </w:tcPr>
          <w:p w:rsidR="008835EB" w:rsidRDefault="008835EB" w:rsidP="007E3F2E">
            <w:pPr>
              <w:jc w:val="right"/>
              <w:rPr>
                <w:rFonts w:cs="Calibri"/>
                <w:sz w:val="16"/>
                <w:szCs w:val="16"/>
              </w:rPr>
            </w:pPr>
            <w:r>
              <w:rPr>
                <w:rFonts w:cs="Calibri"/>
                <w:sz w:val="16"/>
                <w:szCs w:val="16"/>
              </w:rPr>
              <w:t>1,560,115</w:t>
            </w:r>
          </w:p>
        </w:tc>
        <w:tc>
          <w:tcPr>
            <w:tcW w:w="1476" w:type="dxa"/>
            <w:tcBorders>
              <w:top w:val="single" w:sz="4" w:space="0" w:color="auto"/>
              <w:left w:val="nil"/>
              <w:bottom w:val="single" w:sz="4" w:space="0" w:color="auto"/>
              <w:right w:val="single" w:sz="4" w:space="0" w:color="auto"/>
            </w:tcBorders>
            <w:shd w:val="clear" w:color="000000" w:fill="D9D9D9"/>
            <w:noWrap/>
            <w:vAlign w:val="bottom"/>
            <w:hideMark/>
          </w:tcPr>
          <w:p w:rsidR="008835EB" w:rsidRDefault="008835EB" w:rsidP="007E3F2E">
            <w:pPr>
              <w:jc w:val="right"/>
              <w:rPr>
                <w:rFonts w:cs="Calibri"/>
                <w:sz w:val="16"/>
                <w:szCs w:val="16"/>
              </w:rPr>
            </w:pPr>
            <w:r>
              <w:rPr>
                <w:rFonts w:cs="Calibri"/>
                <w:sz w:val="16"/>
                <w:szCs w:val="16"/>
              </w:rPr>
              <w:t>-</w:t>
            </w:r>
          </w:p>
        </w:tc>
        <w:tc>
          <w:tcPr>
            <w:tcW w:w="1196"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 w:val="16"/>
                <w:szCs w:val="16"/>
              </w:rPr>
            </w:pPr>
            <w:r>
              <w:rPr>
                <w:rFonts w:cs="Calibri"/>
                <w:sz w:val="16"/>
                <w:szCs w:val="16"/>
              </w:rPr>
              <w:t>-</w:t>
            </w:r>
          </w:p>
        </w:tc>
        <w:tc>
          <w:tcPr>
            <w:tcW w:w="1196"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 w:val="16"/>
                <w:szCs w:val="16"/>
              </w:rPr>
            </w:pPr>
            <w:r>
              <w:rPr>
                <w:rFonts w:cs="Calibri"/>
                <w:sz w:val="16"/>
                <w:szCs w:val="16"/>
              </w:rPr>
              <w:t>-</w:t>
            </w:r>
          </w:p>
        </w:tc>
        <w:tc>
          <w:tcPr>
            <w:tcW w:w="119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8835EB" w:rsidRDefault="008835EB" w:rsidP="007E3F2E">
            <w:pPr>
              <w:jc w:val="right"/>
              <w:rPr>
                <w:rFonts w:cs="Calibri"/>
                <w:sz w:val="16"/>
                <w:szCs w:val="16"/>
              </w:rPr>
            </w:pPr>
            <w:r>
              <w:rPr>
                <w:rFonts w:cs="Calibri"/>
                <w:sz w:val="16"/>
                <w:szCs w:val="16"/>
              </w:rPr>
              <w:t>1,560,115</w:t>
            </w:r>
          </w:p>
        </w:tc>
        <w:tc>
          <w:tcPr>
            <w:tcW w:w="1196" w:type="dxa"/>
            <w:tcBorders>
              <w:top w:val="single" w:sz="4" w:space="0" w:color="auto"/>
              <w:left w:val="nil"/>
              <w:bottom w:val="single" w:sz="4" w:space="0" w:color="auto"/>
              <w:right w:val="single" w:sz="4" w:space="0" w:color="auto"/>
            </w:tcBorders>
            <w:shd w:val="clear" w:color="000000" w:fill="D9D9D9"/>
            <w:noWrap/>
            <w:vAlign w:val="bottom"/>
            <w:hideMark/>
          </w:tcPr>
          <w:p w:rsidR="008835EB" w:rsidRDefault="008835EB" w:rsidP="007E3F2E">
            <w:pPr>
              <w:jc w:val="right"/>
              <w:rPr>
                <w:rFonts w:cs="Calibri"/>
                <w:sz w:val="16"/>
                <w:szCs w:val="16"/>
              </w:rPr>
            </w:pPr>
            <w:r>
              <w:rPr>
                <w:rFonts w:cs="Calibri"/>
                <w:sz w:val="16"/>
                <w:szCs w:val="16"/>
              </w:rPr>
              <w:t>1,297,825</w:t>
            </w:r>
          </w:p>
        </w:tc>
        <w:tc>
          <w:tcPr>
            <w:tcW w:w="1396" w:type="dxa"/>
            <w:tcBorders>
              <w:top w:val="single" w:sz="4" w:space="0" w:color="auto"/>
              <w:left w:val="nil"/>
              <w:bottom w:val="single" w:sz="4" w:space="0" w:color="auto"/>
              <w:right w:val="single" w:sz="4" w:space="0" w:color="auto"/>
            </w:tcBorders>
            <w:shd w:val="clear" w:color="000000" w:fill="D9D9D9"/>
            <w:noWrap/>
            <w:vAlign w:val="bottom"/>
            <w:hideMark/>
          </w:tcPr>
          <w:p w:rsidR="008835EB" w:rsidRDefault="008835EB" w:rsidP="007E3F2E">
            <w:pPr>
              <w:jc w:val="right"/>
              <w:rPr>
                <w:rFonts w:cs="Calibri"/>
                <w:sz w:val="16"/>
                <w:szCs w:val="16"/>
              </w:rPr>
            </w:pPr>
            <w:r>
              <w:rPr>
                <w:rFonts w:cs="Calibri"/>
                <w:sz w:val="16"/>
                <w:szCs w:val="16"/>
              </w:rPr>
              <w:t>262,290</w:t>
            </w:r>
          </w:p>
        </w:tc>
      </w:tr>
    </w:tbl>
    <w:p w:rsidR="008835EB" w:rsidRDefault="008835EB" w:rsidP="008835EB">
      <w:pPr>
        <w:pStyle w:val="ReportText"/>
      </w:pPr>
      <w:bookmarkStart w:id="339" w:name="RANGE!D31:K46"/>
      <w:bookmarkStart w:id="340" w:name="RANGE!D31:L46"/>
      <w:bookmarkStart w:id="341" w:name="RANGE!D32:M47"/>
      <w:bookmarkStart w:id="342" w:name="RANGE!D32:M51"/>
      <w:bookmarkEnd w:id="339"/>
      <w:bookmarkEnd w:id="340"/>
      <w:bookmarkEnd w:id="341"/>
      <w:bookmarkEnd w:id="342"/>
      <w:r>
        <w:t>1. The departmental ordinary annual services variance is due to closing liabilities not yet paid and operating surplus. The administered items variance relates to lower than planned administered expenditure.</w:t>
      </w:r>
    </w:p>
    <w:p w:rsidR="008835EB" w:rsidRDefault="008835EB" w:rsidP="008835EB">
      <w:pPr>
        <w:pStyle w:val="ReportText"/>
      </w:pPr>
      <w:r>
        <w:t>The variances in 2014 and 2015 are a timing difference between the purchase of the assets and drawdown of the capital budget.</w:t>
      </w:r>
    </w:p>
    <w:p w:rsidR="008835EB" w:rsidRDefault="008835EB" w:rsidP="008835EB">
      <w:pPr>
        <w:pStyle w:val="ReportText"/>
        <w:sectPr w:rsidR="008835EB" w:rsidSect="00F74C23">
          <w:pgSz w:w="16838" w:h="11906" w:orient="landscape"/>
          <w:pgMar w:top="1134" w:right="1134" w:bottom="1134" w:left="1134" w:header="958" w:footer="737" w:gutter="0"/>
          <w:cols w:space="720"/>
          <w:docGrid w:linePitch="245"/>
        </w:sectPr>
      </w:pPr>
      <w:r>
        <w:t>2. Departmental and Administered Capital Budgets are appropriated through Appropriation Acts (</w:t>
      </w:r>
      <w:proofErr w:type="spellStart"/>
      <w:r>
        <w:t>No.1</w:t>
      </w:r>
      <w:proofErr w:type="spellEnd"/>
      <w:r>
        <w:t xml:space="preserve">, 3 &amp; 5). They form part of ordinary annual services and are not separately identified in the Appropriation Acts. For more information on ordinary annual services appropriation, please see Note </w:t>
      </w:r>
      <w:proofErr w:type="spellStart"/>
      <w:r>
        <w:t>26A</w:t>
      </w:r>
      <w:proofErr w:type="spellEnd"/>
      <w:r>
        <w:t>: Annual appropriations.</w:t>
      </w:r>
    </w:p>
    <w:tbl>
      <w:tblPr>
        <w:tblW w:w="9087" w:type="dxa"/>
        <w:tblInd w:w="80" w:type="dxa"/>
        <w:tblLayout w:type="fixed"/>
        <w:tblLook w:val="04A0" w:firstRow="1" w:lastRow="0" w:firstColumn="1" w:lastColumn="0" w:noHBand="0" w:noVBand="1"/>
      </w:tblPr>
      <w:tblGrid>
        <w:gridCol w:w="6577"/>
        <w:gridCol w:w="1255"/>
        <w:gridCol w:w="1255"/>
      </w:tblGrid>
      <w:tr w:rsidR="008835EB" w:rsidTr="007E3F2E">
        <w:trPr>
          <w:trHeight w:val="255"/>
        </w:trPr>
        <w:tc>
          <w:tcPr>
            <w:tcW w:w="9087" w:type="dxa"/>
            <w:gridSpan w:val="3"/>
            <w:tcBorders>
              <w:top w:val="nil"/>
              <w:left w:val="nil"/>
              <w:bottom w:val="nil"/>
              <w:right w:val="nil"/>
            </w:tcBorders>
            <w:shd w:val="clear" w:color="FFFFFF" w:fill="FFFFFF"/>
            <w:noWrap/>
            <w:vAlign w:val="bottom"/>
            <w:hideMark/>
          </w:tcPr>
          <w:p w:rsidR="008835EB" w:rsidRDefault="008835EB" w:rsidP="007E3F2E">
            <w:pPr>
              <w:rPr>
                <w:rFonts w:cs="Calibri"/>
                <w:b/>
                <w:bCs/>
                <w:szCs w:val="18"/>
                <w:u w:val="single"/>
              </w:rPr>
            </w:pPr>
            <w:bookmarkStart w:id="343" w:name="RANGE!D7:F32"/>
            <w:bookmarkStart w:id="344" w:name="RANGE!D7:F24"/>
            <w:bookmarkStart w:id="345" w:name="RANGE!D7:F20"/>
            <w:bookmarkStart w:id="346" w:name="RANGE!D7:F18"/>
            <w:bookmarkStart w:id="347" w:name="RANGE!D7:F29"/>
            <w:bookmarkStart w:id="348" w:name="RANGE!D7:F34"/>
            <w:bookmarkStart w:id="349" w:name="RANGE!D7:F30"/>
            <w:bookmarkStart w:id="350" w:name="RANGE!D6:F15"/>
            <w:bookmarkStart w:id="351" w:name="RANGE!D6:F16"/>
            <w:bookmarkStart w:id="352" w:name="RANGE!D6:I16"/>
            <w:bookmarkStart w:id="353" w:name="RANGE!D20:F31"/>
            <w:bookmarkStart w:id="354" w:name="RANGE!D20:F27"/>
            <w:bookmarkStart w:id="355" w:name="Note_DUATABLE1" w:colFirst="0" w:colLast="0"/>
            <w:bookmarkEnd w:id="343"/>
            <w:bookmarkEnd w:id="344"/>
            <w:bookmarkEnd w:id="345"/>
            <w:bookmarkEnd w:id="346"/>
            <w:bookmarkEnd w:id="347"/>
            <w:bookmarkEnd w:id="348"/>
            <w:bookmarkEnd w:id="349"/>
            <w:bookmarkEnd w:id="350"/>
            <w:bookmarkEnd w:id="351"/>
            <w:bookmarkEnd w:id="352"/>
            <w:bookmarkEnd w:id="353"/>
            <w:bookmarkEnd w:id="354"/>
            <w:r>
              <w:rPr>
                <w:rFonts w:cs="Calibri"/>
                <w:b/>
                <w:bCs/>
                <w:szCs w:val="18"/>
                <w:u w:val="single"/>
              </w:rPr>
              <w:lastRenderedPageBreak/>
              <w:t xml:space="preserve">Note </w:t>
            </w:r>
            <w:proofErr w:type="spellStart"/>
            <w:r>
              <w:rPr>
                <w:rFonts w:cs="Calibri"/>
                <w:b/>
                <w:bCs/>
                <w:szCs w:val="18"/>
                <w:u w:val="single"/>
              </w:rPr>
              <w:t>5.1B</w:t>
            </w:r>
            <w:proofErr w:type="spellEnd"/>
            <w:r>
              <w:rPr>
                <w:rFonts w:cs="Calibri"/>
                <w:b/>
                <w:bCs/>
                <w:szCs w:val="18"/>
                <w:u w:val="single"/>
              </w:rPr>
              <w:t>: Unspent Annual Appropriations ('Recoverable GST exclusive')</w:t>
            </w:r>
          </w:p>
        </w:tc>
      </w:tr>
      <w:bookmarkEnd w:id="355"/>
      <w:tr w:rsidR="008835EB" w:rsidTr="007E3F2E">
        <w:trPr>
          <w:trHeight w:val="255"/>
        </w:trPr>
        <w:tc>
          <w:tcPr>
            <w:tcW w:w="6577"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5"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5"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6577" w:type="dxa"/>
            <w:vMerge w:val="restart"/>
            <w:tcBorders>
              <w:top w:val="single" w:sz="4" w:space="0" w:color="auto"/>
              <w:left w:val="nil"/>
              <w:bottom w:val="single" w:sz="4" w:space="0" w:color="000000"/>
              <w:right w:val="nil"/>
            </w:tcBorders>
            <w:shd w:val="clear" w:color="FFFFFF" w:fill="FFFFFF"/>
            <w:vAlign w:val="bottom"/>
            <w:hideMark/>
          </w:tcPr>
          <w:p w:rsidR="008835EB" w:rsidRDefault="008835EB" w:rsidP="007E3F2E">
            <w:pPr>
              <w:rPr>
                <w:rFonts w:cs="Calibri"/>
                <w:b/>
                <w:bCs/>
                <w:szCs w:val="18"/>
              </w:rPr>
            </w:pPr>
            <w:r>
              <w:rPr>
                <w:rFonts w:cs="Calibri"/>
                <w:b/>
                <w:bCs/>
                <w:szCs w:val="18"/>
              </w:rPr>
              <w:t> </w:t>
            </w:r>
          </w:p>
        </w:tc>
        <w:tc>
          <w:tcPr>
            <w:tcW w:w="1255" w:type="dxa"/>
            <w:tcBorders>
              <w:top w:val="single" w:sz="4" w:space="0" w:color="auto"/>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2016</w:t>
            </w:r>
          </w:p>
        </w:tc>
        <w:tc>
          <w:tcPr>
            <w:tcW w:w="1255" w:type="dxa"/>
            <w:tcBorders>
              <w:top w:val="single" w:sz="4" w:space="0" w:color="auto"/>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2015</w:t>
            </w:r>
          </w:p>
        </w:tc>
      </w:tr>
      <w:tr w:rsidR="008835EB" w:rsidTr="007E3F2E">
        <w:trPr>
          <w:trHeight w:val="255"/>
        </w:trPr>
        <w:tc>
          <w:tcPr>
            <w:tcW w:w="6577" w:type="dxa"/>
            <w:vMerge/>
            <w:tcBorders>
              <w:top w:val="single" w:sz="4" w:space="0" w:color="auto"/>
              <w:left w:val="nil"/>
              <w:bottom w:val="single" w:sz="4" w:space="0" w:color="000000"/>
              <w:right w:val="nil"/>
            </w:tcBorders>
            <w:vAlign w:val="center"/>
            <w:hideMark/>
          </w:tcPr>
          <w:p w:rsidR="008835EB" w:rsidRDefault="008835EB" w:rsidP="007E3F2E">
            <w:pPr>
              <w:rPr>
                <w:rFonts w:cs="Calibri"/>
                <w:b/>
                <w:bCs/>
                <w:szCs w:val="18"/>
              </w:rPr>
            </w:pPr>
          </w:p>
        </w:tc>
        <w:tc>
          <w:tcPr>
            <w:tcW w:w="1255"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1255"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6577" w:type="dxa"/>
            <w:vMerge w:val="restart"/>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Departmental</w:t>
            </w:r>
          </w:p>
        </w:tc>
        <w:tc>
          <w:tcPr>
            <w:tcW w:w="1255"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 </w:t>
            </w:r>
          </w:p>
        </w:tc>
        <w:tc>
          <w:tcPr>
            <w:tcW w:w="1255"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6577" w:type="dxa"/>
            <w:vMerge/>
            <w:tcBorders>
              <w:top w:val="nil"/>
              <w:left w:val="nil"/>
              <w:bottom w:val="nil"/>
              <w:right w:val="nil"/>
            </w:tcBorders>
            <w:vAlign w:val="center"/>
            <w:hideMark/>
          </w:tcPr>
          <w:p w:rsidR="008835EB" w:rsidRDefault="008835EB" w:rsidP="007E3F2E">
            <w:pPr>
              <w:rPr>
                <w:rFonts w:cs="Calibri"/>
                <w:b/>
                <w:bCs/>
                <w:szCs w:val="18"/>
              </w:rPr>
            </w:pPr>
          </w:p>
        </w:tc>
        <w:tc>
          <w:tcPr>
            <w:tcW w:w="1255"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 </w:t>
            </w:r>
          </w:p>
        </w:tc>
        <w:tc>
          <w:tcPr>
            <w:tcW w:w="1255"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6577"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Appropriation Act (No. 1) 2013–14</w:t>
            </w:r>
          </w:p>
        </w:tc>
        <w:tc>
          <w:tcPr>
            <w:tcW w:w="125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12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18,428 </w:t>
            </w:r>
          </w:p>
        </w:tc>
      </w:tr>
      <w:tr w:rsidR="008835EB" w:rsidTr="007E3F2E">
        <w:trPr>
          <w:trHeight w:val="255"/>
        </w:trPr>
        <w:tc>
          <w:tcPr>
            <w:tcW w:w="6577"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Appropriation Act (No. 3) 2013–14</w:t>
            </w:r>
          </w:p>
        </w:tc>
        <w:tc>
          <w:tcPr>
            <w:tcW w:w="125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12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195 </w:t>
            </w:r>
          </w:p>
        </w:tc>
      </w:tr>
      <w:tr w:rsidR="008835EB" w:rsidTr="007E3F2E">
        <w:trPr>
          <w:trHeight w:val="255"/>
        </w:trPr>
        <w:tc>
          <w:tcPr>
            <w:tcW w:w="6577"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Appropriation Act (No. 1) 2014–15</w:t>
            </w:r>
          </w:p>
        </w:tc>
        <w:tc>
          <w:tcPr>
            <w:tcW w:w="125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12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45,505 </w:t>
            </w:r>
          </w:p>
        </w:tc>
      </w:tr>
      <w:tr w:rsidR="008835EB" w:rsidTr="007E3F2E">
        <w:trPr>
          <w:trHeight w:val="255"/>
        </w:trPr>
        <w:tc>
          <w:tcPr>
            <w:tcW w:w="6577"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Appropriation Act (No. 1) Capital Budget 2014–15</w:t>
            </w:r>
          </w:p>
        </w:tc>
        <w:tc>
          <w:tcPr>
            <w:tcW w:w="125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12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2,059 </w:t>
            </w:r>
          </w:p>
        </w:tc>
      </w:tr>
      <w:tr w:rsidR="008835EB" w:rsidTr="007E3F2E">
        <w:trPr>
          <w:trHeight w:val="255"/>
        </w:trPr>
        <w:tc>
          <w:tcPr>
            <w:tcW w:w="6577"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Appropriation Act (No. 3) 2014–15</w:t>
            </w:r>
          </w:p>
        </w:tc>
        <w:tc>
          <w:tcPr>
            <w:tcW w:w="125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12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40,409 </w:t>
            </w:r>
          </w:p>
        </w:tc>
      </w:tr>
      <w:tr w:rsidR="008835EB" w:rsidTr="007E3F2E">
        <w:trPr>
          <w:trHeight w:val="255"/>
        </w:trPr>
        <w:tc>
          <w:tcPr>
            <w:tcW w:w="6577"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Appropriation Act (No. 3) Capital Budget 2014–15</w:t>
            </w:r>
          </w:p>
        </w:tc>
        <w:tc>
          <w:tcPr>
            <w:tcW w:w="125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12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2,611 </w:t>
            </w:r>
          </w:p>
        </w:tc>
      </w:tr>
      <w:tr w:rsidR="008835EB" w:rsidTr="007E3F2E">
        <w:trPr>
          <w:trHeight w:val="255"/>
        </w:trPr>
        <w:tc>
          <w:tcPr>
            <w:tcW w:w="6577"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Appropriation Act (No. 1) 2015–16</w:t>
            </w:r>
          </w:p>
        </w:tc>
        <w:tc>
          <w:tcPr>
            <w:tcW w:w="125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107,487 </w:t>
            </w:r>
          </w:p>
        </w:tc>
        <w:tc>
          <w:tcPr>
            <w:tcW w:w="12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r>
      <w:tr w:rsidR="008835EB" w:rsidTr="007E3F2E">
        <w:trPr>
          <w:trHeight w:val="255"/>
        </w:trPr>
        <w:tc>
          <w:tcPr>
            <w:tcW w:w="6577"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Appropriation Act (No. 1) Capital Budget 2015–16</w:t>
            </w:r>
          </w:p>
        </w:tc>
        <w:tc>
          <w:tcPr>
            <w:tcW w:w="125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2,817 </w:t>
            </w:r>
          </w:p>
        </w:tc>
        <w:tc>
          <w:tcPr>
            <w:tcW w:w="12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r>
      <w:tr w:rsidR="008835EB" w:rsidTr="007E3F2E">
        <w:trPr>
          <w:trHeight w:val="255"/>
        </w:trPr>
        <w:tc>
          <w:tcPr>
            <w:tcW w:w="6577"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Appropriation Act (No. 4) 2015–16</w:t>
            </w:r>
          </w:p>
        </w:tc>
        <w:tc>
          <w:tcPr>
            <w:tcW w:w="125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2,836 </w:t>
            </w:r>
          </w:p>
        </w:tc>
        <w:tc>
          <w:tcPr>
            <w:tcW w:w="12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r>
      <w:tr w:rsidR="008835EB" w:rsidTr="007E3F2E">
        <w:trPr>
          <w:trHeight w:val="255"/>
        </w:trPr>
        <w:tc>
          <w:tcPr>
            <w:tcW w:w="6577"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Cash at bank</w:t>
            </w:r>
          </w:p>
        </w:tc>
        <w:tc>
          <w:tcPr>
            <w:tcW w:w="125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3,876 </w:t>
            </w:r>
          </w:p>
        </w:tc>
        <w:tc>
          <w:tcPr>
            <w:tcW w:w="125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6,321 </w:t>
            </w:r>
          </w:p>
        </w:tc>
      </w:tr>
      <w:tr w:rsidR="008835EB" w:rsidTr="007E3F2E">
        <w:trPr>
          <w:trHeight w:val="270"/>
        </w:trPr>
        <w:tc>
          <w:tcPr>
            <w:tcW w:w="6577"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w:t>
            </w:r>
          </w:p>
        </w:tc>
        <w:tc>
          <w:tcPr>
            <w:tcW w:w="1255"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117,016</w:t>
            </w:r>
          </w:p>
        </w:tc>
        <w:tc>
          <w:tcPr>
            <w:tcW w:w="1255"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115,528</w:t>
            </w:r>
          </w:p>
        </w:tc>
      </w:tr>
      <w:tr w:rsidR="008835EB" w:rsidTr="007E3F2E">
        <w:trPr>
          <w:trHeight w:val="270"/>
        </w:trPr>
        <w:tc>
          <w:tcPr>
            <w:tcW w:w="6577" w:type="dxa"/>
            <w:vMerge w:val="restart"/>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Administered</w:t>
            </w:r>
          </w:p>
        </w:tc>
        <w:tc>
          <w:tcPr>
            <w:tcW w:w="1255" w:type="dxa"/>
            <w:tcBorders>
              <w:top w:val="nil"/>
              <w:left w:val="nil"/>
              <w:bottom w:val="nil"/>
              <w:right w:val="nil"/>
            </w:tcBorders>
            <w:shd w:val="clear" w:color="000000" w:fill="D9D9D9"/>
            <w:vAlign w:val="bottom"/>
            <w:hideMark/>
          </w:tcPr>
          <w:p w:rsidR="008835EB" w:rsidRDefault="008835EB" w:rsidP="007E3F2E">
            <w:pPr>
              <w:rPr>
                <w:rFonts w:cs="Calibri"/>
                <w:szCs w:val="18"/>
              </w:rPr>
            </w:pPr>
            <w:r>
              <w:rPr>
                <w:rFonts w:cs="Calibri"/>
                <w:szCs w:val="18"/>
              </w:rPr>
              <w:t> </w:t>
            </w:r>
          </w:p>
        </w:tc>
        <w:tc>
          <w:tcPr>
            <w:tcW w:w="1255" w:type="dxa"/>
            <w:tcBorders>
              <w:top w:val="nil"/>
              <w:left w:val="nil"/>
              <w:bottom w:val="nil"/>
              <w:right w:val="nil"/>
            </w:tcBorders>
            <w:shd w:val="clear" w:color="000000" w:fill="D9D9D9"/>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6577" w:type="dxa"/>
            <w:vMerge/>
            <w:tcBorders>
              <w:top w:val="nil"/>
              <w:left w:val="nil"/>
              <w:bottom w:val="nil"/>
              <w:right w:val="nil"/>
            </w:tcBorders>
            <w:vAlign w:val="center"/>
            <w:hideMark/>
          </w:tcPr>
          <w:p w:rsidR="008835EB" w:rsidRDefault="008835EB" w:rsidP="007E3F2E">
            <w:pPr>
              <w:rPr>
                <w:rFonts w:cs="Calibri"/>
                <w:b/>
                <w:bCs/>
                <w:szCs w:val="18"/>
              </w:rPr>
            </w:pPr>
          </w:p>
        </w:tc>
        <w:tc>
          <w:tcPr>
            <w:tcW w:w="1255" w:type="dxa"/>
            <w:tcBorders>
              <w:top w:val="nil"/>
              <w:left w:val="nil"/>
              <w:bottom w:val="nil"/>
              <w:right w:val="nil"/>
            </w:tcBorders>
            <w:shd w:val="clear" w:color="000000" w:fill="D9D9D9"/>
            <w:vAlign w:val="bottom"/>
            <w:hideMark/>
          </w:tcPr>
          <w:p w:rsidR="008835EB" w:rsidRDefault="008835EB" w:rsidP="007E3F2E">
            <w:pPr>
              <w:rPr>
                <w:rFonts w:cs="Calibri"/>
                <w:szCs w:val="18"/>
              </w:rPr>
            </w:pPr>
            <w:r>
              <w:rPr>
                <w:rFonts w:cs="Calibri"/>
                <w:szCs w:val="18"/>
              </w:rPr>
              <w:t> </w:t>
            </w:r>
          </w:p>
        </w:tc>
        <w:tc>
          <w:tcPr>
            <w:tcW w:w="1255" w:type="dxa"/>
            <w:tcBorders>
              <w:top w:val="nil"/>
              <w:left w:val="nil"/>
              <w:bottom w:val="nil"/>
              <w:right w:val="nil"/>
            </w:tcBorders>
            <w:shd w:val="clear" w:color="000000" w:fill="D9D9D9"/>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6577" w:type="dxa"/>
            <w:tcBorders>
              <w:top w:val="nil"/>
              <w:left w:val="nil"/>
              <w:bottom w:val="nil"/>
              <w:right w:val="nil"/>
            </w:tcBorders>
            <w:shd w:val="clear" w:color="000000" w:fill="D9D9D9"/>
            <w:vAlign w:val="bottom"/>
            <w:hideMark/>
          </w:tcPr>
          <w:p w:rsidR="008835EB" w:rsidRDefault="008835EB" w:rsidP="007E3F2E">
            <w:pPr>
              <w:rPr>
                <w:rFonts w:cs="Calibri"/>
                <w:szCs w:val="18"/>
              </w:rPr>
            </w:pPr>
            <w:r>
              <w:rPr>
                <w:rFonts w:cs="Calibri"/>
                <w:szCs w:val="18"/>
              </w:rPr>
              <w:t>Appropriation Act (</w:t>
            </w:r>
            <w:proofErr w:type="spellStart"/>
            <w:r>
              <w:rPr>
                <w:rFonts w:cs="Calibri"/>
                <w:szCs w:val="18"/>
              </w:rPr>
              <w:t>No.1</w:t>
            </w:r>
            <w:proofErr w:type="spellEnd"/>
            <w:r>
              <w:rPr>
                <w:rFonts w:cs="Calibri"/>
                <w:szCs w:val="18"/>
              </w:rPr>
              <w:t>) 2013–14</w:t>
            </w:r>
          </w:p>
        </w:tc>
        <w:tc>
          <w:tcPr>
            <w:tcW w:w="1255"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 -</w:t>
            </w:r>
          </w:p>
        </w:tc>
        <w:tc>
          <w:tcPr>
            <w:tcW w:w="1255"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25,880 </w:t>
            </w:r>
          </w:p>
        </w:tc>
      </w:tr>
      <w:tr w:rsidR="008835EB" w:rsidTr="007E3F2E">
        <w:trPr>
          <w:trHeight w:val="255"/>
        </w:trPr>
        <w:tc>
          <w:tcPr>
            <w:tcW w:w="6577" w:type="dxa"/>
            <w:tcBorders>
              <w:top w:val="nil"/>
              <w:left w:val="nil"/>
              <w:bottom w:val="nil"/>
              <w:right w:val="nil"/>
            </w:tcBorders>
            <w:shd w:val="clear" w:color="000000" w:fill="D9D9D9"/>
            <w:vAlign w:val="bottom"/>
            <w:hideMark/>
          </w:tcPr>
          <w:p w:rsidR="008835EB" w:rsidRDefault="008835EB" w:rsidP="007E3F2E">
            <w:pPr>
              <w:rPr>
                <w:rFonts w:cs="Calibri"/>
                <w:szCs w:val="18"/>
              </w:rPr>
            </w:pPr>
            <w:r>
              <w:rPr>
                <w:rFonts w:cs="Calibri"/>
                <w:szCs w:val="18"/>
              </w:rPr>
              <w:t>Appropriation Act (No. 1) 2014–15</w:t>
            </w:r>
          </w:p>
        </w:tc>
        <w:tc>
          <w:tcPr>
            <w:tcW w:w="1255"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40,377 </w:t>
            </w:r>
          </w:p>
        </w:tc>
        <w:tc>
          <w:tcPr>
            <w:tcW w:w="1255"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191,498 </w:t>
            </w:r>
          </w:p>
        </w:tc>
      </w:tr>
      <w:tr w:rsidR="008835EB" w:rsidTr="007E3F2E">
        <w:trPr>
          <w:trHeight w:val="255"/>
        </w:trPr>
        <w:tc>
          <w:tcPr>
            <w:tcW w:w="6577" w:type="dxa"/>
            <w:tcBorders>
              <w:top w:val="nil"/>
              <w:left w:val="nil"/>
              <w:bottom w:val="nil"/>
              <w:right w:val="nil"/>
            </w:tcBorders>
            <w:shd w:val="clear" w:color="000000" w:fill="D9D9D9"/>
            <w:vAlign w:val="bottom"/>
            <w:hideMark/>
          </w:tcPr>
          <w:p w:rsidR="008835EB" w:rsidRDefault="008835EB" w:rsidP="007E3F2E">
            <w:pPr>
              <w:rPr>
                <w:rFonts w:cs="Calibri"/>
                <w:szCs w:val="18"/>
              </w:rPr>
            </w:pPr>
            <w:r>
              <w:rPr>
                <w:rFonts w:cs="Calibri"/>
                <w:szCs w:val="18"/>
              </w:rPr>
              <w:t>Appropriation Act (No. 3) 2014–15</w:t>
            </w:r>
          </w:p>
        </w:tc>
        <w:tc>
          <w:tcPr>
            <w:tcW w:w="1255"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317 </w:t>
            </w:r>
          </w:p>
        </w:tc>
        <w:tc>
          <w:tcPr>
            <w:tcW w:w="1255"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70,792 </w:t>
            </w:r>
          </w:p>
        </w:tc>
      </w:tr>
      <w:tr w:rsidR="008835EB" w:rsidTr="007E3F2E">
        <w:trPr>
          <w:trHeight w:val="255"/>
        </w:trPr>
        <w:tc>
          <w:tcPr>
            <w:tcW w:w="6577" w:type="dxa"/>
            <w:tcBorders>
              <w:top w:val="nil"/>
              <w:left w:val="nil"/>
              <w:bottom w:val="nil"/>
              <w:right w:val="nil"/>
            </w:tcBorders>
            <w:shd w:val="clear" w:color="000000" w:fill="D9D9D9"/>
            <w:vAlign w:val="bottom"/>
            <w:hideMark/>
          </w:tcPr>
          <w:p w:rsidR="008835EB" w:rsidRDefault="008835EB" w:rsidP="007E3F2E">
            <w:pPr>
              <w:rPr>
                <w:rFonts w:cs="Calibri"/>
                <w:szCs w:val="18"/>
              </w:rPr>
            </w:pPr>
            <w:r>
              <w:rPr>
                <w:rFonts w:cs="Calibri"/>
                <w:szCs w:val="18"/>
              </w:rPr>
              <w:t>Appropriation Act (No. 1) 2015–16</w:t>
            </w:r>
          </w:p>
        </w:tc>
        <w:tc>
          <w:tcPr>
            <w:tcW w:w="1255"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503,112 </w:t>
            </w:r>
          </w:p>
        </w:tc>
        <w:tc>
          <w:tcPr>
            <w:tcW w:w="1255"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 -</w:t>
            </w:r>
          </w:p>
        </w:tc>
      </w:tr>
      <w:tr w:rsidR="008835EB" w:rsidTr="007E3F2E">
        <w:trPr>
          <w:trHeight w:val="270"/>
        </w:trPr>
        <w:tc>
          <w:tcPr>
            <w:tcW w:w="6577" w:type="dxa"/>
            <w:tcBorders>
              <w:top w:val="nil"/>
              <w:left w:val="nil"/>
              <w:bottom w:val="single" w:sz="8" w:space="0" w:color="D9D9D9"/>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Total</w:t>
            </w:r>
          </w:p>
        </w:tc>
        <w:tc>
          <w:tcPr>
            <w:tcW w:w="1255"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543,806</w:t>
            </w:r>
          </w:p>
        </w:tc>
        <w:tc>
          <w:tcPr>
            <w:tcW w:w="1255"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288,170</w:t>
            </w:r>
          </w:p>
        </w:tc>
      </w:tr>
    </w:tbl>
    <w:p w:rsidR="008835EB" w:rsidRDefault="008835EB" w:rsidP="008835EB">
      <w:bookmarkStart w:id="356" w:name="RANGE!D7:F31"/>
      <w:bookmarkEnd w:id="356"/>
    </w:p>
    <w:p w:rsidR="008835EB" w:rsidRDefault="008835EB" w:rsidP="008835EB">
      <w:pPr>
        <w:sectPr w:rsidR="008835EB" w:rsidSect="00F74C23">
          <w:pgSz w:w="11906" w:h="16838"/>
          <w:pgMar w:top="1134" w:right="1134" w:bottom="1134" w:left="1134" w:header="958" w:footer="737" w:gutter="0"/>
          <w:cols w:space="720"/>
          <w:docGrid w:linePitch="245"/>
        </w:sectPr>
      </w:pPr>
    </w:p>
    <w:tbl>
      <w:tblPr>
        <w:tblW w:w="13991" w:type="dxa"/>
        <w:tblInd w:w="80" w:type="dxa"/>
        <w:tblLayout w:type="fixed"/>
        <w:tblLook w:val="04A0" w:firstRow="1" w:lastRow="0" w:firstColumn="1" w:lastColumn="0" w:noHBand="0" w:noVBand="1"/>
      </w:tblPr>
      <w:tblGrid>
        <w:gridCol w:w="5721"/>
        <w:gridCol w:w="1198"/>
        <w:gridCol w:w="4678"/>
        <w:gridCol w:w="1197"/>
        <w:gridCol w:w="1197"/>
      </w:tblGrid>
      <w:tr w:rsidR="008835EB" w:rsidTr="007E3F2E">
        <w:trPr>
          <w:trHeight w:val="255"/>
        </w:trPr>
        <w:tc>
          <w:tcPr>
            <w:tcW w:w="13883" w:type="dxa"/>
            <w:gridSpan w:val="5"/>
            <w:tcBorders>
              <w:top w:val="nil"/>
              <w:left w:val="nil"/>
              <w:bottom w:val="nil"/>
              <w:right w:val="nil"/>
            </w:tcBorders>
            <w:shd w:val="clear" w:color="FFFFFF" w:fill="FFFFFF"/>
            <w:noWrap/>
            <w:vAlign w:val="bottom"/>
            <w:hideMark/>
          </w:tcPr>
          <w:p w:rsidR="008835EB" w:rsidRDefault="008835EB" w:rsidP="007E3F2E">
            <w:pPr>
              <w:rPr>
                <w:rFonts w:cs="Calibri"/>
                <w:b/>
                <w:bCs/>
                <w:szCs w:val="18"/>
                <w:u w:val="single"/>
              </w:rPr>
            </w:pPr>
            <w:bookmarkStart w:id="357" w:name="Note_DSATABLE1" w:colFirst="0" w:colLast="0"/>
            <w:r>
              <w:rPr>
                <w:rFonts w:cs="Calibri"/>
                <w:b/>
                <w:bCs/>
                <w:szCs w:val="18"/>
                <w:u w:val="single"/>
              </w:rPr>
              <w:lastRenderedPageBreak/>
              <w:t xml:space="preserve">Note </w:t>
            </w:r>
            <w:proofErr w:type="spellStart"/>
            <w:r>
              <w:rPr>
                <w:rFonts w:cs="Calibri"/>
                <w:b/>
                <w:bCs/>
                <w:szCs w:val="18"/>
                <w:u w:val="single"/>
              </w:rPr>
              <w:t>5.1C</w:t>
            </w:r>
            <w:proofErr w:type="spellEnd"/>
            <w:r>
              <w:rPr>
                <w:rFonts w:cs="Calibri"/>
                <w:b/>
                <w:bCs/>
                <w:szCs w:val="18"/>
                <w:u w:val="single"/>
              </w:rPr>
              <w:t>: Special Appropriations ('Recoverable GST exclusive')</w:t>
            </w:r>
          </w:p>
        </w:tc>
      </w:tr>
      <w:bookmarkEnd w:id="357"/>
      <w:tr w:rsidR="008835EB" w:rsidTr="007E3F2E">
        <w:trPr>
          <w:trHeight w:val="255"/>
        </w:trPr>
        <w:tc>
          <w:tcPr>
            <w:tcW w:w="567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18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4642"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188"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188"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5676" w:type="dxa"/>
            <w:vMerge w:val="restart"/>
            <w:tcBorders>
              <w:top w:val="single" w:sz="4" w:space="0" w:color="auto"/>
              <w:left w:val="single" w:sz="4" w:space="0" w:color="auto"/>
              <w:bottom w:val="single" w:sz="4" w:space="0" w:color="auto"/>
              <w:right w:val="single" w:sz="4" w:space="0" w:color="auto"/>
            </w:tcBorders>
            <w:shd w:val="clear" w:color="FFFFFF" w:fill="FFFFFF"/>
            <w:vAlign w:val="bottom"/>
            <w:hideMark/>
          </w:tcPr>
          <w:p w:rsidR="008835EB" w:rsidRDefault="008835EB" w:rsidP="007E3F2E">
            <w:pPr>
              <w:rPr>
                <w:rFonts w:cs="Calibri"/>
                <w:b/>
                <w:bCs/>
                <w:szCs w:val="18"/>
              </w:rPr>
            </w:pPr>
            <w:r>
              <w:rPr>
                <w:rFonts w:cs="Calibri"/>
                <w:b/>
                <w:bCs/>
                <w:szCs w:val="18"/>
              </w:rPr>
              <w:t>Authority</w:t>
            </w:r>
          </w:p>
        </w:tc>
        <w:tc>
          <w:tcPr>
            <w:tcW w:w="1189" w:type="dxa"/>
            <w:vMerge w:val="restart"/>
            <w:tcBorders>
              <w:top w:val="single" w:sz="4" w:space="0" w:color="auto"/>
              <w:left w:val="single" w:sz="4" w:space="0" w:color="auto"/>
              <w:bottom w:val="single" w:sz="4" w:space="0" w:color="auto"/>
              <w:right w:val="single" w:sz="4" w:space="0" w:color="auto"/>
            </w:tcBorders>
            <w:shd w:val="clear" w:color="FFFFFF" w:fill="FFFFFF"/>
            <w:vAlign w:val="bottom"/>
            <w:hideMark/>
          </w:tcPr>
          <w:p w:rsidR="008835EB" w:rsidRDefault="008835EB" w:rsidP="007E3F2E">
            <w:pPr>
              <w:rPr>
                <w:rFonts w:cs="Calibri"/>
                <w:b/>
                <w:bCs/>
                <w:szCs w:val="18"/>
              </w:rPr>
            </w:pPr>
            <w:r>
              <w:rPr>
                <w:rFonts w:cs="Calibri"/>
                <w:b/>
                <w:bCs/>
                <w:szCs w:val="18"/>
              </w:rPr>
              <w:t>Type</w:t>
            </w:r>
          </w:p>
        </w:tc>
        <w:tc>
          <w:tcPr>
            <w:tcW w:w="4642" w:type="dxa"/>
            <w:vMerge w:val="restart"/>
            <w:tcBorders>
              <w:top w:val="single" w:sz="4" w:space="0" w:color="auto"/>
              <w:left w:val="single" w:sz="4" w:space="0" w:color="auto"/>
              <w:bottom w:val="single" w:sz="4" w:space="0" w:color="auto"/>
              <w:right w:val="single" w:sz="4" w:space="0" w:color="auto"/>
            </w:tcBorders>
            <w:shd w:val="clear" w:color="FFFFFF" w:fill="FFFFFF"/>
            <w:vAlign w:val="bottom"/>
            <w:hideMark/>
          </w:tcPr>
          <w:p w:rsidR="008835EB" w:rsidRDefault="008835EB" w:rsidP="007E3F2E">
            <w:pPr>
              <w:rPr>
                <w:rFonts w:cs="Calibri"/>
                <w:b/>
                <w:bCs/>
                <w:szCs w:val="18"/>
              </w:rPr>
            </w:pPr>
            <w:r>
              <w:rPr>
                <w:rFonts w:cs="Calibri"/>
                <w:b/>
                <w:bCs/>
                <w:szCs w:val="18"/>
              </w:rPr>
              <w:t>Purpose</w:t>
            </w:r>
          </w:p>
        </w:tc>
        <w:tc>
          <w:tcPr>
            <w:tcW w:w="2376" w:type="dxa"/>
            <w:gridSpan w:val="2"/>
            <w:tcBorders>
              <w:top w:val="single" w:sz="4" w:space="0" w:color="auto"/>
              <w:left w:val="nil"/>
              <w:bottom w:val="single" w:sz="4" w:space="0" w:color="auto"/>
              <w:right w:val="single" w:sz="4" w:space="0" w:color="000000"/>
            </w:tcBorders>
            <w:shd w:val="clear" w:color="FFFFFF" w:fill="FFFFFF"/>
            <w:vAlign w:val="bottom"/>
            <w:hideMark/>
          </w:tcPr>
          <w:p w:rsidR="008835EB" w:rsidRDefault="008835EB" w:rsidP="007E3F2E">
            <w:pPr>
              <w:jc w:val="center"/>
              <w:rPr>
                <w:rFonts w:cs="Calibri"/>
                <w:b/>
                <w:bCs/>
                <w:szCs w:val="18"/>
              </w:rPr>
            </w:pPr>
            <w:r>
              <w:rPr>
                <w:rFonts w:cs="Calibri"/>
                <w:b/>
                <w:bCs/>
                <w:szCs w:val="18"/>
              </w:rPr>
              <w:t>Appropriation applied</w:t>
            </w:r>
          </w:p>
        </w:tc>
      </w:tr>
      <w:tr w:rsidR="008835EB" w:rsidTr="007E3F2E">
        <w:trPr>
          <w:trHeight w:val="255"/>
        </w:trPr>
        <w:tc>
          <w:tcPr>
            <w:tcW w:w="5676" w:type="dxa"/>
            <w:vMerge/>
            <w:tcBorders>
              <w:top w:val="single" w:sz="4" w:space="0" w:color="auto"/>
              <w:left w:val="single" w:sz="4" w:space="0" w:color="auto"/>
              <w:bottom w:val="single" w:sz="4" w:space="0" w:color="auto"/>
              <w:right w:val="single" w:sz="4" w:space="0" w:color="auto"/>
            </w:tcBorders>
            <w:vAlign w:val="center"/>
            <w:hideMark/>
          </w:tcPr>
          <w:p w:rsidR="008835EB" w:rsidRDefault="008835EB" w:rsidP="007E3F2E">
            <w:pPr>
              <w:rPr>
                <w:rFonts w:cs="Calibri"/>
                <w:b/>
                <w:bCs/>
                <w:szCs w:val="18"/>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8835EB" w:rsidRDefault="008835EB" w:rsidP="007E3F2E">
            <w:pPr>
              <w:rPr>
                <w:rFonts w:cs="Calibri"/>
                <w:b/>
                <w:bCs/>
                <w:szCs w:val="18"/>
              </w:rPr>
            </w:pPr>
          </w:p>
        </w:tc>
        <w:tc>
          <w:tcPr>
            <w:tcW w:w="4642" w:type="dxa"/>
            <w:vMerge/>
            <w:tcBorders>
              <w:top w:val="single" w:sz="4" w:space="0" w:color="auto"/>
              <w:left w:val="single" w:sz="4" w:space="0" w:color="auto"/>
              <w:bottom w:val="single" w:sz="4" w:space="0" w:color="auto"/>
              <w:right w:val="single" w:sz="4" w:space="0" w:color="auto"/>
            </w:tcBorders>
            <w:vAlign w:val="center"/>
            <w:hideMark/>
          </w:tcPr>
          <w:p w:rsidR="008835EB" w:rsidRDefault="008835EB" w:rsidP="007E3F2E">
            <w:pPr>
              <w:rPr>
                <w:rFonts w:cs="Calibri"/>
                <w:b/>
                <w:bCs/>
                <w:szCs w:val="18"/>
              </w:rPr>
            </w:pPr>
          </w:p>
        </w:tc>
        <w:tc>
          <w:tcPr>
            <w:tcW w:w="1188" w:type="dxa"/>
            <w:tcBorders>
              <w:top w:val="nil"/>
              <w:left w:val="nil"/>
              <w:bottom w:val="nil"/>
              <w:right w:val="single" w:sz="4" w:space="0" w:color="auto"/>
            </w:tcBorders>
            <w:shd w:val="clear" w:color="FFFFFF" w:fill="FFFFFF"/>
            <w:vAlign w:val="bottom"/>
            <w:hideMark/>
          </w:tcPr>
          <w:p w:rsidR="008835EB" w:rsidRDefault="008835EB" w:rsidP="007E3F2E">
            <w:pPr>
              <w:jc w:val="right"/>
              <w:rPr>
                <w:rFonts w:cs="Calibri"/>
                <w:b/>
                <w:bCs/>
                <w:szCs w:val="18"/>
              </w:rPr>
            </w:pPr>
            <w:r>
              <w:rPr>
                <w:rFonts w:cs="Calibri"/>
                <w:b/>
                <w:bCs/>
                <w:szCs w:val="18"/>
              </w:rPr>
              <w:t>2016</w:t>
            </w:r>
          </w:p>
        </w:tc>
        <w:tc>
          <w:tcPr>
            <w:tcW w:w="1188" w:type="dxa"/>
            <w:tcBorders>
              <w:top w:val="nil"/>
              <w:left w:val="nil"/>
              <w:bottom w:val="nil"/>
              <w:right w:val="single" w:sz="4" w:space="0" w:color="auto"/>
            </w:tcBorders>
            <w:shd w:val="clear" w:color="FFFFFF" w:fill="FFFFFF"/>
            <w:vAlign w:val="bottom"/>
            <w:hideMark/>
          </w:tcPr>
          <w:p w:rsidR="008835EB" w:rsidRDefault="008835EB" w:rsidP="007E3F2E">
            <w:pPr>
              <w:jc w:val="right"/>
              <w:rPr>
                <w:rFonts w:cs="Calibri"/>
                <w:szCs w:val="18"/>
              </w:rPr>
            </w:pPr>
            <w:r>
              <w:rPr>
                <w:rFonts w:cs="Calibri"/>
                <w:szCs w:val="18"/>
              </w:rPr>
              <w:t>2015</w:t>
            </w:r>
          </w:p>
        </w:tc>
      </w:tr>
      <w:tr w:rsidR="008835EB" w:rsidTr="007E3F2E">
        <w:trPr>
          <w:trHeight w:val="255"/>
        </w:trPr>
        <w:tc>
          <w:tcPr>
            <w:tcW w:w="5676" w:type="dxa"/>
            <w:vMerge/>
            <w:tcBorders>
              <w:top w:val="single" w:sz="4" w:space="0" w:color="auto"/>
              <w:left w:val="single" w:sz="4" w:space="0" w:color="auto"/>
              <w:bottom w:val="single" w:sz="4" w:space="0" w:color="auto"/>
              <w:right w:val="single" w:sz="4" w:space="0" w:color="auto"/>
            </w:tcBorders>
            <w:vAlign w:val="center"/>
            <w:hideMark/>
          </w:tcPr>
          <w:p w:rsidR="008835EB" w:rsidRDefault="008835EB" w:rsidP="007E3F2E">
            <w:pPr>
              <w:rPr>
                <w:rFonts w:cs="Calibri"/>
                <w:b/>
                <w:bCs/>
                <w:szCs w:val="18"/>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8835EB" w:rsidRDefault="008835EB" w:rsidP="007E3F2E">
            <w:pPr>
              <w:rPr>
                <w:rFonts w:cs="Calibri"/>
                <w:b/>
                <w:bCs/>
                <w:szCs w:val="18"/>
              </w:rPr>
            </w:pPr>
          </w:p>
        </w:tc>
        <w:tc>
          <w:tcPr>
            <w:tcW w:w="4642" w:type="dxa"/>
            <w:vMerge/>
            <w:tcBorders>
              <w:top w:val="single" w:sz="4" w:space="0" w:color="auto"/>
              <w:left w:val="single" w:sz="4" w:space="0" w:color="auto"/>
              <w:bottom w:val="single" w:sz="4" w:space="0" w:color="auto"/>
              <w:right w:val="single" w:sz="4" w:space="0" w:color="auto"/>
            </w:tcBorders>
            <w:vAlign w:val="center"/>
            <w:hideMark/>
          </w:tcPr>
          <w:p w:rsidR="008835EB" w:rsidRDefault="008835EB" w:rsidP="007E3F2E">
            <w:pPr>
              <w:rPr>
                <w:rFonts w:cs="Calibri"/>
                <w:b/>
                <w:bCs/>
                <w:szCs w:val="18"/>
              </w:rPr>
            </w:pPr>
          </w:p>
        </w:tc>
        <w:tc>
          <w:tcPr>
            <w:tcW w:w="1188" w:type="dxa"/>
            <w:tcBorders>
              <w:top w:val="nil"/>
              <w:left w:val="nil"/>
              <w:bottom w:val="single" w:sz="4" w:space="0" w:color="auto"/>
              <w:right w:val="single" w:sz="4" w:space="0" w:color="auto"/>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1188" w:type="dxa"/>
            <w:tcBorders>
              <w:top w:val="nil"/>
              <w:left w:val="nil"/>
              <w:bottom w:val="single" w:sz="4" w:space="0" w:color="auto"/>
              <w:right w:val="single" w:sz="4" w:space="0" w:color="auto"/>
            </w:tcBorders>
            <w:shd w:val="clear" w:color="FFFFFF" w:fill="FFFFFF"/>
            <w:vAlign w:val="bottom"/>
            <w:hideMark/>
          </w:tcPr>
          <w:p w:rsidR="008835EB" w:rsidRDefault="008835EB" w:rsidP="007E3F2E">
            <w:pPr>
              <w:jc w:val="right"/>
              <w:rPr>
                <w:rFonts w:cs="Calibri"/>
                <w:szCs w:val="18"/>
              </w:rPr>
            </w:pPr>
            <w:r>
              <w:rPr>
                <w:rFonts w:cs="Calibri"/>
                <w:szCs w:val="18"/>
              </w:rPr>
              <w:t>$'000</w:t>
            </w:r>
          </w:p>
        </w:tc>
      </w:tr>
      <w:tr w:rsidR="008835EB" w:rsidTr="007E3F2E">
        <w:trPr>
          <w:trHeight w:val="720"/>
        </w:trPr>
        <w:tc>
          <w:tcPr>
            <w:tcW w:w="5676" w:type="dxa"/>
            <w:tcBorders>
              <w:top w:val="nil"/>
              <w:left w:val="single" w:sz="4" w:space="0" w:color="auto"/>
              <w:bottom w:val="single" w:sz="4" w:space="0" w:color="auto"/>
              <w:right w:val="single" w:sz="4" w:space="0" w:color="auto"/>
            </w:tcBorders>
            <w:shd w:val="clear" w:color="FFFFFF" w:fill="FFFFFF"/>
            <w:hideMark/>
          </w:tcPr>
          <w:p w:rsidR="008835EB" w:rsidRPr="0057202E" w:rsidRDefault="008835EB" w:rsidP="007E3F2E">
            <w:pPr>
              <w:rPr>
                <w:rFonts w:cs="Calibri"/>
                <w:i/>
                <w:szCs w:val="18"/>
              </w:rPr>
            </w:pPr>
            <w:r w:rsidRPr="0057202E">
              <w:rPr>
                <w:rFonts w:cs="Calibri"/>
                <w:i/>
                <w:szCs w:val="18"/>
              </w:rPr>
              <w:t>Fair Entitlements Guarantee Act 2012</w:t>
            </w:r>
            <w:r>
              <w:rPr>
                <w:rFonts w:cs="Calibri"/>
                <w:i/>
                <w:szCs w:val="18"/>
              </w:rPr>
              <w:t>—</w:t>
            </w:r>
            <w:r w:rsidRPr="0057202E">
              <w:rPr>
                <w:rFonts w:cs="Calibri"/>
                <w:szCs w:val="18"/>
              </w:rPr>
              <w:t>Section 50 (Administered)</w:t>
            </w:r>
          </w:p>
        </w:tc>
        <w:tc>
          <w:tcPr>
            <w:tcW w:w="1189" w:type="dxa"/>
            <w:tcBorders>
              <w:top w:val="nil"/>
              <w:left w:val="nil"/>
              <w:bottom w:val="single" w:sz="4" w:space="0" w:color="auto"/>
              <w:right w:val="single" w:sz="4" w:space="0" w:color="auto"/>
            </w:tcBorders>
            <w:shd w:val="clear" w:color="FFFFFF" w:fill="FFFFFF"/>
            <w:hideMark/>
          </w:tcPr>
          <w:p w:rsidR="008835EB" w:rsidRDefault="008835EB" w:rsidP="007E3F2E">
            <w:pPr>
              <w:rPr>
                <w:rFonts w:cs="Calibri"/>
                <w:szCs w:val="18"/>
              </w:rPr>
            </w:pPr>
            <w:r>
              <w:rPr>
                <w:rFonts w:cs="Calibri"/>
                <w:szCs w:val="18"/>
              </w:rPr>
              <w:t>Unlimited Amount</w:t>
            </w:r>
          </w:p>
        </w:tc>
        <w:tc>
          <w:tcPr>
            <w:tcW w:w="4642" w:type="dxa"/>
            <w:tcBorders>
              <w:top w:val="nil"/>
              <w:left w:val="nil"/>
              <w:bottom w:val="single" w:sz="4" w:space="0" w:color="auto"/>
              <w:right w:val="single" w:sz="4" w:space="0" w:color="auto"/>
            </w:tcBorders>
            <w:shd w:val="clear" w:color="FFFFFF" w:fill="FFFFFF"/>
            <w:hideMark/>
          </w:tcPr>
          <w:p w:rsidR="008835EB" w:rsidRDefault="008835EB" w:rsidP="007E3F2E">
            <w:pPr>
              <w:rPr>
                <w:rFonts w:cs="Calibri"/>
                <w:szCs w:val="18"/>
              </w:rPr>
            </w:pPr>
            <w:r>
              <w:rPr>
                <w:rFonts w:cs="Calibri"/>
                <w:szCs w:val="18"/>
              </w:rPr>
              <w:t>An Act to provide for financial assistance for workers who have not been fully paid for work done for insolvents or bankrupts, and for related purposes.</w:t>
            </w:r>
          </w:p>
        </w:tc>
        <w:tc>
          <w:tcPr>
            <w:tcW w:w="1188" w:type="dxa"/>
            <w:tcBorders>
              <w:top w:val="nil"/>
              <w:left w:val="nil"/>
              <w:bottom w:val="single" w:sz="4" w:space="0" w:color="auto"/>
              <w:right w:val="single" w:sz="4" w:space="0" w:color="auto"/>
            </w:tcBorders>
            <w:shd w:val="clear" w:color="FFFFFF" w:fill="FFFFFF"/>
            <w:noWrap/>
            <w:vAlign w:val="bottom"/>
            <w:hideMark/>
          </w:tcPr>
          <w:p w:rsidR="008835EB" w:rsidRPr="001C23B9" w:rsidRDefault="008835EB" w:rsidP="007E3F2E">
            <w:pPr>
              <w:jc w:val="right"/>
              <w:rPr>
                <w:rFonts w:cs="Calibri"/>
                <w:b/>
                <w:bCs/>
                <w:szCs w:val="18"/>
              </w:rPr>
            </w:pPr>
            <w:r w:rsidRPr="001C23B9">
              <w:rPr>
                <w:rFonts w:cs="Calibri"/>
                <w:b/>
                <w:bCs/>
                <w:szCs w:val="18"/>
              </w:rPr>
              <w:t xml:space="preserve">259,980 </w:t>
            </w:r>
          </w:p>
        </w:tc>
        <w:tc>
          <w:tcPr>
            <w:tcW w:w="1188" w:type="dxa"/>
            <w:tcBorders>
              <w:top w:val="nil"/>
              <w:left w:val="nil"/>
              <w:bottom w:val="single" w:sz="4" w:space="0" w:color="auto"/>
              <w:right w:val="single" w:sz="4" w:space="0" w:color="auto"/>
            </w:tcBorders>
            <w:shd w:val="clear" w:color="FFFFFF" w:fill="FFFFFF"/>
            <w:noWrap/>
            <w:vAlign w:val="bottom"/>
            <w:hideMark/>
          </w:tcPr>
          <w:p w:rsidR="008835EB" w:rsidRPr="001C23B9" w:rsidRDefault="008835EB" w:rsidP="007E3F2E">
            <w:pPr>
              <w:jc w:val="right"/>
              <w:rPr>
                <w:rFonts w:cs="Calibri"/>
                <w:szCs w:val="18"/>
              </w:rPr>
            </w:pPr>
            <w:r w:rsidRPr="001C23B9">
              <w:rPr>
                <w:rFonts w:cs="Calibri"/>
                <w:szCs w:val="18"/>
              </w:rPr>
              <w:t xml:space="preserve">307,890 </w:t>
            </w:r>
          </w:p>
        </w:tc>
      </w:tr>
      <w:tr w:rsidR="008835EB" w:rsidTr="007E3F2E">
        <w:trPr>
          <w:trHeight w:val="480"/>
        </w:trPr>
        <w:tc>
          <w:tcPr>
            <w:tcW w:w="5676" w:type="dxa"/>
            <w:tcBorders>
              <w:top w:val="nil"/>
              <w:left w:val="single" w:sz="4" w:space="0" w:color="auto"/>
              <w:bottom w:val="single" w:sz="4" w:space="0" w:color="auto"/>
              <w:right w:val="single" w:sz="4" w:space="0" w:color="auto"/>
            </w:tcBorders>
            <w:shd w:val="clear" w:color="FFFFFF" w:fill="FFFFFF"/>
            <w:hideMark/>
          </w:tcPr>
          <w:p w:rsidR="008835EB" w:rsidRPr="0057202E" w:rsidRDefault="008835EB" w:rsidP="007E3F2E">
            <w:pPr>
              <w:rPr>
                <w:rFonts w:cs="Calibri"/>
                <w:i/>
                <w:szCs w:val="18"/>
              </w:rPr>
            </w:pPr>
            <w:r w:rsidRPr="0057202E">
              <w:rPr>
                <w:rFonts w:cs="Calibri"/>
                <w:i/>
                <w:szCs w:val="18"/>
              </w:rPr>
              <w:t xml:space="preserve">Coal Mining Industry (Long Service Leave Funding) Act 1992 </w:t>
            </w:r>
            <w:r w:rsidRPr="0057202E">
              <w:rPr>
                <w:rFonts w:cs="Calibri"/>
                <w:szCs w:val="18"/>
              </w:rPr>
              <w:t>(Administered)</w:t>
            </w:r>
          </w:p>
        </w:tc>
        <w:tc>
          <w:tcPr>
            <w:tcW w:w="1189" w:type="dxa"/>
            <w:tcBorders>
              <w:top w:val="nil"/>
              <w:left w:val="nil"/>
              <w:bottom w:val="single" w:sz="4" w:space="0" w:color="auto"/>
              <w:right w:val="single" w:sz="4" w:space="0" w:color="auto"/>
            </w:tcBorders>
            <w:shd w:val="clear" w:color="FFFFFF" w:fill="FFFFFF"/>
            <w:hideMark/>
          </w:tcPr>
          <w:p w:rsidR="008835EB" w:rsidRDefault="008835EB" w:rsidP="007E3F2E">
            <w:pPr>
              <w:rPr>
                <w:rFonts w:cs="Calibri"/>
                <w:szCs w:val="18"/>
              </w:rPr>
            </w:pPr>
            <w:r>
              <w:rPr>
                <w:rFonts w:cs="Calibri"/>
                <w:szCs w:val="18"/>
              </w:rPr>
              <w:t>Unlimited Amount</w:t>
            </w:r>
          </w:p>
        </w:tc>
        <w:tc>
          <w:tcPr>
            <w:tcW w:w="4642" w:type="dxa"/>
            <w:tcBorders>
              <w:top w:val="nil"/>
              <w:left w:val="nil"/>
              <w:bottom w:val="single" w:sz="4" w:space="0" w:color="auto"/>
              <w:right w:val="single" w:sz="4" w:space="0" w:color="auto"/>
            </w:tcBorders>
            <w:shd w:val="clear" w:color="FFFFFF" w:fill="FFFFFF"/>
            <w:hideMark/>
          </w:tcPr>
          <w:p w:rsidR="008835EB" w:rsidRDefault="008835EB" w:rsidP="007E3F2E">
            <w:pPr>
              <w:rPr>
                <w:rFonts w:cs="Calibri"/>
                <w:szCs w:val="18"/>
              </w:rPr>
            </w:pPr>
            <w:r>
              <w:rPr>
                <w:rFonts w:cs="Calibri"/>
                <w:szCs w:val="18"/>
              </w:rPr>
              <w:t xml:space="preserve">An Act to manage the long service </w:t>
            </w:r>
            <w:proofErr w:type="gramStart"/>
            <w:r>
              <w:rPr>
                <w:rFonts w:cs="Calibri"/>
                <w:szCs w:val="18"/>
              </w:rPr>
              <w:t>leave</w:t>
            </w:r>
            <w:proofErr w:type="gramEnd"/>
            <w:r>
              <w:rPr>
                <w:rFonts w:cs="Calibri"/>
                <w:szCs w:val="18"/>
              </w:rPr>
              <w:t xml:space="preserve"> entitlement of the Coal Mining Industry.</w:t>
            </w:r>
          </w:p>
        </w:tc>
        <w:tc>
          <w:tcPr>
            <w:tcW w:w="1188" w:type="dxa"/>
            <w:tcBorders>
              <w:top w:val="nil"/>
              <w:left w:val="nil"/>
              <w:bottom w:val="single" w:sz="4" w:space="0" w:color="auto"/>
              <w:right w:val="single" w:sz="4" w:space="0" w:color="auto"/>
            </w:tcBorders>
            <w:shd w:val="clear" w:color="FFFFFF" w:fill="FFFFFF"/>
            <w:noWrap/>
            <w:vAlign w:val="bottom"/>
            <w:hideMark/>
          </w:tcPr>
          <w:p w:rsidR="008835EB" w:rsidRPr="001C23B9" w:rsidRDefault="008835EB" w:rsidP="007E3F2E">
            <w:pPr>
              <w:jc w:val="right"/>
              <w:rPr>
                <w:rFonts w:cs="Calibri"/>
                <w:b/>
                <w:bCs/>
                <w:szCs w:val="18"/>
              </w:rPr>
            </w:pPr>
            <w:r w:rsidRPr="001C23B9">
              <w:rPr>
                <w:rFonts w:cs="Calibri"/>
                <w:b/>
                <w:bCs/>
                <w:szCs w:val="18"/>
              </w:rPr>
              <w:t xml:space="preserve">146,970 </w:t>
            </w:r>
          </w:p>
        </w:tc>
        <w:tc>
          <w:tcPr>
            <w:tcW w:w="1188" w:type="dxa"/>
            <w:tcBorders>
              <w:top w:val="nil"/>
              <w:left w:val="nil"/>
              <w:bottom w:val="single" w:sz="4" w:space="0" w:color="auto"/>
              <w:right w:val="single" w:sz="4" w:space="0" w:color="auto"/>
            </w:tcBorders>
            <w:shd w:val="clear" w:color="FFFFFF" w:fill="FFFFFF"/>
            <w:noWrap/>
            <w:vAlign w:val="bottom"/>
            <w:hideMark/>
          </w:tcPr>
          <w:p w:rsidR="008835EB" w:rsidRPr="001C23B9" w:rsidRDefault="008835EB" w:rsidP="007E3F2E">
            <w:pPr>
              <w:jc w:val="right"/>
              <w:rPr>
                <w:rFonts w:cs="Calibri"/>
                <w:szCs w:val="18"/>
              </w:rPr>
            </w:pPr>
            <w:r w:rsidRPr="001C23B9">
              <w:rPr>
                <w:rFonts w:cs="Calibri"/>
                <w:szCs w:val="18"/>
              </w:rPr>
              <w:t xml:space="preserve">158,607 </w:t>
            </w:r>
          </w:p>
        </w:tc>
      </w:tr>
      <w:tr w:rsidR="008835EB" w:rsidTr="007E3F2E">
        <w:trPr>
          <w:trHeight w:val="720"/>
        </w:trPr>
        <w:tc>
          <w:tcPr>
            <w:tcW w:w="5676" w:type="dxa"/>
            <w:tcBorders>
              <w:top w:val="nil"/>
              <w:left w:val="single" w:sz="4" w:space="0" w:color="auto"/>
              <w:bottom w:val="single" w:sz="4" w:space="0" w:color="auto"/>
              <w:right w:val="single" w:sz="4" w:space="0" w:color="auto"/>
            </w:tcBorders>
            <w:shd w:val="clear" w:color="FFFFFF" w:fill="FFFFFF"/>
            <w:hideMark/>
          </w:tcPr>
          <w:p w:rsidR="008835EB" w:rsidRPr="0057202E" w:rsidRDefault="008835EB" w:rsidP="007E3F2E">
            <w:pPr>
              <w:rPr>
                <w:rFonts w:cs="Calibri"/>
                <w:i/>
                <w:szCs w:val="18"/>
              </w:rPr>
            </w:pPr>
            <w:r w:rsidRPr="0057202E">
              <w:rPr>
                <w:rFonts w:cs="Calibri"/>
                <w:i/>
                <w:szCs w:val="18"/>
              </w:rPr>
              <w:t xml:space="preserve">Safety, Rehabilitation and Compensation Act 1988 </w:t>
            </w:r>
            <w:r w:rsidRPr="0057202E">
              <w:rPr>
                <w:rFonts w:cs="Calibri"/>
                <w:szCs w:val="18"/>
              </w:rPr>
              <w:t>(</w:t>
            </w:r>
            <w:proofErr w:type="spellStart"/>
            <w:r w:rsidRPr="0057202E">
              <w:rPr>
                <w:rFonts w:cs="Calibri"/>
                <w:szCs w:val="18"/>
              </w:rPr>
              <w:t>SRC</w:t>
            </w:r>
            <w:proofErr w:type="spellEnd"/>
            <w:r w:rsidRPr="0057202E">
              <w:rPr>
                <w:rFonts w:cs="Calibri"/>
                <w:szCs w:val="18"/>
              </w:rPr>
              <w:t xml:space="preserve"> Act) (Administered)</w:t>
            </w:r>
          </w:p>
        </w:tc>
        <w:tc>
          <w:tcPr>
            <w:tcW w:w="1189" w:type="dxa"/>
            <w:tcBorders>
              <w:top w:val="nil"/>
              <w:left w:val="nil"/>
              <w:bottom w:val="single" w:sz="4" w:space="0" w:color="auto"/>
              <w:right w:val="single" w:sz="4" w:space="0" w:color="auto"/>
            </w:tcBorders>
            <w:shd w:val="clear" w:color="FFFFFF" w:fill="FFFFFF"/>
            <w:hideMark/>
          </w:tcPr>
          <w:p w:rsidR="008835EB" w:rsidRDefault="008835EB" w:rsidP="007E3F2E">
            <w:pPr>
              <w:rPr>
                <w:rFonts w:cs="Calibri"/>
                <w:szCs w:val="18"/>
              </w:rPr>
            </w:pPr>
            <w:r>
              <w:rPr>
                <w:rFonts w:cs="Calibri"/>
                <w:szCs w:val="18"/>
              </w:rPr>
              <w:t>Unlimited Amount</w:t>
            </w:r>
          </w:p>
        </w:tc>
        <w:tc>
          <w:tcPr>
            <w:tcW w:w="4642" w:type="dxa"/>
            <w:tcBorders>
              <w:top w:val="nil"/>
              <w:left w:val="nil"/>
              <w:bottom w:val="single" w:sz="4" w:space="0" w:color="auto"/>
              <w:right w:val="single" w:sz="4" w:space="0" w:color="auto"/>
            </w:tcBorders>
            <w:shd w:val="clear" w:color="FFFFFF" w:fill="FFFFFF"/>
            <w:hideMark/>
          </w:tcPr>
          <w:p w:rsidR="008835EB" w:rsidRDefault="008835EB" w:rsidP="007E3F2E">
            <w:pPr>
              <w:rPr>
                <w:rFonts w:cs="Calibri"/>
                <w:szCs w:val="18"/>
              </w:rPr>
            </w:pPr>
            <w:r>
              <w:rPr>
                <w:rFonts w:cs="Calibri"/>
                <w:szCs w:val="18"/>
              </w:rPr>
              <w:t xml:space="preserve">An Act to provide for the payment of workers compensation claims and associated expenses in accordance with the provisions of the </w:t>
            </w:r>
            <w:proofErr w:type="spellStart"/>
            <w:r>
              <w:rPr>
                <w:rFonts w:cs="Calibri"/>
                <w:szCs w:val="18"/>
              </w:rPr>
              <w:t>SRC</w:t>
            </w:r>
            <w:proofErr w:type="spellEnd"/>
            <w:r>
              <w:rPr>
                <w:rFonts w:cs="Calibri"/>
                <w:szCs w:val="18"/>
              </w:rPr>
              <w:t xml:space="preserve"> Act.</w:t>
            </w:r>
          </w:p>
        </w:tc>
        <w:tc>
          <w:tcPr>
            <w:tcW w:w="1188" w:type="dxa"/>
            <w:tcBorders>
              <w:top w:val="nil"/>
              <w:left w:val="nil"/>
              <w:bottom w:val="single" w:sz="4" w:space="0" w:color="auto"/>
              <w:right w:val="single" w:sz="4" w:space="0" w:color="auto"/>
            </w:tcBorders>
            <w:shd w:val="clear" w:color="FFFFFF" w:fill="FFFFFF"/>
            <w:noWrap/>
            <w:vAlign w:val="bottom"/>
            <w:hideMark/>
          </w:tcPr>
          <w:p w:rsidR="008835EB" w:rsidRPr="001C23B9" w:rsidRDefault="008835EB" w:rsidP="007E3F2E">
            <w:pPr>
              <w:jc w:val="right"/>
              <w:rPr>
                <w:rFonts w:cs="Calibri"/>
                <w:b/>
                <w:bCs/>
                <w:szCs w:val="18"/>
              </w:rPr>
            </w:pPr>
            <w:r w:rsidRPr="001C23B9">
              <w:rPr>
                <w:rFonts w:cs="Calibri"/>
                <w:b/>
                <w:bCs/>
                <w:szCs w:val="18"/>
              </w:rPr>
              <w:t xml:space="preserve">35,174 </w:t>
            </w:r>
          </w:p>
        </w:tc>
        <w:tc>
          <w:tcPr>
            <w:tcW w:w="1188" w:type="dxa"/>
            <w:tcBorders>
              <w:top w:val="nil"/>
              <w:left w:val="nil"/>
              <w:bottom w:val="single" w:sz="4" w:space="0" w:color="auto"/>
              <w:right w:val="single" w:sz="4" w:space="0" w:color="auto"/>
            </w:tcBorders>
            <w:shd w:val="clear" w:color="FFFFFF" w:fill="FFFFFF"/>
            <w:noWrap/>
            <w:vAlign w:val="bottom"/>
            <w:hideMark/>
          </w:tcPr>
          <w:p w:rsidR="008835EB" w:rsidRPr="001C23B9" w:rsidRDefault="008835EB" w:rsidP="007E3F2E">
            <w:pPr>
              <w:jc w:val="right"/>
              <w:rPr>
                <w:rFonts w:cs="Calibri"/>
                <w:szCs w:val="18"/>
              </w:rPr>
            </w:pPr>
            <w:r w:rsidRPr="001C23B9">
              <w:rPr>
                <w:rFonts w:cs="Calibri"/>
                <w:szCs w:val="18"/>
              </w:rPr>
              <w:t xml:space="preserve">39,503 </w:t>
            </w:r>
          </w:p>
        </w:tc>
      </w:tr>
      <w:tr w:rsidR="008835EB" w:rsidTr="007E3F2E">
        <w:trPr>
          <w:trHeight w:val="720"/>
        </w:trPr>
        <w:tc>
          <w:tcPr>
            <w:tcW w:w="5676" w:type="dxa"/>
            <w:tcBorders>
              <w:top w:val="nil"/>
              <w:left w:val="single" w:sz="4" w:space="0" w:color="auto"/>
              <w:bottom w:val="single" w:sz="4" w:space="0" w:color="auto"/>
              <w:right w:val="single" w:sz="4" w:space="0" w:color="auto"/>
            </w:tcBorders>
            <w:shd w:val="clear" w:color="FFFFFF" w:fill="FFFFFF"/>
            <w:hideMark/>
          </w:tcPr>
          <w:p w:rsidR="008835EB" w:rsidRPr="0057202E" w:rsidRDefault="008835EB" w:rsidP="007E3F2E">
            <w:pPr>
              <w:rPr>
                <w:rFonts w:cs="Calibri"/>
                <w:i/>
                <w:szCs w:val="18"/>
              </w:rPr>
            </w:pPr>
            <w:r w:rsidRPr="0057202E">
              <w:rPr>
                <w:rFonts w:cs="Calibri"/>
                <w:i/>
                <w:szCs w:val="18"/>
              </w:rPr>
              <w:t xml:space="preserve">Asbestos-related Claims (Management of Commonwealth Liabilities) Act 2005 </w:t>
            </w:r>
            <w:r w:rsidRPr="003F586E">
              <w:rPr>
                <w:rFonts w:cs="Calibri"/>
                <w:szCs w:val="18"/>
              </w:rPr>
              <w:t>(Administered)</w:t>
            </w:r>
          </w:p>
        </w:tc>
        <w:tc>
          <w:tcPr>
            <w:tcW w:w="1189" w:type="dxa"/>
            <w:tcBorders>
              <w:top w:val="nil"/>
              <w:left w:val="nil"/>
              <w:bottom w:val="single" w:sz="4" w:space="0" w:color="auto"/>
              <w:right w:val="single" w:sz="4" w:space="0" w:color="auto"/>
            </w:tcBorders>
            <w:shd w:val="clear" w:color="FFFFFF" w:fill="FFFFFF"/>
            <w:hideMark/>
          </w:tcPr>
          <w:p w:rsidR="008835EB" w:rsidRDefault="008835EB" w:rsidP="007E3F2E">
            <w:pPr>
              <w:rPr>
                <w:rFonts w:cs="Calibri"/>
                <w:szCs w:val="18"/>
              </w:rPr>
            </w:pPr>
            <w:r>
              <w:rPr>
                <w:rFonts w:cs="Calibri"/>
                <w:szCs w:val="18"/>
              </w:rPr>
              <w:t>Unlimited Amount</w:t>
            </w:r>
          </w:p>
        </w:tc>
        <w:tc>
          <w:tcPr>
            <w:tcW w:w="4642" w:type="dxa"/>
            <w:tcBorders>
              <w:top w:val="nil"/>
              <w:left w:val="nil"/>
              <w:bottom w:val="single" w:sz="4" w:space="0" w:color="auto"/>
              <w:right w:val="single" w:sz="4" w:space="0" w:color="auto"/>
            </w:tcBorders>
            <w:shd w:val="clear" w:color="FFFFFF" w:fill="FFFFFF"/>
            <w:hideMark/>
          </w:tcPr>
          <w:p w:rsidR="008835EB" w:rsidRDefault="008835EB" w:rsidP="007E3F2E">
            <w:pPr>
              <w:rPr>
                <w:rFonts w:cs="Calibri"/>
                <w:szCs w:val="18"/>
              </w:rPr>
            </w:pPr>
            <w:r>
              <w:rPr>
                <w:rFonts w:cs="Calibri"/>
                <w:szCs w:val="18"/>
              </w:rPr>
              <w:t>An Act to assign responsibility for the management of certain liabilities relating to asbestos-related claims, and for related purposes.</w:t>
            </w:r>
          </w:p>
        </w:tc>
        <w:tc>
          <w:tcPr>
            <w:tcW w:w="1188" w:type="dxa"/>
            <w:tcBorders>
              <w:top w:val="nil"/>
              <w:left w:val="nil"/>
              <w:bottom w:val="single" w:sz="4" w:space="0" w:color="auto"/>
              <w:right w:val="single" w:sz="4" w:space="0" w:color="auto"/>
            </w:tcBorders>
            <w:shd w:val="clear" w:color="FFFFFF" w:fill="FFFFFF"/>
            <w:noWrap/>
            <w:vAlign w:val="bottom"/>
            <w:hideMark/>
          </w:tcPr>
          <w:p w:rsidR="008835EB" w:rsidRPr="001C23B9" w:rsidRDefault="008835EB" w:rsidP="007E3F2E">
            <w:pPr>
              <w:jc w:val="right"/>
              <w:rPr>
                <w:rFonts w:cs="Calibri"/>
                <w:b/>
                <w:bCs/>
                <w:szCs w:val="18"/>
              </w:rPr>
            </w:pPr>
            <w:r w:rsidRPr="001C23B9">
              <w:rPr>
                <w:rFonts w:cs="Calibri"/>
                <w:b/>
                <w:bCs/>
                <w:szCs w:val="18"/>
              </w:rPr>
              <w:t xml:space="preserve">28,635 </w:t>
            </w:r>
          </w:p>
        </w:tc>
        <w:tc>
          <w:tcPr>
            <w:tcW w:w="1188" w:type="dxa"/>
            <w:tcBorders>
              <w:top w:val="nil"/>
              <w:left w:val="nil"/>
              <w:bottom w:val="single" w:sz="4" w:space="0" w:color="auto"/>
              <w:right w:val="single" w:sz="4" w:space="0" w:color="auto"/>
            </w:tcBorders>
            <w:shd w:val="clear" w:color="FFFFFF" w:fill="FFFFFF"/>
            <w:noWrap/>
            <w:vAlign w:val="bottom"/>
            <w:hideMark/>
          </w:tcPr>
          <w:p w:rsidR="008835EB" w:rsidRPr="001C23B9" w:rsidRDefault="008835EB" w:rsidP="007E3F2E">
            <w:pPr>
              <w:jc w:val="right"/>
              <w:rPr>
                <w:rFonts w:cs="Calibri"/>
                <w:szCs w:val="18"/>
              </w:rPr>
            </w:pPr>
            <w:r w:rsidRPr="001C23B9">
              <w:rPr>
                <w:rFonts w:cs="Calibri"/>
                <w:szCs w:val="18"/>
              </w:rPr>
              <w:t xml:space="preserve">26,356 </w:t>
            </w:r>
          </w:p>
        </w:tc>
      </w:tr>
      <w:tr w:rsidR="008835EB" w:rsidTr="007E3F2E">
        <w:trPr>
          <w:trHeight w:val="1048"/>
        </w:trPr>
        <w:tc>
          <w:tcPr>
            <w:tcW w:w="5676" w:type="dxa"/>
            <w:tcBorders>
              <w:top w:val="nil"/>
              <w:left w:val="single" w:sz="4" w:space="0" w:color="auto"/>
              <w:bottom w:val="single" w:sz="4" w:space="0" w:color="auto"/>
              <w:right w:val="single" w:sz="4" w:space="0" w:color="auto"/>
            </w:tcBorders>
            <w:shd w:val="clear" w:color="FFFFFF" w:fill="FFFFFF"/>
            <w:hideMark/>
          </w:tcPr>
          <w:p w:rsidR="008835EB" w:rsidRPr="0057202E" w:rsidRDefault="008835EB" w:rsidP="007E3F2E">
            <w:pPr>
              <w:rPr>
                <w:rFonts w:cs="Calibri"/>
                <w:i/>
                <w:szCs w:val="18"/>
              </w:rPr>
            </w:pPr>
            <w:r w:rsidRPr="0057202E">
              <w:rPr>
                <w:rFonts w:cs="Calibri"/>
                <w:i/>
                <w:szCs w:val="18"/>
              </w:rPr>
              <w:t>Public Governance, Performance and Accountability Act 2013</w:t>
            </w:r>
            <w:r>
              <w:rPr>
                <w:rFonts w:cs="Calibri"/>
                <w:i/>
                <w:szCs w:val="18"/>
              </w:rPr>
              <w:t>—</w:t>
            </w:r>
            <w:r w:rsidRPr="003F586E">
              <w:rPr>
                <w:rFonts w:cs="Calibri"/>
                <w:szCs w:val="18"/>
              </w:rPr>
              <w:t>Section 77</w:t>
            </w:r>
          </w:p>
        </w:tc>
        <w:tc>
          <w:tcPr>
            <w:tcW w:w="1189" w:type="dxa"/>
            <w:tcBorders>
              <w:top w:val="nil"/>
              <w:left w:val="nil"/>
              <w:bottom w:val="single" w:sz="4" w:space="0" w:color="auto"/>
              <w:right w:val="single" w:sz="4" w:space="0" w:color="auto"/>
            </w:tcBorders>
            <w:shd w:val="clear" w:color="FFFFFF" w:fill="FFFFFF"/>
            <w:hideMark/>
          </w:tcPr>
          <w:p w:rsidR="008835EB" w:rsidRDefault="008835EB" w:rsidP="007E3F2E">
            <w:pPr>
              <w:rPr>
                <w:rFonts w:cs="Calibri"/>
                <w:szCs w:val="18"/>
              </w:rPr>
            </w:pPr>
            <w:r>
              <w:rPr>
                <w:rFonts w:cs="Calibri"/>
                <w:szCs w:val="18"/>
              </w:rPr>
              <w:t>Refund</w:t>
            </w:r>
          </w:p>
        </w:tc>
        <w:tc>
          <w:tcPr>
            <w:tcW w:w="4642" w:type="dxa"/>
            <w:tcBorders>
              <w:top w:val="nil"/>
              <w:left w:val="nil"/>
              <w:bottom w:val="single" w:sz="4" w:space="0" w:color="auto"/>
              <w:right w:val="single" w:sz="4" w:space="0" w:color="auto"/>
            </w:tcBorders>
            <w:shd w:val="clear" w:color="FFFFFF" w:fill="FFFFFF"/>
            <w:vAlign w:val="bottom"/>
            <w:hideMark/>
          </w:tcPr>
          <w:p w:rsidR="008835EB" w:rsidRDefault="008835EB" w:rsidP="007E3F2E">
            <w:pPr>
              <w:rPr>
                <w:rFonts w:cs="Calibri"/>
                <w:szCs w:val="18"/>
              </w:rPr>
            </w:pPr>
            <w:r>
              <w:rPr>
                <w:rFonts w:cs="Calibri"/>
                <w:szCs w:val="18"/>
              </w:rPr>
              <w:t>To provide an appropriation where an Act or other law requires or permits the repayment of an amount received by the Commonwealth and apart from this section there is no specific appropriation for the repayment.</w:t>
            </w:r>
          </w:p>
        </w:tc>
        <w:tc>
          <w:tcPr>
            <w:tcW w:w="1188" w:type="dxa"/>
            <w:tcBorders>
              <w:top w:val="nil"/>
              <w:left w:val="nil"/>
              <w:bottom w:val="single" w:sz="4" w:space="0" w:color="auto"/>
              <w:right w:val="single" w:sz="4" w:space="0" w:color="auto"/>
            </w:tcBorders>
            <w:shd w:val="clear" w:color="FFFFFF" w:fill="FFFFFF"/>
            <w:noWrap/>
            <w:vAlign w:val="bottom"/>
            <w:hideMark/>
          </w:tcPr>
          <w:p w:rsidR="008835EB" w:rsidRPr="001C23B9" w:rsidRDefault="008835EB" w:rsidP="007E3F2E">
            <w:pPr>
              <w:jc w:val="right"/>
              <w:rPr>
                <w:rFonts w:cs="Calibri"/>
                <w:b/>
                <w:bCs/>
                <w:szCs w:val="18"/>
              </w:rPr>
            </w:pPr>
            <w:r w:rsidRPr="001C23B9">
              <w:rPr>
                <w:rFonts w:cs="Calibri"/>
                <w:b/>
                <w:bCs/>
                <w:szCs w:val="18"/>
              </w:rPr>
              <w:t xml:space="preserve">4 </w:t>
            </w:r>
          </w:p>
        </w:tc>
        <w:tc>
          <w:tcPr>
            <w:tcW w:w="1188" w:type="dxa"/>
            <w:tcBorders>
              <w:top w:val="nil"/>
              <w:left w:val="nil"/>
              <w:bottom w:val="single" w:sz="4" w:space="0" w:color="auto"/>
              <w:right w:val="single" w:sz="4" w:space="0" w:color="auto"/>
            </w:tcBorders>
            <w:shd w:val="clear" w:color="FFFFFF" w:fill="FFFFFF"/>
            <w:noWrap/>
            <w:vAlign w:val="bottom"/>
            <w:hideMark/>
          </w:tcPr>
          <w:p w:rsidR="008835EB" w:rsidRPr="001C23B9" w:rsidRDefault="008835EB" w:rsidP="007E3F2E">
            <w:pPr>
              <w:jc w:val="right"/>
              <w:rPr>
                <w:rFonts w:cs="Calibri"/>
                <w:szCs w:val="18"/>
              </w:rPr>
            </w:pPr>
            <w:r w:rsidRPr="001C23B9">
              <w:rPr>
                <w:rFonts w:cs="Calibri"/>
                <w:szCs w:val="18"/>
              </w:rPr>
              <w:t xml:space="preserve"> -</w:t>
            </w:r>
          </w:p>
        </w:tc>
      </w:tr>
      <w:tr w:rsidR="008835EB" w:rsidTr="007E3F2E">
        <w:trPr>
          <w:trHeight w:val="255"/>
        </w:trPr>
        <w:tc>
          <w:tcPr>
            <w:tcW w:w="5676" w:type="dxa"/>
            <w:tcBorders>
              <w:top w:val="nil"/>
              <w:left w:val="single" w:sz="4" w:space="0" w:color="auto"/>
              <w:bottom w:val="single" w:sz="4" w:space="0" w:color="auto"/>
              <w:right w:val="single" w:sz="4" w:space="0" w:color="auto"/>
            </w:tcBorders>
            <w:shd w:val="clear" w:color="FFFFFF" w:fill="FFFFFF"/>
            <w:vAlign w:val="bottom"/>
            <w:hideMark/>
          </w:tcPr>
          <w:p w:rsidR="008835EB" w:rsidRDefault="008835EB" w:rsidP="007E3F2E">
            <w:pPr>
              <w:rPr>
                <w:rFonts w:cs="Calibri"/>
                <w:b/>
                <w:bCs/>
                <w:szCs w:val="18"/>
              </w:rPr>
            </w:pPr>
            <w:r>
              <w:rPr>
                <w:rFonts w:cs="Calibri"/>
                <w:b/>
                <w:bCs/>
                <w:szCs w:val="18"/>
              </w:rPr>
              <w:t>Total special appropriations applied</w:t>
            </w:r>
          </w:p>
        </w:tc>
        <w:tc>
          <w:tcPr>
            <w:tcW w:w="1189" w:type="dxa"/>
            <w:tcBorders>
              <w:top w:val="nil"/>
              <w:left w:val="nil"/>
              <w:bottom w:val="single" w:sz="4" w:space="0" w:color="auto"/>
              <w:right w:val="single" w:sz="4" w:space="0" w:color="auto"/>
            </w:tcBorders>
            <w:shd w:val="clear" w:color="FFFFFF" w:fill="FFFFFF"/>
            <w:vAlign w:val="bottom"/>
            <w:hideMark/>
          </w:tcPr>
          <w:p w:rsidR="008835EB" w:rsidRDefault="008835EB" w:rsidP="007E3F2E">
            <w:pPr>
              <w:rPr>
                <w:rFonts w:cs="Calibri"/>
                <w:b/>
                <w:bCs/>
                <w:szCs w:val="18"/>
              </w:rPr>
            </w:pPr>
            <w:r>
              <w:rPr>
                <w:rFonts w:cs="Calibri"/>
                <w:b/>
                <w:bCs/>
                <w:szCs w:val="18"/>
              </w:rPr>
              <w:t> </w:t>
            </w:r>
          </w:p>
        </w:tc>
        <w:tc>
          <w:tcPr>
            <w:tcW w:w="4642" w:type="dxa"/>
            <w:tcBorders>
              <w:top w:val="nil"/>
              <w:left w:val="nil"/>
              <w:bottom w:val="single" w:sz="4" w:space="0" w:color="auto"/>
              <w:right w:val="single" w:sz="4" w:space="0" w:color="auto"/>
            </w:tcBorders>
            <w:shd w:val="clear" w:color="FFFFFF" w:fill="FFFFFF"/>
            <w:vAlign w:val="bottom"/>
            <w:hideMark/>
          </w:tcPr>
          <w:p w:rsidR="008835EB" w:rsidRDefault="008835EB" w:rsidP="007E3F2E">
            <w:pPr>
              <w:rPr>
                <w:rFonts w:cs="Calibri"/>
                <w:b/>
                <w:bCs/>
                <w:szCs w:val="18"/>
              </w:rPr>
            </w:pPr>
            <w:r>
              <w:rPr>
                <w:rFonts w:cs="Calibri"/>
                <w:b/>
                <w:bCs/>
                <w:szCs w:val="18"/>
              </w:rPr>
              <w:t> </w:t>
            </w:r>
          </w:p>
        </w:tc>
        <w:tc>
          <w:tcPr>
            <w:tcW w:w="1188" w:type="dxa"/>
            <w:tcBorders>
              <w:top w:val="nil"/>
              <w:left w:val="nil"/>
              <w:bottom w:val="single" w:sz="4" w:space="0" w:color="auto"/>
              <w:right w:val="single" w:sz="4" w:space="0" w:color="auto"/>
            </w:tcBorders>
            <w:shd w:val="clear" w:color="FFFFFF" w:fill="FFFFFF"/>
            <w:noWrap/>
            <w:vAlign w:val="bottom"/>
            <w:hideMark/>
          </w:tcPr>
          <w:p w:rsidR="008835EB" w:rsidRPr="001C23B9" w:rsidRDefault="008835EB" w:rsidP="007E3F2E">
            <w:pPr>
              <w:jc w:val="right"/>
              <w:rPr>
                <w:rFonts w:cs="Calibri"/>
                <w:b/>
                <w:bCs/>
                <w:szCs w:val="18"/>
              </w:rPr>
            </w:pPr>
            <w:r w:rsidRPr="001C23B9">
              <w:rPr>
                <w:rFonts w:cs="Calibri"/>
                <w:b/>
                <w:bCs/>
                <w:szCs w:val="18"/>
              </w:rPr>
              <w:t>470,763</w:t>
            </w:r>
          </w:p>
        </w:tc>
        <w:tc>
          <w:tcPr>
            <w:tcW w:w="1188" w:type="dxa"/>
            <w:tcBorders>
              <w:top w:val="nil"/>
              <w:left w:val="nil"/>
              <w:bottom w:val="single" w:sz="4" w:space="0" w:color="auto"/>
              <w:right w:val="single" w:sz="4" w:space="0" w:color="auto"/>
            </w:tcBorders>
            <w:shd w:val="clear" w:color="FFFFFF" w:fill="FFFFFF"/>
            <w:noWrap/>
            <w:vAlign w:val="bottom"/>
            <w:hideMark/>
          </w:tcPr>
          <w:p w:rsidR="008835EB" w:rsidRPr="001C23B9" w:rsidRDefault="008835EB" w:rsidP="007E3F2E">
            <w:pPr>
              <w:jc w:val="right"/>
              <w:rPr>
                <w:rFonts w:cs="Calibri"/>
                <w:b/>
                <w:bCs/>
                <w:szCs w:val="18"/>
              </w:rPr>
            </w:pPr>
            <w:r w:rsidRPr="001C23B9">
              <w:rPr>
                <w:rFonts w:cs="Calibri"/>
                <w:b/>
                <w:bCs/>
                <w:szCs w:val="18"/>
              </w:rPr>
              <w:t>532,356</w:t>
            </w:r>
          </w:p>
        </w:tc>
      </w:tr>
    </w:tbl>
    <w:p w:rsidR="008835EB" w:rsidRDefault="008835EB" w:rsidP="008835EB">
      <w:pPr>
        <w:spacing w:line="240" w:lineRule="auto"/>
        <w:sectPr w:rsidR="008835EB" w:rsidSect="00F74C23">
          <w:pgSz w:w="16838" w:h="11906" w:orient="landscape"/>
          <w:pgMar w:top="1134" w:right="1134" w:bottom="1134" w:left="1134" w:header="958" w:footer="737" w:gutter="0"/>
          <w:cols w:space="720"/>
          <w:docGrid w:linePitch="245"/>
        </w:sectPr>
      </w:pPr>
      <w:bookmarkStart w:id="358" w:name="RANGE!D7:H17"/>
      <w:bookmarkStart w:id="359" w:name="RANGE!D7:H16"/>
      <w:bookmarkStart w:id="360" w:name="RANGE!D7:H21"/>
      <w:bookmarkStart w:id="361" w:name="RANGE!D7:H30"/>
      <w:bookmarkStart w:id="362" w:name="RANGE!D7:H29"/>
      <w:bookmarkStart w:id="363" w:name="RANGE!D7:H24"/>
      <w:bookmarkStart w:id="364" w:name="RANGE!D7:H26"/>
      <w:bookmarkStart w:id="365" w:name="RANGE!D6:H25"/>
      <w:bookmarkStart w:id="366" w:name="RANGE!D6:I15"/>
      <w:bookmarkStart w:id="367" w:name="RANGE!D8:G19"/>
      <w:bookmarkStart w:id="368" w:name="RANGE!D25:H32"/>
      <w:bookmarkEnd w:id="358"/>
      <w:bookmarkEnd w:id="359"/>
      <w:bookmarkEnd w:id="360"/>
      <w:bookmarkEnd w:id="361"/>
      <w:bookmarkEnd w:id="362"/>
      <w:bookmarkEnd w:id="363"/>
      <w:bookmarkEnd w:id="364"/>
      <w:bookmarkEnd w:id="365"/>
      <w:bookmarkEnd w:id="366"/>
      <w:bookmarkEnd w:id="367"/>
      <w:bookmarkEnd w:id="368"/>
    </w:p>
    <w:p w:rsidR="008835EB" w:rsidRDefault="008835EB" w:rsidP="008835EB">
      <w:pPr>
        <w:spacing w:line="240" w:lineRule="auto"/>
      </w:pPr>
    </w:p>
    <w:p w:rsidR="008835EB" w:rsidRDefault="008835EB" w:rsidP="008835EB">
      <w:pPr>
        <w:pStyle w:val="SubHeading"/>
      </w:pPr>
      <w:bookmarkStart w:id="369" w:name="_Toc456689856"/>
      <w:r>
        <w:t>Net Cash Appropriation Arrangements</w:t>
      </w:r>
      <w:bookmarkEnd w:id="369"/>
    </w:p>
    <w:tbl>
      <w:tblPr>
        <w:tblW w:w="9087" w:type="dxa"/>
        <w:tblInd w:w="80" w:type="dxa"/>
        <w:tblLayout w:type="fixed"/>
        <w:tblLook w:val="04A0" w:firstRow="1" w:lastRow="0" w:firstColumn="1" w:lastColumn="0" w:noHBand="0" w:noVBand="1"/>
      </w:tblPr>
      <w:tblGrid>
        <w:gridCol w:w="6723"/>
        <w:gridCol w:w="1047"/>
        <w:gridCol w:w="270"/>
        <w:gridCol w:w="1047"/>
      </w:tblGrid>
      <w:tr w:rsidR="008835EB" w:rsidTr="007E3F2E">
        <w:trPr>
          <w:trHeight w:val="240"/>
        </w:trPr>
        <w:tc>
          <w:tcPr>
            <w:tcW w:w="665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bookmarkStart w:id="370" w:name="Note_NCATABLE1" w:colFirst="0" w:colLast="0"/>
            <w:r>
              <w:rPr>
                <w:rFonts w:ascii="Arial" w:hAnsi="Arial" w:cs="Arial"/>
                <w:szCs w:val="18"/>
              </w:rPr>
              <w:t> </w:t>
            </w:r>
          </w:p>
        </w:tc>
        <w:tc>
          <w:tcPr>
            <w:tcW w:w="1036"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2016</w:t>
            </w:r>
          </w:p>
        </w:tc>
        <w:tc>
          <w:tcPr>
            <w:tcW w:w="267"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036"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2015</w:t>
            </w:r>
          </w:p>
        </w:tc>
      </w:tr>
      <w:bookmarkEnd w:id="370"/>
      <w:tr w:rsidR="008835EB" w:rsidTr="007E3F2E">
        <w:trPr>
          <w:trHeight w:val="240"/>
        </w:trPr>
        <w:tc>
          <w:tcPr>
            <w:tcW w:w="665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036"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267"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036"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$'000</w:t>
            </w:r>
          </w:p>
        </w:tc>
      </w:tr>
      <w:tr w:rsidR="008835EB" w:rsidTr="007E3F2E">
        <w:trPr>
          <w:trHeight w:val="510"/>
        </w:trPr>
        <w:tc>
          <w:tcPr>
            <w:tcW w:w="6656"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 xml:space="preserve">Total comprehensive income less depreciation/amortisation expenses previously funded through revenue </w:t>
            </w:r>
            <w:proofErr w:type="spellStart"/>
            <w:r>
              <w:rPr>
                <w:rFonts w:cs="Calibri"/>
                <w:b/>
                <w:bCs/>
                <w:i/>
                <w:iCs/>
                <w:szCs w:val="18"/>
              </w:rPr>
              <w:t>appropriations</w:t>
            </w:r>
            <w:r>
              <w:rPr>
                <w:rFonts w:ascii="Arial" w:hAnsi="Arial" w:cs="Arial"/>
                <w:b/>
                <w:bCs/>
                <w:szCs w:val="18"/>
                <w:vertAlign w:val="superscript"/>
              </w:rPr>
              <w:t>1</w:t>
            </w:r>
            <w:proofErr w:type="spellEnd"/>
          </w:p>
        </w:tc>
        <w:tc>
          <w:tcPr>
            <w:tcW w:w="1036"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8,855 </w:t>
            </w:r>
          </w:p>
        </w:tc>
        <w:tc>
          <w:tcPr>
            <w:tcW w:w="267"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0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15,726 </w:t>
            </w:r>
          </w:p>
        </w:tc>
      </w:tr>
      <w:tr w:rsidR="008835EB" w:rsidTr="007E3F2E">
        <w:trPr>
          <w:trHeight w:val="480"/>
        </w:trPr>
        <w:tc>
          <w:tcPr>
            <w:tcW w:w="6656"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Plus: depreciation/amortisation expenses previously funded through revenue appropriation</w:t>
            </w:r>
          </w:p>
        </w:tc>
        <w:tc>
          <w:tcPr>
            <w:tcW w:w="1036"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(21,861)</w:t>
            </w:r>
          </w:p>
        </w:tc>
        <w:tc>
          <w:tcPr>
            <w:tcW w:w="267"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0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(27,875)</w:t>
            </w:r>
          </w:p>
        </w:tc>
      </w:tr>
      <w:tr w:rsidR="008835EB" w:rsidTr="007E3F2E">
        <w:trPr>
          <w:trHeight w:val="270"/>
        </w:trPr>
        <w:tc>
          <w:tcPr>
            <w:tcW w:w="6656"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comprehensive loss—as per the Statement of Comprehensive Income</w:t>
            </w:r>
          </w:p>
        </w:tc>
        <w:tc>
          <w:tcPr>
            <w:tcW w:w="103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(13,006)</w:t>
            </w:r>
          </w:p>
        </w:tc>
        <w:tc>
          <w:tcPr>
            <w:tcW w:w="267"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03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(12,149)</w:t>
            </w:r>
          </w:p>
        </w:tc>
      </w:tr>
    </w:tbl>
    <w:p w:rsidR="008835EB" w:rsidRDefault="008835EB" w:rsidP="008835EB">
      <w:pPr>
        <w:pStyle w:val="ReportText"/>
        <w:spacing w:before="240"/>
        <w:ind w:right="567"/>
      </w:pPr>
      <w:r>
        <w:t>1 From 2010–11, the Government introduced net cash appropriation arrangements, where revenue appropriations for depreciation/amortisation expenses ceased. Entities now receive a separate capital budget provided through equity appropriations. Capital budgets are to be appropriated in the period when cash payment for capital expenditure is required.</w:t>
      </w:r>
    </w:p>
    <w:p w:rsidR="008835EB" w:rsidRDefault="008835EB" w:rsidP="008835EB">
      <w:pPr>
        <w:spacing w:line="240" w:lineRule="auto"/>
        <w:rPr>
          <w:rFonts w:asciiTheme="minorHAnsi" w:hAnsiTheme="minorHAnsi" w:cstheme="minorHAnsi"/>
          <w:lang w:eastAsia="en-AU"/>
        </w:rPr>
      </w:pPr>
      <w:r>
        <w:br w:type="page"/>
      </w:r>
    </w:p>
    <w:p w:rsidR="008835EB" w:rsidRDefault="008835EB" w:rsidP="008835EB">
      <w:pPr>
        <w:pStyle w:val="SubHeading"/>
      </w:pPr>
      <w:bookmarkStart w:id="371" w:name="_Toc456689857"/>
      <w:r>
        <w:lastRenderedPageBreak/>
        <w:t>Cash Flow Reconciliation</w:t>
      </w:r>
      <w:bookmarkEnd w:id="371"/>
    </w:p>
    <w:tbl>
      <w:tblPr>
        <w:tblW w:w="9087" w:type="dxa"/>
        <w:tblInd w:w="80" w:type="dxa"/>
        <w:tblLayout w:type="fixed"/>
        <w:tblLook w:val="04A0" w:firstRow="1" w:lastRow="0" w:firstColumn="1" w:lastColumn="0" w:noHBand="0" w:noVBand="1"/>
      </w:tblPr>
      <w:tblGrid>
        <w:gridCol w:w="6346"/>
        <w:gridCol w:w="1252"/>
        <w:gridCol w:w="239"/>
        <w:gridCol w:w="1250"/>
      </w:tblGrid>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2016</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2015</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$'000</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7598" w:type="dxa"/>
            <w:gridSpan w:val="2"/>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Reconciliation of net cost of services to net cash from (used by) operating activities</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Net cost of services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(300,187)</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(308,138)</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Revenue from Government</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280,305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295,989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Adjustments for non-cash items</w:t>
            </w:r>
          </w:p>
        </w:tc>
        <w:tc>
          <w:tcPr>
            <w:tcW w:w="125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First time recognition of non-financial assets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(50)</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(266)</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Reversal of impairment losses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(280)</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Depreciation / amortisation</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21,861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27,875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Net write-down and impairment of non-financial assets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367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830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Net losses from sale of assets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463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224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Finance costs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95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474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Asset other movements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(153)</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Movements in assets and liabilities</w:t>
            </w:r>
          </w:p>
        </w:tc>
        <w:tc>
          <w:tcPr>
            <w:tcW w:w="125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Assets</w:t>
            </w:r>
          </w:p>
        </w:tc>
        <w:tc>
          <w:tcPr>
            <w:tcW w:w="125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Increase in net receivables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(9,853)</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(39,504)</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Decrease in accrued revenue</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2,330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(1,490)</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Decrease in prepayments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2,376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4,039 </w:t>
            </w: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Liabilities</w:t>
            </w:r>
          </w:p>
        </w:tc>
        <w:tc>
          <w:tcPr>
            <w:tcW w:w="125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Increase in employee provisions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4,733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3,036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Increase in supplier payables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1,865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10,157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Decrease in other provisions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(3,867)</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3,667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Decrease in unearned income</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(2,718)</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1,434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Increase in other payables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741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4,337 </w:t>
            </w:r>
          </w:p>
        </w:tc>
      </w:tr>
      <w:tr w:rsidR="008835EB" w:rsidTr="007E3F2E">
        <w:trPr>
          <w:trHeight w:val="270"/>
        </w:trPr>
        <w:tc>
          <w:tcPr>
            <w:tcW w:w="6346"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Net cash from operating activities</w:t>
            </w:r>
          </w:p>
        </w:tc>
        <w:tc>
          <w:tcPr>
            <w:tcW w:w="1252"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(1,819)</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2,511</w:t>
            </w:r>
          </w:p>
        </w:tc>
      </w:tr>
    </w:tbl>
    <w:p w:rsidR="008835EB" w:rsidRDefault="008835EB" w:rsidP="008835EB">
      <w:pPr>
        <w:pStyle w:val="GreyShadeTableBreak"/>
      </w:pPr>
    </w:p>
    <w:p w:rsidR="008835EB" w:rsidRDefault="008835EB" w:rsidP="008835EB">
      <w:pPr>
        <w:pStyle w:val="GreyShadeTableBreak"/>
        <w:rPr>
          <w:b/>
        </w:rPr>
      </w:pPr>
      <w:r w:rsidRPr="004B520A">
        <w:rPr>
          <w:b/>
        </w:rPr>
        <w:t>Administered</w:t>
      </w:r>
    </w:p>
    <w:p w:rsidR="008835EB" w:rsidRPr="004B520A" w:rsidRDefault="008835EB" w:rsidP="008835EB">
      <w:pPr>
        <w:pStyle w:val="GreyShadeTableBreak"/>
        <w:rPr>
          <w:b/>
        </w:rPr>
      </w:pPr>
    </w:p>
    <w:tbl>
      <w:tblPr>
        <w:tblW w:w="9087" w:type="dxa"/>
        <w:tblInd w:w="80" w:type="dxa"/>
        <w:tblLayout w:type="fixed"/>
        <w:tblLook w:val="04A0" w:firstRow="1" w:lastRow="0" w:firstColumn="1" w:lastColumn="0" w:noHBand="0" w:noVBand="1"/>
      </w:tblPr>
      <w:tblGrid>
        <w:gridCol w:w="6206"/>
        <w:gridCol w:w="1305"/>
        <w:gridCol w:w="271"/>
        <w:gridCol w:w="1305"/>
      </w:tblGrid>
      <w:tr w:rsidR="008835EB" w:rsidTr="007E3F2E">
        <w:trPr>
          <w:trHeight w:val="255"/>
        </w:trPr>
        <w:tc>
          <w:tcPr>
            <w:tcW w:w="7232" w:type="dxa"/>
            <w:gridSpan w:val="2"/>
            <w:tcBorders>
              <w:top w:val="single" w:sz="4" w:space="0" w:color="D9D9D9"/>
              <w:left w:val="nil"/>
              <w:bottom w:val="single" w:sz="4" w:space="0" w:color="D9D9D9"/>
              <w:right w:val="nil"/>
            </w:tcBorders>
            <w:shd w:val="clear" w:color="000000" w:fill="D9D9D9"/>
            <w:vAlign w:val="bottom"/>
            <w:hideMark/>
          </w:tcPr>
          <w:p w:rsidR="008835EB" w:rsidRDefault="008835EB" w:rsidP="007E3F2E">
            <w:pPr>
              <w:rPr>
                <w:rFonts w:cs="Calibri"/>
                <w:b/>
                <w:bCs/>
                <w:szCs w:val="18"/>
              </w:rPr>
            </w:pPr>
            <w:bookmarkStart w:id="372" w:name="RANGE!E7:E29"/>
            <w:bookmarkStart w:id="373" w:name="Note_AFRTABLE1" w:colFirst="0" w:colLast="0"/>
            <w:r>
              <w:rPr>
                <w:rFonts w:cs="Calibri"/>
                <w:b/>
                <w:bCs/>
                <w:szCs w:val="18"/>
              </w:rPr>
              <w:t>Reconciliation of net cost of services to net cash from/(used by) operating activities</w:t>
            </w:r>
            <w:bookmarkEnd w:id="372"/>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bookmarkEnd w:id="373"/>
      <w:tr w:rsidR="008835EB" w:rsidTr="007E3F2E">
        <w:trPr>
          <w:trHeight w:val="255"/>
        </w:trPr>
        <w:tc>
          <w:tcPr>
            <w:tcW w:w="597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Net cost of services</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(1,367,327)</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(1,763,321)</w:t>
            </w:r>
          </w:p>
        </w:tc>
      </w:tr>
      <w:tr w:rsidR="008835EB" w:rsidTr="007E3F2E">
        <w:trPr>
          <w:trHeight w:val="255"/>
        </w:trPr>
        <w:tc>
          <w:tcPr>
            <w:tcW w:w="597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GST appropriation</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(106,756)</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 -</w:t>
            </w:r>
          </w:p>
        </w:tc>
      </w:tr>
      <w:tr w:rsidR="008835EB" w:rsidTr="007E3F2E">
        <w:trPr>
          <w:trHeight w:val="255"/>
        </w:trPr>
        <w:tc>
          <w:tcPr>
            <w:tcW w:w="597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Return of GST appropriation</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99,229 </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 -</w:t>
            </w:r>
          </w:p>
        </w:tc>
      </w:tr>
      <w:tr w:rsidR="008835EB" w:rsidTr="007E3F2E">
        <w:trPr>
          <w:trHeight w:val="255"/>
        </w:trPr>
        <w:tc>
          <w:tcPr>
            <w:tcW w:w="597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5976"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Adjustments for non-cash items</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597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Net write down of non-financial assets</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 -</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155 </w:t>
            </w:r>
          </w:p>
        </w:tc>
      </w:tr>
      <w:tr w:rsidR="008835EB" w:rsidTr="007E3F2E">
        <w:trPr>
          <w:trHeight w:val="255"/>
        </w:trPr>
        <w:tc>
          <w:tcPr>
            <w:tcW w:w="597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5976"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Movements in assets/liabilities</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5976"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Assets</w:t>
            </w:r>
          </w:p>
        </w:tc>
        <w:tc>
          <w:tcPr>
            <w:tcW w:w="1256"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597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Increase in net receivables</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(10,213)</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(8,987)</w:t>
            </w:r>
          </w:p>
        </w:tc>
      </w:tr>
      <w:tr w:rsidR="008835EB" w:rsidTr="007E3F2E">
        <w:trPr>
          <w:trHeight w:val="255"/>
        </w:trPr>
        <w:tc>
          <w:tcPr>
            <w:tcW w:w="597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Increase in other non-financial assets</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(307)</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(46)</w:t>
            </w:r>
          </w:p>
        </w:tc>
      </w:tr>
      <w:tr w:rsidR="008835EB" w:rsidTr="007E3F2E">
        <w:trPr>
          <w:trHeight w:val="255"/>
        </w:trPr>
        <w:tc>
          <w:tcPr>
            <w:tcW w:w="5976"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Liabilities</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597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Decrease in supplier payables</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(38,496)</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105,432 </w:t>
            </w:r>
          </w:p>
        </w:tc>
      </w:tr>
      <w:tr w:rsidR="008835EB" w:rsidTr="007E3F2E">
        <w:trPr>
          <w:trHeight w:val="255"/>
        </w:trPr>
        <w:tc>
          <w:tcPr>
            <w:tcW w:w="597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Decrease in subsidies payable</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(28,438)</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10,163 </w:t>
            </w:r>
          </w:p>
        </w:tc>
      </w:tr>
      <w:tr w:rsidR="008835EB" w:rsidTr="007E3F2E">
        <w:trPr>
          <w:trHeight w:val="255"/>
        </w:trPr>
        <w:tc>
          <w:tcPr>
            <w:tcW w:w="597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Decrease in personal benefits payable</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(3,938)</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(2,749)</w:t>
            </w:r>
          </w:p>
        </w:tc>
      </w:tr>
      <w:tr w:rsidR="008835EB" w:rsidTr="007E3F2E">
        <w:trPr>
          <w:trHeight w:val="255"/>
        </w:trPr>
        <w:tc>
          <w:tcPr>
            <w:tcW w:w="597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Increase in other payables</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15,003 </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23,141 </w:t>
            </w:r>
          </w:p>
        </w:tc>
      </w:tr>
      <w:tr w:rsidR="008835EB" w:rsidTr="007E3F2E">
        <w:trPr>
          <w:trHeight w:val="255"/>
        </w:trPr>
        <w:tc>
          <w:tcPr>
            <w:tcW w:w="597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Increase in grants payable</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2,168 </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(459)</w:t>
            </w:r>
          </w:p>
        </w:tc>
      </w:tr>
      <w:tr w:rsidR="008835EB" w:rsidTr="007E3F2E">
        <w:trPr>
          <w:trHeight w:val="255"/>
        </w:trPr>
        <w:tc>
          <w:tcPr>
            <w:tcW w:w="597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Increase in GST payable</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840 </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 -</w:t>
            </w:r>
          </w:p>
        </w:tc>
      </w:tr>
      <w:tr w:rsidR="008835EB" w:rsidTr="007E3F2E">
        <w:trPr>
          <w:trHeight w:val="270"/>
        </w:trPr>
        <w:tc>
          <w:tcPr>
            <w:tcW w:w="5976" w:type="dxa"/>
            <w:tcBorders>
              <w:top w:val="single" w:sz="4" w:space="0" w:color="D9D9D9"/>
              <w:left w:val="nil"/>
              <w:bottom w:val="single" w:sz="24" w:space="0" w:color="D8D8D8"/>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Net cash used by operating activities</w:t>
            </w:r>
          </w:p>
        </w:tc>
        <w:tc>
          <w:tcPr>
            <w:tcW w:w="1256"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(1,438,235)</w:t>
            </w:r>
          </w:p>
        </w:tc>
        <w:tc>
          <w:tcPr>
            <w:tcW w:w="261" w:type="dxa"/>
            <w:tcBorders>
              <w:top w:val="single" w:sz="4" w:space="0" w:color="D9D9D9"/>
              <w:left w:val="nil"/>
              <w:bottom w:val="single" w:sz="24" w:space="0" w:color="D8D8D8"/>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 </w:t>
            </w:r>
          </w:p>
        </w:tc>
        <w:tc>
          <w:tcPr>
            <w:tcW w:w="1256"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(1,636,671)</w:t>
            </w:r>
          </w:p>
        </w:tc>
      </w:tr>
    </w:tbl>
    <w:p w:rsidR="008835EB" w:rsidRDefault="008835EB" w:rsidP="008835EB">
      <w:pPr>
        <w:spacing w:line="240" w:lineRule="auto"/>
        <w:rPr>
          <w:rFonts w:ascii="Arial Bold" w:hAnsi="Arial Bold"/>
          <w:b/>
          <w:color w:val="FFFFFF" w:themeColor="background1"/>
          <w:sz w:val="24"/>
        </w:rPr>
      </w:pPr>
      <w:bookmarkStart w:id="374" w:name="RANGE!E7:H27"/>
      <w:bookmarkStart w:id="375" w:name="_Toc443469544"/>
      <w:bookmarkStart w:id="376" w:name="_Toc444065799"/>
      <w:bookmarkStart w:id="377" w:name="_Toc444077357"/>
      <w:bookmarkStart w:id="378" w:name="_Toc456689858"/>
      <w:bookmarkStart w:id="379" w:name="_Toc416956177"/>
      <w:bookmarkEnd w:id="374"/>
      <w:r>
        <w:rPr>
          <w:rFonts w:ascii="Arial Bold" w:hAnsi="Arial Bold"/>
          <w:b/>
          <w:color w:val="FFFFFF" w:themeColor="background1"/>
          <w:sz w:val="24"/>
        </w:rPr>
        <w:br w:type="page"/>
      </w:r>
    </w:p>
    <w:p w:rsidR="008835EB" w:rsidRDefault="008835EB" w:rsidP="008835EB">
      <w:pPr>
        <w:pStyle w:val="SectionHeading"/>
      </w:pPr>
      <w:r>
        <w:lastRenderedPageBreak/>
        <w:t>People and Relationships</w:t>
      </w:r>
      <w:bookmarkEnd w:id="375"/>
      <w:bookmarkEnd w:id="376"/>
      <w:bookmarkEnd w:id="377"/>
      <w:bookmarkEnd w:id="378"/>
    </w:p>
    <w:p w:rsidR="008835EB" w:rsidRDefault="008835EB" w:rsidP="008835EB">
      <w:pPr>
        <w:spacing w:after="120"/>
      </w:pPr>
      <w:r w:rsidRPr="00185212">
        <w:t>This section describes a range of employment and post-employment benefits provided to our people and our relationships with other key people.</w:t>
      </w:r>
    </w:p>
    <w:p w:rsidR="008835EB" w:rsidRDefault="008835EB" w:rsidP="008835EB">
      <w:pPr>
        <w:pStyle w:val="SubHeading"/>
      </w:pPr>
      <w:bookmarkStart w:id="380" w:name="_Toc456689859"/>
      <w:r>
        <w:t>Employee Provisions</w:t>
      </w:r>
      <w:bookmarkEnd w:id="380"/>
    </w:p>
    <w:tbl>
      <w:tblPr>
        <w:tblW w:w="9087" w:type="dxa"/>
        <w:tblInd w:w="80" w:type="dxa"/>
        <w:tblLayout w:type="fixed"/>
        <w:tblLook w:val="04A0" w:firstRow="1" w:lastRow="0" w:firstColumn="1" w:lastColumn="0" w:noHBand="0" w:noVBand="1"/>
      </w:tblPr>
      <w:tblGrid>
        <w:gridCol w:w="6346"/>
        <w:gridCol w:w="1252"/>
        <w:gridCol w:w="239"/>
        <w:gridCol w:w="1250"/>
      </w:tblGrid>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bookmarkStart w:id="381" w:name="Note_PROTABLE1" w:colFirst="0" w:colLast="0"/>
            <w:r>
              <w:rPr>
                <w:rFonts w:cs="Calibri"/>
                <w:szCs w:val="18"/>
              </w:rPr>
              <w:t> </w:t>
            </w:r>
          </w:p>
        </w:tc>
        <w:tc>
          <w:tcPr>
            <w:tcW w:w="1238"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 </w:t>
            </w:r>
          </w:p>
        </w:tc>
      </w:tr>
      <w:bookmarkEnd w:id="381"/>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8"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2016</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2015</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8"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rPr>
                <w:rFonts w:cs="Calibri"/>
                <w:b/>
                <w:bCs/>
                <w:szCs w:val="18"/>
                <w:u w:val="single"/>
              </w:rPr>
            </w:pPr>
            <w:r>
              <w:rPr>
                <w:rFonts w:cs="Calibri"/>
                <w:b/>
                <w:bCs/>
                <w:szCs w:val="18"/>
                <w:u w:val="single"/>
              </w:rPr>
              <w:t xml:space="preserve">Note </w:t>
            </w:r>
            <w:proofErr w:type="spellStart"/>
            <w:r>
              <w:rPr>
                <w:rFonts w:cs="Calibri"/>
                <w:b/>
                <w:bCs/>
                <w:szCs w:val="18"/>
                <w:u w:val="single"/>
              </w:rPr>
              <w:t>6.1A</w:t>
            </w:r>
            <w:proofErr w:type="spellEnd"/>
            <w:r>
              <w:rPr>
                <w:rFonts w:cs="Calibri"/>
                <w:b/>
                <w:bCs/>
                <w:szCs w:val="18"/>
                <w:u w:val="single"/>
              </w:rPr>
              <w:t>: Employee Provisions</w:t>
            </w:r>
          </w:p>
        </w:tc>
        <w:tc>
          <w:tcPr>
            <w:tcW w:w="1238"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Leave</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67,329</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62,596</w:t>
            </w:r>
          </w:p>
        </w:tc>
      </w:tr>
      <w:tr w:rsidR="008835EB" w:rsidTr="007E3F2E">
        <w:trPr>
          <w:trHeight w:val="270"/>
        </w:trPr>
        <w:tc>
          <w:tcPr>
            <w:tcW w:w="6272"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employee provisions</w:t>
            </w:r>
          </w:p>
        </w:tc>
        <w:tc>
          <w:tcPr>
            <w:tcW w:w="1238"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67,329</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62,596</w:t>
            </w:r>
          </w:p>
        </w:tc>
      </w:tr>
      <w:tr w:rsidR="008835EB" w:rsidTr="007E3F2E">
        <w:trPr>
          <w:trHeight w:val="270"/>
        </w:trPr>
        <w:tc>
          <w:tcPr>
            <w:tcW w:w="6272"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color w:val="FF0000"/>
                <w:szCs w:val="18"/>
              </w:rPr>
            </w:pPr>
            <w:r>
              <w:rPr>
                <w:rFonts w:ascii="Arial" w:hAnsi="Arial" w:cs="Arial"/>
                <w:color w:val="FF0000"/>
                <w:szCs w:val="18"/>
              </w:rPr>
              <w:t> </w:t>
            </w:r>
          </w:p>
        </w:tc>
        <w:tc>
          <w:tcPr>
            <w:tcW w:w="1238"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Employee provisions expected to be settled</w:t>
            </w:r>
          </w:p>
        </w:tc>
        <w:tc>
          <w:tcPr>
            <w:tcW w:w="1238"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No more than 12 months</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20,619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18,545 </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More than 12 months</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46,710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44,051 </w:t>
            </w:r>
          </w:p>
        </w:tc>
      </w:tr>
      <w:tr w:rsidR="008835EB" w:rsidTr="007E3F2E">
        <w:trPr>
          <w:trHeight w:val="270"/>
        </w:trPr>
        <w:tc>
          <w:tcPr>
            <w:tcW w:w="6272"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employee provisions</w:t>
            </w:r>
          </w:p>
        </w:tc>
        <w:tc>
          <w:tcPr>
            <w:tcW w:w="1238"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67,329</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62,596</w:t>
            </w:r>
          </w:p>
        </w:tc>
      </w:tr>
    </w:tbl>
    <w:p w:rsidR="008835EB" w:rsidRPr="004A43F1" w:rsidRDefault="008835EB" w:rsidP="008835EB">
      <w:pPr>
        <w:pStyle w:val="PolicyheadingDept"/>
      </w:pPr>
      <w:r w:rsidRPr="004A43F1">
        <w:t>Accounting Policy</w:t>
      </w:r>
    </w:p>
    <w:p w:rsidR="008835EB" w:rsidRPr="00947672" w:rsidRDefault="008835EB" w:rsidP="008835EB">
      <w:pPr>
        <w:pStyle w:val="Policytextunderline"/>
      </w:pPr>
      <w:r w:rsidRPr="00947672">
        <w:t>Employee Benefits</w:t>
      </w:r>
    </w:p>
    <w:p w:rsidR="008835EB" w:rsidRDefault="008835EB" w:rsidP="008835EB">
      <w:pPr>
        <w:pStyle w:val="PolicytextDept"/>
      </w:pPr>
      <w:r w:rsidRPr="00947672">
        <w:t xml:space="preserve">Liabilities for ‘short-term employee benefits’ (as defined in </w:t>
      </w:r>
      <w:proofErr w:type="spellStart"/>
      <w:r w:rsidRPr="00947672">
        <w:t>AASB</w:t>
      </w:r>
      <w:proofErr w:type="spellEnd"/>
      <w:r w:rsidRPr="00947672">
        <w:t xml:space="preserve"> 119 </w:t>
      </w:r>
      <w:r w:rsidRPr="00947672">
        <w:rPr>
          <w:i/>
        </w:rPr>
        <w:t>Employee Benefits</w:t>
      </w:r>
      <w:r w:rsidRPr="00947672">
        <w:t>) and termination benefits expected within twelve months of the end of reporting period are measured at their nominal amounts.</w:t>
      </w:r>
      <w:r>
        <w:t xml:space="preserve"> </w:t>
      </w:r>
      <w:r w:rsidRPr="00947672">
        <w:t>The nominal amount is calculated with regard to the rates expected to be paid on settlement of the liability.</w:t>
      </w:r>
      <w:r>
        <w:t xml:space="preserve"> </w:t>
      </w:r>
    </w:p>
    <w:p w:rsidR="008835EB" w:rsidRPr="00947672" w:rsidRDefault="008835EB" w:rsidP="008835EB">
      <w:pPr>
        <w:pStyle w:val="PolicytextDept"/>
      </w:pPr>
      <w:r w:rsidRPr="00947672">
        <w:t>Other long-term employee benefits are measured as net total of the present value of the defined benefit obligation at the end of the reporting period minus the fair value at the end of the reporting period of plan assets (if any) out of which the obligations are to be settled directly.</w:t>
      </w:r>
    </w:p>
    <w:p w:rsidR="008835EB" w:rsidRPr="00947672" w:rsidRDefault="008835EB" w:rsidP="008835EB">
      <w:pPr>
        <w:pStyle w:val="Policytextunderline"/>
      </w:pPr>
      <w:r w:rsidRPr="00947672">
        <w:t>Leave</w:t>
      </w:r>
    </w:p>
    <w:p w:rsidR="008835EB" w:rsidRDefault="008835EB" w:rsidP="008835EB">
      <w:pPr>
        <w:pStyle w:val="PolicytextDept"/>
      </w:pPr>
      <w:r w:rsidRPr="00947672">
        <w:t xml:space="preserve">The liability for employee benefits includes provision for annual leave and long service leave. No provision has been made for sick leave as all sick </w:t>
      </w:r>
      <w:proofErr w:type="gramStart"/>
      <w:r w:rsidRPr="00947672">
        <w:t>leave</w:t>
      </w:r>
      <w:proofErr w:type="gramEnd"/>
      <w:r w:rsidRPr="00947672">
        <w:t xml:space="preserve"> is non-vesting and the average sick leave taken in fu</w:t>
      </w:r>
      <w:r>
        <w:t>ture years by employees of the D</w:t>
      </w:r>
      <w:r w:rsidRPr="00947672">
        <w:t>epartment is estimated to be less than the annual entitlement for sick leave.</w:t>
      </w:r>
    </w:p>
    <w:p w:rsidR="008835EB" w:rsidRDefault="008835EB" w:rsidP="008835EB">
      <w:pPr>
        <w:pStyle w:val="PolicytextDept"/>
      </w:pPr>
      <w:r w:rsidRPr="00947672">
        <w:t>The leave liabilities are calculated on the basis of employees’ remuneration at the estimated salary rates that will be applied at the time the</w:t>
      </w:r>
      <w:r>
        <w:t xml:space="preserve"> leave is taken, including the D</w:t>
      </w:r>
      <w:r w:rsidRPr="00947672">
        <w:t>epartment’s employer superannuation contribution rates, to the extent that the leave is likely to be taken during service rather than paid out on termination.</w:t>
      </w:r>
    </w:p>
    <w:p w:rsidR="008835EB" w:rsidRPr="00200687" w:rsidRDefault="008835EB" w:rsidP="008835EB">
      <w:pPr>
        <w:pStyle w:val="PolicytextDept"/>
      </w:pPr>
      <w:r w:rsidRPr="00200687">
        <w:t>The liability for long service leave has been determined by reference to the work of an actuary as at 30 June 201</w:t>
      </w:r>
      <w:r>
        <w:t xml:space="preserve">6. </w:t>
      </w:r>
      <w:r w:rsidRPr="00200687">
        <w:t>The estimate of the present value of the liability takes into account attrition rates and pay increases through promotion and inflation.</w:t>
      </w:r>
    </w:p>
    <w:p w:rsidR="008835EB" w:rsidRPr="00200687" w:rsidRDefault="008835EB" w:rsidP="008835EB">
      <w:pPr>
        <w:pStyle w:val="Policytextunderline"/>
      </w:pPr>
      <w:r w:rsidRPr="00200687">
        <w:t>Separation and Redundancy</w:t>
      </w:r>
    </w:p>
    <w:p w:rsidR="008835EB" w:rsidRPr="00200687" w:rsidRDefault="008835EB" w:rsidP="008835EB">
      <w:pPr>
        <w:pStyle w:val="PolicytextDept"/>
      </w:pPr>
      <w:r w:rsidRPr="00200687">
        <w:t>Provision is made for separation an</w:t>
      </w:r>
      <w:r>
        <w:t>d redundancy benefit payments. The D</w:t>
      </w:r>
      <w:r w:rsidRPr="00200687">
        <w:t>epartment recognises a provision for termination when it has developed a detailed formal plan for the terminations and has informed those employees affected that it will carry out the terminations.</w:t>
      </w:r>
    </w:p>
    <w:p w:rsidR="008835EB" w:rsidRPr="00200687" w:rsidRDefault="008835EB" w:rsidP="008835EB">
      <w:pPr>
        <w:pStyle w:val="Policytextunderline"/>
      </w:pPr>
      <w:r w:rsidRPr="00200687">
        <w:t>Superannuation</w:t>
      </w:r>
    </w:p>
    <w:p w:rsidR="008835EB" w:rsidRDefault="008835EB" w:rsidP="008835EB">
      <w:pPr>
        <w:pStyle w:val="PolicytextDept"/>
        <w:spacing w:after="100"/>
      </w:pPr>
      <w:r w:rsidRPr="00947672">
        <w:t>The majority of the Department’s staff are members of the Commonwealth Superannuation Scheme (</w:t>
      </w:r>
      <w:proofErr w:type="spellStart"/>
      <w:r w:rsidRPr="00947672">
        <w:t>CSS</w:t>
      </w:r>
      <w:proofErr w:type="spellEnd"/>
      <w:r w:rsidRPr="00947672">
        <w:t>), the Public Sector Superannuation Scheme (PSS), the PSS accumulation plan (</w:t>
      </w:r>
      <w:proofErr w:type="spellStart"/>
      <w:r w:rsidRPr="00947672">
        <w:t>PSSap</w:t>
      </w:r>
      <w:proofErr w:type="spellEnd"/>
      <w:r w:rsidRPr="00947672">
        <w:t>) or the Australian Government Employees Superannuation Trust (</w:t>
      </w:r>
      <w:proofErr w:type="spellStart"/>
      <w:r w:rsidRPr="00947672">
        <w:t>AGEST</w:t>
      </w:r>
      <w:proofErr w:type="spellEnd"/>
      <w:r w:rsidRPr="00947672">
        <w:t>).</w:t>
      </w:r>
    </w:p>
    <w:p w:rsidR="008835EB" w:rsidRDefault="008835EB" w:rsidP="008835EB">
      <w:pPr>
        <w:pStyle w:val="PolicytextDept"/>
        <w:spacing w:after="100"/>
      </w:pPr>
      <w:r w:rsidRPr="00947672">
        <w:t xml:space="preserve">The </w:t>
      </w:r>
      <w:proofErr w:type="spellStart"/>
      <w:r w:rsidRPr="00947672">
        <w:t>CSS</w:t>
      </w:r>
      <w:proofErr w:type="spellEnd"/>
      <w:r w:rsidRPr="00947672">
        <w:t xml:space="preserve">, PSS and </w:t>
      </w:r>
      <w:proofErr w:type="spellStart"/>
      <w:r w:rsidRPr="00947672">
        <w:t>AGEST</w:t>
      </w:r>
      <w:proofErr w:type="spellEnd"/>
      <w:r w:rsidRPr="00947672">
        <w:t xml:space="preserve"> are defined benefit schemes </w:t>
      </w:r>
      <w:r>
        <w:t xml:space="preserve">for the Australian Government. </w:t>
      </w:r>
      <w:r w:rsidRPr="00947672">
        <w:t xml:space="preserve">The </w:t>
      </w:r>
      <w:proofErr w:type="spellStart"/>
      <w:r w:rsidRPr="00947672">
        <w:t>PSSap</w:t>
      </w:r>
      <w:proofErr w:type="spellEnd"/>
      <w:r w:rsidRPr="00947672">
        <w:t xml:space="preserve"> is a defined contribution scheme.</w:t>
      </w:r>
      <w:r>
        <w:t xml:space="preserve"> T</w:t>
      </w:r>
      <w:r w:rsidRPr="00947672">
        <w:t>he liability for defined benefits is recognised in the financial statements of the Australian Government and is settled by the Australian Government in due course. This liability is reported in the Department of Finance’s administered schedules and notes.</w:t>
      </w:r>
      <w:r>
        <w:t xml:space="preserve"> </w:t>
      </w:r>
    </w:p>
    <w:p w:rsidR="008835EB" w:rsidRDefault="008835EB" w:rsidP="008835EB">
      <w:pPr>
        <w:pStyle w:val="PolicytextDept"/>
        <w:spacing w:after="100"/>
      </w:pPr>
      <w:r>
        <w:t>The D</w:t>
      </w:r>
      <w:r w:rsidRPr="00200687">
        <w:t>epartment makes employer contributions to the employee’s superannuation scheme at rates determined by an actuary to be sufficient to meet the c</w:t>
      </w:r>
      <w:r>
        <w:t>urrent cost to the Government. The D</w:t>
      </w:r>
      <w:r w:rsidRPr="00200687">
        <w:t>epartment accounts for the contributions as if they were contributions to defined contribution plans.</w:t>
      </w:r>
    </w:p>
    <w:p w:rsidR="008835EB" w:rsidRDefault="008835EB" w:rsidP="008835EB">
      <w:pPr>
        <w:pStyle w:val="PolicytextDept"/>
        <w:spacing w:after="100"/>
      </w:pPr>
      <w:r w:rsidRPr="00200687">
        <w:t xml:space="preserve">The liability for superannuation recognised as at 30 June </w:t>
      </w:r>
      <w:r w:rsidR="00FA455C">
        <w:t>2016</w:t>
      </w:r>
      <w:r>
        <w:t xml:space="preserve"> </w:t>
      </w:r>
      <w:r w:rsidRPr="00200687">
        <w:t>represents outstanding contributions for the final fortnight of the year.</w:t>
      </w:r>
      <w:r>
        <w:br w:type="page"/>
      </w:r>
    </w:p>
    <w:p w:rsidR="008835EB" w:rsidRPr="003E50C6" w:rsidRDefault="008835EB" w:rsidP="008835EB">
      <w:pPr>
        <w:pStyle w:val="SubHeading"/>
      </w:pPr>
      <w:bookmarkStart w:id="382" w:name="_Toc456689860"/>
      <w:r w:rsidRPr="004A40AC">
        <w:lastRenderedPageBreak/>
        <w:t>Senior Management Personnel Remuneration</w:t>
      </w:r>
      <w:bookmarkEnd w:id="379"/>
      <w:bookmarkEnd w:id="382"/>
    </w:p>
    <w:p w:rsidR="008835EB" w:rsidRDefault="008835EB" w:rsidP="008835EB"/>
    <w:tbl>
      <w:tblPr>
        <w:tblW w:w="9087" w:type="dxa"/>
        <w:tblInd w:w="80" w:type="dxa"/>
        <w:tblLayout w:type="fixed"/>
        <w:tblLook w:val="04A0" w:firstRow="1" w:lastRow="0" w:firstColumn="1" w:lastColumn="0" w:noHBand="0" w:noVBand="1"/>
      </w:tblPr>
      <w:tblGrid>
        <w:gridCol w:w="6346"/>
        <w:gridCol w:w="1252"/>
        <w:gridCol w:w="239"/>
        <w:gridCol w:w="1250"/>
      </w:tblGrid>
      <w:tr w:rsidR="008835EB" w:rsidTr="007E3F2E">
        <w:trPr>
          <w:trHeight w:val="255"/>
        </w:trPr>
        <w:tc>
          <w:tcPr>
            <w:tcW w:w="8982" w:type="dxa"/>
            <w:gridSpan w:val="4"/>
            <w:tcBorders>
              <w:top w:val="nil"/>
              <w:left w:val="nil"/>
              <w:bottom w:val="nil"/>
              <w:right w:val="nil"/>
            </w:tcBorders>
            <w:shd w:val="clear" w:color="FFFFFF" w:fill="FFFFFF"/>
            <w:noWrap/>
            <w:vAlign w:val="bottom"/>
            <w:hideMark/>
          </w:tcPr>
          <w:p w:rsidR="008835EB" w:rsidRDefault="008835EB" w:rsidP="007E3F2E">
            <w:pPr>
              <w:rPr>
                <w:rFonts w:cs="Calibri"/>
                <w:b/>
                <w:bCs/>
                <w:szCs w:val="18"/>
                <w:u w:val="single"/>
              </w:rPr>
            </w:pPr>
            <w:bookmarkStart w:id="383" w:name="Note_ERETABLE1" w:colFirst="0" w:colLast="0"/>
            <w:r>
              <w:rPr>
                <w:rFonts w:cs="Calibri"/>
                <w:b/>
                <w:bCs/>
                <w:szCs w:val="18"/>
                <w:u w:val="single"/>
              </w:rPr>
              <w:t xml:space="preserve">Note </w:t>
            </w:r>
            <w:proofErr w:type="spellStart"/>
            <w:r>
              <w:rPr>
                <w:rFonts w:cs="Calibri"/>
                <w:b/>
                <w:bCs/>
                <w:szCs w:val="18"/>
                <w:u w:val="single"/>
              </w:rPr>
              <w:t>6.3A</w:t>
            </w:r>
            <w:proofErr w:type="spellEnd"/>
            <w:r>
              <w:rPr>
                <w:rFonts w:cs="Calibri"/>
                <w:b/>
                <w:bCs/>
                <w:szCs w:val="18"/>
                <w:u w:val="single"/>
              </w:rPr>
              <w:t>: Senior Management Personnel Remuneration</w:t>
            </w:r>
          </w:p>
        </w:tc>
      </w:tr>
      <w:bookmarkEnd w:id="383"/>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8"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38"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2016</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2015</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Short-term employee benefits</w:t>
            </w:r>
          </w:p>
        </w:tc>
        <w:tc>
          <w:tcPr>
            <w:tcW w:w="1238"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Salary</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12,019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12,055 </w:t>
            </w:r>
          </w:p>
        </w:tc>
      </w:tr>
      <w:tr w:rsidR="008835EB" w:rsidTr="007E3F2E">
        <w:trPr>
          <w:trHeight w:val="285"/>
        </w:trPr>
        <w:tc>
          <w:tcPr>
            <w:tcW w:w="6272"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proofErr w:type="spellStart"/>
            <w:r>
              <w:rPr>
                <w:rFonts w:cs="Calibri"/>
                <w:szCs w:val="18"/>
              </w:rPr>
              <w:t>Other</w:t>
            </w:r>
            <w:r>
              <w:rPr>
                <w:rFonts w:cs="Calibri"/>
                <w:szCs w:val="18"/>
                <w:vertAlign w:val="superscript"/>
              </w:rPr>
              <w:t>1</w:t>
            </w:r>
            <w:proofErr w:type="spellEnd"/>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2,177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2,357 </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short-term employee benefits</w:t>
            </w:r>
          </w:p>
        </w:tc>
        <w:tc>
          <w:tcPr>
            <w:tcW w:w="1238"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14,196</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14,412</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Post-employment benefits</w:t>
            </w:r>
          </w:p>
        </w:tc>
        <w:tc>
          <w:tcPr>
            <w:tcW w:w="1238"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Superannuation</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2,453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2,107 </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post-employment benefits</w:t>
            </w:r>
          </w:p>
        </w:tc>
        <w:tc>
          <w:tcPr>
            <w:tcW w:w="1238"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2,453</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2,107</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Other long-term employee benefits</w:t>
            </w:r>
          </w:p>
        </w:tc>
        <w:tc>
          <w:tcPr>
            <w:tcW w:w="1238"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Annual leave accrued</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891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990 </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Long-service leave</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299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670 </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other long-term employee benefits</w:t>
            </w:r>
          </w:p>
        </w:tc>
        <w:tc>
          <w:tcPr>
            <w:tcW w:w="1238"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1,190</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1,660</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Termination benefits</w:t>
            </w:r>
          </w:p>
        </w:tc>
        <w:tc>
          <w:tcPr>
            <w:tcW w:w="1238"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6272"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Separation and redundancy payments</w:t>
            </w:r>
          </w:p>
        </w:tc>
        <w:tc>
          <w:tcPr>
            <w:tcW w:w="123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135 </w:t>
            </w:r>
          </w:p>
        </w:tc>
      </w:tr>
      <w:tr w:rsidR="008835EB" w:rsidTr="007E3F2E">
        <w:trPr>
          <w:trHeight w:val="255"/>
        </w:trPr>
        <w:tc>
          <w:tcPr>
            <w:tcW w:w="6272"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termination benefits</w:t>
            </w:r>
          </w:p>
        </w:tc>
        <w:tc>
          <w:tcPr>
            <w:tcW w:w="1238"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135</w:t>
            </w:r>
          </w:p>
        </w:tc>
      </w:tr>
      <w:tr w:rsidR="008835EB" w:rsidTr="007E3F2E">
        <w:trPr>
          <w:trHeight w:val="270"/>
        </w:trPr>
        <w:tc>
          <w:tcPr>
            <w:tcW w:w="6272"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senior executive remuneration expenses</w:t>
            </w:r>
          </w:p>
        </w:tc>
        <w:tc>
          <w:tcPr>
            <w:tcW w:w="1238" w:type="dxa"/>
            <w:tcBorders>
              <w:top w:val="nil"/>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17,839</w:t>
            </w:r>
          </w:p>
        </w:tc>
        <w:tc>
          <w:tcPr>
            <w:tcW w:w="23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36" w:type="dxa"/>
            <w:tcBorders>
              <w:top w:val="nil"/>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18,314</w:t>
            </w:r>
          </w:p>
        </w:tc>
      </w:tr>
    </w:tbl>
    <w:p w:rsidR="008835EB" w:rsidRDefault="008835EB" w:rsidP="008835EB">
      <w:pPr>
        <w:pStyle w:val="ReportText"/>
        <w:spacing w:before="240" w:after="120"/>
        <w:ind w:right="567"/>
      </w:pPr>
      <w:r w:rsidRPr="00697675">
        <w:t>1.</w:t>
      </w:r>
      <w:r>
        <w:t xml:space="preserve"> Other includes motor vehicle allowances, other allowances and reportable fringe benefits.</w:t>
      </w:r>
    </w:p>
    <w:p w:rsidR="008835EB" w:rsidRDefault="008835EB" w:rsidP="008835EB">
      <w:pPr>
        <w:pStyle w:val="ReportText"/>
        <w:spacing w:before="120" w:after="120"/>
        <w:ind w:right="567"/>
      </w:pPr>
      <w:r>
        <w:t xml:space="preserve">The total number of senior management personnel that are included in the above table is </w:t>
      </w:r>
      <w:r w:rsidRPr="00EE56E7">
        <w:t xml:space="preserve">68 </w:t>
      </w:r>
      <w:r w:rsidRPr="0073408E">
        <w:t>(</w:t>
      </w:r>
      <w:r w:rsidR="00FA455C">
        <w:t>2015</w:t>
      </w:r>
      <w:r w:rsidRPr="0073408E">
        <w:t>: 66).</w:t>
      </w:r>
    </w:p>
    <w:p w:rsidR="008835EB" w:rsidRDefault="008835EB" w:rsidP="008835EB">
      <w:pPr>
        <w:pStyle w:val="ReportText"/>
        <w:spacing w:before="120" w:after="120"/>
        <w:ind w:right="567"/>
      </w:pPr>
      <w:r>
        <w:t>This note was prepared on an accrual basis and excludes acting arrangements, unless these are deemed to be significant long-term acting.</w:t>
      </w:r>
    </w:p>
    <w:p w:rsidR="008835EB" w:rsidRDefault="008835EB" w:rsidP="008835EB">
      <w:pPr>
        <w:pStyle w:val="ReportText"/>
        <w:spacing w:before="120" w:after="120"/>
        <w:ind w:right="567"/>
      </w:pPr>
      <w:r>
        <w:t>A</w:t>
      </w:r>
      <w:r w:rsidRPr="00747E05">
        <w:t>ll substantive SES are included as headcount in the note regardless of time engaged with the agency for the reporting period or dollar value of remuneration. Acco</w:t>
      </w:r>
      <w:r>
        <w:t>rdingly SES staff movements may</w:t>
      </w:r>
      <w:r w:rsidRPr="00747E05">
        <w:t xml:space="preserve"> result in SES numbers that exceed the number of SES positions.</w:t>
      </w:r>
    </w:p>
    <w:p w:rsidR="008835EB" w:rsidRDefault="008835EB" w:rsidP="008835EB">
      <w:pPr>
        <w:spacing w:line="240" w:lineRule="auto"/>
        <w:rPr>
          <w:rFonts w:asciiTheme="minorHAnsi" w:hAnsiTheme="minorHAnsi" w:cstheme="minorHAnsi"/>
          <w:lang w:eastAsia="en-AU"/>
        </w:rPr>
      </w:pPr>
      <w:r>
        <w:br w:type="page"/>
      </w:r>
    </w:p>
    <w:p w:rsidR="008835EB" w:rsidRDefault="008835EB" w:rsidP="008835EB">
      <w:pPr>
        <w:pStyle w:val="SectionHeading"/>
      </w:pPr>
      <w:bookmarkStart w:id="384" w:name="_Toc443469547"/>
      <w:bookmarkStart w:id="385" w:name="_Toc444065802"/>
      <w:bookmarkStart w:id="386" w:name="_Toc444077360"/>
      <w:bookmarkStart w:id="387" w:name="_Toc456689861"/>
      <w:bookmarkStart w:id="388" w:name="_Ref317489574"/>
      <w:r>
        <w:lastRenderedPageBreak/>
        <w:t>Managing Uncertainties</w:t>
      </w:r>
      <w:bookmarkEnd w:id="384"/>
      <w:bookmarkEnd w:id="385"/>
      <w:bookmarkEnd w:id="386"/>
      <w:bookmarkEnd w:id="387"/>
    </w:p>
    <w:p w:rsidR="008835EB" w:rsidRDefault="008835EB" w:rsidP="008835EB">
      <w:pPr>
        <w:spacing w:after="120"/>
      </w:pPr>
      <w:r w:rsidRPr="00185212">
        <w:t xml:space="preserve">This section analyses how the </w:t>
      </w:r>
      <w:r w:rsidR="00FA455C">
        <w:t>Department of Employment</w:t>
      </w:r>
      <w:r>
        <w:t xml:space="preserve"> </w:t>
      </w:r>
      <w:r w:rsidRPr="00185212">
        <w:t>manages financial risks within its operating environment.</w:t>
      </w:r>
    </w:p>
    <w:p w:rsidR="008835EB" w:rsidRDefault="008835EB" w:rsidP="008835EB">
      <w:pPr>
        <w:pStyle w:val="SubHeading"/>
      </w:pPr>
      <w:bookmarkStart w:id="389" w:name="_Toc456689862"/>
      <w:r>
        <w:t>Contingent Assets and Liabilities</w:t>
      </w:r>
      <w:bookmarkEnd w:id="388"/>
      <w:bookmarkEnd w:id="389"/>
    </w:p>
    <w:tbl>
      <w:tblPr>
        <w:tblW w:w="9087" w:type="dxa"/>
        <w:tblInd w:w="80" w:type="dxa"/>
        <w:tblLayout w:type="fixed"/>
        <w:tblLook w:val="04A0" w:firstRow="1" w:lastRow="0" w:firstColumn="1" w:lastColumn="0" w:noHBand="0" w:noVBand="1"/>
      </w:tblPr>
      <w:tblGrid>
        <w:gridCol w:w="3511"/>
        <w:gridCol w:w="1394"/>
        <w:gridCol w:w="1394"/>
        <w:gridCol w:w="1394"/>
        <w:gridCol w:w="1394"/>
      </w:tblGrid>
      <w:tr w:rsidR="008835EB" w:rsidTr="007E3F2E">
        <w:trPr>
          <w:trHeight w:val="255"/>
        </w:trPr>
        <w:tc>
          <w:tcPr>
            <w:tcW w:w="341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bookmarkStart w:id="390" w:name="Note_CLATABLE1" w:colFirst="0" w:colLast="0"/>
            <w:r>
              <w:rPr>
                <w:rFonts w:ascii="Arial" w:hAnsi="Arial" w:cs="Arial"/>
                <w:b/>
                <w:bCs/>
                <w:szCs w:val="18"/>
              </w:rPr>
              <w:t> </w:t>
            </w:r>
          </w:p>
        </w:tc>
        <w:tc>
          <w:tcPr>
            <w:tcW w:w="2712" w:type="dxa"/>
            <w:gridSpan w:val="2"/>
            <w:tcBorders>
              <w:top w:val="nil"/>
              <w:left w:val="nil"/>
              <w:bottom w:val="nil"/>
              <w:right w:val="nil"/>
            </w:tcBorders>
            <w:shd w:val="clear" w:color="FFFFFF" w:fill="FFFFFF"/>
            <w:vAlign w:val="bottom"/>
            <w:hideMark/>
          </w:tcPr>
          <w:p w:rsidR="008835EB" w:rsidRDefault="008835EB" w:rsidP="007E3F2E">
            <w:pPr>
              <w:jc w:val="center"/>
              <w:rPr>
                <w:rFonts w:cs="Calibri"/>
                <w:b/>
                <w:bCs/>
                <w:szCs w:val="18"/>
              </w:rPr>
            </w:pPr>
            <w:r>
              <w:rPr>
                <w:rFonts w:cs="Calibri"/>
                <w:b/>
                <w:bCs/>
                <w:szCs w:val="18"/>
              </w:rPr>
              <w:t>Claims for Damages and Costs</w:t>
            </w:r>
          </w:p>
        </w:tc>
        <w:tc>
          <w:tcPr>
            <w:tcW w:w="2712" w:type="dxa"/>
            <w:gridSpan w:val="2"/>
            <w:tcBorders>
              <w:top w:val="nil"/>
              <w:left w:val="nil"/>
              <w:bottom w:val="nil"/>
              <w:right w:val="nil"/>
            </w:tcBorders>
            <w:shd w:val="clear" w:color="FFFFFF" w:fill="FFFFFF"/>
            <w:vAlign w:val="bottom"/>
            <w:hideMark/>
          </w:tcPr>
          <w:p w:rsidR="008835EB" w:rsidRDefault="008835EB" w:rsidP="007E3F2E">
            <w:pPr>
              <w:jc w:val="center"/>
              <w:rPr>
                <w:rFonts w:cs="Calibri"/>
                <w:b/>
                <w:bCs/>
                <w:szCs w:val="18"/>
              </w:rPr>
            </w:pPr>
            <w:r>
              <w:rPr>
                <w:rFonts w:cs="Calibri"/>
                <w:b/>
                <w:bCs/>
                <w:szCs w:val="18"/>
              </w:rPr>
              <w:t>Total</w:t>
            </w:r>
          </w:p>
        </w:tc>
      </w:tr>
      <w:bookmarkEnd w:id="390"/>
      <w:tr w:rsidR="008835EB" w:rsidTr="007E3F2E">
        <w:trPr>
          <w:trHeight w:val="255"/>
        </w:trPr>
        <w:tc>
          <w:tcPr>
            <w:tcW w:w="341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356"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2016</w:t>
            </w:r>
          </w:p>
        </w:tc>
        <w:tc>
          <w:tcPr>
            <w:tcW w:w="1356"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2015</w:t>
            </w:r>
          </w:p>
        </w:tc>
        <w:tc>
          <w:tcPr>
            <w:tcW w:w="1356"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2016</w:t>
            </w:r>
          </w:p>
        </w:tc>
        <w:tc>
          <w:tcPr>
            <w:tcW w:w="1356"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2015</w:t>
            </w:r>
          </w:p>
        </w:tc>
      </w:tr>
      <w:tr w:rsidR="008835EB" w:rsidTr="007E3F2E">
        <w:trPr>
          <w:trHeight w:val="255"/>
        </w:trPr>
        <w:tc>
          <w:tcPr>
            <w:tcW w:w="3416"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 </w:t>
            </w:r>
          </w:p>
        </w:tc>
        <w:tc>
          <w:tcPr>
            <w:tcW w:w="1356"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1356"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$'000</w:t>
            </w:r>
          </w:p>
        </w:tc>
        <w:tc>
          <w:tcPr>
            <w:tcW w:w="1356"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1356"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3416"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Contingent liabilities</w:t>
            </w:r>
          </w:p>
        </w:tc>
        <w:tc>
          <w:tcPr>
            <w:tcW w:w="135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35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35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35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3416"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Balance from previous period</w:t>
            </w:r>
          </w:p>
        </w:tc>
        <w:tc>
          <w:tcPr>
            <w:tcW w:w="1356"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308 </w:t>
            </w:r>
          </w:p>
        </w:tc>
        <w:tc>
          <w:tcPr>
            <w:tcW w:w="135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180 </w:t>
            </w:r>
          </w:p>
        </w:tc>
        <w:tc>
          <w:tcPr>
            <w:tcW w:w="1356"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308</w:t>
            </w:r>
          </w:p>
        </w:tc>
        <w:tc>
          <w:tcPr>
            <w:tcW w:w="135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180</w:t>
            </w:r>
          </w:p>
        </w:tc>
      </w:tr>
      <w:tr w:rsidR="008835EB" w:rsidTr="007E3F2E">
        <w:trPr>
          <w:trHeight w:val="270"/>
        </w:trPr>
        <w:tc>
          <w:tcPr>
            <w:tcW w:w="3416"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New contingent liabilities recognised</w:t>
            </w:r>
          </w:p>
        </w:tc>
        <w:tc>
          <w:tcPr>
            <w:tcW w:w="1356"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135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125 </w:t>
            </w:r>
          </w:p>
        </w:tc>
        <w:tc>
          <w:tcPr>
            <w:tcW w:w="1356"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w:t>
            </w:r>
          </w:p>
        </w:tc>
        <w:tc>
          <w:tcPr>
            <w:tcW w:w="135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125</w:t>
            </w:r>
          </w:p>
        </w:tc>
      </w:tr>
      <w:tr w:rsidR="008835EB" w:rsidTr="007E3F2E">
        <w:trPr>
          <w:trHeight w:val="255"/>
        </w:trPr>
        <w:tc>
          <w:tcPr>
            <w:tcW w:w="3416"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Re-measurement</w:t>
            </w:r>
          </w:p>
        </w:tc>
        <w:tc>
          <w:tcPr>
            <w:tcW w:w="1356"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135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3 </w:t>
            </w:r>
          </w:p>
        </w:tc>
        <w:tc>
          <w:tcPr>
            <w:tcW w:w="1356"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w:t>
            </w:r>
          </w:p>
        </w:tc>
        <w:tc>
          <w:tcPr>
            <w:tcW w:w="135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3</w:t>
            </w:r>
          </w:p>
        </w:tc>
      </w:tr>
      <w:tr w:rsidR="008835EB" w:rsidTr="007E3F2E">
        <w:trPr>
          <w:trHeight w:val="255"/>
        </w:trPr>
        <w:tc>
          <w:tcPr>
            <w:tcW w:w="3416"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Liabilities realised</w:t>
            </w:r>
          </w:p>
        </w:tc>
        <w:tc>
          <w:tcPr>
            <w:tcW w:w="1356"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(112)</w:t>
            </w:r>
          </w:p>
        </w:tc>
        <w:tc>
          <w:tcPr>
            <w:tcW w:w="135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w:t>
            </w:r>
          </w:p>
        </w:tc>
        <w:tc>
          <w:tcPr>
            <w:tcW w:w="1356"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(112)</w:t>
            </w:r>
          </w:p>
        </w:tc>
        <w:tc>
          <w:tcPr>
            <w:tcW w:w="135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w:t>
            </w:r>
          </w:p>
        </w:tc>
      </w:tr>
      <w:tr w:rsidR="008835EB" w:rsidTr="007E3F2E">
        <w:trPr>
          <w:trHeight w:val="255"/>
        </w:trPr>
        <w:tc>
          <w:tcPr>
            <w:tcW w:w="3416"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Obligations expired</w:t>
            </w:r>
          </w:p>
        </w:tc>
        <w:tc>
          <w:tcPr>
            <w:tcW w:w="1356"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(196)</w:t>
            </w:r>
          </w:p>
        </w:tc>
        <w:tc>
          <w:tcPr>
            <w:tcW w:w="135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w:t>
            </w:r>
          </w:p>
        </w:tc>
        <w:tc>
          <w:tcPr>
            <w:tcW w:w="1356"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(196)</w:t>
            </w:r>
          </w:p>
        </w:tc>
        <w:tc>
          <w:tcPr>
            <w:tcW w:w="1356"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w:t>
            </w:r>
          </w:p>
        </w:tc>
      </w:tr>
      <w:tr w:rsidR="008835EB" w:rsidTr="007E3F2E">
        <w:trPr>
          <w:trHeight w:val="255"/>
        </w:trPr>
        <w:tc>
          <w:tcPr>
            <w:tcW w:w="3416"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Total contingent liabilities</w:t>
            </w:r>
          </w:p>
        </w:tc>
        <w:tc>
          <w:tcPr>
            <w:tcW w:w="135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w:t>
            </w:r>
          </w:p>
        </w:tc>
        <w:tc>
          <w:tcPr>
            <w:tcW w:w="135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308</w:t>
            </w:r>
          </w:p>
        </w:tc>
        <w:tc>
          <w:tcPr>
            <w:tcW w:w="135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w:t>
            </w:r>
          </w:p>
        </w:tc>
        <w:tc>
          <w:tcPr>
            <w:tcW w:w="1356"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308</w:t>
            </w:r>
          </w:p>
        </w:tc>
      </w:tr>
      <w:tr w:rsidR="008835EB" w:rsidTr="007E3F2E">
        <w:trPr>
          <w:trHeight w:val="255"/>
        </w:trPr>
        <w:tc>
          <w:tcPr>
            <w:tcW w:w="3416"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Net contingent liabilities</w:t>
            </w:r>
          </w:p>
        </w:tc>
        <w:tc>
          <w:tcPr>
            <w:tcW w:w="1356" w:type="dxa"/>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w:t>
            </w:r>
          </w:p>
        </w:tc>
        <w:tc>
          <w:tcPr>
            <w:tcW w:w="1356" w:type="dxa"/>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(308)</w:t>
            </w:r>
          </w:p>
        </w:tc>
        <w:tc>
          <w:tcPr>
            <w:tcW w:w="1356" w:type="dxa"/>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w:t>
            </w:r>
          </w:p>
        </w:tc>
        <w:tc>
          <w:tcPr>
            <w:tcW w:w="1356" w:type="dxa"/>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(308)</w:t>
            </w:r>
          </w:p>
        </w:tc>
      </w:tr>
    </w:tbl>
    <w:p w:rsidR="008835EB" w:rsidRPr="00963F8F" w:rsidRDefault="008835EB" w:rsidP="008835EB">
      <w:pPr>
        <w:pStyle w:val="ReportText"/>
        <w:spacing w:before="240"/>
        <w:ind w:right="567"/>
        <w:rPr>
          <w:i/>
          <w:u w:val="single"/>
        </w:rPr>
      </w:pPr>
      <w:bookmarkStart w:id="391" w:name="RANGE!D7:K24"/>
      <w:bookmarkStart w:id="392" w:name="RANGE!D7:K23"/>
      <w:bookmarkStart w:id="393" w:name="RANGE!D6:K22"/>
      <w:bookmarkStart w:id="394" w:name="RANGE!D6:K24"/>
      <w:bookmarkEnd w:id="391"/>
      <w:bookmarkEnd w:id="392"/>
      <w:bookmarkEnd w:id="393"/>
      <w:bookmarkEnd w:id="394"/>
      <w:r w:rsidRPr="00963F8F">
        <w:rPr>
          <w:i/>
          <w:u w:val="single"/>
        </w:rPr>
        <w:t>Quantifiable Contingencies</w:t>
      </w:r>
    </w:p>
    <w:p w:rsidR="008835EB" w:rsidRPr="00EB1043" w:rsidRDefault="008835EB" w:rsidP="008835EB">
      <w:pPr>
        <w:pStyle w:val="ReportText"/>
      </w:pPr>
      <w:r>
        <w:t>The Department does not have any new quantifiable contingencies</w:t>
      </w:r>
      <w:r w:rsidRPr="00EB1043">
        <w:t>.</w:t>
      </w:r>
      <w:r>
        <w:t xml:space="preserve"> All prior year contingencies have been realised or expired.</w:t>
      </w:r>
    </w:p>
    <w:p w:rsidR="008835EB" w:rsidRPr="00963F8F" w:rsidRDefault="008835EB" w:rsidP="008835EB">
      <w:pPr>
        <w:pStyle w:val="ReportText"/>
        <w:rPr>
          <w:i/>
          <w:u w:val="single"/>
        </w:rPr>
      </w:pPr>
      <w:r w:rsidRPr="00963F8F">
        <w:rPr>
          <w:i/>
          <w:u w:val="single"/>
        </w:rPr>
        <w:t>Unquantifiable Contingencies</w:t>
      </w:r>
    </w:p>
    <w:p w:rsidR="008835EB" w:rsidRDefault="008835EB" w:rsidP="008835EB">
      <w:pPr>
        <w:pStyle w:val="ReportText"/>
      </w:pPr>
      <w:r>
        <w:t xml:space="preserve">As at 30 June </w:t>
      </w:r>
      <w:r w:rsidR="00FA455C">
        <w:t>2016</w:t>
      </w:r>
      <w:r>
        <w:t>, the D</w:t>
      </w:r>
      <w:r w:rsidRPr="00EB1043">
        <w:t>epartment had no contingent liabilities likely to be paid in respect of damages and claims that are not quantifiable.</w:t>
      </w:r>
    </w:p>
    <w:p w:rsidR="008835EB" w:rsidRPr="00EB1043" w:rsidRDefault="008835EB" w:rsidP="008835EB">
      <w:pPr>
        <w:pStyle w:val="ReportText"/>
      </w:pPr>
      <w:r>
        <w:t>The Department has one unquantifiable contingent asset in respect of recovery of employee entitlements paid under Act of Grace.</w:t>
      </w:r>
    </w:p>
    <w:p w:rsidR="008835EB" w:rsidRDefault="008835EB" w:rsidP="008835EB">
      <w:pPr>
        <w:pStyle w:val="PolicyheadingDept"/>
      </w:pPr>
      <w:r>
        <w:t>Accounting Policy</w:t>
      </w:r>
    </w:p>
    <w:p w:rsidR="008835EB" w:rsidRPr="00200687" w:rsidRDefault="008835EB" w:rsidP="008835EB">
      <w:pPr>
        <w:pStyle w:val="Policytextunderline"/>
      </w:pPr>
      <w:r w:rsidRPr="00200687">
        <w:t>Contingent Assets and Contingent Liabilities</w:t>
      </w:r>
    </w:p>
    <w:p w:rsidR="008835EB" w:rsidRDefault="008835EB" w:rsidP="008835EB">
      <w:pPr>
        <w:pStyle w:val="PolicytextDept"/>
        <w:spacing w:after="0"/>
      </w:pPr>
      <w:r w:rsidRPr="00200687">
        <w:rPr>
          <w:lang w:eastAsia="en-AU"/>
        </w:rPr>
        <w:t>Contingent liabilities and contingent assets are not recognised in the Statement of Financial Position but are reporte</w:t>
      </w:r>
      <w:r>
        <w:rPr>
          <w:lang w:eastAsia="en-AU"/>
        </w:rPr>
        <w:t xml:space="preserve">d in the relevant notes. </w:t>
      </w:r>
      <w:r w:rsidRPr="00200687">
        <w:rPr>
          <w:lang w:eastAsia="en-AU"/>
        </w:rPr>
        <w:t>They may arise from uncertainty as to the existence of a liability or asset or represent an asset or liability in respect of which the amount cannot be reliably measured. Contingent assets are disclosed when settlement is probable but not virtually certain and contingent liabilities are disclosed when settlement is greater than remote</w:t>
      </w:r>
      <w:r w:rsidRPr="00200687">
        <w:t>.</w:t>
      </w:r>
    </w:p>
    <w:p w:rsidR="008835EB" w:rsidRDefault="008835EB" w:rsidP="008835EB">
      <w:pPr>
        <w:spacing w:line="240" w:lineRule="auto"/>
      </w:pPr>
      <w:r>
        <w:br w:type="page"/>
      </w:r>
    </w:p>
    <w:p w:rsidR="008835EB" w:rsidRPr="004B520A" w:rsidRDefault="008835EB" w:rsidP="008835EB">
      <w:pPr>
        <w:pStyle w:val="GreyShadeTableBreak"/>
        <w:rPr>
          <w:b/>
        </w:rPr>
      </w:pPr>
      <w:r w:rsidRPr="004B520A">
        <w:rPr>
          <w:b/>
        </w:rPr>
        <w:lastRenderedPageBreak/>
        <w:t>Administered</w:t>
      </w:r>
    </w:p>
    <w:tbl>
      <w:tblPr>
        <w:tblW w:w="9087" w:type="dxa"/>
        <w:tblInd w:w="80" w:type="dxa"/>
        <w:tblLayout w:type="fixed"/>
        <w:tblLook w:val="04A0" w:firstRow="1" w:lastRow="0" w:firstColumn="1" w:lastColumn="0" w:noHBand="0" w:noVBand="1"/>
      </w:tblPr>
      <w:tblGrid>
        <w:gridCol w:w="3511"/>
        <w:gridCol w:w="1394"/>
        <w:gridCol w:w="1394"/>
        <w:gridCol w:w="1394"/>
        <w:gridCol w:w="1394"/>
      </w:tblGrid>
      <w:tr w:rsidR="008835EB" w:rsidTr="007E3F2E">
        <w:trPr>
          <w:trHeight w:val="255"/>
        </w:trPr>
        <w:tc>
          <w:tcPr>
            <w:tcW w:w="341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bookmarkStart w:id="395" w:name="Note_ACLTABLE1" w:colFirst="0" w:colLast="0"/>
            <w:r>
              <w:rPr>
                <w:rFonts w:ascii="Arial" w:hAnsi="Arial" w:cs="Arial"/>
                <w:sz w:val="16"/>
                <w:szCs w:val="16"/>
              </w:rPr>
              <w:t> </w:t>
            </w:r>
          </w:p>
        </w:tc>
        <w:tc>
          <w:tcPr>
            <w:tcW w:w="2712" w:type="dxa"/>
            <w:gridSpan w:val="2"/>
            <w:tcBorders>
              <w:top w:val="nil"/>
              <w:left w:val="nil"/>
              <w:bottom w:val="nil"/>
              <w:right w:val="nil"/>
            </w:tcBorders>
            <w:shd w:val="clear" w:color="000000" w:fill="D9D9D9"/>
            <w:vAlign w:val="bottom"/>
            <w:hideMark/>
          </w:tcPr>
          <w:p w:rsidR="008835EB" w:rsidRDefault="008835EB" w:rsidP="007E3F2E">
            <w:pPr>
              <w:jc w:val="center"/>
              <w:rPr>
                <w:rFonts w:cs="Calibri"/>
                <w:b/>
                <w:bCs/>
                <w:szCs w:val="18"/>
              </w:rPr>
            </w:pPr>
            <w:r>
              <w:rPr>
                <w:rFonts w:cs="Calibri"/>
                <w:b/>
                <w:bCs/>
                <w:szCs w:val="18"/>
              </w:rPr>
              <w:t>Claims for damages or costs</w:t>
            </w:r>
          </w:p>
        </w:tc>
        <w:tc>
          <w:tcPr>
            <w:tcW w:w="2712" w:type="dxa"/>
            <w:gridSpan w:val="2"/>
            <w:tcBorders>
              <w:top w:val="nil"/>
              <w:left w:val="nil"/>
              <w:bottom w:val="nil"/>
              <w:right w:val="nil"/>
            </w:tcBorders>
            <w:shd w:val="clear" w:color="000000" w:fill="D9D9D9"/>
            <w:vAlign w:val="bottom"/>
            <w:hideMark/>
          </w:tcPr>
          <w:p w:rsidR="008835EB" w:rsidRDefault="008835EB" w:rsidP="007E3F2E">
            <w:pPr>
              <w:jc w:val="center"/>
              <w:rPr>
                <w:rFonts w:cs="Calibri"/>
                <w:b/>
                <w:bCs/>
                <w:szCs w:val="18"/>
              </w:rPr>
            </w:pPr>
            <w:r>
              <w:rPr>
                <w:rFonts w:cs="Calibri"/>
                <w:b/>
                <w:bCs/>
                <w:szCs w:val="18"/>
              </w:rPr>
              <w:t>Total</w:t>
            </w:r>
          </w:p>
        </w:tc>
      </w:tr>
      <w:bookmarkEnd w:id="395"/>
      <w:tr w:rsidR="008835EB" w:rsidTr="007E3F2E">
        <w:trPr>
          <w:trHeight w:val="255"/>
        </w:trPr>
        <w:tc>
          <w:tcPr>
            <w:tcW w:w="3416"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356" w:type="dxa"/>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2016</w:t>
            </w:r>
          </w:p>
        </w:tc>
        <w:tc>
          <w:tcPr>
            <w:tcW w:w="1356"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2015</w:t>
            </w:r>
          </w:p>
        </w:tc>
        <w:tc>
          <w:tcPr>
            <w:tcW w:w="1356" w:type="dxa"/>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2016</w:t>
            </w:r>
          </w:p>
        </w:tc>
        <w:tc>
          <w:tcPr>
            <w:tcW w:w="1356"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2015</w:t>
            </w:r>
          </w:p>
        </w:tc>
      </w:tr>
      <w:tr w:rsidR="008835EB" w:rsidTr="007E3F2E">
        <w:trPr>
          <w:trHeight w:val="255"/>
        </w:trPr>
        <w:tc>
          <w:tcPr>
            <w:tcW w:w="3416"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356" w:type="dxa"/>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$'000</w:t>
            </w:r>
          </w:p>
        </w:tc>
        <w:tc>
          <w:tcPr>
            <w:tcW w:w="1356" w:type="dxa"/>
            <w:tcBorders>
              <w:top w:val="nil"/>
              <w:left w:val="nil"/>
              <w:bottom w:val="nil"/>
              <w:right w:val="nil"/>
            </w:tcBorders>
            <w:shd w:val="clear" w:color="000000" w:fill="D9D9D9"/>
            <w:vAlign w:val="bottom"/>
            <w:hideMark/>
          </w:tcPr>
          <w:p w:rsidR="008835EB" w:rsidRDefault="008835EB" w:rsidP="007E3F2E">
            <w:pPr>
              <w:jc w:val="right"/>
              <w:rPr>
                <w:rFonts w:cs="Calibri"/>
                <w:szCs w:val="18"/>
              </w:rPr>
            </w:pPr>
            <w:r>
              <w:rPr>
                <w:rFonts w:cs="Calibri"/>
                <w:szCs w:val="18"/>
              </w:rPr>
              <w:t>$'000</w:t>
            </w:r>
          </w:p>
        </w:tc>
        <w:tc>
          <w:tcPr>
            <w:tcW w:w="1356" w:type="dxa"/>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$'000</w:t>
            </w:r>
          </w:p>
        </w:tc>
        <w:tc>
          <w:tcPr>
            <w:tcW w:w="1356"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3416"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Contingent assets</w:t>
            </w:r>
          </w:p>
        </w:tc>
        <w:tc>
          <w:tcPr>
            <w:tcW w:w="13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3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3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3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341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Balance from previous period</w:t>
            </w:r>
          </w:p>
        </w:tc>
        <w:tc>
          <w:tcPr>
            <w:tcW w:w="135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24,903 </w:t>
            </w:r>
          </w:p>
        </w:tc>
        <w:tc>
          <w:tcPr>
            <w:tcW w:w="1356"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22,724 </w:t>
            </w:r>
          </w:p>
        </w:tc>
        <w:tc>
          <w:tcPr>
            <w:tcW w:w="1356"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24,903</w:t>
            </w:r>
          </w:p>
        </w:tc>
        <w:tc>
          <w:tcPr>
            <w:tcW w:w="1356"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22,724</w:t>
            </w:r>
          </w:p>
        </w:tc>
      </w:tr>
      <w:tr w:rsidR="008835EB" w:rsidTr="007E3F2E">
        <w:trPr>
          <w:trHeight w:val="255"/>
        </w:trPr>
        <w:tc>
          <w:tcPr>
            <w:tcW w:w="341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Re-measurement</w:t>
            </w:r>
          </w:p>
        </w:tc>
        <w:tc>
          <w:tcPr>
            <w:tcW w:w="135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89,379 </w:t>
            </w:r>
          </w:p>
        </w:tc>
        <w:tc>
          <w:tcPr>
            <w:tcW w:w="1356"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25,471 </w:t>
            </w:r>
          </w:p>
        </w:tc>
        <w:tc>
          <w:tcPr>
            <w:tcW w:w="1356"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89,379</w:t>
            </w:r>
          </w:p>
        </w:tc>
        <w:tc>
          <w:tcPr>
            <w:tcW w:w="1356"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25,471</w:t>
            </w:r>
          </w:p>
        </w:tc>
      </w:tr>
      <w:tr w:rsidR="008835EB" w:rsidTr="007E3F2E">
        <w:trPr>
          <w:trHeight w:val="255"/>
        </w:trPr>
        <w:tc>
          <w:tcPr>
            <w:tcW w:w="341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Assets realised</w:t>
            </w:r>
          </w:p>
        </w:tc>
        <w:tc>
          <w:tcPr>
            <w:tcW w:w="135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(70,544)</w:t>
            </w:r>
          </w:p>
        </w:tc>
        <w:tc>
          <w:tcPr>
            <w:tcW w:w="1356"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(23,292)</w:t>
            </w:r>
          </w:p>
        </w:tc>
        <w:tc>
          <w:tcPr>
            <w:tcW w:w="1356"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(70,544)</w:t>
            </w:r>
          </w:p>
        </w:tc>
        <w:tc>
          <w:tcPr>
            <w:tcW w:w="1356"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(23,292)</w:t>
            </w:r>
          </w:p>
        </w:tc>
      </w:tr>
      <w:tr w:rsidR="008835EB" w:rsidTr="007E3F2E">
        <w:trPr>
          <w:trHeight w:val="255"/>
        </w:trPr>
        <w:tc>
          <w:tcPr>
            <w:tcW w:w="3416"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Total contingent assets</w:t>
            </w:r>
          </w:p>
        </w:tc>
        <w:tc>
          <w:tcPr>
            <w:tcW w:w="1356"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43,738</w:t>
            </w:r>
          </w:p>
        </w:tc>
        <w:tc>
          <w:tcPr>
            <w:tcW w:w="1356"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24,903</w:t>
            </w:r>
          </w:p>
        </w:tc>
        <w:tc>
          <w:tcPr>
            <w:tcW w:w="1356"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43,738</w:t>
            </w:r>
          </w:p>
        </w:tc>
        <w:tc>
          <w:tcPr>
            <w:tcW w:w="1356"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24,903</w:t>
            </w:r>
          </w:p>
        </w:tc>
      </w:tr>
      <w:tr w:rsidR="008835EB" w:rsidTr="007E3F2E">
        <w:trPr>
          <w:trHeight w:val="255"/>
        </w:trPr>
        <w:tc>
          <w:tcPr>
            <w:tcW w:w="3416"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3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b/>
                <w:bCs/>
                <w:sz w:val="16"/>
                <w:szCs w:val="16"/>
              </w:rPr>
            </w:pPr>
            <w:r>
              <w:rPr>
                <w:rFonts w:ascii="Arial" w:hAnsi="Arial" w:cs="Arial"/>
                <w:b/>
                <w:bCs/>
                <w:sz w:val="16"/>
                <w:szCs w:val="16"/>
              </w:rPr>
              <w:t> </w:t>
            </w:r>
          </w:p>
        </w:tc>
        <w:tc>
          <w:tcPr>
            <w:tcW w:w="13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3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3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3416"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Contingent liabilities</w:t>
            </w:r>
          </w:p>
        </w:tc>
        <w:tc>
          <w:tcPr>
            <w:tcW w:w="13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b/>
                <w:bCs/>
                <w:sz w:val="16"/>
                <w:szCs w:val="16"/>
              </w:rPr>
            </w:pPr>
            <w:r>
              <w:rPr>
                <w:rFonts w:ascii="Arial" w:hAnsi="Arial" w:cs="Arial"/>
                <w:b/>
                <w:bCs/>
                <w:sz w:val="16"/>
                <w:szCs w:val="16"/>
              </w:rPr>
              <w:t> </w:t>
            </w:r>
          </w:p>
        </w:tc>
        <w:tc>
          <w:tcPr>
            <w:tcW w:w="13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3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3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341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Balance from previous period</w:t>
            </w:r>
          </w:p>
        </w:tc>
        <w:tc>
          <w:tcPr>
            <w:tcW w:w="135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44,433 </w:t>
            </w:r>
          </w:p>
        </w:tc>
        <w:tc>
          <w:tcPr>
            <w:tcW w:w="1356"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114,469 </w:t>
            </w:r>
          </w:p>
        </w:tc>
        <w:tc>
          <w:tcPr>
            <w:tcW w:w="1356"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44,433</w:t>
            </w:r>
          </w:p>
        </w:tc>
        <w:tc>
          <w:tcPr>
            <w:tcW w:w="1356"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114,469</w:t>
            </w:r>
          </w:p>
        </w:tc>
      </w:tr>
      <w:tr w:rsidR="008835EB" w:rsidTr="007E3F2E">
        <w:trPr>
          <w:trHeight w:val="255"/>
        </w:trPr>
        <w:tc>
          <w:tcPr>
            <w:tcW w:w="341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Re-measurement</w:t>
            </w:r>
          </w:p>
        </w:tc>
        <w:tc>
          <w:tcPr>
            <w:tcW w:w="135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7,125 </w:t>
            </w:r>
          </w:p>
        </w:tc>
        <w:tc>
          <w:tcPr>
            <w:tcW w:w="1356"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(70,036)</w:t>
            </w:r>
          </w:p>
        </w:tc>
        <w:tc>
          <w:tcPr>
            <w:tcW w:w="1356"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7,125</w:t>
            </w:r>
          </w:p>
        </w:tc>
        <w:tc>
          <w:tcPr>
            <w:tcW w:w="1356"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(70,036)</w:t>
            </w:r>
          </w:p>
        </w:tc>
      </w:tr>
      <w:tr w:rsidR="008835EB" w:rsidTr="007E3F2E">
        <w:trPr>
          <w:trHeight w:val="255"/>
        </w:trPr>
        <w:tc>
          <w:tcPr>
            <w:tcW w:w="3416"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Total contingent liabilities</w:t>
            </w:r>
          </w:p>
        </w:tc>
        <w:tc>
          <w:tcPr>
            <w:tcW w:w="1356"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51,558</w:t>
            </w:r>
          </w:p>
        </w:tc>
        <w:tc>
          <w:tcPr>
            <w:tcW w:w="1356"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44,433</w:t>
            </w:r>
          </w:p>
        </w:tc>
        <w:tc>
          <w:tcPr>
            <w:tcW w:w="1356"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51,558</w:t>
            </w:r>
          </w:p>
        </w:tc>
        <w:tc>
          <w:tcPr>
            <w:tcW w:w="1356"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44,433</w:t>
            </w:r>
          </w:p>
        </w:tc>
      </w:tr>
      <w:tr w:rsidR="008835EB" w:rsidTr="007E3F2E">
        <w:trPr>
          <w:trHeight w:val="255"/>
        </w:trPr>
        <w:tc>
          <w:tcPr>
            <w:tcW w:w="3416"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Net contingent assets / (liabilities)</w:t>
            </w:r>
          </w:p>
        </w:tc>
        <w:tc>
          <w:tcPr>
            <w:tcW w:w="1356" w:type="dxa"/>
            <w:tcBorders>
              <w:top w:val="nil"/>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(7,820)</w:t>
            </w:r>
          </w:p>
        </w:tc>
        <w:tc>
          <w:tcPr>
            <w:tcW w:w="1356" w:type="dxa"/>
            <w:tcBorders>
              <w:top w:val="nil"/>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(19,530)</w:t>
            </w:r>
          </w:p>
        </w:tc>
        <w:tc>
          <w:tcPr>
            <w:tcW w:w="1356" w:type="dxa"/>
            <w:tcBorders>
              <w:top w:val="nil"/>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(7,820)</w:t>
            </w:r>
          </w:p>
        </w:tc>
        <w:tc>
          <w:tcPr>
            <w:tcW w:w="1356" w:type="dxa"/>
            <w:tcBorders>
              <w:top w:val="nil"/>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(19,530)</w:t>
            </w:r>
          </w:p>
        </w:tc>
      </w:tr>
    </w:tbl>
    <w:p w:rsidR="008835EB" w:rsidRDefault="008835EB" w:rsidP="008835EB">
      <w:pPr>
        <w:pStyle w:val="GreyShadeTableBreak"/>
      </w:pPr>
      <w:bookmarkStart w:id="396" w:name="RANGE!D7:J26"/>
      <w:bookmarkEnd w:id="396"/>
    </w:p>
    <w:p w:rsidR="008835EB" w:rsidRDefault="008835EB" w:rsidP="008835EB">
      <w:pPr>
        <w:pStyle w:val="GreyShadeTableBreak"/>
        <w:rPr>
          <w:i/>
          <w:u w:val="single"/>
        </w:rPr>
      </w:pPr>
      <w:r w:rsidRPr="004B520A">
        <w:rPr>
          <w:i/>
          <w:u w:val="single"/>
        </w:rPr>
        <w:t xml:space="preserve">Quantifiable Contingencies </w:t>
      </w:r>
    </w:p>
    <w:p w:rsidR="008835EB" w:rsidRDefault="008835EB" w:rsidP="008835EB">
      <w:pPr>
        <w:pStyle w:val="GreyShadeTableBreak"/>
      </w:pPr>
      <w:r w:rsidRPr="003C2992">
        <w:t xml:space="preserve">The </w:t>
      </w:r>
      <w:r>
        <w:t>above table</w:t>
      </w:r>
      <w:r w:rsidRPr="003C2992">
        <w:t xml:space="preserve"> reports contingent assets and liabilities in respect of estimated payments and recoveries in relation to dividends for General Employee Entitlement</w:t>
      </w:r>
      <w:r>
        <w:t>s and Redundancy Scheme (</w:t>
      </w:r>
      <w:proofErr w:type="spellStart"/>
      <w:r>
        <w:t>GEERS</w:t>
      </w:r>
      <w:proofErr w:type="spellEnd"/>
      <w:r>
        <w:t>) and</w:t>
      </w:r>
      <w:r w:rsidRPr="003C2992">
        <w:t xml:space="preserve"> the Fair Entitlements Guaran</w:t>
      </w:r>
      <w:r>
        <w:t>tee (</w:t>
      </w:r>
      <w:proofErr w:type="spellStart"/>
      <w:r>
        <w:t>FEG</w:t>
      </w:r>
      <w:proofErr w:type="spellEnd"/>
      <w:r>
        <w:t xml:space="preserve">). </w:t>
      </w:r>
      <w:r w:rsidRPr="003C2992">
        <w:t>The esti</w:t>
      </w:r>
      <w:r>
        <w:t xml:space="preserve">mated contingent liability is </w:t>
      </w:r>
      <w:r w:rsidRPr="00447B7C">
        <w:t>$</w:t>
      </w:r>
      <w:r>
        <w:t xml:space="preserve">51.56 million. </w:t>
      </w:r>
      <w:r w:rsidRPr="003C2992">
        <w:t xml:space="preserve">The estimated contingent asset is </w:t>
      </w:r>
      <w:r>
        <w:t>$43.74</w:t>
      </w:r>
      <w:r w:rsidRPr="003C2992">
        <w:t xml:space="preserve"> million.</w:t>
      </w:r>
    </w:p>
    <w:p w:rsidR="008835EB" w:rsidRDefault="008835EB" w:rsidP="008835EB">
      <w:pPr>
        <w:pStyle w:val="GreyShadeTableBreak"/>
        <w:spacing w:before="120"/>
        <w:rPr>
          <w:i/>
          <w:u w:val="single"/>
        </w:rPr>
      </w:pPr>
      <w:r w:rsidRPr="004B520A">
        <w:rPr>
          <w:i/>
          <w:u w:val="single"/>
        </w:rPr>
        <w:t xml:space="preserve">Unquantifiable Contingencies </w:t>
      </w:r>
    </w:p>
    <w:p w:rsidR="008835EB" w:rsidRDefault="008835EB" w:rsidP="008835EB">
      <w:pPr>
        <w:pStyle w:val="GreyShadeTableBreak"/>
      </w:pPr>
      <w:r w:rsidRPr="00B96620">
        <w:t xml:space="preserve">As at 30 June </w:t>
      </w:r>
      <w:r w:rsidR="00FA455C">
        <w:t>2016</w:t>
      </w:r>
      <w:r>
        <w:t>, the D</w:t>
      </w:r>
      <w:r w:rsidRPr="00B96620">
        <w:t xml:space="preserve">epartment had a number of claims for employee entitlements under the </w:t>
      </w:r>
      <w:r w:rsidRPr="00400A0B">
        <w:rPr>
          <w:i/>
        </w:rPr>
        <w:t>Fair Entitlements Guarantee Act 2012</w:t>
      </w:r>
      <w:r>
        <w:t xml:space="preserve"> </w:t>
      </w:r>
      <w:r w:rsidRPr="00B96620">
        <w:t>which were currently subject to review by the Administrative Appeals Tribunal.</w:t>
      </w:r>
    </w:p>
    <w:p w:rsidR="008835EB" w:rsidRPr="003C2992" w:rsidRDefault="008835EB" w:rsidP="008835EB">
      <w:pPr>
        <w:pStyle w:val="GreyShadeTableBreak"/>
        <w:spacing w:before="120"/>
      </w:pPr>
      <w:r w:rsidRPr="003C2992">
        <w:t xml:space="preserve">Relating to </w:t>
      </w:r>
      <w:proofErr w:type="spellStart"/>
      <w:r w:rsidRPr="003C2992">
        <w:t>FEG</w:t>
      </w:r>
      <w:proofErr w:type="spellEnd"/>
      <w:r w:rsidRPr="003C2992">
        <w:t>, it is known that there are employers with outstanding employee entitlements that have been placed into liquidation. The amounts are unable to be quantified as no claim forms have been received.</w:t>
      </w:r>
    </w:p>
    <w:p w:rsidR="008835EB" w:rsidRDefault="008835EB" w:rsidP="008835EB">
      <w:pPr>
        <w:spacing w:line="240" w:lineRule="auto"/>
        <w:rPr>
          <w:rFonts w:asciiTheme="minorHAnsi" w:hAnsiTheme="minorHAnsi" w:cstheme="minorHAnsi"/>
          <w:lang w:eastAsia="en-AU"/>
        </w:rPr>
      </w:pPr>
      <w:r>
        <w:br w:type="page"/>
      </w:r>
    </w:p>
    <w:p w:rsidR="008835EB" w:rsidRDefault="008835EB" w:rsidP="008835EB">
      <w:pPr>
        <w:pStyle w:val="SubHeading"/>
      </w:pPr>
      <w:bookmarkStart w:id="397" w:name="_Toc456689863"/>
      <w:r>
        <w:lastRenderedPageBreak/>
        <w:t>Financial Instruments</w:t>
      </w:r>
      <w:bookmarkEnd w:id="397"/>
    </w:p>
    <w:tbl>
      <w:tblPr>
        <w:tblW w:w="9087" w:type="dxa"/>
        <w:tblInd w:w="80" w:type="dxa"/>
        <w:tblLayout w:type="fixed"/>
        <w:tblLook w:val="04A0" w:firstRow="1" w:lastRow="0" w:firstColumn="1" w:lastColumn="0" w:noHBand="0" w:noVBand="1"/>
      </w:tblPr>
      <w:tblGrid>
        <w:gridCol w:w="6346"/>
        <w:gridCol w:w="1252"/>
        <w:gridCol w:w="239"/>
        <w:gridCol w:w="1250"/>
      </w:tblGrid>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bookmarkStart w:id="398" w:name="Note_FIATABLE1" w:colFirst="0" w:colLast="0"/>
            <w:r>
              <w:rPr>
                <w:rFonts w:cs="Calibri"/>
                <w:szCs w:val="18"/>
              </w:rPr>
              <w:t> </w:t>
            </w:r>
          </w:p>
        </w:tc>
        <w:tc>
          <w:tcPr>
            <w:tcW w:w="1252"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2016</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0"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2015</w:t>
            </w:r>
          </w:p>
        </w:tc>
      </w:tr>
      <w:bookmarkEnd w:id="398"/>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7E3F2E">
            <w:pPr>
              <w:rPr>
                <w:rFonts w:cs="Calibri"/>
                <w:b/>
                <w:bCs/>
                <w:szCs w:val="18"/>
              </w:rPr>
            </w:pPr>
            <w:r>
              <w:rPr>
                <w:rFonts w:cs="Calibri"/>
                <w:b/>
                <w:bCs/>
                <w:szCs w:val="18"/>
              </w:rPr>
              <w:t> </w:t>
            </w:r>
          </w:p>
        </w:tc>
        <w:tc>
          <w:tcPr>
            <w:tcW w:w="1252"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0"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9087" w:type="dxa"/>
            <w:gridSpan w:val="4"/>
            <w:tcBorders>
              <w:top w:val="nil"/>
              <w:left w:val="nil"/>
              <w:bottom w:val="nil"/>
              <w:right w:val="nil"/>
            </w:tcBorders>
            <w:shd w:val="clear" w:color="FFFFFF" w:fill="FFFFFF"/>
            <w:noWrap/>
            <w:vAlign w:val="bottom"/>
            <w:hideMark/>
          </w:tcPr>
          <w:p w:rsidR="008835EB" w:rsidRDefault="008835EB" w:rsidP="007E3F2E">
            <w:pPr>
              <w:pStyle w:val="NotesHeading-Level1"/>
            </w:pPr>
            <w:r>
              <w:t xml:space="preserve">Note </w:t>
            </w:r>
            <w:proofErr w:type="spellStart"/>
            <w:r>
              <w:t>7.2A</w:t>
            </w:r>
            <w:proofErr w:type="spellEnd"/>
            <w:r>
              <w:t>: Categories of Financial Instruments</w:t>
            </w:r>
          </w:p>
        </w:tc>
      </w:tr>
      <w:tr w:rsidR="008835EB" w:rsidTr="007E3F2E">
        <w:trPr>
          <w:trHeight w:val="417"/>
        </w:trPr>
        <w:tc>
          <w:tcPr>
            <w:tcW w:w="6346"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Financial Assets</w:t>
            </w:r>
          </w:p>
        </w:tc>
        <w:tc>
          <w:tcPr>
            <w:tcW w:w="1252"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Loans and receivables</w:t>
            </w:r>
          </w:p>
        </w:tc>
        <w:tc>
          <w:tcPr>
            <w:tcW w:w="1252"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Cash and cash equivalents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3,876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6,321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Goods and services receivables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3,870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4,712 </w:t>
            </w: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loans and receivables</w:t>
            </w:r>
          </w:p>
        </w:tc>
        <w:tc>
          <w:tcPr>
            <w:tcW w:w="1252"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7,746</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11,033</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70"/>
        </w:trPr>
        <w:tc>
          <w:tcPr>
            <w:tcW w:w="6346"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financial assets</w:t>
            </w:r>
          </w:p>
        </w:tc>
        <w:tc>
          <w:tcPr>
            <w:tcW w:w="1252"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7,746</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0"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11,033</w:t>
            </w:r>
          </w:p>
        </w:tc>
      </w:tr>
      <w:tr w:rsidR="008835EB" w:rsidTr="007E3F2E">
        <w:trPr>
          <w:trHeight w:val="270"/>
        </w:trPr>
        <w:tc>
          <w:tcPr>
            <w:tcW w:w="634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2"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Financial Liabilities</w:t>
            </w:r>
          </w:p>
        </w:tc>
        <w:tc>
          <w:tcPr>
            <w:tcW w:w="1252"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Financial liabilities measured at amortised cost</w:t>
            </w:r>
          </w:p>
        </w:tc>
        <w:tc>
          <w:tcPr>
            <w:tcW w:w="1252"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Trade creditors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17,879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16,720 </w:t>
            </w: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financial liabilities measured at amortised cost</w:t>
            </w:r>
          </w:p>
        </w:tc>
        <w:tc>
          <w:tcPr>
            <w:tcW w:w="1252"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17,879</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16,720</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2"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70"/>
        </w:trPr>
        <w:tc>
          <w:tcPr>
            <w:tcW w:w="6346"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financial liabilities</w:t>
            </w:r>
          </w:p>
        </w:tc>
        <w:tc>
          <w:tcPr>
            <w:tcW w:w="1252"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17,879</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0"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16,720</w:t>
            </w:r>
          </w:p>
        </w:tc>
      </w:tr>
    </w:tbl>
    <w:p w:rsidR="008835EB" w:rsidRDefault="008835EB" w:rsidP="008835EB">
      <w:pPr>
        <w:pStyle w:val="PolicyheadingDept"/>
        <w:spacing w:before="120"/>
      </w:pPr>
      <w:bookmarkStart w:id="399" w:name="RANGE!D7:G24"/>
      <w:bookmarkStart w:id="400" w:name="RANGE!D7:G20"/>
      <w:bookmarkStart w:id="401" w:name="RANGE!D7:G22"/>
      <w:bookmarkStart w:id="402" w:name="RANGE!D6:G44"/>
      <w:bookmarkStart w:id="403" w:name="RANGE!D6:D46"/>
      <w:bookmarkStart w:id="404" w:name="RANGE!D6:G46"/>
      <w:bookmarkEnd w:id="399"/>
      <w:bookmarkEnd w:id="400"/>
      <w:bookmarkEnd w:id="401"/>
      <w:bookmarkEnd w:id="402"/>
      <w:bookmarkEnd w:id="403"/>
      <w:bookmarkEnd w:id="404"/>
      <w:r>
        <w:t>Accounting Policy</w:t>
      </w:r>
    </w:p>
    <w:p w:rsidR="008835EB" w:rsidRPr="00913E18" w:rsidRDefault="008835EB" w:rsidP="008835EB">
      <w:pPr>
        <w:pStyle w:val="Policytextunderline"/>
        <w:rPr>
          <w:b/>
        </w:rPr>
      </w:pPr>
      <w:r w:rsidRPr="00913E18">
        <w:rPr>
          <w:b/>
        </w:rPr>
        <w:t>Financial Assets</w:t>
      </w:r>
    </w:p>
    <w:p w:rsidR="008835EB" w:rsidRPr="000A630E" w:rsidRDefault="008835EB" w:rsidP="008835EB">
      <w:pPr>
        <w:pStyle w:val="Policytextunderline"/>
        <w:spacing w:after="0"/>
        <w:rPr>
          <w:i w:val="0"/>
          <w:u w:val="none"/>
          <w:lang w:eastAsia="en-AU"/>
        </w:rPr>
      </w:pPr>
      <w:r>
        <w:rPr>
          <w:i w:val="0"/>
          <w:u w:val="none"/>
          <w:lang w:eastAsia="en-AU"/>
        </w:rPr>
        <w:t>The D</w:t>
      </w:r>
      <w:r w:rsidRPr="000A630E">
        <w:rPr>
          <w:i w:val="0"/>
          <w:u w:val="none"/>
          <w:lang w:eastAsia="en-AU"/>
        </w:rPr>
        <w:t>epartment classifies its financial assets in the following category:</w:t>
      </w:r>
    </w:p>
    <w:p w:rsidR="008835EB" w:rsidRPr="000A630E" w:rsidRDefault="008835EB" w:rsidP="008835EB">
      <w:pPr>
        <w:pStyle w:val="Policytextunderline"/>
        <w:numPr>
          <w:ilvl w:val="0"/>
          <w:numId w:val="35"/>
        </w:numPr>
        <w:rPr>
          <w:i w:val="0"/>
          <w:u w:val="none"/>
          <w:lang w:eastAsia="en-AU"/>
        </w:rPr>
      </w:pPr>
      <w:proofErr w:type="gramStart"/>
      <w:r w:rsidRPr="000A630E">
        <w:rPr>
          <w:i w:val="0"/>
          <w:u w:val="none"/>
          <w:lang w:eastAsia="en-AU"/>
        </w:rPr>
        <w:t>loans</w:t>
      </w:r>
      <w:proofErr w:type="gramEnd"/>
      <w:r w:rsidRPr="000A630E">
        <w:rPr>
          <w:i w:val="0"/>
          <w:u w:val="none"/>
          <w:lang w:eastAsia="en-AU"/>
        </w:rPr>
        <w:t xml:space="preserve"> and receivables.</w:t>
      </w:r>
    </w:p>
    <w:p w:rsidR="008835EB" w:rsidRPr="000A630E" w:rsidRDefault="008835EB" w:rsidP="008835EB">
      <w:pPr>
        <w:pStyle w:val="Policytextunderline"/>
        <w:rPr>
          <w:i w:val="0"/>
          <w:u w:val="none"/>
          <w:lang w:eastAsia="en-AU"/>
        </w:rPr>
      </w:pPr>
      <w:r w:rsidRPr="000A630E">
        <w:rPr>
          <w:i w:val="0"/>
          <w:u w:val="none"/>
          <w:lang w:eastAsia="en-AU"/>
        </w:rPr>
        <w:t>The classification depends on the nature and purpose of the financial assets and is determined at th</w:t>
      </w:r>
      <w:r>
        <w:rPr>
          <w:i w:val="0"/>
          <w:u w:val="none"/>
          <w:lang w:eastAsia="en-AU"/>
        </w:rPr>
        <w:t xml:space="preserve">e time of initial recognition. </w:t>
      </w:r>
      <w:r w:rsidRPr="000A630E">
        <w:rPr>
          <w:i w:val="0"/>
          <w:u w:val="none"/>
          <w:lang w:eastAsia="en-AU"/>
        </w:rPr>
        <w:t xml:space="preserve">Financial assets are recognised and derecognised upon trade date. </w:t>
      </w:r>
    </w:p>
    <w:p w:rsidR="008835EB" w:rsidRPr="00913E18" w:rsidRDefault="008835EB" w:rsidP="008835EB">
      <w:pPr>
        <w:pStyle w:val="Policytextunderline"/>
        <w:rPr>
          <w:lang w:eastAsia="en-AU"/>
        </w:rPr>
      </w:pPr>
      <w:r w:rsidRPr="00913E18">
        <w:rPr>
          <w:lang w:eastAsia="en-AU"/>
        </w:rPr>
        <w:t>Loans and Receivables</w:t>
      </w:r>
    </w:p>
    <w:p w:rsidR="008835EB" w:rsidRPr="000A630E" w:rsidRDefault="008835EB" w:rsidP="008835EB">
      <w:pPr>
        <w:pStyle w:val="Policytextunderline"/>
        <w:rPr>
          <w:i w:val="0"/>
          <w:u w:val="none"/>
          <w:lang w:eastAsia="en-AU"/>
        </w:rPr>
      </w:pPr>
      <w:r w:rsidRPr="000A630E">
        <w:rPr>
          <w:i w:val="0"/>
          <w:u w:val="none"/>
          <w:lang w:eastAsia="en-AU"/>
        </w:rPr>
        <w:t>Trade receivables, loans and other receivables that have fixed or determinable payments that are not quoted in an active market are classifi</w:t>
      </w:r>
      <w:r>
        <w:rPr>
          <w:i w:val="0"/>
          <w:u w:val="none"/>
          <w:lang w:eastAsia="en-AU"/>
        </w:rPr>
        <w:t>ed as ‘loans and receivables’. The D</w:t>
      </w:r>
      <w:r w:rsidRPr="000A630E">
        <w:rPr>
          <w:i w:val="0"/>
          <w:u w:val="none"/>
          <w:lang w:eastAsia="en-AU"/>
        </w:rPr>
        <w:t>epartment’s loans and receivables are measured at their nominal amount less impairment.</w:t>
      </w:r>
    </w:p>
    <w:p w:rsidR="008835EB" w:rsidRPr="00913E18" w:rsidRDefault="008835EB" w:rsidP="008835EB">
      <w:pPr>
        <w:pStyle w:val="Policytextunderline"/>
        <w:rPr>
          <w:lang w:eastAsia="en-AU"/>
        </w:rPr>
      </w:pPr>
      <w:r w:rsidRPr="00913E18">
        <w:rPr>
          <w:lang w:eastAsia="en-AU"/>
        </w:rPr>
        <w:t>Impairment of Financial Assets</w:t>
      </w:r>
    </w:p>
    <w:p w:rsidR="008835EB" w:rsidRPr="000A630E" w:rsidRDefault="008835EB" w:rsidP="008835EB">
      <w:pPr>
        <w:pStyle w:val="Policytextunderline"/>
        <w:rPr>
          <w:i w:val="0"/>
          <w:u w:val="none"/>
          <w:lang w:eastAsia="en-AU"/>
        </w:rPr>
      </w:pPr>
      <w:r w:rsidRPr="000A630E">
        <w:rPr>
          <w:i w:val="0"/>
          <w:u w:val="none"/>
          <w:lang w:eastAsia="en-AU"/>
        </w:rPr>
        <w:t>Financial assets are assessed for impairment at the end of the reporting period.</w:t>
      </w:r>
    </w:p>
    <w:p w:rsidR="008835EB" w:rsidRDefault="008835EB" w:rsidP="008835EB">
      <w:pPr>
        <w:pStyle w:val="Policytextunderline"/>
        <w:rPr>
          <w:i w:val="0"/>
          <w:u w:val="none"/>
          <w:lang w:eastAsia="en-AU"/>
        </w:rPr>
      </w:pPr>
      <w:r>
        <w:rPr>
          <w:i w:val="0"/>
          <w:u w:val="none"/>
          <w:lang w:eastAsia="en-AU"/>
        </w:rPr>
        <w:t>Financial assets held at cost—i</w:t>
      </w:r>
      <w:r w:rsidRPr="000A630E">
        <w:rPr>
          <w:i w:val="0"/>
          <w:u w:val="none"/>
          <w:lang w:eastAsia="en-AU"/>
        </w:rPr>
        <w:t>f there is objective evidence that an impairment loss has been incurred, the amount of the impairment loss is the difference between the carrying amount of the asset and the present value of the estimated future cash flows discounted at the current market rate for similar assets.</w:t>
      </w:r>
    </w:p>
    <w:p w:rsidR="008835EB" w:rsidRPr="00913E18" w:rsidRDefault="008835EB" w:rsidP="008835EB">
      <w:pPr>
        <w:pStyle w:val="Policytextunderline"/>
        <w:rPr>
          <w:b/>
        </w:rPr>
      </w:pPr>
      <w:r w:rsidRPr="00913E18">
        <w:rPr>
          <w:b/>
        </w:rPr>
        <w:t>Financial Liabilities</w:t>
      </w:r>
    </w:p>
    <w:p w:rsidR="008835EB" w:rsidRPr="000A630E" w:rsidRDefault="008835EB" w:rsidP="008835EB">
      <w:pPr>
        <w:pStyle w:val="Policytextunderline"/>
        <w:rPr>
          <w:i w:val="0"/>
          <w:u w:val="none"/>
          <w:lang w:eastAsia="en-AU"/>
        </w:rPr>
      </w:pPr>
      <w:r w:rsidRPr="000A630E">
        <w:rPr>
          <w:i w:val="0"/>
          <w:u w:val="none"/>
          <w:lang w:eastAsia="en-AU"/>
        </w:rPr>
        <w:t>Financial liabilities are classified as either financial liabilities ‘at fair value through profit or loss’ o</w:t>
      </w:r>
      <w:r>
        <w:rPr>
          <w:i w:val="0"/>
          <w:u w:val="none"/>
          <w:lang w:eastAsia="en-AU"/>
        </w:rPr>
        <w:t xml:space="preserve">r other financial liabilities. </w:t>
      </w:r>
      <w:r w:rsidRPr="000A630E">
        <w:rPr>
          <w:i w:val="0"/>
          <w:u w:val="none"/>
          <w:lang w:eastAsia="en-AU"/>
        </w:rPr>
        <w:t xml:space="preserve">Financial liabilities are recognised and derecognised upon trade date. </w:t>
      </w:r>
    </w:p>
    <w:p w:rsidR="008835EB" w:rsidRPr="00913E18" w:rsidRDefault="008835EB" w:rsidP="008835EB">
      <w:pPr>
        <w:pStyle w:val="Policytextunderline"/>
        <w:rPr>
          <w:lang w:eastAsia="en-AU"/>
        </w:rPr>
      </w:pPr>
      <w:r w:rsidRPr="00913E18">
        <w:rPr>
          <w:lang w:eastAsia="en-AU"/>
        </w:rPr>
        <w:t>Financial Liabilities at Fair Value through Profit or Loss</w:t>
      </w:r>
    </w:p>
    <w:p w:rsidR="008835EB" w:rsidRPr="000A630E" w:rsidRDefault="008835EB" w:rsidP="008835EB">
      <w:pPr>
        <w:pStyle w:val="Policytextunderline"/>
        <w:rPr>
          <w:i w:val="0"/>
          <w:u w:val="none"/>
          <w:lang w:eastAsia="en-AU"/>
        </w:rPr>
      </w:pPr>
      <w:r w:rsidRPr="000A630E">
        <w:rPr>
          <w:i w:val="0"/>
          <w:u w:val="none"/>
          <w:lang w:eastAsia="en-AU"/>
        </w:rPr>
        <w:t>Financial liabilities at fair value through profit or loss are initially measured at fair value. Subsequent fair value adjustments are</w:t>
      </w:r>
      <w:r>
        <w:rPr>
          <w:i w:val="0"/>
          <w:u w:val="none"/>
          <w:lang w:eastAsia="en-AU"/>
        </w:rPr>
        <w:t xml:space="preserve"> recognised in profit or loss. </w:t>
      </w:r>
      <w:r w:rsidRPr="000A630E">
        <w:rPr>
          <w:i w:val="0"/>
          <w:u w:val="none"/>
          <w:lang w:eastAsia="en-AU"/>
        </w:rPr>
        <w:t>The net gain or loss recognised in profit or loss incorporates any interest paid on the financial liability.</w:t>
      </w:r>
    </w:p>
    <w:p w:rsidR="008835EB" w:rsidRPr="00913E18" w:rsidRDefault="008835EB" w:rsidP="008835EB">
      <w:pPr>
        <w:pStyle w:val="Policytextunderline"/>
        <w:rPr>
          <w:lang w:eastAsia="en-AU"/>
        </w:rPr>
      </w:pPr>
      <w:r w:rsidRPr="00913E18">
        <w:rPr>
          <w:lang w:eastAsia="en-AU"/>
        </w:rPr>
        <w:t>Other Financial Liabilities</w:t>
      </w:r>
    </w:p>
    <w:p w:rsidR="008835EB" w:rsidRPr="000A630E" w:rsidRDefault="008835EB" w:rsidP="008835EB">
      <w:pPr>
        <w:pStyle w:val="Policytextunderline"/>
        <w:rPr>
          <w:i w:val="0"/>
          <w:u w:val="none"/>
          <w:lang w:eastAsia="en-AU"/>
        </w:rPr>
      </w:pPr>
      <w:r w:rsidRPr="000A630E">
        <w:rPr>
          <w:i w:val="0"/>
          <w:u w:val="none"/>
          <w:lang w:eastAsia="en-AU"/>
        </w:rPr>
        <w:t>Other financial liabilities are initially measured at fair v</w:t>
      </w:r>
      <w:r>
        <w:rPr>
          <w:i w:val="0"/>
          <w:u w:val="none"/>
          <w:lang w:eastAsia="en-AU"/>
        </w:rPr>
        <w:t>alue, net of transaction costs.</w:t>
      </w:r>
      <w:r w:rsidRPr="000A630E">
        <w:rPr>
          <w:i w:val="0"/>
          <w:u w:val="none"/>
          <w:lang w:eastAsia="en-AU"/>
        </w:rPr>
        <w:t xml:space="preserve"> These liabilities are subsequently measured at amortised cost using the effective interest method, with interest expense recognised on an effective yield basis.</w:t>
      </w:r>
    </w:p>
    <w:p w:rsidR="008835EB" w:rsidRDefault="008835EB" w:rsidP="008835EB">
      <w:pPr>
        <w:pStyle w:val="Policytextunderline"/>
        <w:rPr>
          <w:i w:val="0"/>
          <w:u w:val="none"/>
          <w:lang w:eastAsia="en-AU"/>
        </w:rPr>
      </w:pPr>
      <w:r w:rsidRPr="000A630E">
        <w:rPr>
          <w:i w:val="0"/>
          <w:u w:val="none"/>
          <w:lang w:eastAsia="en-AU"/>
        </w:rPr>
        <w:t>The effective interest method is a method of calculating the amortised cost of a financial liability and of allocating interest exp</w:t>
      </w:r>
      <w:r>
        <w:rPr>
          <w:i w:val="0"/>
          <w:u w:val="none"/>
          <w:lang w:eastAsia="en-AU"/>
        </w:rPr>
        <w:t xml:space="preserve">ense over the relevant period. </w:t>
      </w:r>
      <w:r w:rsidRPr="000A630E">
        <w:rPr>
          <w:i w:val="0"/>
          <w:u w:val="none"/>
          <w:lang w:eastAsia="en-AU"/>
        </w:rPr>
        <w:t>The effective interest rate is the rate that exactly discounts estimated future cash payments through the expected life of the financial liability, or, where appropriate, a shorter period.</w:t>
      </w:r>
    </w:p>
    <w:p w:rsidR="008835EB" w:rsidRPr="000A630E" w:rsidRDefault="008835EB" w:rsidP="008835EB">
      <w:pPr>
        <w:pStyle w:val="Policytextunderline"/>
        <w:rPr>
          <w:i w:val="0"/>
          <w:u w:val="none"/>
          <w:lang w:eastAsia="en-AU"/>
        </w:rPr>
      </w:pPr>
      <w:r w:rsidRPr="000A630E">
        <w:rPr>
          <w:i w:val="0"/>
          <w:u w:val="none"/>
          <w:lang w:eastAsia="en-AU"/>
        </w:rPr>
        <w:t>Supplier and other payables are recognised at amortised cost.  Liabilities are recognised to the extent that the goods or services have been received (and irrespective of having been invoiced).</w:t>
      </w:r>
    </w:p>
    <w:p w:rsidR="008835EB" w:rsidRDefault="008835EB" w:rsidP="008835EB"/>
    <w:tbl>
      <w:tblPr>
        <w:tblW w:w="9087" w:type="dxa"/>
        <w:tblInd w:w="80" w:type="dxa"/>
        <w:tblLayout w:type="fixed"/>
        <w:tblLook w:val="04A0" w:firstRow="1" w:lastRow="0" w:firstColumn="1" w:lastColumn="0" w:noHBand="0" w:noVBand="1"/>
      </w:tblPr>
      <w:tblGrid>
        <w:gridCol w:w="6346"/>
        <w:gridCol w:w="1252"/>
        <w:gridCol w:w="239"/>
        <w:gridCol w:w="1250"/>
      </w:tblGrid>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7E3F2E">
            <w:pPr>
              <w:rPr>
                <w:rFonts w:cs="Calibri"/>
                <w:b/>
                <w:bCs/>
                <w:szCs w:val="18"/>
                <w:u w:val="single"/>
              </w:rPr>
            </w:pPr>
            <w:bookmarkStart w:id="405" w:name="Note_FIBTABLE1" w:colFirst="0" w:colLast="0"/>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2016</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2015</w:t>
            </w:r>
          </w:p>
        </w:tc>
      </w:tr>
      <w:bookmarkEnd w:id="405"/>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$'000</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pStyle w:val="NotesHeading-Level1"/>
            </w:pPr>
            <w:r>
              <w:t xml:space="preserve">Note </w:t>
            </w:r>
            <w:proofErr w:type="spellStart"/>
            <w:r>
              <w:t>7.2B</w:t>
            </w:r>
            <w:proofErr w:type="spellEnd"/>
            <w:r>
              <w:t>: Net Gains or Losses on Financial Assets</w:t>
            </w:r>
          </w:p>
        </w:tc>
        <w:tc>
          <w:tcPr>
            <w:tcW w:w="1252" w:type="dxa"/>
            <w:tcBorders>
              <w:top w:val="nil"/>
              <w:left w:val="nil"/>
              <w:bottom w:val="nil"/>
              <w:right w:val="nil"/>
            </w:tcBorders>
            <w:shd w:val="clear" w:color="FFFFFF" w:fill="FFFFFF"/>
            <w:noWrap/>
            <w:vAlign w:val="bottom"/>
            <w:hideMark/>
          </w:tcPr>
          <w:p w:rsidR="008835EB" w:rsidRDefault="008835EB" w:rsidP="007E3F2E">
            <w:pPr>
              <w:pStyle w:val="NotesHeading-Level1"/>
              <w:rPr>
                <w:rFonts w:ascii="Arial" w:hAnsi="Arial" w:cs="Arial"/>
              </w:rPr>
            </w:pPr>
          </w:p>
        </w:tc>
        <w:tc>
          <w:tcPr>
            <w:tcW w:w="239" w:type="dxa"/>
            <w:tcBorders>
              <w:top w:val="nil"/>
              <w:left w:val="nil"/>
              <w:bottom w:val="nil"/>
              <w:right w:val="nil"/>
            </w:tcBorders>
            <w:shd w:val="clear" w:color="FFFFFF" w:fill="FFFFFF"/>
            <w:noWrap/>
            <w:vAlign w:val="bottom"/>
            <w:hideMark/>
          </w:tcPr>
          <w:p w:rsidR="008835EB" w:rsidRDefault="008835EB" w:rsidP="007E3F2E">
            <w:pPr>
              <w:pStyle w:val="NotesHeading-Level1"/>
              <w:rPr>
                <w:rFonts w:ascii="Arial" w:hAnsi="Arial" w:cs="Arial"/>
              </w:rPr>
            </w:pPr>
          </w:p>
        </w:tc>
        <w:tc>
          <w:tcPr>
            <w:tcW w:w="1250" w:type="dxa"/>
            <w:tcBorders>
              <w:top w:val="nil"/>
              <w:left w:val="nil"/>
              <w:bottom w:val="nil"/>
              <w:right w:val="nil"/>
            </w:tcBorders>
            <w:shd w:val="clear" w:color="FFFFFF" w:fill="FFFFFF"/>
            <w:noWrap/>
            <w:vAlign w:val="bottom"/>
            <w:hideMark/>
          </w:tcPr>
          <w:p w:rsidR="008835EB" w:rsidRDefault="008835EB" w:rsidP="007E3F2E">
            <w:pPr>
              <w:pStyle w:val="NotesHeading-Level1"/>
              <w:rPr>
                <w:rFonts w:ascii="Arial" w:hAnsi="Arial" w:cs="Arial"/>
              </w:rPr>
            </w:pPr>
          </w:p>
        </w:tc>
      </w:tr>
      <w:tr w:rsidR="008835EB" w:rsidTr="007E3F2E">
        <w:trPr>
          <w:trHeight w:val="417"/>
        </w:trPr>
        <w:tc>
          <w:tcPr>
            <w:tcW w:w="6346" w:type="dxa"/>
            <w:tcBorders>
              <w:top w:val="nil"/>
              <w:left w:val="nil"/>
              <w:bottom w:val="nil"/>
              <w:right w:val="nil"/>
            </w:tcBorders>
            <w:shd w:val="clear" w:color="FFFFFF" w:fill="FFFFFF"/>
            <w:vAlign w:val="bottom"/>
          </w:tcPr>
          <w:p w:rsidR="008835EB" w:rsidRDefault="008835EB" w:rsidP="007E3F2E">
            <w:pPr>
              <w:rPr>
                <w:rFonts w:cs="Calibri"/>
                <w:b/>
                <w:bCs/>
                <w:szCs w:val="18"/>
                <w:u w:val="single"/>
              </w:rPr>
            </w:pPr>
            <w:r>
              <w:rPr>
                <w:rFonts w:cs="Calibri"/>
                <w:b/>
                <w:bCs/>
                <w:szCs w:val="18"/>
              </w:rPr>
              <w:t>Loans and receivables</w:t>
            </w:r>
          </w:p>
        </w:tc>
        <w:tc>
          <w:tcPr>
            <w:tcW w:w="1252" w:type="dxa"/>
            <w:tcBorders>
              <w:top w:val="nil"/>
              <w:left w:val="nil"/>
              <w:bottom w:val="nil"/>
              <w:right w:val="nil"/>
            </w:tcBorders>
            <w:shd w:val="clear" w:color="FFFFFF" w:fill="FFFFFF"/>
            <w:noWrap/>
            <w:vAlign w:val="bottom"/>
          </w:tcPr>
          <w:p w:rsidR="008835EB" w:rsidRDefault="008835EB" w:rsidP="007E3F2E">
            <w:pPr>
              <w:rPr>
                <w:rFonts w:ascii="Arial" w:hAnsi="Arial" w:cs="Arial"/>
                <w:b/>
                <w:bCs/>
                <w:szCs w:val="18"/>
              </w:rPr>
            </w:pPr>
          </w:p>
        </w:tc>
        <w:tc>
          <w:tcPr>
            <w:tcW w:w="239" w:type="dxa"/>
            <w:tcBorders>
              <w:top w:val="nil"/>
              <w:left w:val="nil"/>
              <w:bottom w:val="nil"/>
              <w:right w:val="nil"/>
            </w:tcBorders>
            <w:shd w:val="clear" w:color="FFFFFF" w:fill="FFFFFF"/>
            <w:noWrap/>
            <w:vAlign w:val="bottom"/>
          </w:tcPr>
          <w:p w:rsidR="008835EB" w:rsidRDefault="008835EB" w:rsidP="007E3F2E">
            <w:pPr>
              <w:rPr>
                <w:rFonts w:ascii="Arial" w:hAnsi="Arial" w:cs="Arial"/>
                <w:szCs w:val="18"/>
              </w:rPr>
            </w:pPr>
          </w:p>
        </w:tc>
        <w:tc>
          <w:tcPr>
            <w:tcW w:w="1250" w:type="dxa"/>
            <w:tcBorders>
              <w:top w:val="nil"/>
              <w:left w:val="nil"/>
              <w:bottom w:val="nil"/>
              <w:right w:val="nil"/>
            </w:tcBorders>
            <w:shd w:val="clear" w:color="FFFFFF" w:fill="FFFFFF"/>
            <w:noWrap/>
            <w:vAlign w:val="bottom"/>
          </w:tcPr>
          <w:p w:rsidR="008835EB" w:rsidRDefault="008835EB" w:rsidP="007E3F2E">
            <w:pPr>
              <w:rPr>
                <w:rFonts w:ascii="Arial" w:hAnsi="Arial" w:cs="Arial"/>
                <w:szCs w:val="18"/>
              </w:rPr>
            </w:pP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8835EB">
            <w:pPr>
              <w:ind w:firstLineChars="100" w:firstLine="180"/>
              <w:rPr>
                <w:rFonts w:cs="Calibri"/>
                <w:szCs w:val="18"/>
              </w:rPr>
            </w:pPr>
            <w:r>
              <w:rPr>
                <w:rFonts w:cs="Calibri"/>
                <w:szCs w:val="18"/>
              </w:rPr>
              <w:t>Write off - goods and services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(8)</w:t>
            </w: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8835EB">
            <w:pPr>
              <w:ind w:firstLineChars="100" w:firstLine="180"/>
              <w:rPr>
                <w:rFonts w:cs="Calibri"/>
                <w:szCs w:val="18"/>
              </w:rPr>
            </w:pPr>
            <w:r>
              <w:rPr>
                <w:rFonts w:cs="Calibri"/>
                <w:szCs w:val="18"/>
              </w:rPr>
              <w:t>Impairment of receivables - goods and services</w:t>
            </w:r>
          </w:p>
        </w:tc>
        <w:tc>
          <w:tcPr>
            <w:tcW w:w="125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(10)</w:t>
            </w:r>
          </w:p>
        </w:tc>
      </w:tr>
      <w:tr w:rsidR="008835EB" w:rsidTr="007E3F2E">
        <w:trPr>
          <w:trHeight w:val="255"/>
        </w:trPr>
        <w:tc>
          <w:tcPr>
            <w:tcW w:w="6346"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Net losses on loans and receivables</w:t>
            </w:r>
          </w:p>
        </w:tc>
        <w:tc>
          <w:tcPr>
            <w:tcW w:w="1252"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(4)</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(18)</w:t>
            </w:r>
          </w:p>
        </w:tc>
      </w:tr>
      <w:tr w:rsidR="008835EB" w:rsidTr="007E3F2E">
        <w:trPr>
          <w:trHeight w:val="255"/>
        </w:trPr>
        <w:tc>
          <w:tcPr>
            <w:tcW w:w="6346"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2"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70"/>
        </w:trPr>
        <w:tc>
          <w:tcPr>
            <w:tcW w:w="6346"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Net losses on financial assets</w:t>
            </w:r>
          </w:p>
        </w:tc>
        <w:tc>
          <w:tcPr>
            <w:tcW w:w="1252"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(4)</w:t>
            </w:r>
          </w:p>
        </w:tc>
        <w:tc>
          <w:tcPr>
            <w:tcW w:w="23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50" w:type="dxa"/>
            <w:tcBorders>
              <w:top w:val="single" w:sz="4" w:space="0" w:color="auto"/>
              <w:left w:val="nil"/>
              <w:bottom w:val="double" w:sz="6"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(18)</w:t>
            </w:r>
          </w:p>
        </w:tc>
      </w:tr>
    </w:tbl>
    <w:p w:rsidR="008835EB" w:rsidRDefault="008835EB" w:rsidP="008835EB">
      <w:pPr>
        <w:pStyle w:val="ReportText"/>
        <w:spacing w:before="120" w:after="360"/>
        <w:ind w:right="567"/>
      </w:pPr>
      <w:bookmarkStart w:id="406" w:name="RANGE!D6:G49"/>
      <w:bookmarkStart w:id="407" w:name="RANGE!D6:D50"/>
      <w:bookmarkStart w:id="408" w:name="RANGE!D6:G50"/>
      <w:bookmarkEnd w:id="406"/>
      <w:bookmarkEnd w:id="407"/>
      <w:bookmarkEnd w:id="408"/>
      <w:r>
        <w:t>The carrying amount of financial assets and liabilities is a reasonable approximation of fair value.</w:t>
      </w:r>
    </w:p>
    <w:tbl>
      <w:tblPr>
        <w:tblW w:w="9087" w:type="dxa"/>
        <w:tblInd w:w="80" w:type="dxa"/>
        <w:tblLayout w:type="fixed"/>
        <w:tblLook w:val="04A0" w:firstRow="1" w:lastRow="0" w:firstColumn="1" w:lastColumn="0" w:noHBand="0" w:noVBand="1"/>
      </w:tblPr>
      <w:tblGrid>
        <w:gridCol w:w="4075"/>
        <w:gridCol w:w="1253"/>
        <w:gridCol w:w="1253"/>
        <w:gridCol w:w="1253"/>
        <w:gridCol w:w="1253"/>
      </w:tblGrid>
      <w:tr w:rsidR="008835EB" w:rsidTr="007E3F2E">
        <w:trPr>
          <w:trHeight w:val="467"/>
        </w:trPr>
        <w:tc>
          <w:tcPr>
            <w:tcW w:w="9087" w:type="dxa"/>
            <w:gridSpan w:val="5"/>
            <w:tcBorders>
              <w:top w:val="nil"/>
              <w:left w:val="nil"/>
              <w:bottom w:val="nil"/>
              <w:right w:val="nil"/>
            </w:tcBorders>
            <w:shd w:val="clear" w:color="FFFFFF" w:fill="FFFFFF"/>
            <w:noWrap/>
            <w:hideMark/>
          </w:tcPr>
          <w:p w:rsidR="008835EB" w:rsidRDefault="008835EB" w:rsidP="007E3F2E">
            <w:pPr>
              <w:pStyle w:val="NotesHeading-Level1"/>
              <w:rPr>
                <w:rFonts w:ascii="Arial" w:hAnsi="Arial" w:cs="Arial"/>
                <w:color w:val="FF0000"/>
              </w:rPr>
            </w:pPr>
            <w:bookmarkStart w:id="409" w:name="RANGE!D8:D21"/>
            <w:bookmarkStart w:id="410" w:name="Note_FIETABLE1" w:colFirst="0" w:colLast="0"/>
            <w:r>
              <w:t xml:space="preserve">Note </w:t>
            </w:r>
            <w:proofErr w:type="spellStart"/>
            <w:r>
              <w:t>7.2C</w:t>
            </w:r>
            <w:proofErr w:type="spellEnd"/>
            <w:r>
              <w:t>: Fair Value of Financial Instruments</w:t>
            </w:r>
            <w:bookmarkEnd w:id="409"/>
          </w:p>
        </w:tc>
      </w:tr>
      <w:bookmarkEnd w:id="410"/>
      <w:tr w:rsidR="008835EB" w:rsidTr="007E3F2E">
        <w:trPr>
          <w:trHeight w:val="530"/>
        </w:trPr>
        <w:tc>
          <w:tcPr>
            <w:tcW w:w="4075" w:type="dxa"/>
            <w:tcBorders>
              <w:top w:val="single" w:sz="4" w:space="0" w:color="auto"/>
              <w:left w:val="nil"/>
              <w:right w:val="nil"/>
            </w:tcBorders>
            <w:shd w:val="clear" w:color="FFFFFF" w:fill="FFFFFF"/>
            <w:noWrap/>
            <w:vAlign w:val="bottom"/>
            <w:hideMark/>
          </w:tcPr>
          <w:p w:rsidR="008835EB" w:rsidRDefault="008835EB" w:rsidP="007E3F2E">
            <w:pPr>
              <w:rPr>
                <w:rFonts w:ascii="Arial" w:hAnsi="Arial" w:cs="Arial"/>
                <w:szCs w:val="18"/>
              </w:rPr>
            </w:pPr>
          </w:p>
        </w:tc>
        <w:tc>
          <w:tcPr>
            <w:tcW w:w="1253" w:type="dxa"/>
            <w:tcBorders>
              <w:top w:val="single" w:sz="4" w:space="0" w:color="auto"/>
              <w:left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Carrying amount</w:t>
            </w:r>
          </w:p>
        </w:tc>
        <w:tc>
          <w:tcPr>
            <w:tcW w:w="1253" w:type="dxa"/>
            <w:tcBorders>
              <w:top w:val="single" w:sz="4" w:space="0" w:color="auto"/>
              <w:left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 xml:space="preserve">Fair </w:t>
            </w:r>
            <w:r>
              <w:rPr>
                <w:rFonts w:cs="Calibri"/>
                <w:b/>
                <w:bCs/>
                <w:szCs w:val="18"/>
              </w:rPr>
              <w:br/>
              <w:t>value</w:t>
            </w:r>
          </w:p>
        </w:tc>
        <w:tc>
          <w:tcPr>
            <w:tcW w:w="1253" w:type="dxa"/>
            <w:tcBorders>
              <w:top w:val="single" w:sz="4" w:space="0" w:color="auto"/>
              <w:left w:val="nil"/>
              <w:right w:val="nil"/>
            </w:tcBorders>
            <w:shd w:val="clear" w:color="FFFFFF" w:fill="FFFFFF"/>
            <w:vAlign w:val="bottom"/>
            <w:hideMark/>
          </w:tcPr>
          <w:p w:rsidR="008835EB" w:rsidRDefault="008835EB" w:rsidP="007E3F2E">
            <w:pPr>
              <w:jc w:val="right"/>
              <w:rPr>
                <w:rFonts w:cs="Calibri"/>
                <w:szCs w:val="18"/>
              </w:rPr>
            </w:pPr>
            <w:r>
              <w:rPr>
                <w:rFonts w:cs="Calibri"/>
                <w:szCs w:val="18"/>
              </w:rPr>
              <w:t>Carrying amount</w:t>
            </w:r>
          </w:p>
        </w:tc>
        <w:tc>
          <w:tcPr>
            <w:tcW w:w="1253" w:type="dxa"/>
            <w:tcBorders>
              <w:top w:val="single" w:sz="4" w:space="0" w:color="auto"/>
              <w:left w:val="nil"/>
              <w:right w:val="nil"/>
            </w:tcBorders>
            <w:shd w:val="clear" w:color="FFFFFF" w:fill="FFFFFF"/>
            <w:vAlign w:val="bottom"/>
            <w:hideMark/>
          </w:tcPr>
          <w:p w:rsidR="008835EB" w:rsidRDefault="008835EB" w:rsidP="007E3F2E">
            <w:pPr>
              <w:jc w:val="right"/>
              <w:rPr>
                <w:rFonts w:cs="Calibri"/>
                <w:szCs w:val="18"/>
              </w:rPr>
            </w:pPr>
            <w:r>
              <w:rPr>
                <w:rFonts w:cs="Calibri"/>
                <w:szCs w:val="18"/>
              </w:rPr>
              <w:t xml:space="preserve">Fair </w:t>
            </w:r>
            <w:r>
              <w:rPr>
                <w:rFonts w:cs="Calibri"/>
                <w:szCs w:val="18"/>
              </w:rPr>
              <w:br/>
              <w:t>value</w:t>
            </w:r>
          </w:p>
        </w:tc>
      </w:tr>
      <w:tr w:rsidR="008835EB" w:rsidTr="007E3F2E">
        <w:trPr>
          <w:trHeight w:val="255"/>
        </w:trPr>
        <w:tc>
          <w:tcPr>
            <w:tcW w:w="4075"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p>
        </w:tc>
        <w:tc>
          <w:tcPr>
            <w:tcW w:w="1253"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2016</w:t>
            </w:r>
          </w:p>
        </w:tc>
        <w:tc>
          <w:tcPr>
            <w:tcW w:w="1253"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2016</w:t>
            </w:r>
          </w:p>
        </w:tc>
        <w:tc>
          <w:tcPr>
            <w:tcW w:w="1253"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2015</w:t>
            </w:r>
          </w:p>
        </w:tc>
        <w:tc>
          <w:tcPr>
            <w:tcW w:w="1253"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2015</w:t>
            </w:r>
          </w:p>
        </w:tc>
      </w:tr>
      <w:tr w:rsidR="008835EB" w:rsidTr="007E3F2E">
        <w:trPr>
          <w:trHeight w:val="255"/>
        </w:trPr>
        <w:tc>
          <w:tcPr>
            <w:tcW w:w="4075" w:type="dxa"/>
            <w:tcBorders>
              <w:top w:val="nil"/>
              <w:left w:val="nil"/>
              <w:bottom w:val="single" w:sz="4" w:space="0" w:color="auto"/>
              <w:right w:val="nil"/>
            </w:tcBorders>
            <w:shd w:val="clear" w:color="FFFFFF" w:fill="FFFFFF"/>
            <w:noWrap/>
            <w:vAlign w:val="bottom"/>
            <w:hideMark/>
          </w:tcPr>
          <w:p w:rsidR="008835EB" w:rsidRDefault="008835EB" w:rsidP="007E3F2E">
            <w:pPr>
              <w:rPr>
                <w:rFonts w:ascii="Arial" w:hAnsi="Arial" w:cs="Arial"/>
                <w:szCs w:val="18"/>
              </w:rPr>
            </w:pPr>
          </w:p>
        </w:tc>
        <w:tc>
          <w:tcPr>
            <w:tcW w:w="1253"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1253"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1253"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szCs w:val="18"/>
              </w:rPr>
            </w:pPr>
            <w:r>
              <w:rPr>
                <w:rFonts w:cs="Calibri"/>
                <w:szCs w:val="18"/>
              </w:rPr>
              <w:t>$'000</w:t>
            </w:r>
          </w:p>
        </w:tc>
        <w:tc>
          <w:tcPr>
            <w:tcW w:w="1253"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4075"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Financial Assets</w:t>
            </w:r>
          </w:p>
        </w:tc>
        <w:tc>
          <w:tcPr>
            <w:tcW w:w="1253"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3"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3"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3"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4075"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Cash and cash equivalents</w:t>
            </w:r>
          </w:p>
        </w:tc>
        <w:tc>
          <w:tcPr>
            <w:tcW w:w="1253"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3,876 </w:t>
            </w:r>
          </w:p>
        </w:tc>
        <w:tc>
          <w:tcPr>
            <w:tcW w:w="1253"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3,876 </w:t>
            </w:r>
          </w:p>
        </w:tc>
        <w:tc>
          <w:tcPr>
            <w:tcW w:w="1253"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6,321 </w:t>
            </w:r>
          </w:p>
        </w:tc>
        <w:tc>
          <w:tcPr>
            <w:tcW w:w="1253"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6,321 </w:t>
            </w:r>
          </w:p>
        </w:tc>
      </w:tr>
      <w:tr w:rsidR="008835EB" w:rsidTr="007E3F2E">
        <w:trPr>
          <w:trHeight w:val="255"/>
        </w:trPr>
        <w:tc>
          <w:tcPr>
            <w:tcW w:w="4075"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Goods and services receivables</w:t>
            </w:r>
          </w:p>
        </w:tc>
        <w:tc>
          <w:tcPr>
            <w:tcW w:w="1253"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3,870 </w:t>
            </w:r>
          </w:p>
        </w:tc>
        <w:tc>
          <w:tcPr>
            <w:tcW w:w="1253"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3,873 </w:t>
            </w:r>
          </w:p>
        </w:tc>
        <w:tc>
          <w:tcPr>
            <w:tcW w:w="1253"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4,712 </w:t>
            </w:r>
          </w:p>
        </w:tc>
        <w:tc>
          <w:tcPr>
            <w:tcW w:w="1253"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4,722 </w:t>
            </w:r>
          </w:p>
        </w:tc>
      </w:tr>
      <w:tr w:rsidR="008835EB" w:rsidTr="007E3F2E">
        <w:trPr>
          <w:trHeight w:val="255"/>
        </w:trPr>
        <w:tc>
          <w:tcPr>
            <w:tcW w:w="4075" w:type="dxa"/>
            <w:tcBorders>
              <w:top w:val="single" w:sz="4" w:space="0" w:color="auto"/>
              <w:left w:val="nil"/>
              <w:bottom w:val="single" w:sz="4" w:space="0" w:color="auto"/>
              <w:right w:val="nil"/>
            </w:tcBorders>
            <w:shd w:val="clear" w:color="FFFFFF" w:fill="FFFFFF"/>
            <w:vAlign w:val="bottom"/>
            <w:hideMark/>
          </w:tcPr>
          <w:p w:rsidR="008835EB" w:rsidRDefault="008835EB" w:rsidP="007E3F2E">
            <w:pPr>
              <w:rPr>
                <w:rFonts w:cs="Calibri"/>
                <w:b/>
                <w:bCs/>
                <w:szCs w:val="18"/>
              </w:rPr>
            </w:pPr>
            <w:r>
              <w:rPr>
                <w:rFonts w:cs="Calibri"/>
                <w:b/>
                <w:bCs/>
                <w:szCs w:val="18"/>
              </w:rPr>
              <w:t>Total Financial Assets</w:t>
            </w:r>
          </w:p>
        </w:tc>
        <w:tc>
          <w:tcPr>
            <w:tcW w:w="1253"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7,746</w:t>
            </w:r>
          </w:p>
        </w:tc>
        <w:tc>
          <w:tcPr>
            <w:tcW w:w="1253"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7,749</w:t>
            </w:r>
          </w:p>
        </w:tc>
        <w:tc>
          <w:tcPr>
            <w:tcW w:w="1253"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11,033</w:t>
            </w:r>
          </w:p>
        </w:tc>
        <w:tc>
          <w:tcPr>
            <w:tcW w:w="1253"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11,043</w:t>
            </w:r>
          </w:p>
        </w:tc>
      </w:tr>
      <w:tr w:rsidR="008835EB" w:rsidTr="007E3F2E">
        <w:trPr>
          <w:trHeight w:val="255"/>
        </w:trPr>
        <w:tc>
          <w:tcPr>
            <w:tcW w:w="4075"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3"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53"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53"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3"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4075"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Financial Liabilities</w:t>
            </w:r>
          </w:p>
        </w:tc>
        <w:tc>
          <w:tcPr>
            <w:tcW w:w="1253"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53"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53"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53"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4075"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Trade creditors</w:t>
            </w:r>
          </w:p>
        </w:tc>
        <w:tc>
          <w:tcPr>
            <w:tcW w:w="1253"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17,879 </w:t>
            </w:r>
          </w:p>
        </w:tc>
        <w:tc>
          <w:tcPr>
            <w:tcW w:w="1253"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17,879 </w:t>
            </w:r>
          </w:p>
        </w:tc>
        <w:tc>
          <w:tcPr>
            <w:tcW w:w="1253"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16,720 </w:t>
            </w:r>
          </w:p>
        </w:tc>
        <w:tc>
          <w:tcPr>
            <w:tcW w:w="1253"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16,720 </w:t>
            </w:r>
          </w:p>
        </w:tc>
      </w:tr>
      <w:tr w:rsidR="008835EB" w:rsidTr="007E3F2E">
        <w:trPr>
          <w:trHeight w:val="255"/>
        </w:trPr>
        <w:tc>
          <w:tcPr>
            <w:tcW w:w="4075" w:type="dxa"/>
            <w:tcBorders>
              <w:top w:val="single" w:sz="4" w:space="0" w:color="auto"/>
              <w:left w:val="nil"/>
              <w:bottom w:val="single" w:sz="4" w:space="0" w:color="auto"/>
              <w:right w:val="nil"/>
            </w:tcBorders>
            <w:shd w:val="clear" w:color="FFFFFF" w:fill="FFFFFF"/>
            <w:vAlign w:val="bottom"/>
            <w:hideMark/>
          </w:tcPr>
          <w:p w:rsidR="008835EB" w:rsidRDefault="008835EB" w:rsidP="007E3F2E">
            <w:pPr>
              <w:rPr>
                <w:rFonts w:cs="Calibri"/>
                <w:b/>
                <w:bCs/>
                <w:szCs w:val="18"/>
              </w:rPr>
            </w:pPr>
            <w:r>
              <w:rPr>
                <w:rFonts w:cs="Calibri"/>
                <w:b/>
                <w:bCs/>
                <w:szCs w:val="18"/>
              </w:rPr>
              <w:t>Total Financial Liabilities</w:t>
            </w:r>
          </w:p>
        </w:tc>
        <w:tc>
          <w:tcPr>
            <w:tcW w:w="1253"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17,879</w:t>
            </w:r>
          </w:p>
        </w:tc>
        <w:tc>
          <w:tcPr>
            <w:tcW w:w="1253"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17,879</w:t>
            </w:r>
          </w:p>
        </w:tc>
        <w:tc>
          <w:tcPr>
            <w:tcW w:w="1253"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16,720</w:t>
            </w:r>
          </w:p>
        </w:tc>
        <w:tc>
          <w:tcPr>
            <w:tcW w:w="1253"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16,720</w:t>
            </w:r>
          </w:p>
        </w:tc>
      </w:tr>
    </w:tbl>
    <w:p w:rsidR="008835EB" w:rsidRDefault="008835EB" w:rsidP="008835EB">
      <w:bookmarkStart w:id="411" w:name="RANGE!D8:H21"/>
      <w:bookmarkStart w:id="412" w:name="RANGE!D7:H22"/>
      <w:bookmarkStart w:id="413" w:name="RANGE!D7:H23"/>
      <w:bookmarkStart w:id="414" w:name="RANGE!D6:H23"/>
      <w:bookmarkStart w:id="415" w:name="RANGE!D6:G28"/>
      <w:bookmarkStart w:id="416" w:name="RANGE!D6:D29"/>
      <w:bookmarkStart w:id="417" w:name="RANGE!D6:G29"/>
      <w:bookmarkStart w:id="418" w:name="RANGE!D6:H18"/>
      <w:bookmarkStart w:id="419" w:name="RANGE!D6:H19"/>
      <w:bookmarkEnd w:id="411"/>
      <w:bookmarkEnd w:id="412"/>
      <w:bookmarkEnd w:id="413"/>
      <w:bookmarkEnd w:id="414"/>
      <w:bookmarkEnd w:id="415"/>
      <w:bookmarkEnd w:id="416"/>
      <w:bookmarkEnd w:id="417"/>
      <w:bookmarkEnd w:id="418"/>
      <w:bookmarkEnd w:id="419"/>
      <w:r>
        <w:br w:type="page"/>
      </w:r>
    </w:p>
    <w:p w:rsidR="008835EB" w:rsidRDefault="008835EB" w:rsidP="008835EB">
      <w:pPr>
        <w:pStyle w:val="NotesHeading-Level1"/>
      </w:pPr>
      <w:r>
        <w:lastRenderedPageBreak/>
        <w:t xml:space="preserve">Note </w:t>
      </w:r>
      <w:proofErr w:type="spellStart"/>
      <w:r>
        <w:t>7.2D</w:t>
      </w:r>
      <w:proofErr w:type="spellEnd"/>
      <w:r>
        <w:t>: Credit Risk</w:t>
      </w:r>
    </w:p>
    <w:p w:rsidR="008835EB" w:rsidRDefault="008835EB" w:rsidP="008835EB">
      <w:pPr>
        <w:spacing w:before="120" w:after="120"/>
        <w:rPr>
          <w:rFonts w:cs="Calibri"/>
          <w:szCs w:val="18"/>
        </w:rPr>
      </w:pPr>
      <w:r>
        <w:rPr>
          <w:rFonts w:cs="Calibri"/>
          <w:szCs w:val="18"/>
        </w:rPr>
        <w:t>The Department is exposed to minimal credit risk as loans and receivables were cash, cash on deposit and trade receivables. The maximum exposure to credit risk was the risk that arises from potential default of a debtor. This amount was equal to the total amount of trade receivables of $3,873,000 (2015: $4,722,000). The Department assessed the risk of the default on payment and allocated $3,000 to an impairment allowance account (2015: $10,000).</w:t>
      </w:r>
    </w:p>
    <w:p w:rsidR="008835EB" w:rsidRDefault="008835EB" w:rsidP="008835EB">
      <w:pPr>
        <w:spacing w:after="240"/>
      </w:pPr>
      <w:r>
        <w:rPr>
          <w:rFonts w:cs="Calibri"/>
          <w:szCs w:val="18"/>
        </w:rPr>
        <w:t>The Department has no significant exposures to any concentrations of credit risk. All figures for credit risk referred to did not take into account the value of any collateral of other security.</w:t>
      </w:r>
    </w:p>
    <w:tbl>
      <w:tblPr>
        <w:tblW w:w="9087" w:type="dxa"/>
        <w:tblInd w:w="80" w:type="dxa"/>
        <w:tblLayout w:type="fixed"/>
        <w:tblLook w:val="04A0" w:firstRow="1" w:lastRow="0" w:firstColumn="1" w:lastColumn="0" w:noHBand="0" w:noVBand="1"/>
      </w:tblPr>
      <w:tblGrid>
        <w:gridCol w:w="2740"/>
        <w:gridCol w:w="1271"/>
        <w:gridCol w:w="1269"/>
        <w:gridCol w:w="1269"/>
        <w:gridCol w:w="1269"/>
        <w:gridCol w:w="1269"/>
      </w:tblGrid>
      <w:tr w:rsidR="008835EB" w:rsidTr="007E3F2E">
        <w:trPr>
          <w:trHeight w:val="255"/>
        </w:trPr>
        <w:tc>
          <w:tcPr>
            <w:tcW w:w="6549" w:type="dxa"/>
            <w:gridSpan w:val="4"/>
            <w:tcBorders>
              <w:top w:val="single" w:sz="4" w:space="0" w:color="auto"/>
              <w:left w:val="nil"/>
              <w:bottom w:val="nil"/>
              <w:right w:val="nil"/>
            </w:tcBorders>
            <w:shd w:val="clear" w:color="FFFFFF" w:fill="FFFFFF"/>
            <w:noWrap/>
            <w:vAlign w:val="bottom"/>
            <w:hideMark/>
          </w:tcPr>
          <w:p w:rsidR="008835EB" w:rsidRDefault="008835EB" w:rsidP="007E3F2E">
            <w:pPr>
              <w:rPr>
                <w:rFonts w:cs="Calibri"/>
                <w:b/>
                <w:bCs/>
                <w:szCs w:val="18"/>
              </w:rPr>
            </w:pPr>
            <w:r>
              <w:rPr>
                <w:rFonts w:cs="Calibri"/>
                <w:b/>
                <w:bCs/>
                <w:szCs w:val="18"/>
              </w:rPr>
              <w:t>Maximum exposure to credit risk (excluding any collateral or credit enhancements)</w:t>
            </w:r>
          </w:p>
        </w:tc>
        <w:tc>
          <w:tcPr>
            <w:tcW w:w="1269" w:type="dxa"/>
            <w:tcBorders>
              <w:top w:val="single" w:sz="4" w:space="0" w:color="auto"/>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2016</w:t>
            </w:r>
          </w:p>
        </w:tc>
        <w:tc>
          <w:tcPr>
            <w:tcW w:w="1269" w:type="dxa"/>
            <w:tcBorders>
              <w:top w:val="single" w:sz="4" w:space="0" w:color="auto"/>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2015</w:t>
            </w:r>
          </w:p>
        </w:tc>
      </w:tr>
      <w:tr w:rsidR="008835EB" w:rsidTr="007E3F2E">
        <w:trPr>
          <w:trHeight w:val="255"/>
        </w:trPr>
        <w:tc>
          <w:tcPr>
            <w:tcW w:w="2740" w:type="dxa"/>
            <w:tcBorders>
              <w:top w:val="nil"/>
              <w:left w:val="nil"/>
              <w:bottom w:val="single" w:sz="4" w:space="0" w:color="auto"/>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71" w:type="dxa"/>
            <w:tcBorders>
              <w:top w:val="nil"/>
              <w:left w:val="nil"/>
              <w:bottom w:val="single" w:sz="4" w:space="0" w:color="auto"/>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69" w:type="dxa"/>
            <w:tcBorders>
              <w:top w:val="nil"/>
              <w:left w:val="nil"/>
              <w:bottom w:val="single" w:sz="4" w:space="0" w:color="auto"/>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69" w:type="dxa"/>
            <w:tcBorders>
              <w:top w:val="nil"/>
              <w:left w:val="nil"/>
              <w:bottom w:val="single" w:sz="4" w:space="0" w:color="auto"/>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69"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1269"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2740"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Financial assets</w:t>
            </w:r>
          </w:p>
        </w:tc>
        <w:tc>
          <w:tcPr>
            <w:tcW w:w="1271"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6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6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6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6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2740"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Cash and cash equivalents</w:t>
            </w:r>
          </w:p>
        </w:tc>
        <w:tc>
          <w:tcPr>
            <w:tcW w:w="1271"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6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6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69"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3,876 </w:t>
            </w:r>
          </w:p>
        </w:tc>
        <w:tc>
          <w:tcPr>
            <w:tcW w:w="1269"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6,321 </w:t>
            </w:r>
          </w:p>
        </w:tc>
      </w:tr>
      <w:tr w:rsidR="008835EB" w:rsidTr="007E3F2E">
        <w:trPr>
          <w:trHeight w:val="255"/>
        </w:trPr>
        <w:tc>
          <w:tcPr>
            <w:tcW w:w="2740"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Goods and services receivables</w:t>
            </w:r>
          </w:p>
        </w:tc>
        <w:tc>
          <w:tcPr>
            <w:tcW w:w="1271"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6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6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69"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3,873 </w:t>
            </w:r>
          </w:p>
        </w:tc>
        <w:tc>
          <w:tcPr>
            <w:tcW w:w="1269"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4,722 </w:t>
            </w:r>
          </w:p>
        </w:tc>
      </w:tr>
      <w:tr w:rsidR="008835EB" w:rsidTr="007E3F2E">
        <w:trPr>
          <w:trHeight w:val="255"/>
        </w:trPr>
        <w:tc>
          <w:tcPr>
            <w:tcW w:w="2740" w:type="dxa"/>
            <w:tcBorders>
              <w:top w:val="single" w:sz="4" w:space="0" w:color="auto"/>
              <w:left w:val="nil"/>
              <w:bottom w:val="single" w:sz="4" w:space="0" w:color="auto"/>
              <w:right w:val="nil"/>
            </w:tcBorders>
            <w:shd w:val="clear" w:color="FFFFFF" w:fill="FFFFFF"/>
            <w:vAlign w:val="bottom"/>
            <w:hideMark/>
          </w:tcPr>
          <w:p w:rsidR="008835EB" w:rsidRDefault="008835EB" w:rsidP="007E3F2E">
            <w:pPr>
              <w:rPr>
                <w:rFonts w:cs="Calibri"/>
                <w:b/>
                <w:bCs/>
                <w:szCs w:val="18"/>
              </w:rPr>
            </w:pPr>
            <w:r>
              <w:rPr>
                <w:rFonts w:cs="Calibri"/>
                <w:b/>
                <w:bCs/>
                <w:szCs w:val="18"/>
              </w:rPr>
              <w:t>Total</w:t>
            </w:r>
          </w:p>
        </w:tc>
        <w:tc>
          <w:tcPr>
            <w:tcW w:w="1271" w:type="dxa"/>
            <w:tcBorders>
              <w:top w:val="single" w:sz="4" w:space="0" w:color="auto"/>
              <w:left w:val="nil"/>
              <w:bottom w:val="single" w:sz="4" w:space="0" w:color="auto"/>
              <w:right w:val="nil"/>
            </w:tcBorders>
            <w:shd w:val="clear" w:color="FFFFFF" w:fill="FFFFFF"/>
            <w:vAlign w:val="bottom"/>
            <w:hideMark/>
          </w:tcPr>
          <w:p w:rsidR="008835EB" w:rsidRDefault="008835EB" w:rsidP="007E3F2E">
            <w:pPr>
              <w:rPr>
                <w:rFonts w:cs="Calibri"/>
                <w:b/>
                <w:bCs/>
                <w:szCs w:val="18"/>
              </w:rPr>
            </w:pPr>
            <w:r>
              <w:rPr>
                <w:rFonts w:cs="Calibri"/>
                <w:b/>
                <w:bCs/>
                <w:szCs w:val="18"/>
              </w:rPr>
              <w:t> </w:t>
            </w:r>
          </w:p>
        </w:tc>
        <w:tc>
          <w:tcPr>
            <w:tcW w:w="1269" w:type="dxa"/>
            <w:tcBorders>
              <w:top w:val="single" w:sz="4" w:space="0" w:color="auto"/>
              <w:left w:val="nil"/>
              <w:bottom w:val="single" w:sz="4" w:space="0" w:color="auto"/>
              <w:right w:val="nil"/>
            </w:tcBorders>
            <w:shd w:val="clear" w:color="FFFFFF" w:fill="FFFFFF"/>
            <w:vAlign w:val="bottom"/>
            <w:hideMark/>
          </w:tcPr>
          <w:p w:rsidR="008835EB" w:rsidRDefault="008835EB" w:rsidP="007E3F2E">
            <w:pPr>
              <w:rPr>
                <w:rFonts w:cs="Calibri"/>
                <w:b/>
                <w:bCs/>
                <w:szCs w:val="18"/>
              </w:rPr>
            </w:pPr>
            <w:r>
              <w:rPr>
                <w:rFonts w:cs="Calibri"/>
                <w:b/>
                <w:bCs/>
                <w:szCs w:val="18"/>
              </w:rPr>
              <w:t> </w:t>
            </w:r>
          </w:p>
        </w:tc>
        <w:tc>
          <w:tcPr>
            <w:tcW w:w="1269" w:type="dxa"/>
            <w:tcBorders>
              <w:top w:val="single" w:sz="4" w:space="0" w:color="auto"/>
              <w:left w:val="nil"/>
              <w:bottom w:val="single" w:sz="4" w:space="0" w:color="auto"/>
              <w:right w:val="nil"/>
            </w:tcBorders>
            <w:shd w:val="clear" w:color="FFFFFF" w:fill="FFFFFF"/>
            <w:vAlign w:val="bottom"/>
            <w:hideMark/>
          </w:tcPr>
          <w:p w:rsidR="008835EB" w:rsidRDefault="008835EB" w:rsidP="007E3F2E">
            <w:pPr>
              <w:rPr>
                <w:rFonts w:cs="Calibri"/>
                <w:b/>
                <w:bCs/>
                <w:szCs w:val="18"/>
              </w:rPr>
            </w:pPr>
            <w:r>
              <w:rPr>
                <w:rFonts w:cs="Calibri"/>
                <w:b/>
                <w:bCs/>
                <w:szCs w:val="18"/>
              </w:rPr>
              <w:t> </w:t>
            </w:r>
          </w:p>
        </w:tc>
        <w:tc>
          <w:tcPr>
            <w:tcW w:w="1269"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7,749</w:t>
            </w:r>
          </w:p>
        </w:tc>
        <w:tc>
          <w:tcPr>
            <w:tcW w:w="1269"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11,043</w:t>
            </w:r>
          </w:p>
        </w:tc>
      </w:tr>
      <w:tr w:rsidR="008835EB" w:rsidTr="007E3F2E">
        <w:trPr>
          <w:trHeight w:val="255"/>
        </w:trPr>
        <w:tc>
          <w:tcPr>
            <w:tcW w:w="274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71"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6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6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6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6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9087" w:type="dxa"/>
            <w:gridSpan w:val="6"/>
            <w:tcBorders>
              <w:top w:val="nil"/>
              <w:left w:val="nil"/>
              <w:bottom w:val="nil"/>
              <w:right w:val="nil"/>
            </w:tcBorders>
            <w:shd w:val="clear" w:color="auto" w:fill="auto"/>
            <w:vAlign w:val="bottom"/>
            <w:hideMark/>
          </w:tcPr>
          <w:p w:rsidR="008835EB" w:rsidRDefault="008835EB" w:rsidP="007E3F2E">
            <w:pPr>
              <w:rPr>
                <w:rFonts w:cs="Calibri"/>
                <w:szCs w:val="18"/>
              </w:rPr>
            </w:pPr>
            <w:r>
              <w:rPr>
                <w:rFonts w:cs="Calibri"/>
                <w:szCs w:val="18"/>
              </w:rPr>
              <w:t>In relation to the department’s gross credit risk there is no collateral held.</w:t>
            </w:r>
          </w:p>
        </w:tc>
      </w:tr>
      <w:tr w:rsidR="008835EB" w:rsidTr="007E3F2E">
        <w:trPr>
          <w:trHeight w:val="255"/>
        </w:trPr>
        <w:tc>
          <w:tcPr>
            <w:tcW w:w="2740" w:type="dxa"/>
            <w:tcBorders>
              <w:top w:val="nil"/>
              <w:left w:val="nil"/>
              <w:bottom w:val="nil"/>
              <w:right w:val="nil"/>
            </w:tcBorders>
            <w:shd w:val="clear" w:color="FFFFFF" w:fill="FFFFFF"/>
            <w:noWrap/>
            <w:vAlign w:val="bottom"/>
            <w:hideMark/>
          </w:tcPr>
          <w:p w:rsidR="008835EB" w:rsidRDefault="008835EB" w:rsidP="007E3F2E">
            <w:pPr>
              <w:rPr>
                <w:rFonts w:cs="Calibri"/>
                <w:b/>
                <w:bCs/>
                <w:szCs w:val="18"/>
              </w:rPr>
            </w:pPr>
            <w:r>
              <w:rPr>
                <w:rFonts w:cs="Calibri"/>
                <w:b/>
                <w:bCs/>
                <w:szCs w:val="18"/>
              </w:rPr>
              <w:t> </w:t>
            </w:r>
          </w:p>
        </w:tc>
        <w:tc>
          <w:tcPr>
            <w:tcW w:w="1271"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6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6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6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6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720"/>
        </w:trPr>
        <w:tc>
          <w:tcPr>
            <w:tcW w:w="4011" w:type="dxa"/>
            <w:gridSpan w:val="2"/>
            <w:tcBorders>
              <w:top w:val="single" w:sz="4" w:space="0" w:color="auto"/>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Credit quality of financial instruments not past due or individually determined as impaired</w:t>
            </w:r>
          </w:p>
        </w:tc>
        <w:tc>
          <w:tcPr>
            <w:tcW w:w="1269" w:type="dxa"/>
            <w:tcBorders>
              <w:top w:val="single" w:sz="4" w:space="0" w:color="auto"/>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Not past due nor impaired</w:t>
            </w:r>
          </w:p>
        </w:tc>
        <w:tc>
          <w:tcPr>
            <w:tcW w:w="1269" w:type="dxa"/>
            <w:tcBorders>
              <w:top w:val="single" w:sz="4" w:space="0" w:color="auto"/>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Not past due nor impaired</w:t>
            </w:r>
          </w:p>
        </w:tc>
        <w:tc>
          <w:tcPr>
            <w:tcW w:w="1269" w:type="dxa"/>
            <w:tcBorders>
              <w:top w:val="single" w:sz="4" w:space="0" w:color="auto"/>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Past due or impaired</w:t>
            </w:r>
          </w:p>
        </w:tc>
        <w:tc>
          <w:tcPr>
            <w:tcW w:w="1269" w:type="dxa"/>
            <w:tcBorders>
              <w:top w:val="single" w:sz="4" w:space="0" w:color="auto"/>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Past due or impaired</w:t>
            </w:r>
          </w:p>
        </w:tc>
      </w:tr>
      <w:tr w:rsidR="008835EB" w:rsidTr="007E3F2E">
        <w:trPr>
          <w:trHeight w:val="255"/>
        </w:trPr>
        <w:tc>
          <w:tcPr>
            <w:tcW w:w="2740" w:type="dxa"/>
            <w:tcBorders>
              <w:top w:val="nil"/>
              <w:left w:val="nil"/>
              <w:bottom w:val="nil"/>
              <w:right w:val="nil"/>
            </w:tcBorders>
            <w:shd w:val="clear" w:color="FFFFFF" w:fill="FFFFFF"/>
            <w:hideMark/>
          </w:tcPr>
          <w:p w:rsidR="008835EB" w:rsidRDefault="008835EB" w:rsidP="007E3F2E">
            <w:pPr>
              <w:rPr>
                <w:rFonts w:cs="Calibri"/>
                <w:b/>
                <w:bCs/>
                <w:szCs w:val="18"/>
              </w:rPr>
            </w:pPr>
            <w:r>
              <w:rPr>
                <w:rFonts w:cs="Calibri"/>
                <w:b/>
                <w:bCs/>
                <w:szCs w:val="18"/>
              </w:rPr>
              <w:t> </w:t>
            </w:r>
          </w:p>
        </w:tc>
        <w:tc>
          <w:tcPr>
            <w:tcW w:w="1271" w:type="dxa"/>
            <w:tcBorders>
              <w:top w:val="nil"/>
              <w:left w:val="nil"/>
              <w:bottom w:val="nil"/>
              <w:right w:val="nil"/>
            </w:tcBorders>
            <w:shd w:val="clear" w:color="FFFFFF" w:fill="FFFFFF"/>
            <w:hideMark/>
          </w:tcPr>
          <w:p w:rsidR="008835EB" w:rsidRDefault="008835EB" w:rsidP="007E3F2E">
            <w:pPr>
              <w:rPr>
                <w:rFonts w:cs="Calibri"/>
                <w:b/>
                <w:bCs/>
                <w:szCs w:val="18"/>
              </w:rPr>
            </w:pPr>
            <w:r>
              <w:rPr>
                <w:rFonts w:cs="Calibri"/>
                <w:b/>
                <w:bCs/>
                <w:szCs w:val="18"/>
              </w:rPr>
              <w:t> </w:t>
            </w:r>
          </w:p>
        </w:tc>
        <w:tc>
          <w:tcPr>
            <w:tcW w:w="1269"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2016</w:t>
            </w:r>
          </w:p>
        </w:tc>
        <w:tc>
          <w:tcPr>
            <w:tcW w:w="1269"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2015</w:t>
            </w:r>
          </w:p>
        </w:tc>
        <w:tc>
          <w:tcPr>
            <w:tcW w:w="1269"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2016</w:t>
            </w:r>
          </w:p>
        </w:tc>
        <w:tc>
          <w:tcPr>
            <w:tcW w:w="1269"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2015</w:t>
            </w:r>
          </w:p>
        </w:tc>
      </w:tr>
      <w:tr w:rsidR="008835EB" w:rsidTr="007E3F2E">
        <w:trPr>
          <w:trHeight w:val="255"/>
        </w:trPr>
        <w:tc>
          <w:tcPr>
            <w:tcW w:w="2740" w:type="dxa"/>
            <w:tcBorders>
              <w:top w:val="nil"/>
              <w:left w:val="nil"/>
              <w:bottom w:val="single" w:sz="4" w:space="0" w:color="auto"/>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71" w:type="dxa"/>
            <w:tcBorders>
              <w:top w:val="nil"/>
              <w:left w:val="nil"/>
              <w:bottom w:val="single" w:sz="4" w:space="0" w:color="auto"/>
              <w:right w:val="nil"/>
            </w:tcBorders>
            <w:shd w:val="clear" w:color="FFFFFF" w:fill="FFFFFF"/>
            <w:noWrap/>
            <w:vAlign w:val="bottom"/>
            <w:hideMark/>
          </w:tcPr>
          <w:p w:rsidR="008835EB" w:rsidRDefault="008835EB" w:rsidP="007E3F2E">
            <w:pPr>
              <w:rPr>
                <w:rFonts w:ascii="Arial" w:hAnsi="Arial" w:cs="Arial"/>
                <w:sz w:val="20"/>
              </w:rPr>
            </w:pPr>
            <w:r>
              <w:rPr>
                <w:rFonts w:ascii="Arial" w:hAnsi="Arial" w:cs="Arial"/>
                <w:sz w:val="20"/>
              </w:rPr>
              <w:t> </w:t>
            </w:r>
          </w:p>
        </w:tc>
        <w:tc>
          <w:tcPr>
            <w:tcW w:w="1269"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1269"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szCs w:val="18"/>
              </w:rPr>
            </w:pPr>
            <w:r>
              <w:rPr>
                <w:rFonts w:cs="Calibri"/>
                <w:szCs w:val="18"/>
              </w:rPr>
              <w:t>$'000</w:t>
            </w:r>
          </w:p>
        </w:tc>
        <w:tc>
          <w:tcPr>
            <w:tcW w:w="1269"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1269"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2740"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Cash and cash equivalents</w:t>
            </w:r>
          </w:p>
        </w:tc>
        <w:tc>
          <w:tcPr>
            <w:tcW w:w="1271"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69"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3,876 </w:t>
            </w:r>
          </w:p>
        </w:tc>
        <w:tc>
          <w:tcPr>
            <w:tcW w:w="1269"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6,321 </w:t>
            </w:r>
          </w:p>
        </w:tc>
        <w:tc>
          <w:tcPr>
            <w:tcW w:w="1269"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1269"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r>
      <w:tr w:rsidR="008835EB" w:rsidTr="007E3F2E">
        <w:trPr>
          <w:trHeight w:val="255"/>
        </w:trPr>
        <w:tc>
          <w:tcPr>
            <w:tcW w:w="2740"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Goods and services receivables</w:t>
            </w:r>
          </w:p>
        </w:tc>
        <w:tc>
          <w:tcPr>
            <w:tcW w:w="1271"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269"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1,796 </w:t>
            </w:r>
          </w:p>
        </w:tc>
        <w:tc>
          <w:tcPr>
            <w:tcW w:w="1269"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4,457 </w:t>
            </w:r>
          </w:p>
        </w:tc>
        <w:tc>
          <w:tcPr>
            <w:tcW w:w="1269"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2,077 </w:t>
            </w:r>
          </w:p>
        </w:tc>
        <w:tc>
          <w:tcPr>
            <w:tcW w:w="1269"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265 </w:t>
            </w:r>
          </w:p>
        </w:tc>
      </w:tr>
      <w:tr w:rsidR="008835EB" w:rsidTr="007E3F2E">
        <w:trPr>
          <w:trHeight w:val="255"/>
        </w:trPr>
        <w:tc>
          <w:tcPr>
            <w:tcW w:w="2740" w:type="dxa"/>
            <w:tcBorders>
              <w:top w:val="single" w:sz="4" w:space="0" w:color="auto"/>
              <w:left w:val="nil"/>
              <w:bottom w:val="single" w:sz="4" w:space="0" w:color="auto"/>
              <w:right w:val="nil"/>
            </w:tcBorders>
            <w:shd w:val="clear" w:color="FFFFFF" w:fill="FFFFFF"/>
            <w:vAlign w:val="bottom"/>
            <w:hideMark/>
          </w:tcPr>
          <w:p w:rsidR="008835EB" w:rsidRDefault="008835EB" w:rsidP="007E3F2E">
            <w:pPr>
              <w:rPr>
                <w:rFonts w:cs="Calibri"/>
                <w:b/>
                <w:bCs/>
                <w:szCs w:val="18"/>
              </w:rPr>
            </w:pPr>
            <w:r>
              <w:rPr>
                <w:rFonts w:cs="Calibri"/>
                <w:b/>
                <w:bCs/>
                <w:szCs w:val="18"/>
              </w:rPr>
              <w:t>Total</w:t>
            </w:r>
          </w:p>
        </w:tc>
        <w:tc>
          <w:tcPr>
            <w:tcW w:w="1271" w:type="dxa"/>
            <w:tcBorders>
              <w:top w:val="single" w:sz="4" w:space="0" w:color="auto"/>
              <w:left w:val="nil"/>
              <w:bottom w:val="single" w:sz="4" w:space="0" w:color="auto"/>
              <w:right w:val="nil"/>
            </w:tcBorders>
            <w:shd w:val="clear" w:color="FFFFFF" w:fill="FFFFFF"/>
            <w:vAlign w:val="bottom"/>
            <w:hideMark/>
          </w:tcPr>
          <w:p w:rsidR="008835EB" w:rsidRDefault="008835EB" w:rsidP="007E3F2E">
            <w:pPr>
              <w:rPr>
                <w:rFonts w:cs="Calibri"/>
                <w:b/>
                <w:bCs/>
                <w:szCs w:val="18"/>
              </w:rPr>
            </w:pPr>
            <w:r>
              <w:rPr>
                <w:rFonts w:cs="Calibri"/>
                <w:b/>
                <w:bCs/>
                <w:szCs w:val="18"/>
              </w:rPr>
              <w:t> </w:t>
            </w:r>
          </w:p>
        </w:tc>
        <w:tc>
          <w:tcPr>
            <w:tcW w:w="1269"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5,672</w:t>
            </w:r>
          </w:p>
        </w:tc>
        <w:tc>
          <w:tcPr>
            <w:tcW w:w="1269"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10,778</w:t>
            </w:r>
          </w:p>
        </w:tc>
        <w:tc>
          <w:tcPr>
            <w:tcW w:w="1269"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2,077</w:t>
            </w:r>
          </w:p>
        </w:tc>
        <w:tc>
          <w:tcPr>
            <w:tcW w:w="1269"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265</w:t>
            </w:r>
          </w:p>
        </w:tc>
      </w:tr>
      <w:tr w:rsidR="008835EB" w:rsidTr="007E3F2E">
        <w:trPr>
          <w:trHeight w:val="255"/>
        </w:trPr>
        <w:tc>
          <w:tcPr>
            <w:tcW w:w="2740"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71"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6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6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69"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c>
          <w:tcPr>
            <w:tcW w:w="1269" w:type="dxa"/>
            <w:tcBorders>
              <w:top w:val="nil"/>
              <w:left w:val="nil"/>
              <w:bottom w:val="nil"/>
              <w:right w:val="nil"/>
            </w:tcBorders>
            <w:shd w:val="clear" w:color="auto" w:fill="auto"/>
            <w:noWrap/>
            <w:vAlign w:val="bottom"/>
            <w:hideMark/>
          </w:tcPr>
          <w:p w:rsidR="008835EB" w:rsidRDefault="008835EB" w:rsidP="007E3F2E">
            <w:pPr>
              <w:rPr>
                <w:rFonts w:ascii="Arial" w:hAnsi="Arial" w:cs="Arial"/>
                <w:sz w:val="20"/>
              </w:rPr>
            </w:pPr>
          </w:p>
        </w:tc>
      </w:tr>
      <w:tr w:rsidR="008835EB" w:rsidTr="007E3F2E">
        <w:trPr>
          <w:trHeight w:val="255"/>
        </w:trPr>
        <w:tc>
          <w:tcPr>
            <w:tcW w:w="9087" w:type="dxa"/>
            <w:gridSpan w:val="6"/>
            <w:tcBorders>
              <w:top w:val="nil"/>
              <w:left w:val="nil"/>
              <w:bottom w:val="single" w:sz="4" w:space="0" w:color="auto"/>
              <w:right w:val="nil"/>
            </w:tcBorders>
            <w:shd w:val="clear" w:color="FFFFFF" w:fill="FFFFFF"/>
            <w:noWrap/>
            <w:vAlign w:val="bottom"/>
            <w:hideMark/>
          </w:tcPr>
          <w:p w:rsidR="008835EB" w:rsidRDefault="008835EB" w:rsidP="007E3F2E">
            <w:pPr>
              <w:rPr>
                <w:rFonts w:cs="Calibri"/>
                <w:b/>
                <w:bCs/>
                <w:szCs w:val="18"/>
              </w:rPr>
            </w:pPr>
            <w:r>
              <w:rPr>
                <w:rFonts w:cs="Calibri"/>
                <w:b/>
                <w:bCs/>
                <w:szCs w:val="18"/>
              </w:rPr>
              <w:t>Ageing of financial assets that were past due but not impaired in 2016</w:t>
            </w:r>
          </w:p>
        </w:tc>
      </w:tr>
      <w:tr w:rsidR="008835EB" w:rsidTr="007E3F2E">
        <w:trPr>
          <w:trHeight w:val="255"/>
        </w:trPr>
        <w:tc>
          <w:tcPr>
            <w:tcW w:w="274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71"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 xml:space="preserve">0 to 30 </w:t>
            </w:r>
          </w:p>
        </w:tc>
        <w:tc>
          <w:tcPr>
            <w:tcW w:w="1269"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31 to 60</w:t>
            </w:r>
          </w:p>
        </w:tc>
        <w:tc>
          <w:tcPr>
            <w:tcW w:w="1269"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61 to 90</w:t>
            </w:r>
          </w:p>
        </w:tc>
        <w:tc>
          <w:tcPr>
            <w:tcW w:w="1269"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90+</w:t>
            </w:r>
          </w:p>
        </w:tc>
        <w:tc>
          <w:tcPr>
            <w:tcW w:w="1269"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 </w:t>
            </w:r>
          </w:p>
        </w:tc>
      </w:tr>
      <w:tr w:rsidR="008835EB" w:rsidTr="007E3F2E">
        <w:trPr>
          <w:trHeight w:val="255"/>
        </w:trPr>
        <w:tc>
          <w:tcPr>
            <w:tcW w:w="274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71"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days</w:t>
            </w:r>
          </w:p>
        </w:tc>
        <w:tc>
          <w:tcPr>
            <w:tcW w:w="1269"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days</w:t>
            </w:r>
          </w:p>
        </w:tc>
        <w:tc>
          <w:tcPr>
            <w:tcW w:w="1269"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days</w:t>
            </w:r>
          </w:p>
        </w:tc>
        <w:tc>
          <w:tcPr>
            <w:tcW w:w="1269"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days</w:t>
            </w:r>
          </w:p>
        </w:tc>
        <w:tc>
          <w:tcPr>
            <w:tcW w:w="1269" w:type="dxa"/>
            <w:tcBorders>
              <w:top w:val="nil"/>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Total</w:t>
            </w:r>
          </w:p>
        </w:tc>
      </w:tr>
      <w:tr w:rsidR="008835EB" w:rsidTr="007E3F2E">
        <w:trPr>
          <w:trHeight w:val="255"/>
        </w:trPr>
        <w:tc>
          <w:tcPr>
            <w:tcW w:w="2740" w:type="dxa"/>
            <w:tcBorders>
              <w:top w:val="nil"/>
              <w:left w:val="nil"/>
              <w:bottom w:val="single" w:sz="4" w:space="0" w:color="auto"/>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71"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1269"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1269"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1269"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1269"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r>
      <w:tr w:rsidR="008835EB" w:rsidTr="007E3F2E">
        <w:trPr>
          <w:trHeight w:val="255"/>
        </w:trPr>
        <w:tc>
          <w:tcPr>
            <w:tcW w:w="2740"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Goods and services receivables</w:t>
            </w:r>
          </w:p>
        </w:tc>
        <w:tc>
          <w:tcPr>
            <w:tcW w:w="1271"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341 </w:t>
            </w:r>
          </w:p>
        </w:tc>
        <w:tc>
          <w:tcPr>
            <w:tcW w:w="1269"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1,058 </w:t>
            </w:r>
          </w:p>
        </w:tc>
        <w:tc>
          <w:tcPr>
            <w:tcW w:w="1269"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165 </w:t>
            </w:r>
          </w:p>
        </w:tc>
        <w:tc>
          <w:tcPr>
            <w:tcW w:w="1269"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510 </w:t>
            </w:r>
          </w:p>
        </w:tc>
        <w:tc>
          <w:tcPr>
            <w:tcW w:w="1269"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2,074 </w:t>
            </w:r>
          </w:p>
        </w:tc>
      </w:tr>
      <w:tr w:rsidR="008835EB" w:rsidTr="007E3F2E">
        <w:trPr>
          <w:trHeight w:val="255"/>
        </w:trPr>
        <w:tc>
          <w:tcPr>
            <w:tcW w:w="2740" w:type="dxa"/>
            <w:tcBorders>
              <w:top w:val="single" w:sz="4" w:space="0" w:color="auto"/>
              <w:left w:val="nil"/>
              <w:bottom w:val="single" w:sz="4" w:space="0" w:color="auto"/>
              <w:right w:val="nil"/>
            </w:tcBorders>
            <w:shd w:val="clear" w:color="FFFFFF" w:fill="FFFFFF"/>
            <w:vAlign w:val="bottom"/>
            <w:hideMark/>
          </w:tcPr>
          <w:p w:rsidR="008835EB" w:rsidRDefault="008835EB" w:rsidP="007E3F2E">
            <w:pPr>
              <w:rPr>
                <w:rFonts w:cs="Calibri"/>
                <w:b/>
                <w:bCs/>
                <w:szCs w:val="18"/>
              </w:rPr>
            </w:pPr>
            <w:r>
              <w:rPr>
                <w:rFonts w:cs="Calibri"/>
                <w:b/>
                <w:bCs/>
                <w:szCs w:val="18"/>
              </w:rPr>
              <w:t>Total</w:t>
            </w:r>
          </w:p>
        </w:tc>
        <w:tc>
          <w:tcPr>
            <w:tcW w:w="1271"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341</w:t>
            </w:r>
          </w:p>
        </w:tc>
        <w:tc>
          <w:tcPr>
            <w:tcW w:w="1269"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1,058</w:t>
            </w:r>
          </w:p>
        </w:tc>
        <w:tc>
          <w:tcPr>
            <w:tcW w:w="1269"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165</w:t>
            </w:r>
          </w:p>
        </w:tc>
        <w:tc>
          <w:tcPr>
            <w:tcW w:w="1269"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510</w:t>
            </w:r>
          </w:p>
        </w:tc>
        <w:tc>
          <w:tcPr>
            <w:tcW w:w="1269"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2,074</w:t>
            </w:r>
          </w:p>
        </w:tc>
      </w:tr>
      <w:tr w:rsidR="008835EB" w:rsidTr="007E3F2E">
        <w:trPr>
          <w:trHeight w:val="255"/>
        </w:trPr>
        <w:tc>
          <w:tcPr>
            <w:tcW w:w="274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71"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6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6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6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6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9087" w:type="dxa"/>
            <w:gridSpan w:val="6"/>
            <w:tcBorders>
              <w:top w:val="nil"/>
              <w:left w:val="nil"/>
              <w:bottom w:val="single" w:sz="4" w:space="0" w:color="auto"/>
              <w:right w:val="nil"/>
            </w:tcBorders>
            <w:shd w:val="clear" w:color="FFFFFF" w:fill="FFFFFF"/>
            <w:noWrap/>
            <w:vAlign w:val="bottom"/>
            <w:hideMark/>
          </w:tcPr>
          <w:p w:rsidR="008835EB" w:rsidRDefault="008835EB" w:rsidP="007E3F2E">
            <w:pPr>
              <w:rPr>
                <w:rFonts w:cs="Calibri"/>
                <w:szCs w:val="18"/>
              </w:rPr>
            </w:pPr>
            <w:r>
              <w:rPr>
                <w:rFonts w:cs="Calibri"/>
                <w:szCs w:val="18"/>
              </w:rPr>
              <w:t>Ageing of financial assets that were past due but not impaired for 2015</w:t>
            </w:r>
          </w:p>
        </w:tc>
      </w:tr>
      <w:tr w:rsidR="008835EB" w:rsidTr="007E3F2E">
        <w:trPr>
          <w:trHeight w:val="255"/>
        </w:trPr>
        <w:tc>
          <w:tcPr>
            <w:tcW w:w="274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71"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 xml:space="preserve">0 to 30 </w:t>
            </w:r>
          </w:p>
        </w:tc>
        <w:tc>
          <w:tcPr>
            <w:tcW w:w="1269"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31 to 60</w:t>
            </w:r>
          </w:p>
        </w:tc>
        <w:tc>
          <w:tcPr>
            <w:tcW w:w="1269"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61 to 90</w:t>
            </w:r>
          </w:p>
        </w:tc>
        <w:tc>
          <w:tcPr>
            <w:tcW w:w="1269"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90+</w:t>
            </w:r>
          </w:p>
        </w:tc>
        <w:tc>
          <w:tcPr>
            <w:tcW w:w="1269"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 </w:t>
            </w:r>
          </w:p>
        </w:tc>
      </w:tr>
      <w:tr w:rsidR="008835EB" w:rsidTr="007E3F2E">
        <w:trPr>
          <w:trHeight w:val="255"/>
        </w:trPr>
        <w:tc>
          <w:tcPr>
            <w:tcW w:w="274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71"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days</w:t>
            </w:r>
          </w:p>
        </w:tc>
        <w:tc>
          <w:tcPr>
            <w:tcW w:w="1269"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days</w:t>
            </w:r>
          </w:p>
        </w:tc>
        <w:tc>
          <w:tcPr>
            <w:tcW w:w="1269"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days</w:t>
            </w:r>
          </w:p>
        </w:tc>
        <w:tc>
          <w:tcPr>
            <w:tcW w:w="1269"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days</w:t>
            </w:r>
          </w:p>
        </w:tc>
        <w:tc>
          <w:tcPr>
            <w:tcW w:w="1269"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Total</w:t>
            </w:r>
          </w:p>
        </w:tc>
      </w:tr>
      <w:tr w:rsidR="008835EB" w:rsidTr="007E3F2E">
        <w:trPr>
          <w:trHeight w:val="255"/>
        </w:trPr>
        <w:tc>
          <w:tcPr>
            <w:tcW w:w="274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71"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$'000</w:t>
            </w:r>
          </w:p>
        </w:tc>
        <w:tc>
          <w:tcPr>
            <w:tcW w:w="1269"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$'000</w:t>
            </w:r>
          </w:p>
        </w:tc>
        <w:tc>
          <w:tcPr>
            <w:tcW w:w="1269"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$'000</w:t>
            </w:r>
          </w:p>
        </w:tc>
        <w:tc>
          <w:tcPr>
            <w:tcW w:w="1269"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$'000</w:t>
            </w:r>
          </w:p>
        </w:tc>
        <w:tc>
          <w:tcPr>
            <w:tcW w:w="1269" w:type="dxa"/>
            <w:tcBorders>
              <w:top w:val="nil"/>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2740" w:type="dxa"/>
            <w:tcBorders>
              <w:top w:val="single" w:sz="4" w:space="0" w:color="auto"/>
              <w:left w:val="nil"/>
              <w:bottom w:val="single" w:sz="4" w:space="0" w:color="auto"/>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Goods and services receivables</w:t>
            </w:r>
          </w:p>
        </w:tc>
        <w:tc>
          <w:tcPr>
            <w:tcW w:w="1271"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20 </w:t>
            </w:r>
          </w:p>
        </w:tc>
        <w:tc>
          <w:tcPr>
            <w:tcW w:w="1269"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60 </w:t>
            </w:r>
          </w:p>
        </w:tc>
        <w:tc>
          <w:tcPr>
            <w:tcW w:w="1269"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28 </w:t>
            </w:r>
          </w:p>
        </w:tc>
        <w:tc>
          <w:tcPr>
            <w:tcW w:w="1269"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147 </w:t>
            </w:r>
          </w:p>
        </w:tc>
        <w:tc>
          <w:tcPr>
            <w:tcW w:w="1269"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255 </w:t>
            </w:r>
          </w:p>
        </w:tc>
      </w:tr>
      <w:tr w:rsidR="008835EB" w:rsidTr="007E3F2E">
        <w:trPr>
          <w:trHeight w:val="255"/>
        </w:trPr>
        <w:tc>
          <w:tcPr>
            <w:tcW w:w="2740" w:type="dxa"/>
            <w:tcBorders>
              <w:top w:val="nil"/>
              <w:left w:val="nil"/>
              <w:bottom w:val="single" w:sz="4" w:space="0" w:color="auto"/>
              <w:right w:val="nil"/>
            </w:tcBorders>
            <w:shd w:val="clear" w:color="FFFFFF" w:fill="FFFFFF"/>
            <w:vAlign w:val="bottom"/>
            <w:hideMark/>
          </w:tcPr>
          <w:p w:rsidR="008835EB" w:rsidRDefault="008835EB" w:rsidP="007E3F2E">
            <w:pPr>
              <w:rPr>
                <w:rFonts w:cs="Calibri"/>
                <w:b/>
                <w:bCs/>
                <w:szCs w:val="18"/>
              </w:rPr>
            </w:pPr>
            <w:r>
              <w:rPr>
                <w:rFonts w:cs="Calibri"/>
                <w:b/>
                <w:bCs/>
                <w:szCs w:val="18"/>
              </w:rPr>
              <w:t>Total</w:t>
            </w:r>
          </w:p>
        </w:tc>
        <w:tc>
          <w:tcPr>
            <w:tcW w:w="1271" w:type="dxa"/>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20</w:t>
            </w:r>
          </w:p>
        </w:tc>
        <w:tc>
          <w:tcPr>
            <w:tcW w:w="1269" w:type="dxa"/>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60</w:t>
            </w:r>
          </w:p>
        </w:tc>
        <w:tc>
          <w:tcPr>
            <w:tcW w:w="1269" w:type="dxa"/>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28</w:t>
            </w:r>
          </w:p>
        </w:tc>
        <w:tc>
          <w:tcPr>
            <w:tcW w:w="1269" w:type="dxa"/>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147</w:t>
            </w:r>
          </w:p>
        </w:tc>
        <w:tc>
          <w:tcPr>
            <w:tcW w:w="1269" w:type="dxa"/>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255</w:t>
            </w:r>
          </w:p>
        </w:tc>
      </w:tr>
    </w:tbl>
    <w:p w:rsidR="008835EB" w:rsidRDefault="008835EB" w:rsidP="008835EB">
      <w:pPr>
        <w:spacing w:line="240" w:lineRule="auto"/>
        <w:rPr>
          <w:rFonts w:asciiTheme="minorHAnsi" w:hAnsiTheme="minorHAnsi" w:cstheme="minorHAnsi"/>
          <w:szCs w:val="18"/>
          <w:lang w:eastAsia="en-AU"/>
        </w:rPr>
      </w:pPr>
      <w:bookmarkStart w:id="420" w:name="RANGE!D7:J39"/>
      <w:bookmarkStart w:id="421" w:name="RANGE!D7:I39"/>
      <w:bookmarkStart w:id="422" w:name="RANGE!D7:I41"/>
      <w:bookmarkStart w:id="423" w:name="RANGE!D7:I46"/>
      <w:bookmarkStart w:id="424" w:name="RANGE!D7:I45"/>
      <w:bookmarkStart w:id="425" w:name="RANGE!D7:I44"/>
      <w:bookmarkStart w:id="426" w:name="RANGE!D7:I42"/>
      <w:bookmarkStart w:id="427" w:name="RANGE!D6:I42"/>
      <w:bookmarkStart w:id="428" w:name="RANGE!D6:I47"/>
      <w:bookmarkStart w:id="429" w:name="RANGE!D21:H37"/>
      <w:bookmarkStart w:id="430" w:name="RANGE!D22:H38"/>
      <w:bookmarkStart w:id="431" w:name="RANGE!D40:H88"/>
      <w:bookmarkStart w:id="432" w:name="RANGE!D41:H89"/>
      <w:bookmarkStart w:id="433" w:name="RANGE!D6:G30"/>
      <w:bookmarkStart w:id="434" w:name="RANGE!D6:D31"/>
      <w:bookmarkStart w:id="435" w:name="RANGE!D6:G31"/>
      <w:bookmarkStart w:id="436" w:name="RANGE!D6:F17"/>
      <w:bookmarkStart w:id="437" w:name="RANGE!D6:I46"/>
      <w:bookmarkStart w:id="438" w:name="RANGE!D6:I44"/>
      <w:bookmarkStart w:id="439" w:name="RANGE!D6:D45"/>
      <w:bookmarkStart w:id="440" w:name="RANGE!D6:I45"/>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8835EB" w:rsidRDefault="008835EB" w:rsidP="008835EB">
      <w:bookmarkStart w:id="441" w:name="RANGE!D7:D21"/>
      <w:r>
        <w:br w:type="page"/>
      </w:r>
    </w:p>
    <w:p w:rsidR="008835EB" w:rsidRDefault="008835EB" w:rsidP="008835EB">
      <w:pPr>
        <w:rPr>
          <w:rFonts w:cs="Calibri"/>
          <w:b/>
          <w:bCs/>
          <w:sz w:val="20"/>
          <w:u w:val="single"/>
        </w:rPr>
      </w:pPr>
      <w:r w:rsidRPr="008463C2">
        <w:rPr>
          <w:rFonts w:cs="Calibri"/>
          <w:b/>
          <w:bCs/>
          <w:sz w:val="20"/>
          <w:u w:val="single"/>
        </w:rPr>
        <w:lastRenderedPageBreak/>
        <w:t xml:space="preserve">Note </w:t>
      </w:r>
      <w:proofErr w:type="spellStart"/>
      <w:r w:rsidRPr="008463C2">
        <w:rPr>
          <w:rFonts w:cs="Calibri"/>
          <w:b/>
          <w:bCs/>
          <w:sz w:val="20"/>
          <w:u w:val="single"/>
        </w:rPr>
        <w:t>7.2E</w:t>
      </w:r>
      <w:proofErr w:type="spellEnd"/>
      <w:r w:rsidRPr="008463C2">
        <w:rPr>
          <w:rFonts w:cs="Calibri"/>
          <w:b/>
          <w:bCs/>
          <w:sz w:val="20"/>
          <w:u w:val="single"/>
        </w:rPr>
        <w:t>: Liquidity Risk</w:t>
      </w:r>
    </w:p>
    <w:p w:rsidR="008835EB" w:rsidRDefault="008835EB" w:rsidP="008835EB">
      <w:pPr>
        <w:spacing w:before="120" w:after="240"/>
      </w:pPr>
      <w:r>
        <w:rPr>
          <w:rFonts w:cs="Calibri"/>
          <w:szCs w:val="18"/>
        </w:rPr>
        <w:t>The Department’s financial liabilities were trade creditors and accrued expenses. The exposure to liquidity risk was based on the notion that the Department will encounter difficulty in meeting its obligations associated with financial liabilities. This was highly unlikely as the Department is appropriated funding from the Australian Government. The Department manages its budgeted funds to ensure it has adequate funds to meet payments as they fall due. In addition, the Department has policies in place to ensure timely payments are made when due and has no past experience of default.</w:t>
      </w:r>
    </w:p>
    <w:tbl>
      <w:tblPr>
        <w:tblW w:w="9087" w:type="dxa"/>
        <w:tblInd w:w="80" w:type="dxa"/>
        <w:tblLayout w:type="fixed"/>
        <w:tblLook w:val="04A0" w:firstRow="1" w:lastRow="0" w:firstColumn="1" w:lastColumn="0" w:noHBand="0" w:noVBand="1"/>
      </w:tblPr>
      <w:tblGrid>
        <w:gridCol w:w="2247"/>
        <w:gridCol w:w="1140"/>
        <w:gridCol w:w="1140"/>
        <w:gridCol w:w="1140"/>
        <w:gridCol w:w="1140"/>
        <w:gridCol w:w="1140"/>
        <w:gridCol w:w="1140"/>
      </w:tblGrid>
      <w:tr w:rsidR="008835EB" w:rsidTr="007E3F2E">
        <w:trPr>
          <w:trHeight w:val="255"/>
        </w:trPr>
        <w:tc>
          <w:tcPr>
            <w:tcW w:w="4527" w:type="dxa"/>
            <w:gridSpan w:val="3"/>
            <w:tcBorders>
              <w:top w:val="nil"/>
              <w:left w:val="nil"/>
              <w:bottom w:val="nil"/>
              <w:right w:val="nil"/>
            </w:tcBorders>
            <w:shd w:val="clear" w:color="FFFFFF" w:fill="FFFFFF"/>
            <w:noWrap/>
            <w:vAlign w:val="bottom"/>
            <w:hideMark/>
          </w:tcPr>
          <w:p w:rsidR="008835EB" w:rsidRDefault="008835EB" w:rsidP="007E3F2E">
            <w:pPr>
              <w:rPr>
                <w:rFonts w:cs="Calibri"/>
                <w:b/>
                <w:bCs/>
                <w:szCs w:val="18"/>
              </w:rPr>
            </w:pPr>
            <w:r>
              <w:rPr>
                <w:rFonts w:cs="Calibri"/>
                <w:b/>
                <w:bCs/>
                <w:szCs w:val="18"/>
              </w:rPr>
              <w:t>Maturities for non-derivative financial liabilities in 2016</w:t>
            </w:r>
          </w:p>
        </w:tc>
        <w:tc>
          <w:tcPr>
            <w:tcW w:w="114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14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14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14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480"/>
        </w:trPr>
        <w:tc>
          <w:tcPr>
            <w:tcW w:w="2247" w:type="dxa"/>
            <w:tcBorders>
              <w:top w:val="single" w:sz="4" w:space="0" w:color="auto"/>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140" w:type="dxa"/>
            <w:tcBorders>
              <w:top w:val="single" w:sz="4" w:space="0" w:color="auto"/>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On demand</w:t>
            </w:r>
          </w:p>
        </w:tc>
        <w:tc>
          <w:tcPr>
            <w:tcW w:w="1140" w:type="dxa"/>
            <w:tcBorders>
              <w:top w:val="single" w:sz="4" w:space="0" w:color="auto"/>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Within one year</w:t>
            </w:r>
          </w:p>
        </w:tc>
        <w:tc>
          <w:tcPr>
            <w:tcW w:w="1140" w:type="dxa"/>
            <w:tcBorders>
              <w:top w:val="single" w:sz="4" w:space="0" w:color="auto"/>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Between one to two years</w:t>
            </w:r>
          </w:p>
        </w:tc>
        <w:tc>
          <w:tcPr>
            <w:tcW w:w="1140" w:type="dxa"/>
            <w:tcBorders>
              <w:top w:val="single" w:sz="4" w:space="0" w:color="auto"/>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Between two and five years</w:t>
            </w:r>
          </w:p>
        </w:tc>
        <w:tc>
          <w:tcPr>
            <w:tcW w:w="1140" w:type="dxa"/>
            <w:tcBorders>
              <w:top w:val="single" w:sz="4" w:space="0" w:color="auto"/>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More than five years</w:t>
            </w:r>
          </w:p>
        </w:tc>
        <w:tc>
          <w:tcPr>
            <w:tcW w:w="1140" w:type="dxa"/>
            <w:tcBorders>
              <w:top w:val="single" w:sz="4" w:space="0" w:color="auto"/>
              <w:left w:val="nil"/>
              <w:bottom w:val="nil"/>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Total</w:t>
            </w:r>
          </w:p>
        </w:tc>
      </w:tr>
      <w:tr w:rsidR="008835EB" w:rsidTr="007E3F2E">
        <w:trPr>
          <w:trHeight w:val="255"/>
        </w:trPr>
        <w:tc>
          <w:tcPr>
            <w:tcW w:w="2247" w:type="dxa"/>
            <w:tcBorders>
              <w:top w:val="nil"/>
              <w:left w:val="nil"/>
              <w:bottom w:val="single" w:sz="4" w:space="0" w:color="auto"/>
              <w:right w:val="nil"/>
            </w:tcBorders>
            <w:shd w:val="clear" w:color="FFFFFF" w:fill="FFFFFF"/>
            <w:noWrap/>
            <w:vAlign w:val="bottom"/>
            <w:hideMark/>
          </w:tcPr>
          <w:p w:rsidR="008835EB" w:rsidRDefault="008835EB" w:rsidP="007E3F2E">
            <w:pPr>
              <w:rPr>
                <w:rFonts w:ascii="Arial" w:hAnsi="Arial" w:cs="Arial"/>
                <w:b/>
                <w:bCs/>
                <w:szCs w:val="18"/>
              </w:rPr>
            </w:pPr>
            <w:r>
              <w:rPr>
                <w:rFonts w:ascii="Arial" w:hAnsi="Arial" w:cs="Arial"/>
                <w:b/>
                <w:bCs/>
                <w:szCs w:val="18"/>
              </w:rPr>
              <w:t> </w:t>
            </w:r>
          </w:p>
        </w:tc>
        <w:tc>
          <w:tcPr>
            <w:tcW w:w="1140"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1140"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1140"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1140"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1140"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1140"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r>
      <w:tr w:rsidR="008835EB" w:rsidTr="007E3F2E">
        <w:trPr>
          <w:trHeight w:val="255"/>
        </w:trPr>
        <w:tc>
          <w:tcPr>
            <w:tcW w:w="2247"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Trade creditors</w:t>
            </w:r>
          </w:p>
        </w:tc>
        <w:tc>
          <w:tcPr>
            <w:tcW w:w="1140"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1140"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17,104 </w:t>
            </w:r>
          </w:p>
        </w:tc>
        <w:tc>
          <w:tcPr>
            <w:tcW w:w="1140"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621 </w:t>
            </w:r>
          </w:p>
        </w:tc>
        <w:tc>
          <w:tcPr>
            <w:tcW w:w="1140"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154 </w:t>
            </w:r>
          </w:p>
        </w:tc>
        <w:tc>
          <w:tcPr>
            <w:tcW w:w="1140"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1140"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17,879 </w:t>
            </w:r>
          </w:p>
        </w:tc>
      </w:tr>
      <w:tr w:rsidR="008835EB" w:rsidTr="007E3F2E">
        <w:trPr>
          <w:trHeight w:val="255"/>
        </w:trPr>
        <w:tc>
          <w:tcPr>
            <w:tcW w:w="2247" w:type="dxa"/>
            <w:tcBorders>
              <w:top w:val="single" w:sz="4" w:space="0" w:color="auto"/>
              <w:left w:val="nil"/>
              <w:bottom w:val="single" w:sz="4" w:space="0" w:color="auto"/>
              <w:right w:val="nil"/>
            </w:tcBorders>
            <w:shd w:val="clear" w:color="FFFFFF" w:fill="FFFFFF"/>
            <w:vAlign w:val="bottom"/>
            <w:hideMark/>
          </w:tcPr>
          <w:p w:rsidR="008835EB" w:rsidRDefault="008835EB" w:rsidP="007E3F2E">
            <w:pPr>
              <w:rPr>
                <w:rFonts w:cs="Calibri"/>
                <w:b/>
                <w:bCs/>
                <w:szCs w:val="18"/>
              </w:rPr>
            </w:pPr>
            <w:r>
              <w:rPr>
                <w:rFonts w:cs="Calibri"/>
                <w:b/>
                <w:bCs/>
                <w:szCs w:val="18"/>
              </w:rPr>
              <w:t>Total</w:t>
            </w:r>
          </w:p>
        </w:tc>
        <w:tc>
          <w:tcPr>
            <w:tcW w:w="114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w:t>
            </w:r>
          </w:p>
        </w:tc>
        <w:tc>
          <w:tcPr>
            <w:tcW w:w="114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17,104</w:t>
            </w:r>
          </w:p>
        </w:tc>
        <w:tc>
          <w:tcPr>
            <w:tcW w:w="114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621</w:t>
            </w:r>
          </w:p>
        </w:tc>
        <w:tc>
          <w:tcPr>
            <w:tcW w:w="114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154</w:t>
            </w:r>
          </w:p>
        </w:tc>
        <w:tc>
          <w:tcPr>
            <w:tcW w:w="114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w:t>
            </w:r>
          </w:p>
        </w:tc>
        <w:tc>
          <w:tcPr>
            <w:tcW w:w="114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17,879</w:t>
            </w:r>
          </w:p>
        </w:tc>
      </w:tr>
      <w:tr w:rsidR="008835EB" w:rsidTr="007E3F2E">
        <w:trPr>
          <w:trHeight w:val="255"/>
        </w:trPr>
        <w:tc>
          <w:tcPr>
            <w:tcW w:w="2247"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14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14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14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14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14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14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255"/>
        </w:trPr>
        <w:tc>
          <w:tcPr>
            <w:tcW w:w="4527" w:type="dxa"/>
            <w:gridSpan w:val="3"/>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Maturities for non-derivative financial liabilities 2015</w:t>
            </w:r>
          </w:p>
        </w:tc>
        <w:tc>
          <w:tcPr>
            <w:tcW w:w="114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14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14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140"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720"/>
        </w:trPr>
        <w:tc>
          <w:tcPr>
            <w:tcW w:w="2247" w:type="dxa"/>
            <w:tcBorders>
              <w:top w:val="single" w:sz="4" w:space="0" w:color="auto"/>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140" w:type="dxa"/>
            <w:tcBorders>
              <w:top w:val="single" w:sz="4" w:space="0" w:color="auto"/>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On demand</w:t>
            </w:r>
          </w:p>
        </w:tc>
        <w:tc>
          <w:tcPr>
            <w:tcW w:w="1140" w:type="dxa"/>
            <w:tcBorders>
              <w:top w:val="single" w:sz="4" w:space="0" w:color="auto"/>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Within one year</w:t>
            </w:r>
          </w:p>
        </w:tc>
        <w:tc>
          <w:tcPr>
            <w:tcW w:w="1140" w:type="dxa"/>
            <w:tcBorders>
              <w:top w:val="single" w:sz="4" w:space="0" w:color="auto"/>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Between one to two years</w:t>
            </w:r>
          </w:p>
        </w:tc>
        <w:tc>
          <w:tcPr>
            <w:tcW w:w="1140" w:type="dxa"/>
            <w:tcBorders>
              <w:top w:val="single" w:sz="4" w:space="0" w:color="auto"/>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Between two and five years</w:t>
            </w:r>
          </w:p>
        </w:tc>
        <w:tc>
          <w:tcPr>
            <w:tcW w:w="1140" w:type="dxa"/>
            <w:tcBorders>
              <w:top w:val="single" w:sz="4" w:space="0" w:color="auto"/>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More than five years</w:t>
            </w:r>
          </w:p>
        </w:tc>
        <w:tc>
          <w:tcPr>
            <w:tcW w:w="1140" w:type="dxa"/>
            <w:tcBorders>
              <w:top w:val="single" w:sz="4" w:space="0" w:color="auto"/>
              <w:left w:val="nil"/>
              <w:bottom w:val="nil"/>
              <w:right w:val="nil"/>
            </w:tcBorders>
            <w:shd w:val="clear" w:color="FFFFFF" w:fill="FFFFFF"/>
            <w:vAlign w:val="bottom"/>
            <w:hideMark/>
          </w:tcPr>
          <w:p w:rsidR="008835EB" w:rsidRDefault="008835EB" w:rsidP="007E3F2E">
            <w:pPr>
              <w:jc w:val="right"/>
              <w:rPr>
                <w:rFonts w:cs="Calibri"/>
                <w:szCs w:val="18"/>
              </w:rPr>
            </w:pPr>
            <w:r>
              <w:rPr>
                <w:rFonts w:cs="Calibri"/>
                <w:szCs w:val="18"/>
              </w:rPr>
              <w:t>Total</w:t>
            </w:r>
          </w:p>
        </w:tc>
      </w:tr>
      <w:tr w:rsidR="008835EB" w:rsidTr="007E3F2E">
        <w:trPr>
          <w:trHeight w:val="255"/>
        </w:trPr>
        <w:tc>
          <w:tcPr>
            <w:tcW w:w="2247" w:type="dxa"/>
            <w:tcBorders>
              <w:top w:val="nil"/>
              <w:left w:val="nil"/>
              <w:bottom w:val="single" w:sz="4" w:space="0" w:color="auto"/>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140"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szCs w:val="18"/>
              </w:rPr>
            </w:pPr>
            <w:r>
              <w:rPr>
                <w:rFonts w:cs="Calibri"/>
                <w:szCs w:val="18"/>
              </w:rPr>
              <w:t>$'000</w:t>
            </w:r>
          </w:p>
        </w:tc>
        <w:tc>
          <w:tcPr>
            <w:tcW w:w="1140"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szCs w:val="18"/>
              </w:rPr>
            </w:pPr>
            <w:r>
              <w:rPr>
                <w:rFonts w:cs="Calibri"/>
                <w:szCs w:val="18"/>
              </w:rPr>
              <w:t>$'000</w:t>
            </w:r>
          </w:p>
        </w:tc>
        <w:tc>
          <w:tcPr>
            <w:tcW w:w="1140"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szCs w:val="18"/>
              </w:rPr>
            </w:pPr>
            <w:r>
              <w:rPr>
                <w:rFonts w:cs="Calibri"/>
                <w:szCs w:val="18"/>
              </w:rPr>
              <w:t>$'000</w:t>
            </w:r>
          </w:p>
        </w:tc>
        <w:tc>
          <w:tcPr>
            <w:tcW w:w="1140"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szCs w:val="18"/>
              </w:rPr>
            </w:pPr>
            <w:r>
              <w:rPr>
                <w:rFonts w:cs="Calibri"/>
                <w:szCs w:val="18"/>
              </w:rPr>
              <w:t>$'000</w:t>
            </w:r>
          </w:p>
        </w:tc>
        <w:tc>
          <w:tcPr>
            <w:tcW w:w="1140"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szCs w:val="18"/>
              </w:rPr>
            </w:pPr>
            <w:r>
              <w:rPr>
                <w:rFonts w:cs="Calibri"/>
                <w:szCs w:val="18"/>
              </w:rPr>
              <w:t>$'000</w:t>
            </w:r>
          </w:p>
        </w:tc>
        <w:tc>
          <w:tcPr>
            <w:tcW w:w="1140" w:type="dxa"/>
            <w:tcBorders>
              <w:top w:val="nil"/>
              <w:left w:val="nil"/>
              <w:bottom w:val="single" w:sz="4" w:space="0" w:color="auto"/>
              <w:right w:val="nil"/>
            </w:tcBorders>
            <w:shd w:val="clear" w:color="FFFFFF" w:fill="FFFFFF"/>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2247" w:type="dxa"/>
            <w:tcBorders>
              <w:top w:val="nil"/>
              <w:left w:val="nil"/>
              <w:bottom w:val="nil"/>
              <w:right w:val="nil"/>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Trade creditors</w:t>
            </w:r>
          </w:p>
        </w:tc>
        <w:tc>
          <w:tcPr>
            <w:tcW w:w="114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c>
          <w:tcPr>
            <w:tcW w:w="114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15,652 </w:t>
            </w:r>
          </w:p>
        </w:tc>
        <w:tc>
          <w:tcPr>
            <w:tcW w:w="114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656 </w:t>
            </w:r>
          </w:p>
        </w:tc>
        <w:tc>
          <w:tcPr>
            <w:tcW w:w="114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109 </w:t>
            </w:r>
          </w:p>
        </w:tc>
        <w:tc>
          <w:tcPr>
            <w:tcW w:w="114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303 </w:t>
            </w:r>
          </w:p>
        </w:tc>
        <w:tc>
          <w:tcPr>
            <w:tcW w:w="1140"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16,720 </w:t>
            </w:r>
          </w:p>
        </w:tc>
      </w:tr>
      <w:tr w:rsidR="008835EB" w:rsidTr="007E3F2E">
        <w:trPr>
          <w:trHeight w:val="255"/>
        </w:trPr>
        <w:tc>
          <w:tcPr>
            <w:tcW w:w="2247" w:type="dxa"/>
            <w:tcBorders>
              <w:top w:val="single" w:sz="4" w:space="0" w:color="auto"/>
              <w:left w:val="nil"/>
              <w:bottom w:val="single" w:sz="4" w:space="0" w:color="auto"/>
              <w:right w:val="nil"/>
            </w:tcBorders>
            <w:shd w:val="clear" w:color="FFFFFF" w:fill="FFFFFF"/>
            <w:vAlign w:val="bottom"/>
            <w:hideMark/>
          </w:tcPr>
          <w:p w:rsidR="008835EB" w:rsidRDefault="008835EB" w:rsidP="007E3F2E">
            <w:pPr>
              <w:rPr>
                <w:rFonts w:cs="Calibri"/>
                <w:b/>
                <w:bCs/>
                <w:szCs w:val="18"/>
              </w:rPr>
            </w:pPr>
            <w:r>
              <w:rPr>
                <w:rFonts w:cs="Calibri"/>
                <w:b/>
                <w:bCs/>
                <w:szCs w:val="18"/>
              </w:rPr>
              <w:t>Total</w:t>
            </w:r>
          </w:p>
        </w:tc>
        <w:tc>
          <w:tcPr>
            <w:tcW w:w="114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w:t>
            </w:r>
          </w:p>
        </w:tc>
        <w:tc>
          <w:tcPr>
            <w:tcW w:w="114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15,652</w:t>
            </w:r>
          </w:p>
        </w:tc>
        <w:tc>
          <w:tcPr>
            <w:tcW w:w="114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656</w:t>
            </w:r>
          </w:p>
        </w:tc>
        <w:tc>
          <w:tcPr>
            <w:tcW w:w="114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109</w:t>
            </w:r>
          </w:p>
        </w:tc>
        <w:tc>
          <w:tcPr>
            <w:tcW w:w="114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303</w:t>
            </w:r>
          </w:p>
        </w:tc>
        <w:tc>
          <w:tcPr>
            <w:tcW w:w="1140"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16,720</w:t>
            </w:r>
          </w:p>
        </w:tc>
      </w:tr>
    </w:tbl>
    <w:p w:rsidR="008835EB" w:rsidRDefault="008835EB" w:rsidP="008835EB">
      <w:bookmarkStart w:id="442" w:name="RANGE!D7:J21"/>
      <w:bookmarkEnd w:id="441"/>
      <w:bookmarkEnd w:id="442"/>
    </w:p>
    <w:p w:rsidR="008835EB" w:rsidRPr="008463C2" w:rsidRDefault="008835EB" w:rsidP="008835EB">
      <w:pPr>
        <w:spacing w:before="120"/>
        <w:rPr>
          <w:rFonts w:cs="Calibri"/>
          <w:b/>
          <w:bCs/>
          <w:sz w:val="20"/>
          <w:u w:val="single"/>
        </w:rPr>
      </w:pPr>
      <w:bookmarkStart w:id="443" w:name="RANGE!D7:G9"/>
      <w:bookmarkEnd w:id="443"/>
      <w:r w:rsidRPr="008463C2">
        <w:rPr>
          <w:rFonts w:cs="Calibri"/>
          <w:b/>
          <w:bCs/>
          <w:sz w:val="20"/>
          <w:u w:val="single"/>
        </w:rPr>
        <w:t xml:space="preserve">Note </w:t>
      </w:r>
      <w:proofErr w:type="spellStart"/>
      <w:r w:rsidRPr="008463C2">
        <w:rPr>
          <w:rFonts w:cs="Calibri"/>
          <w:b/>
          <w:bCs/>
          <w:sz w:val="20"/>
          <w:u w:val="single"/>
        </w:rPr>
        <w:t>7.2F</w:t>
      </w:r>
      <w:proofErr w:type="spellEnd"/>
      <w:r w:rsidRPr="008463C2">
        <w:rPr>
          <w:rFonts w:cs="Calibri"/>
          <w:b/>
          <w:bCs/>
          <w:sz w:val="20"/>
          <w:u w:val="single"/>
        </w:rPr>
        <w:t>: Market Risk</w:t>
      </w:r>
    </w:p>
    <w:p w:rsidR="008835EB" w:rsidRDefault="008835EB" w:rsidP="008835EB">
      <w:pPr>
        <w:spacing w:before="120"/>
      </w:pPr>
      <w:r>
        <w:rPr>
          <w:rFonts w:cs="Calibri"/>
          <w:szCs w:val="18"/>
        </w:rPr>
        <w:t>The Department held basic financial instruments that did not expose the Department to market risks.</w:t>
      </w:r>
    </w:p>
    <w:p w:rsidR="008835EB" w:rsidRDefault="008835EB" w:rsidP="008835EB">
      <w:pPr>
        <w:sectPr w:rsidR="008835EB" w:rsidSect="00F74C23">
          <w:pgSz w:w="11906" w:h="16838"/>
          <w:pgMar w:top="1134" w:right="1134" w:bottom="1134" w:left="1134" w:header="958" w:footer="737" w:gutter="0"/>
          <w:cols w:space="720"/>
          <w:docGrid w:linePitch="245"/>
        </w:sectPr>
      </w:pPr>
      <w:r>
        <w:br w:type="page"/>
      </w:r>
    </w:p>
    <w:p w:rsidR="008835EB" w:rsidRDefault="008835EB" w:rsidP="008835EB">
      <w:pPr>
        <w:pStyle w:val="SubHeading"/>
      </w:pPr>
      <w:bookmarkStart w:id="444" w:name="_Toc456689864"/>
      <w:r>
        <w:lastRenderedPageBreak/>
        <w:t>Administered - Financial Instruments</w:t>
      </w:r>
      <w:bookmarkEnd w:id="444"/>
    </w:p>
    <w:tbl>
      <w:tblPr>
        <w:tblW w:w="9087" w:type="dxa"/>
        <w:tblInd w:w="80" w:type="dxa"/>
        <w:tblLayout w:type="fixed"/>
        <w:tblLook w:val="04A0" w:firstRow="1" w:lastRow="0" w:firstColumn="1" w:lastColumn="0" w:noHBand="0" w:noVBand="1"/>
      </w:tblPr>
      <w:tblGrid>
        <w:gridCol w:w="5868"/>
        <w:gridCol w:w="1458"/>
        <w:gridCol w:w="303"/>
        <w:gridCol w:w="1458"/>
      </w:tblGrid>
      <w:tr w:rsidR="008835EB" w:rsidTr="007E3F2E">
        <w:trPr>
          <w:trHeight w:val="255"/>
        </w:trPr>
        <w:tc>
          <w:tcPr>
            <w:tcW w:w="50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bookmarkStart w:id="445" w:name="Note_AFATABLE1" w:colFirst="0" w:colLast="0"/>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2016</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2015</w:t>
            </w:r>
          </w:p>
        </w:tc>
      </w:tr>
      <w:bookmarkEnd w:id="445"/>
      <w:tr w:rsidR="008835EB" w:rsidTr="007E3F2E">
        <w:trPr>
          <w:trHeight w:val="255"/>
        </w:trPr>
        <w:tc>
          <w:tcPr>
            <w:tcW w:w="50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$'000</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5056" w:type="dxa"/>
            <w:tcBorders>
              <w:top w:val="nil"/>
              <w:left w:val="nil"/>
              <w:bottom w:val="nil"/>
              <w:right w:val="nil"/>
            </w:tcBorders>
            <w:shd w:val="clear" w:color="000000" w:fill="D9D9D9"/>
            <w:noWrap/>
            <w:hideMark/>
          </w:tcPr>
          <w:p w:rsidR="008835EB" w:rsidRDefault="008835EB" w:rsidP="007E3F2E">
            <w:pPr>
              <w:pStyle w:val="NotesHeading-Level1"/>
            </w:pPr>
            <w:r>
              <w:t xml:space="preserve">Note </w:t>
            </w:r>
            <w:proofErr w:type="spellStart"/>
            <w:r>
              <w:t>7.3A</w:t>
            </w:r>
            <w:proofErr w:type="spellEnd"/>
            <w:r>
              <w:t>: Categories of Financial Instruments</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pStyle w:val="NotesHeading-Level1"/>
              <w:rPr>
                <w:rFonts w:ascii="Arial" w:hAnsi="Arial" w:cs="Arial"/>
                <w:sz w:val="16"/>
                <w:szCs w:val="16"/>
              </w:rPr>
            </w:pP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pStyle w:val="NotesHeading-Level1"/>
              <w:rPr>
                <w:rFonts w:ascii="Arial" w:hAnsi="Arial" w:cs="Arial"/>
                <w:sz w:val="16"/>
                <w:szCs w:val="16"/>
              </w:rPr>
            </w:pP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pStyle w:val="NotesHeading-Level1"/>
              <w:rPr>
                <w:rFonts w:ascii="Arial" w:hAnsi="Arial" w:cs="Arial"/>
                <w:sz w:val="16"/>
                <w:szCs w:val="16"/>
              </w:rPr>
            </w:pPr>
          </w:p>
        </w:tc>
      </w:tr>
      <w:tr w:rsidR="008835EB" w:rsidTr="007E3F2E">
        <w:trPr>
          <w:trHeight w:val="255"/>
        </w:trPr>
        <w:tc>
          <w:tcPr>
            <w:tcW w:w="50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5056"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Financial Assets</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5056"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Available-for-sale financial assets</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505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Investments</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240,897 </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224,658 </w:t>
            </w:r>
          </w:p>
        </w:tc>
      </w:tr>
      <w:tr w:rsidR="008835EB" w:rsidTr="007E3F2E">
        <w:trPr>
          <w:trHeight w:val="255"/>
        </w:trPr>
        <w:tc>
          <w:tcPr>
            <w:tcW w:w="5056"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Total available-for-sale financial assets</w:t>
            </w:r>
          </w:p>
        </w:tc>
        <w:tc>
          <w:tcPr>
            <w:tcW w:w="1256"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240,897</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224,658</w:t>
            </w:r>
          </w:p>
        </w:tc>
      </w:tr>
      <w:tr w:rsidR="008835EB" w:rsidTr="007E3F2E">
        <w:trPr>
          <w:trHeight w:val="255"/>
        </w:trPr>
        <w:tc>
          <w:tcPr>
            <w:tcW w:w="5056"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c>
          <w:tcPr>
            <w:tcW w:w="1256" w:type="dxa"/>
            <w:tcBorders>
              <w:top w:val="nil"/>
              <w:left w:val="nil"/>
              <w:bottom w:val="nil"/>
              <w:right w:val="nil"/>
            </w:tcBorders>
            <w:shd w:val="clear" w:color="000000" w:fill="D9D9D9"/>
            <w:noWrap/>
            <w:vAlign w:val="bottom"/>
            <w:hideMark/>
          </w:tcPr>
          <w:p w:rsidR="008835EB" w:rsidRDefault="008835EB" w:rsidP="007E3F2E">
            <w:pPr>
              <w:rPr>
                <w:rFonts w:cs="Calibri"/>
                <w:b/>
                <w:bCs/>
                <w:szCs w:val="18"/>
              </w:rPr>
            </w:pPr>
            <w:r>
              <w:rPr>
                <w:rFonts w:cs="Calibri"/>
                <w:b/>
                <w:bCs/>
                <w:szCs w:val="18"/>
              </w:rPr>
              <w:t> </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5056"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Loans and receivables</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505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Cash and cash equivalents</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4 </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104 </w:t>
            </w:r>
          </w:p>
        </w:tc>
      </w:tr>
      <w:tr w:rsidR="008835EB" w:rsidTr="007E3F2E">
        <w:trPr>
          <w:trHeight w:val="255"/>
        </w:trPr>
        <w:tc>
          <w:tcPr>
            <w:tcW w:w="505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Goods and services receivables</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2,193 </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698 </w:t>
            </w:r>
          </w:p>
        </w:tc>
      </w:tr>
      <w:tr w:rsidR="008835EB" w:rsidTr="007E3F2E">
        <w:trPr>
          <w:trHeight w:val="255"/>
        </w:trPr>
        <w:tc>
          <w:tcPr>
            <w:tcW w:w="5056"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Total loans and receivables</w:t>
            </w:r>
          </w:p>
        </w:tc>
        <w:tc>
          <w:tcPr>
            <w:tcW w:w="1256"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2,197</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802</w:t>
            </w:r>
          </w:p>
        </w:tc>
      </w:tr>
      <w:tr w:rsidR="008835EB" w:rsidTr="007E3F2E">
        <w:trPr>
          <w:trHeight w:val="255"/>
        </w:trPr>
        <w:tc>
          <w:tcPr>
            <w:tcW w:w="50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70"/>
        </w:trPr>
        <w:tc>
          <w:tcPr>
            <w:tcW w:w="5056"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Total financial assets</w:t>
            </w:r>
          </w:p>
        </w:tc>
        <w:tc>
          <w:tcPr>
            <w:tcW w:w="1256"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243,094</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225,460</w:t>
            </w:r>
          </w:p>
        </w:tc>
      </w:tr>
      <w:tr w:rsidR="008835EB" w:rsidTr="007E3F2E">
        <w:trPr>
          <w:trHeight w:val="270"/>
        </w:trPr>
        <w:tc>
          <w:tcPr>
            <w:tcW w:w="50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5056"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Financial Liabilities</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5056"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Financial liabilities measured at amortised cost</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5056"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Trade creditors and accruals</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60,980 </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99,476 </w:t>
            </w:r>
          </w:p>
        </w:tc>
      </w:tr>
      <w:tr w:rsidR="008835EB" w:rsidTr="007E3F2E">
        <w:trPr>
          <w:trHeight w:val="255"/>
        </w:trPr>
        <w:tc>
          <w:tcPr>
            <w:tcW w:w="5056"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Total financial liabilities measured at amortised cost</w:t>
            </w:r>
          </w:p>
        </w:tc>
        <w:tc>
          <w:tcPr>
            <w:tcW w:w="1256"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60,980</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99,476</w:t>
            </w:r>
          </w:p>
        </w:tc>
      </w:tr>
      <w:tr w:rsidR="008835EB" w:rsidTr="007E3F2E">
        <w:trPr>
          <w:trHeight w:val="255"/>
        </w:trPr>
        <w:tc>
          <w:tcPr>
            <w:tcW w:w="50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70"/>
        </w:trPr>
        <w:tc>
          <w:tcPr>
            <w:tcW w:w="5056" w:type="dxa"/>
            <w:tcBorders>
              <w:top w:val="single" w:sz="4" w:space="0" w:color="D9D9D9"/>
              <w:left w:val="nil"/>
              <w:bottom w:val="single" w:sz="24" w:space="0" w:color="D8D8D8"/>
              <w:right w:val="nil"/>
            </w:tcBorders>
            <w:shd w:val="clear" w:color="000000" w:fill="D9D9D9"/>
            <w:vAlign w:val="bottom"/>
            <w:hideMark/>
          </w:tcPr>
          <w:p w:rsidR="008835EB" w:rsidRDefault="008835EB" w:rsidP="007E3F2E">
            <w:pPr>
              <w:rPr>
                <w:rFonts w:cs="Calibri"/>
                <w:b/>
                <w:bCs/>
                <w:szCs w:val="18"/>
              </w:rPr>
            </w:pPr>
            <w:r>
              <w:rPr>
                <w:rFonts w:cs="Calibri"/>
                <w:b/>
                <w:bCs/>
                <w:szCs w:val="18"/>
              </w:rPr>
              <w:t>Total financial liabilities</w:t>
            </w:r>
          </w:p>
        </w:tc>
        <w:tc>
          <w:tcPr>
            <w:tcW w:w="1256"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60,980</w:t>
            </w:r>
          </w:p>
        </w:tc>
        <w:tc>
          <w:tcPr>
            <w:tcW w:w="261" w:type="dxa"/>
            <w:tcBorders>
              <w:top w:val="single" w:sz="4" w:space="0" w:color="D9D9D9"/>
              <w:left w:val="nil"/>
              <w:bottom w:val="single" w:sz="24" w:space="0" w:color="D8D8D8"/>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99,476</w:t>
            </w:r>
          </w:p>
        </w:tc>
      </w:tr>
    </w:tbl>
    <w:p w:rsidR="008835EB" w:rsidRDefault="008835EB" w:rsidP="008835EB">
      <w:pPr>
        <w:pStyle w:val="GreyShadeTableBreak"/>
      </w:pPr>
      <w:bookmarkStart w:id="446" w:name="RANGE!D7:G31"/>
      <w:bookmarkEnd w:id="446"/>
    </w:p>
    <w:tbl>
      <w:tblPr>
        <w:tblW w:w="9087" w:type="dxa"/>
        <w:tblInd w:w="80" w:type="dxa"/>
        <w:tblLayout w:type="fixed"/>
        <w:tblLook w:val="04A0" w:firstRow="1" w:lastRow="0" w:firstColumn="1" w:lastColumn="0" w:noHBand="0" w:noVBand="1"/>
      </w:tblPr>
      <w:tblGrid>
        <w:gridCol w:w="5901"/>
        <w:gridCol w:w="1443"/>
        <w:gridCol w:w="300"/>
        <w:gridCol w:w="1443"/>
      </w:tblGrid>
      <w:tr w:rsidR="008835EB" w:rsidTr="007E3F2E">
        <w:trPr>
          <w:trHeight w:val="255"/>
        </w:trPr>
        <w:tc>
          <w:tcPr>
            <w:tcW w:w="5136" w:type="dxa"/>
            <w:tcBorders>
              <w:top w:val="nil"/>
              <w:left w:val="nil"/>
              <w:bottom w:val="nil"/>
              <w:right w:val="nil"/>
            </w:tcBorders>
            <w:shd w:val="clear" w:color="000000" w:fill="D9D9D9"/>
            <w:noWrap/>
            <w:hideMark/>
          </w:tcPr>
          <w:p w:rsidR="008835EB" w:rsidRDefault="008835EB" w:rsidP="007E3F2E">
            <w:pPr>
              <w:rPr>
                <w:rFonts w:cs="Calibri"/>
                <w:b/>
                <w:bCs/>
                <w:szCs w:val="18"/>
                <w:u w:val="single"/>
              </w:rPr>
            </w:pPr>
            <w:bookmarkStart w:id="447" w:name="RANGE!D7:D18"/>
            <w:bookmarkStart w:id="448" w:name="Note_AFBTABLE1" w:colFirst="0" w:colLast="0"/>
            <w:r>
              <w:rPr>
                <w:rFonts w:cs="Calibri"/>
                <w:b/>
                <w:bCs/>
                <w:szCs w:val="18"/>
                <w:u w:val="single"/>
              </w:rPr>
              <w:t xml:space="preserve">Note </w:t>
            </w:r>
            <w:proofErr w:type="spellStart"/>
            <w:r>
              <w:rPr>
                <w:rFonts w:cs="Calibri"/>
                <w:b/>
                <w:bCs/>
                <w:szCs w:val="18"/>
                <w:u w:val="single"/>
              </w:rPr>
              <w:t>7.3B</w:t>
            </w:r>
            <w:proofErr w:type="spellEnd"/>
            <w:r>
              <w:rPr>
                <w:rFonts w:cs="Calibri"/>
                <w:b/>
                <w:bCs/>
                <w:szCs w:val="18"/>
                <w:u w:val="single"/>
              </w:rPr>
              <w:t>: Net Gains or Losses on Financial Assets</w:t>
            </w:r>
            <w:bookmarkEnd w:id="447"/>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bookmarkEnd w:id="448"/>
      <w:tr w:rsidR="008835EB" w:rsidTr="007E3F2E">
        <w:trPr>
          <w:trHeight w:val="255"/>
        </w:trPr>
        <w:tc>
          <w:tcPr>
            <w:tcW w:w="5136"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Available-for-sale financial assets</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5136" w:type="dxa"/>
            <w:tcBorders>
              <w:top w:val="nil"/>
              <w:left w:val="nil"/>
              <w:bottom w:val="single" w:sz="4" w:space="0" w:color="D9D9D9"/>
              <w:right w:val="nil"/>
            </w:tcBorders>
            <w:shd w:val="clear" w:color="000000" w:fill="D9D9D9"/>
            <w:vAlign w:val="bottom"/>
            <w:hideMark/>
          </w:tcPr>
          <w:p w:rsidR="008835EB" w:rsidRDefault="008835EB" w:rsidP="007E3F2E">
            <w:pPr>
              <w:rPr>
                <w:rFonts w:cs="Calibri"/>
                <w:szCs w:val="18"/>
              </w:rPr>
            </w:pPr>
            <w:r>
              <w:rPr>
                <w:rFonts w:cs="Calibri"/>
                <w:szCs w:val="18"/>
              </w:rPr>
              <w:t>Gains recognised in equity</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16,239 </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79,181 </w:t>
            </w:r>
          </w:p>
        </w:tc>
      </w:tr>
      <w:tr w:rsidR="008835EB" w:rsidTr="007E3F2E">
        <w:trPr>
          <w:trHeight w:val="255"/>
        </w:trPr>
        <w:tc>
          <w:tcPr>
            <w:tcW w:w="5136"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Net gains from available-for-sale financial assets</w:t>
            </w:r>
          </w:p>
        </w:tc>
        <w:tc>
          <w:tcPr>
            <w:tcW w:w="1256"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16,239</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79,181</w:t>
            </w:r>
          </w:p>
        </w:tc>
      </w:tr>
      <w:tr w:rsidR="008835EB" w:rsidTr="007E3F2E">
        <w:trPr>
          <w:trHeight w:val="255"/>
        </w:trPr>
        <w:tc>
          <w:tcPr>
            <w:tcW w:w="51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5136"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Loans and receivables</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5136" w:type="dxa"/>
            <w:tcBorders>
              <w:top w:val="nil"/>
              <w:left w:val="nil"/>
              <w:bottom w:val="single" w:sz="4" w:space="0" w:color="D9D9D9"/>
              <w:right w:val="nil"/>
            </w:tcBorders>
            <w:shd w:val="clear" w:color="000000" w:fill="D9D9D9"/>
            <w:vAlign w:val="bottom"/>
            <w:hideMark/>
          </w:tcPr>
          <w:p w:rsidR="008835EB" w:rsidRDefault="008835EB" w:rsidP="007E3F2E">
            <w:pPr>
              <w:rPr>
                <w:rFonts w:cs="Calibri"/>
                <w:szCs w:val="18"/>
              </w:rPr>
            </w:pPr>
            <w:r>
              <w:rPr>
                <w:rFonts w:cs="Calibri"/>
                <w:szCs w:val="18"/>
              </w:rPr>
              <w:t>Interest revenue</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29 </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20 </w:t>
            </w:r>
          </w:p>
        </w:tc>
      </w:tr>
      <w:tr w:rsidR="008835EB" w:rsidTr="007E3F2E">
        <w:trPr>
          <w:trHeight w:val="255"/>
        </w:trPr>
        <w:tc>
          <w:tcPr>
            <w:tcW w:w="5136" w:type="dxa"/>
            <w:tcBorders>
              <w:top w:val="nil"/>
              <w:left w:val="nil"/>
              <w:bottom w:val="single" w:sz="4" w:space="0" w:color="D9D9D9"/>
              <w:right w:val="nil"/>
            </w:tcBorders>
            <w:shd w:val="clear" w:color="000000" w:fill="D9D9D9"/>
            <w:vAlign w:val="bottom"/>
            <w:hideMark/>
          </w:tcPr>
          <w:p w:rsidR="008835EB" w:rsidRDefault="008835EB" w:rsidP="007E3F2E">
            <w:pPr>
              <w:rPr>
                <w:rFonts w:cs="Calibri"/>
                <w:szCs w:val="18"/>
              </w:rPr>
            </w:pPr>
            <w:r>
              <w:rPr>
                <w:rFonts w:cs="Calibri"/>
                <w:szCs w:val="18"/>
              </w:rPr>
              <w:t>Write-down and impairment</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(2,293)</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(155)</w:t>
            </w:r>
          </w:p>
        </w:tc>
      </w:tr>
      <w:tr w:rsidR="008835EB" w:rsidTr="007E3F2E">
        <w:trPr>
          <w:trHeight w:val="255"/>
        </w:trPr>
        <w:tc>
          <w:tcPr>
            <w:tcW w:w="5136"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Net losses from loans and receivables</w:t>
            </w:r>
          </w:p>
        </w:tc>
        <w:tc>
          <w:tcPr>
            <w:tcW w:w="1256"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(2,264)</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(135)</w:t>
            </w:r>
          </w:p>
        </w:tc>
      </w:tr>
      <w:tr w:rsidR="008835EB" w:rsidTr="007E3F2E">
        <w:trPr>
          <w:trHeight w:val="255"/>
        </w:trPr>
        <w:tc>
          <w:tcPr>
            <w:tcW w:w="513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70"/>
        </w:trPr>
        <w:tc>
          <w:tcPr>
            <w:tcW w:w="5136" w:type="dxa"/>
            <w:tcBorders>
              <w:top w:val="single" w:sz="4" w:space="0" w:color="D9D9D9"/>
              <w:left w:val="nil"/>
              <w:bottom w:val="single" w:sz="24" w:space="0" w:color="D8D8D8"/>
              <w:right w:val="nil"/>
            </w:tcBorders>
            <w:shd w:val="clear" w:color="000000" w:fill="D9D9D9"/>
            <w:vAlign w:val="bottom"/>
            <w:hideMark/>
          </w:tcPr>
          <w:p w:rsidR="008835EB" w:rsidRDefault="008835EB" w:rsidP="007E3F2E">
            <w:pPr>
              <w:rPr>
                <w:rFonts w:cs="Calibri"/>
                <w:b/>
                <w:bCs/>
                <w:szCs w:val="18"/>
              </w:rPr>
            </w:pPr>
            <w:r>
              <w:rPr>
                <w:rFonts w:cs="Calibri"/>
                <w:b/>
                <w:bCs/>
                <w:szCs w:val="18"/>
              </w:rPr>
              <w:t>Net gains on financial assets</w:t>
            </w:r>
          </w:p>
        </w:tc>
        <w:tc>
          <w:tcPr>
            <w:tcW w:w="1256"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13,975</w:t>
            </w:r>
          </w:p>
        </w:tc>
        <w:tc>
          <w:tcPr>
            <w:tcW w:w="261" w:type="dxa"/>
            <w:tcBorders>
              <w:top w:val="single" w:sz="4" w:space="0" w:color="D9D9D9"/>
              <w:left w:val="nil"/>
              <w:bottom w:val="single" w:sz="24" w:space="0" w:color="D8D8D8"/>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256" w:type="dxa"/>
            <w:tcBorders>
              <w:top w:val="single" w:sz="4" w:space="0" w:color="auto"/>
              <w:left w:val="nil"/>
              <w:bottom w:val="double" w:sz="6"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79,046</w:t>
            </w:r>
          </w:p>
        </w:tc>
      </w:tr>
    </w:tbl>
    <w:p w:rsidR="008835EB" w:rsidRDefault="008835EB" w:rsidP="008835EB">
      <w:pPr>
        <w:pStyle w:val="GreyShadeTableBreak"/>
      </w:pPr>
      <w:bookmarkStart w:id="449" w:name="RANGE!D7:K27"/>
      <w:bookmarkStart w:id="450" w:name="RANGE!D7:G27"/>
      <w:bookmarkStart w:id="451" w:name="RANGE!D7:L30"/>
      <w:bookmarkStart w:id="452" w:name="RANGE!D7:L31"/>
      <w:bookmarkStart w:id="453" w:name="RANGE!D7:L32"/>
      <w:bookmarkStart w:id="454" w:name="RANGE!D6:L31"/>
      <w:bookmarkStart w:id="455" w:name="RANGE!D6:L30"/>
      <w:bookmarkEnd w:id="449"/>
      <w:bookmarkEnd w:id="450"/>
      <w:bookmarkEnd w:id="451"/>
      <w:bookmarkEnd w:id="452"/>
      <w:bookmarkEnd w:id="453"/>
      <w:bookmarkEnd w:id="454"/>
      <w:bookmarkEnd w:id="455"/>
    </w:p>
    <w:p w:rsidR="008835EB" w:rsidRDefault="008835EB" w:rsidP="008835EB">
      <w:pPr>
        <w:spacing w:line="240" w:lineRule="auto"/>
      </w:pPr>
      <w:r>
        <w:br w:type="page"/>
      </w:r>
    </w:p>
    <w:tbl>
      <w:tblPr>
        <w:tblW w:w="9087" w:type="dxa"/>
        <w:tblInd w:w="80" w:type="dxa"/>
        <w:tblLayout w:type="fixed"/>
        <w:tblLook w:val="04A0" w:firstRow="1" w:lastRow="0" w:firstColumn="1" w:lastColumn="0" w:noHBand="0" w:noVBand="1"/>
      </w:tblPr>
      <w:tblGrid>
        <w:gridCol w:w="3512"/>
        <w:gridCol w:w="158"/>
        <w:gridCol w:w="1083"/>
        <w:gridCol w:w="467"/>
        <w:gridCol w:w="616"/>
        <w:gridCol w:w="471"/>
        <w:gridCol w:w="612"/>
        <w:gridCol w:w="1082"/>
        <w:gridCol w:w="1086"/>
      </w:tblGrid>
      <w:tr w:rsidR="008835EB" w:rsidTr="007E3F2E">
        <w:trPr>
          <w:trHeight w:val="255"/>
        </w:trPr>
        <w:tc>
          <w:tcPr>
            <w:tcW w:w="9087" w:type="dxa"/>
            <w:gridSpan w:val="9"/>
            <w:tcBorders>
              <w:top w:val="nil"/>
              <w:left w:val="nil"/>
              <w:bottom w:val="nil"/>
              <w:right w:val="nil"/>
            </w:tcBorders>
            <w:shd w:val="clear" w:color="000000" w:fill="D9D9D9"/>
            <w:noWrap/>
            <w:hideMark/>
          </w:tcPr>
          <w:p w:rsidR="008835EB" w:rsidRDefault="008835EB" w:rsidP="007E3F2E">
            <w:pPr>
              <w:pStyle w:val="NotesHeading-Level1"/>
            </w:pPr>
            <w:bookmarkStart w:id="456" w:name="Note_AFGTABLE1" w:colFirst="0" w:colLast="0"/>
            <w:r>
              <w:lastRenderedPageBreak/>
              <w:t xml:space="preserve">Note </w:t>
            </w:r>
            <w:proofErr w:type="spellStart"/>
            <w:r>
              <w:t>7.3C</w:t>
            </w:r>
            <w:proofErr w:type="spellEnd"/>
            <w:r>
              <w:t>: Fair value of Financial Instruments</w:t>
            </w:r>
          </w:p>
        </w:tc>
      </w:tr>
      <w:bookmarkEnd w:id="456"/>
      <w:tr w:rsidR="008835EB" w:rsidTr="007E3F2E">
        <w:trPr>
          <w:trHeight w:val="255"/>
        </w:trPr>
        <w:tc>
          <w:tcPr>
            <w:tcW w:w="3514" w:type="dxa"/>
            <w:tcBorders>
              <w:top w:val="nil"/>
              <w:left w:val="nil"/>
              <w:bottom w:val="single" w:sz="4" w:space="0" w:color="auto"/>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709" w:type="dxa"/>
            <w:gridSpan w:val="3"/>
            <w:tcBorders>
              <w:top w:val="nil"/>
              <w:left w:val="nil"/>
              <w:bottom w:val="single" w:sz="4" w:space="0" w:color="auto"/>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87" w:type="dxa"/>
            <w:gridSpan w:val="2"/>
            <w:tcBorders>
              <w:top w:val="nil"/>
              <w:left w:val="nil"/>
              <w:bottom w:val="single" w:sz="4" w:space="0" w:color="auto"/>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690" w:type="dxa"/>
            <w:gridSpan w:val="2"/>
            <w:tcBorders>
              <w:top w:val="nil"/>
              <w:left w:val="nil"/>
              <w:bottom w:val="single" w:sz="4" w:space="0" w:color="auto"/>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87" w:type="dxa"/>
            <w:tcBorders>
              <w:top w:val="nil"/>
              <w:left w:val="nil"/>
              <w:bottom w:val="single" w:sz="4" w:space="0" w:color="auto"/>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3514"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709" w:type="dxa"/>
            <w:gridSpan w:val="3"/>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Carrying amount</w:t>
            </w:r>
          </w:p>
        </w:tc>
        <w:tc>
          <w:tcPr>
            <w:tcW w:w="1087" w:type="dxa"/>
            <w:gridSpan w:val="2"/>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Fair value</w:t>
            </w:r>
          </w:p>
        </w:tc>
        <w:tc>
          <w:tcPr>
            <w:tcW w:w="1690" w:type="dxa"/>
            <w:gridSpan w:val="2"/>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Carrying amount</w:t>
            </w:r>
          </w:p>
        </w:tc>
        <w:tc>
          <w:tcPr>
            <w:tcW w:w="1087"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Fair value</w:t>
            </w:r>
          </w:p>
        </w:tc>
      </w:tr>
      <w:tr w:rsidR="008835EB" w:rsidTr="007E3F2E">
        <w:trPr>
          <w:trHeight w:val="255"/>
        </w:trPr>
        <w:tc>
          <w:tcPr>
            <w:tcW w:w="3514"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709" w:type="dxa"/>
            <w:gridSpan w:val="3"/>
            <w:tcBorders>
              <w:top w:val="single" w:sz="4" w:space="0" w:color="D9D9D9"/>
              <w:left w:val="nil"/>
              <w:bottom w:val="single" w:sz="4" w:space="0" w:color="D9D9D9"/>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2016</w:t>
            </w:r>
          </w:p>
        </w:tc>
        <w:tc>
          <w:tcPr>
            <w:tcW w:w="1087" w:type="dxa"/>
            <w:gridSpan w:val="2"/>
            <w:tcBorders>
              <w:top w:val="single" w:sz="4" w:space="0" w:color="D9D9D9"/>
              <w:left w:val="nil"/>
              <w:bottom w:val="single" w:sz="4" w:space="0" w:color="D9D9D9"/>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2016</w:t>
            </w:r>
          </w:p>
        </w:tc>
        <w:tc>
          <w:tcPr>
            <w:tcW w:w="1690" w:type="dxa"/>
            <w:gridSpan w:val="2"/>
            <w:tcBorders>
              <w:top w:val="single" w:sz="4" w:space="0" w:color="D9D9D9"/>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2015</w:t>
            </w:r>
          </w:p>
        </w:tc>
        <w:tc>
          <w:tcPr>
            <w:tcW w:w="1087" w:type="dxa"/>
            <w:tcBorders>
              <w:top w:val="single" w:sz="4" w:space="0" w:color="D9D9D9"/>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2015</w:t>
            </w:r>
          </w:p>
        </w:tc>
      </w:tr>
      <w:tr w:rsidR="008835EB" w:rsidTr="007E3F2E">
        <w:trPr>
          <w:trHeight w:val="255"/>
        </w:trPr>
        <w:tc>
          <w:tcPr>
            <w:tcW w:w="3514" w:type="dxa"/>
            <w:tcBorders>
              <w:top w:val="nil"/>
              <w:left w:val="nil"/>
              <w:bottom w:val="single" w:sz="4" w:space="0" w:color="auto"/>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709" w:type="dxa"/>
            <w:gridSpan w:val="3"/>
            <w:tcBorders>
              <w:top w:val="nil"/>
              <w:left w:val="nil"/>
              <w:bottom w:val="single" w:sz="4" w:space="0" w:color="auto"/>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$'000</w:t>
            </w:r>
          </w:p>
        </w:tc>
        <w:tc>
          <w:tcPr>
            <w:tcW w:w="1087" w:type="dxa"/>
            <w:gridSpan w:val="2"/>
            <w:tcBorders>
              <w:top w:val="nil"/>
              <w:left w:val="nil"/>
              <w:bottom w:val="single" w:sz="4" w:space="0" w:color="auto"/>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$'000</w:t>
            </w:r>
          </w:p>
        </w:tc>
        <w:tc>
          <w:tcPr>
            <w:tcW w:w="1690" w:type="dxa"/>
            <w:gridSpan w:val="2"/>
            <w:tcBorders>
              <w:top w:val="nil"/>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$'000</w:t>
            </w:r>
          </w:p>
        </w:tc>
        <w:tc>
          <w:tcPr>
            <w:tcW w:w="1087" w:type="dxa"/>
            <w:tcBorders>
              <w:top w:val="nil"/>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3514" w:type="dxa"/>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Financial Assets</w:t>
            </w:r>
          </w:p>
        </w:tc>
        <w:tc>
          <w:tcPr>
            <w:tcW w:w="1709" w:type="dxa"/>
            <w:gridSpan w:val="3"/>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87" w:type="dxa"/>
            <w:gridSpan w:val="2"/>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690" w:type="dxa"/>
            <w:gridSpan w:val="2"/>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87"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3514"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Available-for-sale financial assets</w:t>
            </w:r>
          </w:p>
        </w:tc>
        <w:tc>
          <w:tcPr>
            <w:tcW w:w="1709" w:type="dxa"/>
            <w:gridSpan w:val="3"/>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87" w:type="dxa"/>
            <w:gridSpan w:val="2"/>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690" w:type="dxa"/>
            <w:gridSpan w:val="2"/>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87"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3514" w:type="dxa"/>
            <w:tcBorders>
              <w:top w:val="nil"/>
              <w:left w:val="nil"/>
              <w:bottom w:val="nil"/>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Investments</w:t>
            </w:r>
          </w:p>
        </w:tc>
        <w:tc>
          <w:tcPr>
            <w:tcW w:w="1709" w:type="dxa"/>
            <w:gridSpan w:val="3"/>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240,897 </w:t>
            </w:r>
          </w:p>
        </w:tc>
        <w:tc>
          <w:tcPr>
            <w:tcW w:w="1087" w:type="dxa"/>
            <w:gridSpan w:val="2"/>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240,897 </w:t>
            </w:r>
          </w:p>
        </w:tc>
        <w:tc>
          <w:tcPr>
            <w:tcW w:w="1690" w:type="dxa"/>
            <w:gridSpan w:val="2"/>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224,658 </w:t>
            </w:r>
          </w:p>
        </w:tc>
        <w:tc>
          <w:tcPr>
            <w:tcW w:w="1087"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224,658 </w:t>
            </w:r>
          </w:p>
        </w:tc>
      </w:tr>
      <w:tr w:rsidR="008835EB" w:rsidTr="007E3F2E">
        <w:trPr>
          <w:trHeight w:val="255"/>
        </w:trPr>
        <w:tc>
          <w:tcPr>
            <w:tcW w:w="3514"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Loans and receivables</w:t>
            </w:r>
          </w:p>
        </w:tc>
        <w:tc>
          <w:tcPr>
            <w:tcW w:w="1709" w:type="dxa"/>
            <w:gridSpan w:val="3"/>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87" w:type="dxa"/>
            <w:gridSpan w:val="2"/>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690" w:type="dxa"/>
            <w:gridSpan w:val="2"/>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87"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3514" w:type="dxa"/>
            <w:tcBorders>
              <w:top w:val="nil"/>
              <w:left w:val="nil"/>
              <w:bottom w:val="nil"/>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Cash at bank and on hand</w:t>
            </w:r>
          </w:p>
        </w:tc>
        <w:tc>
          <w:tcPr>
            <w:tcW w:w="1709" w:type="dxa"/>
            <w:gridSpan w:val="3"/>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4 </w:t>
            </w:r>
          </w:p>
        </w:tc>
        <w:tc>
          <w:tcPr>
            <w:tcW w:w="1087" w:type="dxa"/>
            <w:gridSpan w:val="2"/>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4 </w:t>
            </w:r>
          </w:p>
        </w:tc>
        <w:tc>
          <w:tcPr>
            <w:tcW w:w="1690" w:type="dxa"/>
            <w:gridSpan w:val="2"/>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104 </w:t>
            </w:r>
          </w:p>
        </w:tc>
        <w:tc>
          <w:tcPr>
            <w:tcW w:w="1087"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104 </w:t>
            </w:r>
          </w:p>
        </w:tc>
      </w:tr>
      <w:tr w:rsidR="008835EB" w:rsidTr="007E3F2E">
        <w:trPr>
          <w:trHeight w:val="255"/>
        </w:trPr>
        <w:tc>
          <w:tcPr>
            <w:tcW w:w="3514" w:type="dxa"/>
            <w:tcBorders>
              <w:top w:val="nil"/>
              <w:left w:val="nil"/>
              <w:bottom w:val="nil"/>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Receivables for goods and services</w:t>
            </w:r>
          </w:p>
        </w:tc>
        <w:tc>
          <w:tcPr>
            <w:tcW w:w="1709" w:type="dxa"/>
            <w:gridSpan w:val="3"/>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2,193 </w:t>
            </w:r>
          </w:p>
        </w:tc>
        <w:tc>
          <w:tcPr>
            <w:tcW w:w="1087" w:type="dxa"/>
            <w:gridSpan w:val="2"/>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4,335 </w:t>
            </w:r>
          </w:p>
        </w:tc>
        <w:tc>
          <w:tcPr>
            <w:tcW w:w="1690" w:type="dxa"/>
            <w:gridSpan w:val="2"/>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698 </w:t>
            </w:r>
          </w:p>
        </w:tc>
        <w:tc>
          <w:tcPr>
            <w:tcW w:w="1087"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835 </w:t>
            </w:r>
          </w:p>
        </w:tc>
      </w:tr>
      <w:tr w:rsidR="008835EB" w:rsidTr="007E3F2E">
        <w:trPr>
          <w:trHeight w:val="255"/>
        </w:trPr>
        <w:tc>
          <w:tcPr>
            <w:tcW w:w="3514" w:type="dxa"/>
            <w:tcBorders>
              <w:top w:val="single" w:sz="4" w:space="0" w:color="auto"/>
              <w:left w:val="nil"/>
              <w:bottom w:val="single" w:sz="4" w:space="0" w:color="auto"/>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Total financial assets</w:t>
            </w:r>
          </w:p>
        </w:tc>
        <w:tc>
          <w:tcPr>
            <w:tcW w:w="1709" w:type="dxa"/>
            <w:gridSpan w:val="3"/>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243,094</w:t>
            </w:r>
          </w:p>
        </w:tc>
        <w:tc>
          <w:tcPr>
            <w:tcW w:w="1087" w:type="dxa"/>
            <w:gridSpan w:val="2"/>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245,236</w:t>
            </w:r>
          </w:p>
        </w:tc>
        <w:tc>
          <w:tcPr>
            <w:tcW w:w="1690" w:type="dxa"/>
            <w:gridSpan w:val="2"/>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225,460</w:t>
            </w:r>
          </w:p>
        </w:tc>
        <w:tc>
          <w:tcPr>
            <w:tcW w:w="1087"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225,597</w:t>
            </w:r>
          </w:p>
        </w:tc>
      </w:tr>
      <w:tr w:rsidR="008835EB" w:rsidTr="007E3F2E">
        <w:trPr>
          <w:trHeight w:val="255"/>
        </w:trPr>
        <w:tc>
          <w:tcPr>
            <w:tcW w:w="3514"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Financial Liabilities</w:t>
            </w:r>
          </w:p>
        </w:tc>
        <w:tc>
          <w:tcPr>
            <w:tcW w:w="1709" w:type="dxa"/>
            <w:gridSpan w:val="3"/>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b/>
                <w:bCs/>
                <w:sz w:val="16"/>
                <w:szCs w:val="16"/>
              </w:rPr>
            </w:pPr>
            <w:r>
              <w:rPr>
                <w:rFonts w:ascii="Arial" w:hAnsi="Arial" w:cs="Arial"/>
                <w:b/>
                <w:bCs/>
                <w:sz w:val="16"/>
                <w:szCs w:val="16"/>
              </w:rPr>
              <w:t> </w:t>
            </w:r>
          </w:p>
        </w:tc>
        <w:tc>
          <w:tcPr>
            <w:tcW w:w="1087" w:type="dxa"/>
            <w:gridSpan w:val="2"/>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b/>
                <w:bCs/>
                <w:sz w:val="16"/>
                <w:szCs w:val="16"/>
              </w:rPr>
            </w:pPr>
            <w:r>
              <w:rPr>
                <w:rFonts w:ascii="Arial" w:hAnsi="Arial" w:cs="Arial"/>
                <w:b/>
                <w:bCs/>
                <w:sz w:val="16"/>
                <w:szCs w:val="16"/>
              </w:rPr>
              <w:t> </w:t>
            </w:r>
          </w:p>
        </w:tc>
        <w:tc>
          <w:tcPr>
            <w:tcW w:w="1690" w:type="dxa"/>
            <w:gridSpan w:val="2"/>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87"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3514"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Financial liabilities measured at amortised cost</w:t>
            </w:r>
          </w:p>
        </w:tc>
        <w:tc>
          <w:tcPr>
            <w:tcW w:w="1709" w:type="dxa"/>
            <w:gridSpan w:val="3"/>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87" w:type="dxa"/>
            <w:gridSpan w:val="2"/>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690" w:type="dxa"/>
            <w:gridSpan w:val="2"/>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87"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3514" w:type="dxa"/>
            <w:tcBorders>
              <w:top w:val="nil"/>
              <w:left w:val="nil"/>
              <w:bottom w:val="nil"/>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Trade creditors and accruals</w:t>
            </w:r>
          </w:p>
        </w:tc>
        <w:tc>
          <w:tcPr>
            <w:tcW w:w="1709" w:type="dxa"/>
            <w:gridSpan w:val="3"/>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60,980 </w:t>
            </w:r>
          </w:p>
        </w:tc>
        <w:tc>
          <w:tcPr>
            <w:tcW w:w="1087" w:type="dxa"/>
            <w:gridSpan w:val="2"/>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60,980 </w:t>
            </w:r>
          </w:p>
        </w:tc>
        <w:tc>
          <w:tcPr>
            <w:tcW w:w="1690" w:type="dxa"/>
            <w:gridSpan w:val="2"/>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99,476 </w:t>
            </w:r>
          </w:p>
        </w:tc>
        <w:tc>
          <w:tcPr>
            <w:tcW w:w="1087"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99,476 </w:t>
            </w:r>
          </w:p>
        </w:tc>
      </w:tr>
      <w:tr w:rsidR="008835EB" w:rsidTr="007E3F2E">
        <w:trPr>
          <w:trHeight w:val="255"/>
        </w:trPr>
        <w:tc>
          <w:tcPr>
            <w:tcW w:w="3514" w:type="dxa"/>
            <w:tcBorders>
              <w:top w:val="single" w:sz="4" w:space="0" w:color="auto"/>
              <w:left w:val="nil"/>
              <w:bottom w:val="single" w:sz="4" w:space="0" w:color="auto"/>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Total financial liabilities</w:t>
            </w:r>
          </w:p>
        </w:tc>
        <w:tc>
          <w:tcPr>
            <w:tcW w:w="1709" w:type="dxa"/>
            <w:gridSpan w:val="3"/>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60,980</w:t>
            </w:r>
          </w:p>
        </w:tc>
        <w:tc>
          <w:tcPr>
            <w:tcW w:w="1087" w:type="dxa"/>
            <w:gridSpan w:val="2"/>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60,980</w:t>
            </w:r>
          </w:p>
        </w:tc>
        <w:tc>
          <w:tcPr>
            <w:tcW w:w="1690" w:type="dxa"/>
            <w:gridSpan w:val="2"/>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99,476</w:t>
            </w:r>
          </w:p>
        </w:tc>
        <w:tc>
          <w:tcPr>
            <w:tcW w:w="1087"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99,476</w:t>
            </w:r>
          </w:p>
        </w:tc>
      </w:tr>
      <w:tr w:rsidR="008835EB" w:rsidTr="007E3F2E">
        <w:trPr>
          <w:trHeight w:val="255"/>
        </w:trPr>
        <w:tc>
          <w:tcPr>
            <w:tcW w:w="9087" w:type="dxa"/>
            <w:gridSpan w:val="9"/>
            <w:tcBorders>
              <w:top w:val="nil"/>
              <w:left w:val="nil"/>
              <w:bottom w:val="nil"/>
              <w:right w:val="nil"/>
            </w:tcBorders>
            <w:shd w:val="clear" w:color="000000" w:fill="D9D9D9"/>
            <w:noWrap/>
            <w:hideMark/>
          </w:tcPr>
          <w:p w:rsidR="008835EB" w:rsidRDefault="008835EB" w:rsidP="007E3F2E">
            <w:pPr>
              <w:pStyle w:val="NotesHeading-Level1"/>
              <w:spacing w:before="240"/>
              <w:rPr>
                <w:rFonts w:ascii="Arial" w:hAnsi="Arial" w:cs="Arial"/>
                <w:sz w:val="16"/>
                <w:szCs w:val="16"/>
              </w:rPr>
            </w:pPr>
            <w:bookmarkStart w:id="457" w:name="RANGE!D7:H25"/>
            <w:bookmarkStart w:id="458" w:name="RANGE!D7:K25"/>
            <w:bookmarkStart w:id="459" w:name="RANGE!D53:K74"/>
            <w:bookmarkStart w:id="460" w:name="RANGE!D56:L79"/>
            <w:bookmarkStart w:id="461" w:name="RANGE!D57:L80"/>
            <w:bookmarkStart w:id="462" w:name="RANGE!D7:D8"/>
            <w:bookmarkStart w:id="463" w:name="Note_AFJTABLE1" w:colFirst="0" w:colLast="0"/>
            <w:bookmarkEnd w:id="457"/>
            <w:bookmarkEnd w:id="458"/>
            <w:bookmarkEnd w:id="459"/>
            <w:bookmarkEnd w:id="460"/>
            <w:bookmarkEnd w:id="461"/>
            <w:r>
              <w:t xml:space="preserve">Note </w:t>
            </w:r>
            <w:proofErr w:type="spellStart"/>
            <w:r>
              <w:t>7.3D</w:t>
            </w:r>
            <w:proofErr w:type="spellEnd"/>
            <w:r>
              <w:t>: Credit Risk</w:t>
            </w:r>
            <w:bookmarkEnd w:id="462"/>
          </w:p>
        </w:tc>
      </w:tr>
      <w:bookmarkEnd w:id="463"/>
      <w:tr w:rsidR="008835EB" w:rsidTr="007E3F2E">
        <w:trPr>
          <w:trHeight w:val="983"/>
        </w:trPr>
        <w:tc>
          <w:tcPr>
            <w:tcW w:w="9087" w:type="dxa"/>
            <w:gridSpan w:val="9"/>
            <w:tcBorders>
              <w:top w:val="single" w:sz="4" w:space="0" w:color="D9D9D9"/>
              <w:left w:val="nil"/>
              <w:bottom w:val="single" w:sz="4" w:space="0" w:color="D9D9D9"/>
              <w:right w:val="nil"/>
            </w:tcBorders>
            <w:shd w:val="clear" w:color="000000" w:fill="D9D9D9"/>
            <w:vAlign w:val="bottom"/>
            <w:hideMark/>
          </w:tcPr>
          <w:p w:rsidR="008835EB" w:rsidRDefault="008835EB" w:rsidP="007E3F2E">
            <w:pPr>
              <w:spacing w:before="120" w:after="120"/>
            </w:pPr>
            <w:r>
              <w:t>The administered loans and receivables of the Department were not exposed to a high level of credit risk as the financial assets were trade receivables. The Department manages its credit risk by undertaking background and credit checks prior to allowing a debtor relationship. In addition, the Department had policies and procedures that guide employees’ debt recovery techniques that were to be applied.</w:t>
            </w:r>
          </w:p>
          <w:p w:rsidR="008835EB" w:rsidRDefault="008835EB" w:rsidP="007E3F2E">
            <w:pPr>
              <w:spacing w:before="120" w:after="120"/>
            </w:pPr>
            <w:r>
              <w:t xml:space="preserve">The Department assessed the risk of the default on payment and allocated </w:t>
            </w:r>
            <w:r w:rsidRPr="00414398">
              <w:t>$</w:t>
            </w:r>
            <w:r>
              <w:t xml:space="preserve">2.14 million in </w:t>
            </w:r>
            <w:r w:rsidR="00FA455C">
              <w:t>2016</w:t>
            </w:r>
            <w:r>
              <w:t xml:space="preserve"> (</w:t>
            </w:r>
            <w:r w:rsidR="00FA455C">
              <w:t>2015</w:t>
            </w:r>
            <w:r>
              <w:t>: $</w:t>
            </w:r>
            <w:proofErr w:type="spellStart"/>
            <w:r>
              <w:t>0.137m</w:t>
            </w:r>
            <w:proofErr w:type="spellEnd"/>
            <w:r>
              <w:t>) to an impairment allowance for doubtful debts for goods and services receivables.</w:t>
            </w:r>
          </w:p>
          <w:p w:rsidR="008835EB" w:rsidRPr="007872C6" w:rsidRDefault="008835EB" w:rsidP="007E3F2E">
            <w:pPr>
              <w:spacing w:before="120" w:after="120"/>
            </w:pPr>
            <w:r w:rsidRPr="00905B24">
              <w:t xml:space="preserve">The </w:t>
            </w:r>
            <w:r>
              <w:t>Department</w:t>
            </w:r>
            <w:r w:rsidRPr="00905B24">
              <w:t xml:space="preserve"> held no collateral to </w:t>
            </w:r>
            <w:proofErr w:type="gramStart"/>
            <w:r w:rsidRPr="00905B24">
              <w:t>mitigate</w:t>
            </w:r>
            <w:proofErr w:type="gramEnd"/>
            <w:r w:rsidRPr="00905B24">
              <w:t xml:space="preserve"> against credit risk.</w:t>
            </w:r>
          </w:p>
        </w:tc>
      </w:tr>
      <w:tr w:rsidR="008835EB" w:rsidTr="007E3F2E">
        <w:trPr>
          <w:trHeight w:val="769"/>
        </w:trPr>
        <w:tc>
          <w:tcPr>
            <w:tcW w:w="4756" w:type="dxa"/>
            <w:gridSpan w:val="3"/>
            <w:tcBorders>
              <w:top w:val="single" w:sz="4" w:space="0" w:color="auto"/>
              <w:left w:val="nil"/>
              <w:bottom w:val="nil"/>
              <w:right w:val="nil"/>
            </w:tcBorders>
            <w:shd w:val="clear" w:color="000000" w:fill="D9D9D9"/>
            <w:vAlign w:val="center"/>
            <w:hideMark/>
          </w:tcPr>
          <w:p w:rsidR="008835EB" w:rsidRDefault="008835EB" w:rsidP="007E3F2E">
            <w:pPr>
              <w:rPr>
                <w:rFonts w:cs="Calibri"/>
                <w:b/>
                <w:bCs/>
                <w:szCs w:val="18"/>
              </w:rPr>
            </w:pPr>
            <w:bookmarkStart w:id="464" w:name="RANGE!D7:I8"/>
            <w:bookmarkStart w:id="465" w:name="RANGE!D7:K9"/>
            <w:bookmarkStart w:id="466" w:name="RANGE!D7:I9"/>
            <w:bookmarkStart w:id="467" w:name="RANGE!D7:I10"/>
            <w:bookmarkStart w:id="468" w:name="RANGE!D7:I19"/>
            <w:bookmarkStart w:id="469" w:name="RANGE!D7:I21"/>
            <w:bookmarkStart w:id="470" w:name="RANGE!D7:I22"/>
            <w:bookmarkStart w:id="471" w:name="RANGE!D7:I25"/>
            <w:bookmarkStart w:id="472" w:name="RANGE!D7:I26"/>
            <w:bookmarkStart w:id="473" w:name="RANGE!D6:I24"/>
            <w:bookmarkStart w:id="474" w:name="RANGE!D6:I25"/>
            <w:bookmarkStart w:id="475" w:name="RANGE!D6:I27"/>
            <w:bookmarkStart w:id="476" w:name="RANGE!D6:I58"/>
            <w:bookmarkStart w:id="477" w:name="RANGE!D10:D30"/>
            <w:bookmarkStart w:id="478" w:name="Note_AFJTABLE2" w:colFirst="0" w:colLast="0"/>
            <w:bookmarkEnd w:id="464"/>
            <w:bookmarkEnd w:id="465"/>
            <w:bookmarkEnd w:id="466"/>
            <w:bookmarkEnd w:id="467"/>
            <w:bookmarkEnd w:id="468"/>
            <w:bookmarkEnd w:id="469"/>
            <w:bookmarkEnd w:id="470"/>
            <w:bookmarkEnd w:id="471"/>
            <w:bookmarkEnd w:id="472"/>
            <w:bookmarkEnd w:id="473"/>
            <w:bookmarkEnd w:id="474"/>
            <w:bookmarkEnd w:id="475"/>
            <w:bookmarkEnd w:id="476"/>
            <w:r>
              <w:rPr>
                <w:rFonts w:cs="Calibri"/>
                <w:b/>
                <w:bCs/>
                <w:szCs w:val="18"/>
              </w:rPr>
              <w:t>Credit quality of financial instruments not past due or individually determined as impaired</w:t>
            </w:r>
            <w:bookmarkEnd w:id="477"/>
          </w:p>
        </w:tc>
        <w:tc>
          <w:tcPr>
            <w:tcW w:w="1083" w:type="dxa"/>
            <w:gridSpan w:val="2"/>
            <w:tcBorders>
              <w:top w:val="single" w:sz="4" w:space="0" w:color="auto"/>
              <w:left w:val="nil"/>
              <w:bottom w:val="nil"/>
              <w:right w:val="nil"/>
            </w:tcBorders>
            <w:shd w:val="clear" w:color="000000" w:fill="D9D9D9"/>
            <w:hideMark/>
          </w:tcPr>
          <w:p w:rsidR="008835EB" w:rsidRDefault="008835EB" w:rsidP="007E3F2E">
            <w:pPr>
              <w:jc w:val="right"/>
              <w:rPr>
                <w:rFonts w:cs="Calibri"/>
                <w:b/>
                <w:bCs/>
                <w:szCs w:val="18"/>
              </w:rPr>
            </w:pPr>
            <w:r>
              <w:rPr>
                <w:rFonts w:cs="Calibri"/>
                <w:b/>
                <w:bCs/>
                <w:szCs w:val="18"/>
              </w:rPr>
              <w:t>Not past due nor impaired</w:t>
            </w:r>
          </w:p>
        </w:tc>
        <w:tc>
          <w:tcPr>
            <w:tcW w:w="1083" w:type="dxa"/>
            <w:gridSpan w:val="2"/>
            <w:tcBorders>
              <w:top w:val="single" w:sz="4" w:space="0" w:color="auto"/>
              <w:left w:val="nil"/>
              <w:bottom w:val="nil"/>
              <w:right w:val="nil"/>
            </w:tcBorders>
            <w:shd w:val="clear" w:color="000000" w:fill="D9D9D9"/>
            <w:hideMark/>
          </w:tcPr>
          <w:p w:rsidR="008835EB" w:rsidRDefault="008835EB" w:rsidP="007E3F2E">
            <w:pPr>
              <w:jc w:val="right"/>
              <w:rPr>
                <w:rFonts w:cs="Calibri"/>
                <w:szCs w:val="18"/>
              </w:rPr>
            </w:pPr>
            <w:r>
              <w:rPr>
                <w:rFonts w:cs="Calibri"/>
                <w:szCs w:val="18"/>
              </w:rPr>
              <w:t>Not past due nor impaired</w:t>
            </w:r>
          </w:p>
        </w:tc>
        <w:tc>
          <w:tcPr>
            <w:tcW w:w="1083" w:type="dxa"/>
            <w:tcBorders>
              <w:top w:val="single" w:sz="4" w:space="0" w:color="auto"/>
              <w:left w:val="nil"/>
              <w:bottom w:val="nil"/>
              <w:right w:val="nil"/>
            </w:tcBorders>
            <w:shd w:val="clear" w:color="000000" w:fill="D9D9D9"/>
            <w:hideMark/>
          </w:tcPr>
          <w:p w:rsidR="008835EB" w:rsidRDefault="008835EB" w:rsidP="007E3F2E">
            <w:pPr>
              <w:jc w:val="right"/>
              <w:rPr>
                <w:rFonts w:cs="Calibri"/>
                <w:b/>
                <w:bCs/>
                <w:szCs w:val="18"/>
              </w:rPr>
            </w:pPr>
            <w:r>
              <w:rPr>
                <w:rFonts w:cs="Calibri"/>
                <w:b/>
                <w:bCs/>
                <w:szCs w:val="18"/>
              </w:rPr>
              <w:t>Past due or impaired</w:t>
            </w:r>
          </w:p>
        </w:tc>
        <w:tc>
          <w:tcPr>
            <w:tcW w:w="1082" w:type="dxa"/>
            <w:tcBorders>
              <w:top w:val="single" w:sz="4" w:space="0" w:color="auto"/>
              <w:left w:val="nil"/>
              <w:bottom w:val="nil"/>
              <w:right w:val="nil"/>
            </w:tcBorders>
            <w:shd w:val="clear" w:color="000000" w:fill="D9D9D9"/>
            <w:hideMark/>
          </w:tcPr>
          <w:p w:rsidR="008835EB" w:rsidRDefault="008835EB" w:rsidP="007E3F2E">
            <w:pPr>
              <w:jc w:val="right"/>
              <w:rPr>
                <w:rFonts w:cs="Calibri"/>
                <w:szCs w:val="18"/>
              </w:rPr>
            </w:pPr>
            <w:r>
              <w:rPr>
                <w:rFonts w:cs="Calibri"/>
                <w:szCs w:val="18"/>
              </w:rPr>
              <w:t>Past due or impaired</w:t>
            </w:r>
          </w:p>
        </w:tc>
      </w:tr>
      <w:bookmarkEnd w:id="478"/>
      <w:tr w:rsidR="008835EB" w:rsidTr="007E3F2E">
        <w:trPr>
          <w:trHeight w:val="255"/>
        </w:trPr>
        <w:tc>
          <w:tcPr>
            <w:tcW w:w="3672" w:type="dxa"/>
            <w:gridSpan w:val="2"/>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84" w:type="dxa"/>
            <w:tcBorders>
              <w:top w:val="nil"/>
              <w:left w:val="nil"/>
              <w:bottom w:val="nil"/>
              <w:right w:val="nil"/>
            </w:tcBorders>
            <w:shd w:val="clear" w:color="000000" w:fill="D9D9D9"/>
            <w:vAlign w:val="bottom"/>
            <w:hideMark/>
          </w:tcPr>
          <w:p w:rsidR="008835EB" w:rsidRDefault="008835EB" w:rsidP="007E3F2E">
            <w:pPr>
              <w:jc w:val="right"/>
              <w:rPr>
                <w:rFonts w:cs="Calibri"/>
                <w:szCs w:val="18"/>
              </w:rPr>
            </w:pPr>
            <w:r>
              <w:rPr>
                <w:rFonts w:cs="Calibri"/>
                <w:szCs w:val="18"/>
              </w:rPr>
              <w:t> </w:t>
            </w:r>
          </w:p>
        </w:tc>
        <w:tc>
          <w:tcPr>
            <w:tcW w:w="1083" w:type="dxa"/>
            <w:gridSpan w:val="2"/>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2016</w:t>
            </w:r>
          </w:p>
        </w:tc>
        <w:tc>
          <w:tcPr>
            <w:tcW w:w="1083" w:type="dxa"/>
            <w:gridSpan w:val="2"/>
            <w:tcBorders>
              <w:top w:val="single" w:sz="4" w:space="0" w:color="D9D9D9"/>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2015</w:t>
            </w:r>
          </w:p>
        </w:tc>
        <w:tc>
          <w:tcPr>
            <w:tcW w:w="1083" w:type="dxa"/>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2016</w:t>
            </w:r>
          </w:p>
        </w:tc>
        <w:tc>
          <w:tcPr>
            <w:tcW w:w="1082" w:type="dxa"/>
            <w:tcBorders>
              <w:top w:val="single" w:sz="4" w:space="0" w:color="D9D9D9"/>
              <w:left w:val="nil"/>
              <w:bottom w:val="single" w:sz="4" w:space="0" w:color="D9D9D9"/>
              <w:right w:val="nil"/>
            </w:tcBorders>
            <w:shd w:val="clear" w:color="000000" w:fill="D9D9D9"/>
            <w:noWrap/>
            <w:vAlign w:val="bottom"/>
            <w:hideMark/>
          </w:tcPr>
          <w:p w:rsidR="008835EB" w:rsidRDefault="008835EB" w:rsidP="007E3F2E">
            <w:pPr>
              <w:jc w:val="right"/>
              <w:rPr>
                <w:rFonts w:cs="Calibri"/>
                <w:szCs w:val="18"/>
              </w:rPr>
            </w:pPr>
            <w:r>
              <w:rPr>
                <w:rFonts w:cs="Calibri"/>
                <w:szCs w:val="18"/>
              </w:rPr>
              <w:t>2015</w:t>
            </w:r>
          </w:p>
        </w:tc>
      </w:tr>
      <w:tr w:rsidR="008835EB" w:rsidTr="007E3F2E">
        <w:trPr>
          <w:trHeight w:val="255"/>
        </w:trPr>
        <w:tc>
          <w:tcPr>
            <w:tcW w:w="3672" w:type="dxa"/>
            <w:gridSpan w:val="2"/>
            <w:tcBorders>
              <w:top w:val="nil"/>
              <w:left w:val="nil"/>
              <w:bottom w:val="single" w:sz="4" w:space="0" w:color="auto"/>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84" w:type="dxa"/>
            <w:tcBorders>
              <w:top w:val="nil"/>
              <w:left w:val="nil"/>
              <w:bottom w:val="single" w:sz="4" w:space="0" w:color="auto"/>
              <w:right w:val="nil"/>
            </w:tcBorders>
            <w:shd w:val="clear" w:color="000000" w:fill="D9D9D9"/>
            <w:vAlign w:val="bottom"/>
            <w:hideMark/>
          </w:tcPr>
          <w:p w:rsidR="008835EB" w:rsidRDefault="008835EB" w:rsidP="007E3F2E">
            <w:pPr>
              <w:jc w:val="right"/>
              <w:rPr>
                <w:rFonts w:cs="Calibri"/>
                <w:szCs w:val="18"/>
              </w:rPr>
            </w:pPr>
            <w:r>
              <w:rPr>
                <w:rFonts w:cs="Calibri"/>
                <w:szCs w:val="18"/>
              </w:rPr>
              <w:t> </w:t>
            </w:r>
          </w:p>
        </w:tc>
        <w:tc>
          <w:tcPr>
            <w:tcW w:w="1083" w:type="dxa"/>
            <w:gridSpan w:val="2"/>
            <w:tcBorders>
              <w:top w:val="nil"/>
              <w:left w:val="nil"/>
              <w:bottom w:val="single" w:sz="4" w:space="0" w:color="auto"/>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$'000</w:t>
            </w:r>
          </w:p>
        </w:tc>
        <w:tc>
          <w:tcPr>
            <w:tcW w:w="1083" w:type="dxa"/>
            <w:gridSpan w:val="2"/>
            <w:tcBorders>
              <w:top w:val="nil"/>
              <w:left w:val="nil"/>
              <w:bottom w:val="single" w:sz="4" w:space="0" w:color="auto"/>
              <w:right w:val="nil"/>
            </w:tcBorders>
            <w:shd w:val="clear" w:color="000000" w:fill="D9D9D9"/>
            <w:vAlign w:val="bottom"/>
            <w:hideMark/>
          </w:tcPr>
          <w:p w:rsidR="008835EB" w:rsidRDefault="008835EB" w:rsidP="007E3F2E">
            <w:pPr>
              <w:jc w:val="right"/>
              <w:rPr>
                <w:rFonts w:cs="Calibri"/>
                <w:szCs w:val="18"/>
              </w:rPr>
            </w:pPr>
            <w:r>
              <w:rPr>
                <w:rFonts w:cs="Calibri"/>
                <w:szCs w:val="18"/>
              </w:rPr>
              <w:t>$'000</w:t>
            </w:r>
          </w:p>
        </w:tc>
        <w:tc>
          <w:tcPr>
            <w:tcW w:w="1083" w:type="dxa"/>
            <w:tcBorders>
              <w:top w:val="nil"/>
              <w:left w:val="nil"/>
              <w:bottom w:val="single" w:sz="4" w:space="0" w:color="auto"/>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$'000</w:t>
            </w:r>
          </w:p>
        </w:tc>
        <w:tc>
          <w:tcPr>
            <w:tcW w:w="1082" w:type="dxa"/>
            <w:tcBorders>
              <w:top w:val="nil"/>
              <w:left w:val="nil"/>
              <w:bottom w:val="single" w:sz="4" w:space="0" w:color="auto"/>
              <w:right w:val="nil"/>
            </w:tcBorders>
            <w:shd w:val="clear" w:color="000000" w:fill="D9D9D9"/>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3672" w:type="dxa"/>
            <w:gridSpan w:val="2"/>
            <w:tcBorders>
              <w:top w:val="nil"/>
              <w:left w:val="nil"/>
              <w:bottom w:val="single" w:sz="4" w:space="0" w:color="D9D9D9"/>
              <w:right w:val="nil"/>
            </w:tcBorders>
            <w:shd w:val="clear" w:color="000000" w:fill="D9D9D9"/>
            <w:vAlign w:val="bottom"/>
            <w:hideMark/>
          </w:tcPr>
          <w:p w:rsidR="008835EB" w:rsidRDefault="008835EB" w:rsidP="007E3F2E">
            <w:pPr>
              <w:rPr>
                <w:rFonts w:cs="Calibri"/>
                <w:b/>
                <w:bCs/>
                <w:szCs w:val="18"/>
              </w:rPr>
            </w:pPr>
            <w:r>
              <w:rPr>
                <w:rFonts w:cs="Calibri"/>
                <w:b/>
                <w:bCs/>
                <w:szCs w:val="18"/>
              </w:rPr>
              <w:t>Loans and receivables</w:t>
            </w:r>
          </w:p>
        </w:tc>
        <w:tc>
          <w:tcPr>
            <w:tcW w:w="1084" w:type="dxa"/>
            <w:tcBorders>
              <w:top w:val="nil"/>
              <w:left w:val="nil"/>
              <w:bottom w:val="nil"/>
              <w:right w:val="nil"/>
            </w:tcBorders>
            <w:shd w:val="clear" w:color="000000" w:fill="D9D9D9"/>
            <w:vAlign w:val="bottom"/>
            <w:hideMark/>
          </w:tcPr>
          <w:p w:rsidR="008835EB" w:rsidRDefault="008835EB" w:rsidP="007E3F2E">
            <w:pPr>
              <w:jc w:val="right"/>
              <w:rPr>
                <w:rFonts w:cs="Calibri"/>
                <w:szCs w:val="18"/>
              </w:rPr>
            </w:pPr>
            <w:r>
              <w:rPr>
                <w:rFonts w:cs="Calibri"/>
                <w:szCs w:val="18"/>
              </w:rPr>
              <w:t> </w:t>
            </w:r>
          </w:p>
        </w:tc>
        <w:tc>
          <w:tcPr>
            <w:tcW w:w="1083" w:type="dxa"/>
            <w:gridSpan w:val="2"/>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83" w:type="dxa"/>
            <w:gridSpan w:val="2"/>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83"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82"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3672" w:type="dxa"/>
            <w:gridSpan w:val="2"/>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Cash at bank and on hand</w:t>
            </w:r>
          </w:p>
        </w:tc>
        <w:tc>
          <w:tcPr>
            <w:tcW w:w="1084" w:type="dxa"/>
            <w:tcBorders>
              <w:top w:val="nil"/>
              <w:left w:val="nil"/>
              <w:bottom w:val="nil"/>
              <w:right w:val="nil"/>
            </w:tcBorders>
            <w:shd w:val="clear" w:color="000000" w:fill="D9D9D9"/>
            <w:vAlign w:val="bottom"/>
            <w:hideMark/>
          </w:tcPr>
          <w:p w:rsidR="008835EB" w:rsidRDefault="008835EB" w:rsidP="007E3F2E">
            <w:pPr>
              <w:jc w:val="right"/>
              <w:rPr>
                <w:rFonts w:cs="Calibri"/>
                <w:szCs w:val="18"/>
              </w:rPr>
            </w:pPr>
            <w:r>
              <w:rPr>
                <w:rFonts w:cs="Calibri"/>
                <w:szCs w:val="18"/>
              </w:rPr>
              <w:t> </w:t>
            </w:r>
          </w:p>
        </w:tc>
        <w:tc>
          <w:tcPr>
            <w:tcW w:w="1083" w:type="dxa"/>
            <w:gridSpan w:val="2"/>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4 </w:t>
            </w:r>
          </w:p>
        </w:tc>
        <w:tc>
          <w:tcPr>
            <w:tcW w:w="1083" w:type="dxa"/>
            <w:gridSpan w:val="2"/>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104 </w:t>
            </w:r>
          </w:p>
        </w:tc>
        <w:tc>
          <w:tcPr>
            <w:tcW w:w="1083"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 -</w:t>
            </w:r>
          </w:p>
        </w:tc>
        <w:tc>
          <w:tcPr>
            <w:tcW w:w="1082"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 -</w:t>
            </w:r>
          </w:p>
        </w:tc>
      </w:tr>
      <w:tr w:rsidR="008835EB" w:rsidTr="007E3F2E">
        <w:trPr>
          <w:trHeight w:val="255"/>
        </w:trPr>
        <w:tc>
          <w:tcPr>
            <w:tcW w:w="3672" w:type="dxa"/>
            <w:gridSpan w:val="2"/>
            <w:tcBorders>
              <w:top w:val="nil"/>
              <w:left w:val="nil"/>
              <w:bottom w:val="nil"/>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Goods and services receivables</w:t>
            </w:r>
          </w:p>
        </w:tc>
        <w:tc>
          <w:tcPr>
            <w:tcW w:w="1084" w:type="dxa"/>
            <w:tcBorders>
              <w:top w:val="nil"/>
              <w:left w:val="nil"/>
              <w:bottom w:val="nil"/>
              <w:right w:val="nil"/>
            </w:tcBorders>
            <w:shd w:val="clear" w:color="000000" w:fill="D9D9D9"/>
            <w:vAlign w:val="bottom"/>
            <w:hideMark/>
          </w:tcPr>
          <w:p w:rsidR="008835EB" w:rsidRDefault="008835EB" w:rsidP="007E3F2E">
            <w:pPr>
              <w:jc w:val="right"/>
              <w:rPr>
                <w:rFonts w:cs="Calibri"/>
                <w:szCs w:val="18"/>
              </w:rPr>
            </w:pPr>
            <w:r>
              <w:rPr>
                <w:rFonts w:cs="Calibri"/>
                <w:szCs w:val="18"/>
              </w:rPr>
              <w:t> </w:t>
            </w:r>
          </w:p>
        </w:tc>
        <w:tc>
          <w:tcPr>
            <w:tcW w:w="1083" w:type="dxa"/>
            <w:gridSpan w:val="2"/>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1,509 </w:t>
            </w:r>
          </w:p>
        </w:tc>
        <w:tc>
          <w:tcPr>
            <w:tcW w:w="1083" w:type="dxa"/>
            <w:gridSpan w:val="2"/>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215 </w:t>
            </w:r>
          </w:p>
        </w:tc>
        <w:tc>
          <w:tcPr>
            <w:tcW w:w="1083"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2,826 </w:t>
            </w:r>
          </w:p>
        </w:tc>
        <w:tc>
          <w:tcPr>
            <w:tcW w:w="1082"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620 </w:t>
            </w:r>
          </w:p>
        </w:tc>
      </w:tr>
      <w:tr w:rsidR="008835EB" w:rsidTr="007E3F2E">
        <w:trPr>
          <w:trHeight w:val="255"/>
        </w:trPr>
        <w:tc>
          <w:tcPr>
            <w:tcW w:w="3672" w:type="dxa"/>
            <w:gridSpan w:val="2"/>
            <w:tcBorders>
              <w:top w:val="single" w:sz="4" w:space="0" w:color="auto"/>
              <w:left w:val="nil"/>
              <w:bottom w:val="single" w:sz="4" w:space="0" w:color="auto"/>
              <w:right w:val="nil"/>
            </w:tcBorders>
            <w:shd w:val="clear" w:color="000000" w:fill="D9D9D9"/>
            <w:vAlign w:val="bottom"/>
            <w:hideMark/>
          </w:tcPr>
          <w:p w:rsidR="008835EB" w:rsidRDefault="008835EB" w:rsidP="007E3F2E">
            <w:pPr>
              <w:rPr>
                <w:rFonts w:cs="Calibri"/>
                <w:b/>
                <w:bCs/>
                <w:szCs w:val="18"/>
              </w:rPr>
            </w:pPr>
            <w:r>
              <w:rPr>
                <w:rFonts w:cs="Calibri"/>
                <w:b/>
                <w:bCs/>
                <w:szCs w:val="18"/>
              </w:rPr>
              <w:t>Total</w:t>
            </w:r>
          </w:p>
        </w:tc>
        <w:tc>
          <w:tcPr>
            <w:tcW w:w="1084" w:type="dxa"/>
            <w:tcBorders>
              <w:top w:val="single" w:sz="4" w:space="0" w:color="auto"/>
              <w:left w:val="nil"/>
              <w:bottom w:val="single" w:sz="4" w:space="0" w:color="auto"/>
              <w:right w:val="nil"/>
            </w:tcBorders>
            <w:shd w:val="clear" w:color="000000" w:fill="D9D9D9"/>
            <w:vAlign w:val="bottom"/>
            <w:hideMark/>
          </w:tcPr>
          <w:p w:rsidR="008835EB" w:rsidRDefault="008835EB" w:rsidP="007E3F2E">
            <w:pPr>
              <w:jc w:val="right"/>
              <w:rPr>
                <w:rFonts w:cs="Calibri"/>
                <w:szCs w:val="18"/>
              </w:rPr>
            </w:pPr>
            <w:r>
              <w:rPr>
                <w:rFonts w:cs="Calibri"/>
                <w:szCs w:val="18"/>
              </w:rPr>
              <w:t> </w:t>
            </w:r>
          </w:p>
        </w:tc>
        <w:tc>
          <w:tcPr>
            <w:tcW w:w="1083" w:type="dxa"/>
            <w:gridSpan w:val="2"/>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1,513</w:t>
            </w:r>
          </w:p>
        </w:tc>
        <w:tc>
          <w:tcPr>
            <w:tcW w:w="1083" w:type="dxa"/>
            <w:gridSpan w:val="2"/>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319</w:t>
            </w:r>
          </w:p>
        </w:tc>
        <w:tc>
          <w:tcPr>
            <w:tcW w:w="1083"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2,826</w:t>
            </w:r>
          </w:p>
        </w:tc>
        <w:tc>
          <w:tcPr>
            <w:tcW w:w="1082"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620</w:t>
            </w:r>
          </w:p>
        </w:tc>
      </w:tr>
      <w:tr w:rsidR="008835EB" w:rsidTr="007E3F2E">
        <w:trPr>
          <w:trHeight w:val="263"/>
        </w:trPr>
        <w:tc>
          <w:tcPr>
            <w:tcW w:w="3672" w:type="dxa"/>
            <w:gridSpan w:val="2"/>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c>
          <w:tcPr>
            <w:tcW w:w="1084"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c>
          <w:tcPr>
            <w:tcW w:w="1083" w:type="dxa"/>
            <w:gridSpan w:val="2"/>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c>
          <w:tcPr>
            <w:tcW w:w="1083" w:type="dxa"/>
            <w:gridSpan w:val="2"/>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c>
          <w:tcPr>
            <w:tcW w:w="1083"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c>
          <w:tcPr>
            <w:tcW w:w="1082"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r>
      <w:tr w:rsidR="008835EB" w:rsidTr="007E3F2E">
        <w:trPr>
          <w:trHeight w:val="255"/>
        </w:trPr>
        <w:tc>
          <w:tcPr>
            <w:tcW w:w="9087" w:type="dxa"/>
            <w:gridSpan w:val="9"/>
            <w:tcBorders>
              <w:top w:val="nil"/>
              <w:left w:val="nil"/>
              <w:bottom w:val="single" w:sz="4" w:space="0" w:color="auto"/>
              <w:right w:val="nil"/>
            </w:tcBorders>
            <w:shd w:val="clear" w:color="000000" w:fill="D9D9D9"/>
            <w:vAlign w:val="bottom"/>
            <w:hideMark/>
          </w:tcPr>
          <w:p w:rsidR="008835EB" w:rsidRDefault="008835EB" w:rsidP="007E3F2E">
            <w:pPr>
              <w:rPr>
                <w:rFonts w:cs="Calibri"/>
                <w:b/>
                <w:bCs/>
                <w:szCs w:val="18"/>
              </w:rPr>
            </w:pPr>
            <w:r>
              <w:rPr>
                <w:rFonts w:cs="Calibri"/>
                <w:b/>
                <w:bCs/>
                <w:szCs w:val="18"/>
              </w:rPr>
              <w:t>Ageing of financial assets that were past due but not impaired for 2016</w:t>
            </w:r>
          </w:p>
        </w:tc>
      </w:tr>
      <w:tr w:rsidR="008835EB" w:rsidTr="007E3F2E">
        <w:trPr>
          <w:trHeight w:val="255"/>
        </w:trPr>
        <w:tc>
          <w:tcPr>
            <w:tcW w:w="3672" w:type="dxa"/>
            <w:gridSpan w:val="2"/>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84" w:type="dxa"/>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 xml:space="preserve">0 to 30 </w:t>
            </w:r>
          </w:p>
        </w:tc>
        <w:tc>
          <w:tcPr>
            <w:tcW w:w="1083" w:type="dxa"/>
            <w:gridSpan w:val="2"/>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31 to 60</w:t>
            </w:r>
          </w:p>
        </w:tc>
        <w:tc>
          <w:tcPr>
            <w:tcW w:w="1083" w:type="dxa"/>
            <w:gridSpan w:val="2"/>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61 to 90</w:t>
            </w:r>
          </w:p>
        </w:tc>
        <w:tc>
          <w:tcPr>
            <w:tcW w:w="1083" w:type="dxa"/>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90+</w:t>
            </w:r>
          </w:p>
        </w:tc>
        <w:tc>
          <w:tcPr>
            <w:tcW w:w="1082" w:type="dxa"/>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 </w:t>
            </w:r>
          </w:p>
        </w:tc>
      </w:tr>
      <w:tr w:rsidR="008835EB" w:rsidTr="007E3F2E">
        <w:trPr>
          <w:trHeight w:val="255"/>
        </w:trPr>
        <w:tc>
          <w:tcPr>
            <w:tcW w:w="3672" w:type="dxa"/>
            <w:gridSpan w:val="2"/>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84" w:type="dxa"/>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days</w:t>
            </w:r>
          </w:p>
        </w:tc>
        <w:tc>
          <w:tcPr>
            <w:tcW w:w="1083" w:type="dxa"/>
            <w:gridSpan w:val="2"/>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days</w:t>
            </w:r>
          </w:p>
        </w:tc>
        <w:tc>
          <w:tcPr>
            <w:tcW w:w="1083" w:type="dxa"/>
            <w:gridSpan w:val="2"/>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days</w:t>
            </w:r>
          </w:p>
        </w:tc>
        <w:tc>
          <w:tcPr>
            <w:tcW w:w="1083" w:type="dxa"/>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days</w:t>
            </w:r>
          </w:p>
        </w:tc>
        <w:tc>
          <w:tcPr>
            <w:tcW w:w="1082" w:type="dxa"/>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Total</w:t>
            </w:r>
          </w:p>
        </w:tc>
      </w:tr>
      <w:tr w:rsidR="008835EB" w:rsidTr="007E3F2E">
        <w:trPr>
          <w:trHeight w:val="255"/>
        </w:trPr>
        <w:tc>
          <w:tcPr>
            <w:tcW w:w="3672" w:type="dxa"/>
            <w:gridSpan w:val="2"/>
            <w:tcBorders>
              <w:top w:val="nil"/>
              <w:left w:val="nil"/>
              <w:bottom w:val="single" w:sz="4" w:space="0" w:color="auto"/>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84" w:type="dxa"/>
            <w:tcBorders>
              <w:top w:val="nil"/>
              <w:left w:val="nil"/>
              <w:bottom w:val="single" w:sz="4" w:space="0" w:color="auto"/>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$'000</w:t>
            </w:r>
          </w:p>
        </w:tc>
        <w:tc>
          <w:tcPr>
            <w:tcW w:w="1083" w:type="dxa"/>
            <w:gridSpan w:val="2"/>
            <w:tcBorders>
              <w:top w:val="nil"/>
              <w:left w:val="nil"/>
              <w:bottom w:val="single" w:sz="4" w:space="0" w:color="auto"/>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$'000</w:t>
            </w:r>
          </w:p>
        </w:tc>
        <w:tc>
          <w:tcPr>
            <w:tcW w:w="1083" w:type="dxa"/>
            <w:gridSpan w:val="2"/>
            <w:tcBorders>
              <w:top w:val="nil"/>
              <w:left w:val="nil"/>
              <w:bottom w:val="single" w:sz="4" w:space="0" w:color="auto"/>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$'000</w:t>
            </w:r>
          </w:p>
        </w:tc>
        <w:tc>
          <w:tcPr>
            <w:tcW w:w="1083" w:type="dxa"/>
            <w:tcBorders>
              <w:top w:val="nil"/>
              <w:left w:val="nil"/>
              <w:bottom w:val="single" w:sz="4" w:space="0" w:color="auto"/>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$'000</w:t>
            </w:r>
          </w:p>
        </w:tc>
        <w:tc>
          <w:tcPr>
            <w:tcW w:w="1082" w:type="dxa"/>
            <w:tcBorders>
              <w:top w:val="nil"/>
              <w:left w:val="nil"/>
              <w:bottom w:val="single" w:sz="4" w:space="0" w:color="auto"/>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$'000</w:t>
            </w:r>
          </w:p>
        </w:tc>
      </w:tr>
      <w:tr w:rsidR="008835EB" w:rsidTr="007E3F2E">
        <w:trPr>
          <w:trHeight w:val="255"/>
        </w:trPr>
        <w:tc>
          <w:tcPr>
            <w:tcW w:w="3672" w:type="dxa"/>
            <w:gridSpan w:val="2"/>
            <w:tcBorders>
              <w:top w:val="nil"/>
              <w:left w:val="nil"/>
              <w:bottom w:val="nil"/>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Goods and services and other receivables</w:t>
            </w:r>
          </w:p>
        </w:tc>
        <w:tc>
          <w:tcPr>
            <w:tcW w:w="1084"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9 </w:t>
            </w:r>
          </w:p>
        </w:tc>
        <w:tc>
          <w:tcPr>
            <w:tcW w:w="1083" w:type="dxa"/>
            <w:gridSpan w:val="2"/>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163 </w:t>
            </w:r>
          </w:p>
        </w:tc>
        <w:tc>
          <w:tcPr>
            <w:tcW w:w="1083" w:type="dxa"/>
            <w:gridSpan w:val="2"/>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180 </w:t>
            </w:r>
          </w:p>
        </w:tc>
        <w:tc>
          <w:tcPr>
            <w:tcW w:w="1083"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332 </w:t>
            </w:r>
          </w:p>
        </w:tc>
        <w:tc>
          <w:tcPr>
            <w:tcW w:w="1082"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684 </w:t>
            </w:r>
          </w:p>
        </w:tc>
      </w:tr>
      <w:tr w:rsidR="008835EB" w:rsidTr="007E3F2E">
        <w:trPr>
          <w:trHeight w:val="255"/>
        </w:trPr>
        <w:tc>
          <w:tcPr>
            <w:tcW w:w="3672" w:type="dxa"/>
            <w:gridSpan w:val="2"/>
            <w:tcBorders>
              <w:top w:val="single" w:sz="4" w:space="0" w:color="auto"/>
              <w:left w:val="nil"/>
              <w:bottom w:val="single" w:sz="4" w:space="0" w:color="auto"/>
              <w:right w:val="nil"/>
            </w:tcBorders>
            <w:shd w:val="clear" w:color="000000" w:fill="D9D9D9"/>
            <w:vAlign w:val="bottom"/>
            <w:hideMark/>
          </w:tcPr>
          <w:p w:rsidR="008835EB" w:rsidRDefault="008835EB" w:rsidP="007E3F2E">
            <w:pPr>
              <w:rPr>
                <w:rFonts w:cs="Calibri"/>
                <w:b/>
                <w:bCs/>
                <w:szCs w:val="18"/>
              </w:rPr>
            </w:pPr>
            <w:r>
              <w:rPr>
                <w:rFonts w:cs="Calibri"/>
                <w:b/>
                <w:bCs/>
                <w:szCs w:val="18"/>
              </w:rPr>
              <w:t>Total</w:t>
            </w:r>
          </w:p>
        </w:tc>
        <w:tc>
          <w:tcPr>
            <w:tcW w:w="1084"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9</w:t>
            </w:r>
          </w:p>
        </w:tc>
        <w:tc>
          <w:tcPr>
            <w:tcW w:w="1083" w:type="dxa"/>
            <w:gridSpan w:val="2"/>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163</w:t>
            </w:r>
          </w:p>
        </w:tc>
        <w:tc>
          <w:tcPr>
            <w:tcW w:w="1083" w:type="dxa"/>
            <w:gridSpan w:val="2"/>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180</w:t>
            </w:r>
          </w:p>
        </w:tc>
        <w:tc>
          <w:tcPr>
            <w:tcW w:w="1083"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332</w:t>
            </w:r>
          </w:p>
        </w:tc>
        <w:tc>
          <w:tcPr>
            <w:tcW w:w="1082"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684</w:t>
            </w:r>
          </w:p>
        </w:tc>
      </w:tr>
      <w:tr w:rsidR="008835EB" w:rsidTr="007E3F2E">
        <w:trPr>
          <w:trHeight w:val="263"/>
        </w:trPr>
        <w:tc>
          <w:tcPr>
            <w:tcW w:w="3672" w:type="dxa"/>
            <w:gridSpan w:val="2"/>
            <w:tcBorders>
              <w:top w:val="nil"/>
              <w:left w:val="nil"/>
              <w:bottom w:val="nil"/>
              <w:right w:val="nil"/>
            </w:tcBorders>
            <w:shd w:val="clear" w:color="000000" w:fill="D9D9D9"/>
            <w:vAlign w:val="bottom"/>
            <w:hideMark/>
          </w:tcPr>
          <w:p w:rsidR="008835EB" w:rsidRDefault="008835EB" w:rsidP="007E3F2E">
            <w:pPr>
              <w:rPr>
                <w:rFonts w:cs="Calibri"/>
                <w:szCs w:val="18"/>
              </w:rPr>
            </w:pPr>
            <w:r>
              <w:rPr>
                <w:rFonts w:cs="Calibri"/>
                <w:szCs w:val="18"/>
              </w:rPr>
              <w:t> </w:t>
            </w:r>
          </w:p>
        </w:tc>
        <w:tc>
          <w:tcPr>
            <w:tcW w:w="1084" w:type="dxa"/>
            <w:tcBorders>
              <w:top w:val="nil"/>
              <w:left w:val="nil"/>
              <w:bottom w:val="nil"/>
              <w:right w:val="nil"/>
            </w:tcBorders>
            <w:shd w:val="clear" w:color="000000" w:fill="D9D9D9"/>
            <w:vAlign w:val="bottom"/>
            <w:hideMark/>
          </w:tcPr>
          <w:p w:rsidR="008835EB" w:rsidRDefault="008835EB" w:rsidP="007E3F2E">
            <w:pPr>
              <w:rPr>
                <w:rFonts w:cs="Calibri"/>
                <w:szCs w:val="18"/>
              </w:rPr>
            </w:pPr>
            <w:r>
              <w:rPr>
                <w:rFonts w:cs="Calibri"/>
                <w:szCs w:val="18"/>
              </w:rPr>
              <w:t> </w:t>
            </w:r>
          </w:p>
        </w:tc>
        <w:tc>
          <w:tcPr>
            <w:tcW w:w="1083" w:type="dxa"/>
            <w:gridSpan w:val="2"/>
            <w:tcBorders>
              <w:top w:val="nil"/>
              <w:left w:val="nil"/>
              <w:bottom w:val="nil"/>
              <w:right w:val="nil"/>
            </w:tcBorders>
            <w:shd w:val="clear" w:color="000000" w:fill="D9D9D9"/>
            <w:vAlign w:val="bottom"/>
            <w:hideMark/>
          </w:tcPr>
          <w:p w:rsidR="008835EB" w:rsidRDefault="008835EB" w:rsidP="007E3F2E">
            <w:pPr>
              <w:rPr>
                <w:rFonts w:cs="Calibri"/>
                <w:szCs w:val="18"/>
              </w:rPr>
            </w:pPr>
            <w:r>
              <w:rPr>
                <w:rFonts w:cs="Calibri"/>
                <w:szCs w:val="18"/>
              </w:rPr>
              <w:t> </w:t>
            </w:r>
          </w:p>
        </w:tc>
        <w:tc>
          <w:tcPr>
            <w:tcW w:w="1083" w:type="dxa"/>
            <w:gridSpan w:val="2"/>
            <w:tcBorders>
              <w:top w:val="nil"/>
              <w:left w:val="nil"/>
              <w:bottom w:val="nil"/>
              <w:right w:val="nil"/>
            </w:tcBorders>
            <w:shd w:val="clear" w:color="000000" w:fill="D9D9D9"/>
            <w:vAlign w:val="bottom"/>
            <w:hideMark/>
          </w:tcPr>
          <w:p w:rsidR="008835EB" w:rsidRDefault="008835EB" w:rsidP="007E3F2E">
            <w:pPr>
              <w:rPr>
                <w:rFonts w:cs="Calibri"/>
                <w:szCs w:val="18"/>
              </w:rPr>
            </w:pPr>
            <w:r>
              <w:rPr>
                <w:rFonts w:cs="Calibri"/>
                <w:szCs w:val="18"/>
              </w:rPr>
              <w:t> </w:t>
            </w:r>
          </w:p>
        </w:tc>
        <w:tc>
          <w:tcPr>
            <w:tcW w:w="1083" w:type="dxa"/>
            <w:tcBorders>
              <w:top w:val="nil"/>
              <w:left w:val="nil"/>
              <w:bottom w:val="nil"/>
              <w:right w:val="nil"/>
            </w:tcBorders>
            <w:shd w:val="clear" w:color="000000" w:fill="D9D9D9"/>
            <w:vAlign w:val="bottom"/>
            <w:hideMark/>
          </w:tcPr>
          <w:p w:rsidR="008835EB" w:rsidRDefault="008835EB" w:rsidP="007E3F2E">
            <w:pPr>
              <w:rPr>
                <w:rFonts w:cs="Calibri"/>
                <w:szCs w:val="18"/>
              </w:rPr>
            </w:pPr>
            <w:r>
              <w:rPr>
                <w:rFonts w:cs="Calibri"/>
                <w:szCs w:val="18"/>
              </w:rPr>
              <w:t> </w:t>
            </w:r>
          </w:p>
        </w:tc>
        <w:tc>
          <w:tcPr>
            <w:tcW w:w="1082" w:type="dxa"/>
            <w:tcBorders>
              <w:top w:val="nil"/>
              <w:left w:val="nil"/>
              <w:bottom w:val="nil"/>
              <w:right w:val="nil"/>
            </w:tcBorders>
            <w:shd w:val="clear" w:color="000000" w:fill="D9D9D9"/>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9087" w:type="dxa"/>
            <w:gridSpan w:val="9"/>
            <w:tcBorders>
              <w:top w:val="nil"/>
              <w:left w:val="nil"/>
              <w:bottom w:val="single" w:sz="4" w:space="0" w:color="auto"/>
              <w:right w:val="nil"/>
            </w:tcBorders>
            <w:shd w:val="clear" w:color="000000" w:fill="D9D9D9"/>
            <w:vAlign w:val="bottom"/>
            <w:hideMark/>
          </w:tcPr>
          <w:p w:rsidR="008835EB" w:rsidRDefault="008835EB" w:rsidP="007E3F2E">
            <w:pPr>
              <w:rPr>
                <w:rFonts w:cs="Calibri"/>
                <w:szCs w:val="18"/>
              </w:rPr>
            </w:pPr>
            <w:r>
              <w:rPr>
                <w:rFonts w:cs="Calibri"/>
                <w:szCs w:val="18"/>
              </w:rPr>
              <w:t>Ageing of financial assets that were past due but not impaired for 2015</w:t>
            </w:r>
          </w:p>
        </w:tc>
      </w:tr>
      <w:tr w:rsidR="008835EB" w:rsidTr="007E3F2E">
        <w:trPr>
          <w:trHeight w:val="255"/>
        </w:trPr>
        <w:tc>
          <w:tcPr>
            <w:tcW w:w="3672" w:type="dxa"/>
            <w:gridSpan w:val="2"/>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84" w:type="dxa"/>
            <w:tcBorders>
              <w:top w:val="nil"/>
              <w:left w:val="nil"/>
              <w:bottom w:val="nil"/>
              <w:right w:val="nil"/>
            </w:tcBorders>
            <w:shd w:val="clear" w:color="000000" w:fill="D9D9D9"/>
            <w:noWrap/>
            <w:vAlign w:val="bottom"/>
            <w:hideMark/>
          </w:tcPr>
          <w:p w:rsidR="008835EB" w:rsidRDefault="008835EB" w:rsidP="007E3F2E">
            <w:pPr>
              <w:jc w:val="right"/>
              <w:rPr>
                <w:rFonts w:ascii="Arial" w:hAnsi="Arial" w:cs="Arial"/>
                <w:sz w:val="16"/>
                <w:szCs w:val="16"/>
              </w:rPr>
            </w:pPr>
            <w:r>
              <w:rPr>
                <w:rFonts w:ascii="Arial" w:hAnsi="Arial" w:cs="Arial"/>
                <w:sz w:val="16"/>
                <w:szCs w:val="16"/>
              </w:rPr>
              <w:t xml:space="preserve">0 to 30 </w:t>
            </w:r>
          </w:p>
        </w:tc>
        <w:tc>
          <w:tcPr>
            <w:tcW w:w="1083" w:type="dxa"/>
            <w:gridSpan w:val="2"/>
            <w:tcBorders>
              <w:top w:val="nil"/>
              <w:left w:val="nil"/>
              <w:bottom w:val="nil"/>
              <w:right w:val="nil"/>
            </w:tcBorders>
            <w:shd w:val="clear" w:color="000000" w:fill="D9D9D9"/>
            <w:noWrap/>
            <w:vAlign w:val="bottom"/>
            <w:hideMark/>
          </w:tcPr>
          <w:p w:rsidR="008835EB" w:rsidRDefault="008835EB" w:rsidP="007E3F2E">
            <w:pPr>
              <w:jc w:val="right"/>
              <w:rPr>
                <w:rFonts w:ascii="Arial" w:hAnsi="Arial" w:cs="Arial"/>
                <w:sz w:val="16"/>
                <w:szCs w:val="16"/>
              </w:rPr>
            </w:pPr>
            <w:r>
              <w:rPr>
                <w:rFonts w:ascii="Arial" w:hAnsi="Arial" w:cs="Arial"/>
                <w:sz w:val="16"/>
                <w:szCs w:val="16"/>
              </w:rPr>
              <w:t>31 to 60</w:t>
            </w:r>
          </w:p>
        </w:tc>
        <w:tc>
          <w:tcPr>
            <w:tcW w:w="1083" w:type="dxa"/>
            <w:gridSpan w:val="2"/>
            <w:tcBorders>
              <w:top w:val="nil"/>
              <w:left w:val="nil"/>
              <w:bottom w:val="nil"/>
              <w:right w:val="nil"/>
            </w:tcBorders>
            <w:shd w:val="clear" w:color="000000" w:fill="D9D9D9"/>
            <w:vAlign w:val="bottom"/>
            <w:hideMark/>
          </w:tcPr>
          <w:p w:rsidR="008835EB" w:rsidRDefault="008835EB" w:rsidP="007E3F2E">
            <w:pPr>
              <w:jc w:val="right"/>
              <w:rPr>
                <w:rFonts w:cs="Calibri"/>
                <w:szCs w:val="18"/>
              </w:rPr>
            </w:pPr>
            <w:r>
              <w:rPr>
                <w:rFonts w:cs="Calibri"/>
                <w:szCs w:val="18"/>
              </w:rPr>
              <w:t>61 to 90</w:t>
            </w:r>
          </w:p>
        </w:tc>
        <w:tc>
          <w:tcPr>
            <w:tcW w:w="1083" w:type="dxa"/>
            <w:tcBorders>
              <w:top w:val="nil"/>
              <w:left w:val="nil"/>
              <w:bottom w:val="nil"/>
              <w:right w:val="nil"/>
            </w:tcBorders>
            <w:shd w:val="clear" w:color="000000" w:fill="D9D9D9"/>
            <w:vAlign w:val="bottom"/>
            <w:hideMark/>
          </w:tcPr>
          <w:p w:rsidR="008835EB" w:rsidRDefault="008835EB" w:rsidP="007E3F2E">
            <w:pPr>
              <w:jc w:val="right"/>
              <w:rPr>
                <w:rFonts w:cs="Calibri"/>
                <w:szCs w:val="18"/>
              </w:rPr>
            </w:pPr>
            <w:r>
              <w:rPr>
                <w:rFonts w:cs="Calibri"/>
                <w:szCs w:val="18"/>
              </w:rPr>
              <w:t>90+</w:t>
            </w:r>
          </w:p>
        </w:tc>
        <w:tc>
          <w:tcPr>
            <w:tcW w:w="1082" w:type="dxa"/>
            <w:tcBorders>
              <w:top w:val="nil"/>
              <w:left w:val="nil"/>
              <w:bottom w:val="nil"/>
              <w:right w:val="nil"/>
            </w:tcBorders>
            <w:shd w:val="clear" w:color="000000" w:fill="D9D9D9"/>
            <w:vAlign w:val="bottom"/>
            <w:hideMark/>
          </w:tcPr>
          <w:p w:rsidR="008835EB" w:rsidRDefault="008835EB" w:rsidP="007E3F2E">
            <w:pPr>
              <w:jc w:val="right"/>
              <w:rPr>
                <w:rFonts w:cs="Calibri"/>
                <w:szCs w:val="18"/>
              </w:rPr>
            </w:pPr>
            <w:r>
              <w:rPr>
                <w:rFonts w:cs="Calibri"/>
                <w:szCs w:val="18"/>
              </w:rPr>
              <w:t> </w:t>
            </w:r>
          </w:p>
        </w:tc>
      </w:tr>
      <w:tr w:rsidR="008835EB" w:rsidTr="007E3F2E">
        <w:trPr>
          <w:trHeight w:val="255"/>
        </w:trPr>
        <w:tc>
          <w:tcPr>
            <w:tcW w:w="3672" w:type="dxa"/>
            <w:gridSpan w:val="2"/>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84" w:type="dxa"/>
            <w:tcBorders>
              <w:top w:val="nil"/>
              <w:left w:val="nil"/>
              <w:bottom w:val="nil"/>
              <w:right w:val="nil"/>
            </w:tcBorders>
            <w:shd w:val="clear" w:color="000000" w:fill="D9D9D9"/>
            <w:noWrap/>
            <w:vAlign w:val="bottom"/>
            <w:hideMark/>
          </w:tcPr>
          <w:p w:rsidR="008835EB" w:rsidRDefault="008835EB" w:rsidP="007E3F2E">
            <w:pPr>
              <w:jc w:val="right"/>
              <w:rPr>
                <w:rFonts w:ascii="Arial" w:hAnsi="Arial" w:cs="Arial"/>
                <w:sz w:val="16"/>
                <w:szCs w:val="16"/>
              </w:rPr>
            </w:pPr>
            <w:r>
              <w:rPr>
                <w:rFonts w:ascii="Arial" w:hAnsi="Arial" w:cs="Arial"/>
                <w:sz w:val="16"/>
                <w:szCs w:val="16"/>
              </w:rPr>
              <w:t>days</w:t>
            </w:r>
          </w:p>
        </w:tc>
        <w:tc>
          <w:tcPr>
            <w:tcW w:w="1083" w:type="dxa"/>
            <w:gridSpan w:val="2"/>
            <w:tcBorders>
              <w:top w:val="nil"/>
              <w:left w:val="nil"/>
              <w:bottom w:val="nil"/>
              <w:right w:val="nil"/>
            </w:tcBorders>
            <w:shd w:val="clear" w:color="000000" w:fill="D9D9D9"/>
            <w:noWrap/>
            <w:vAlign w:val="bottom"/>
            <w:hideMark/>
          </w:tcPr>
          <w:p w:rsidR="008835EB" w:rsidRDefault="008835EB" w:rsidP="007E3F2E">
            <w:pPr>
              <w:jc w:val="right"/>
              <w:rPr>
                <w:rFonts w:ascii="Arial" w:hAnsi="Arial" w:cs="Arial"/>
                <w:sz w:val="16"/>
                <w:szCs w:val="16"/>
              </w:rPr>
            </w:pPr>
            <w:r>
              <w:rPr>
                <w:rFonts w:ascii="Arial" w:hAnsi="Arial" w:cs="Arial"/>
                <w:sz w:val="16"/>
                <w:szCs w:val="16"/>
              </w:rPr>
              <w:t>days</w:t>
            </w:r>
          </w:p>
        </w:tc>
        <w:tc>
          <w:tcPr>
            <w:tcW w:w="1083" w:type="dxa"/>
            <w:gridSpan w:val="2"/>
            <w:tcBorders>
              <w:top w:val="nil"/>
              <w:left w:val="nil"/>
              <w:bottom w:val="nil"/>
              <w:right w:val="nil"/>
            </w:tcBorders>
            <w:shd w:val="clear" w:color="000000" w:fill="D9D9D9"/>
            <w:vAlign w:val="bottom"/>
            <w:hideMark/>
          </w:tcPr>
          <w:p w:rsidR="008835EB" w:rsidRDefault="008835EB" w:rsidP="007E3F2E">
            <w:pPr>
              <w:jc w:val="right"/>
              <w:rPr>
                <w:rFonts w:cs="Calibri"/>
                <w:szCs w:val="18"/>
              </w:rPr>
            </w:pPr>
            <w:r>
              <w:rPr>
                <w:rFonts w:cs="Calibri"/>
                <w:szCs w:val="18"/>
              </w:rPr>
              <w:t>days</w:t>
            </w:r>
          </w:p>
        </w:tc>
        <w:tc>
          <w:tcPr>
            <w:tcW w:w="1083" w:type="dxa"/>
            <w:tcBorders>
              <w:top w:val="nil"/>
              <w:left w:val="nil"/>
              <w:bottom w:val="nil"/>
              <w:right w:val="nil"/>
            </w:tcBorders>
            <w:shd w:val="clear" w:color="000000" w:fill="D9D9D9"/>
            <w:vAlign w:val="bottom"/>
            <w:hideMark/>
          </w:tcPr>
          <w:p w:rsidR="008835EB" w:rsidRDefault="008835EB" w:rsidP="007E3F2E">
            <w:pPr>
              <w:jc w:val="right"/>
              <w:rPr>
                <w:rFonts w:cs="Calibri"/>
                <w:szCs w:val="18"/>
              </w:rPr>
            </w:pPr>
            <w:r>
              <w:rPr>
                <w:rFonts w:cs="Calibri"/>
                <w:szCs w:val="18"/>
              </w:rPr>
              <w:t>days</w:t>
            </w:r>
          </w:p>
        </w:tc>
        <w:tc>
          <w:tcPr>
            <w:tcW w:w="1082" w:type="dxa"/>
            <w:tcBorders>
              <w:top w:val="nil"/>
              <w:left w:val="nil"/>
              <w:bottom w:val="nil"/>
              <w:right w:val="nil"/>
            </w:tcBorders>
            <w:shd w:val="clear" w:color="000000" w:fill="D9D9D9"/>
            <w:vAlign w:val="bottom"/>
            <w:hideMark/>
          </w:tcPr>
          <w:p w:rsidR="008835EB" w:rsidRDefault="008835EB" w:rsidP="007E3F2E">
            <w:pPr>
              <w:jc w:val="right"/>
              <w:rPr>
                <w:rFonts w:cs="Calibri"/>
                <w:szCs w:val="18"/>
              </w:rPr>
            </w:pPr>
            <w:r>
              <w:rPr>
                <w:rFonts w:cs="Calibri"/>
                <w:szCs w:val="18"/>
              </w:rPr>
              <w:t>Total</w:t>
            </w:r>
          </w:p>
        </w:tc>
      </w:tr>
      <w:tr w:rsidR="008835EB" w:rsidTr="007E3F2E">
        <w:trPr>
          <w:trHeight w:val="255"/>
        </w:trPr>
        <w:tc>
          <w:tcPr>
            <w:tcW w:w="3672" w:type="dxa"/>
            <w:gridSpan w:val="2"/>
            <w:tcBorders>
              <w:top w:val="nil"/>
              <w:left w:val="nil"/>
              <w:bottom w:val="single" w:sz="4" w:space="0" w:color="auto"/>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84" w:type="dxa"/>
            <w:tcBorders>
              <w:top w:val="nil"/>
              <w:left w:val="nil"/>
              <w:bottom w:val="single" w:sz="4" w:space="0" w:color="auto"/>
              <w:right w:val="nil"/>
            </w:tcBorders>
            <w:shd w:val="clear" w:color="000000" w:fill="D9D9D9"/>
            <w:noWrap/>
            <w:vAlign w:val="bottom"/>
            <w:hideMark/>
          </w:tcPr>
          <w:p w:rsidR="008835EB" w:rsidRDefault="008835EB" w:rsidP="007E3F2E">
            <w:pPr>
              <w:jc w:val="right"/>
              <w:rPr>
                <w:rFonts w:ascii="Arial" w:hAnsi="Arial" w:cs="Arial"/>
                <w:sz w:val="16"/>
                <w:szCs w:val="16"/>
              </w:rPr>
            </w:pPr>
            <w:r>
              <w:rPr>
                <w:rFonts w:ascii="Arial" w:hAnsi="Arial" w:cs="Arial"/>
                <w:sz w:val="16"/>
                <w:szCs w:val="16"/>
              </w:rPr>
              <w:t>$'000</w:t>
            </w:r>
          </w:p>
        </w:tc>
        <w:tc>
          <w:tcPr>
            <w:tcW w:w="1083" w:type="dxa"/>
            <w:gridSpan w:val="2"/>
            <w:tcBorders>
              <w:top w:val="nil"/>
              <w:left w:val="nil"/>
              <w:bottom w:val="single" w:sz="4" w:space="0" w:color="auto"/>
              <w:right w:val="nil"/>
            </w:tcBorders>
            <w:shd w:val="clear" w:color="000000" w:fill="D9D9D9"/>
            <w:noWrap/>
            <w:vAlign w:val="bottom"/>
            <w:hideMark/>
          </w:tcPr>
          <w:p w:rsidR="008835EB" w:rsidRDefault="008835EB" w:rsidP="007E3F2E">
            <w:pPr>
              <w:jc w:val="right"/>
              <w:rPr>
                <w:rFonts w:ascii="Arial" w:hAnsi="Arial" w:cs="Arial"/>
                <w:sz w:val="16"/>
                <w:szCs w:val="16"/>
              </w:rPr>
            </w:pPr>
            <w:r>
              <w:rPr>
                <w:rFonts w:ascii="Arial" w:hAnsi="Arial" w:cs="Arial"/>
                <w:sz w:val="16"/>
                <w:szCs w:val="16"/>
              </w:rPr>
              <w:t>$'000</w:t>
            </w:r>
          </w:p>
        </w:tc>
        <w:tc>
          <w:tcPr>
            <w:tcW w:w="1083" w:type="dxa"/>
            <w:gridSpan w:val="2"/>
            <w:tcBorders>
              <w:top w:val="nil"/>
              <w:left w:val="nil"/>
              <w:bottom w:val="single" w:sz="4" w:space="0" w:color="auto"/>
              <w:right w:val="nil"/>
            </w:tcBorders>
            <w:shd w:val="clear" w:color="000000" w:fill="D9D9D9"/>
            <w:vAlign w:val="bottom"/>
            <w:hideMark/>
          </w:tcPr>
          <w:p w:rsidR="008835EB" w:rsidRDefault="008835EB" w:rsidP="007E3F2E">
            <w:pPr>
              <w:jc w:val="right"/>
              <w:rPr>
                <w:rFonts w:cs="Calibri"/>
                <w:szCs w:val="18"/>
              </w:rPr>
            </w:pPr>
            <w:r>
              <w:rPr>
                <w:rFonts w:cs="Calibri"/>
                <w:szCs w:val="18"/>
              </w:rPr>
              <w:t>$'000</w:t>
            </w:r>
          </w:p>
        </w:tc>
        <w:tc>
          <w:tcPr>
            <w:tcW w:w="1083" w:type="dxa"/>
            <w:tcBorders>
              <w:top w:val="nil"/>
              <w:left w:val="nil"/>
              <w:bottom w:val="single" w:sz="4" w:space="0" w:color="auto"/>
              <w:right w:val="nil"/>
            </w:tcBorders>
            <w:shd w:val="clear" w:color="000000" w:fill="D9D9D9"/>
            <w:vAlign w:val="bottom"/>
            <w:hideMark/>
          </w:tcPr>
          <w:p w:rsidR="008835EB" w:rsidRDefault="008835EB" w:rsidP="007E3F2E">
            <w:pPr>
              <w:jc w:val="right"/>
              <w:rPr>
                <w:rFonts w:cs="Calibri"/>
                <w:szCs w:val="18"/>
              </w:rPr>
            </w:pPr>
            <w:r>
              <w:rPr>
                <w:rFonts w:cs="Calibri"/>
                <w:szCs w:val="18"/>
              </w:rPr>
              <w:t>$'000</w:t>
            </w:r>
          </w:p>
        </w:tc>
        <w:tc>
          <w:tcPr>
            <w:tcW w:w="1082" w:type="dxa"/>
            <w:tcBorders>
              <w:top w:val="nil"/>
              <w:left w:val="nil"/>
              <w:bottom w:val="single" w:sz="4" w:space="0" w:color="auto"/>
              <w:right w:val="nil"/>
            </w:tcBorders>
            <w:shd w:val="clear" w:color="000000" w:fill="D9D9D9"/>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3672" w:type="dxa"/>
            <w:gridSpan w:val="2"/>
            <w:tcBorders>
              <w:top w:val="nil"/>
              <w:left w:val="nil"/>
              <w:bottom w:val="nil"/>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Goods and services and other receivables</w:t>
            </w:r>
          </w:p>
        </w:tc>
        <w:tc>
          <w:tcPr>
            <w:tcW w:w="1084"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14 </w:t>
            </w:r>
          </w:p>
        </w:tc>
        <w:tc>
          <w:tcPr>
            <w:tcW w:w="1083" w:type="dxa"/>
            <w:gridSpan w:val="2"/>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14 </w:t>
            </w:r>
          </w:p>
        </w:tc>
        <w:tc>
          <w:tcPr>
            <w:tcW w:w="1083" w:type="dxa"/>
            <w:gridSpan w:val="2"/>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53 </w:t>
            </w:r>
          </w:p>
        </w:tc>
        <w:tc>
          <w:tcPr>
            <w:tcW w:w="1083"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402 </w:t>
            </w:r>
          </w:p>
        </w:tc>
        <w:tc>
          <w:tcPr>
            <w:tcW w:w="1082"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483 </w:t>
            </w:r>
          </w:p>
        </w:tc>
      </w:tr>
      <w:tr w:rsidR="008835EB" w:rsidTr="007E3F2E">
        <w:trPr>
          <w:trHeight w:val="255"/>
        </w:trPr>
        <w:tc>
          <w:tcPr>
            <w:tcW w:w="3672" w:type="dxa"/>
            <w:gridSpan w:val="2"/>
            <w:tcBorders>
              <w:top w:val="single" w:sz="4" w:space="0" w:color="auto"/>
              <w:left w:val="nil"/>
              <w:bottom w:val="single" w:sz="4" w:space="0" w:color="auto"/>
              <w:right w:val="nil"/>
            </w:tcBorders>
            <w:shd w:val="clear" w:color="000000" w:fill="D9D9D9"/>
            <w:vAlign w:val="bottom"/>
            <w:hideMark/>
          </w:tcPr>
          <w:p w:rsidR="008835EB" w:rsidRDefault="008835EB" w:rsidP="007E3F2E">
            <w:pPr>
              <w:rPr>
                <w:rFonts w:cs="Calibri"/>
                <w:b/>
                <w:bCs/>
                <w:szCs w:val="18"/>
              </w:rPr>
            </w:pPr>
            <w:r>
              <w:rPr>
                <w:rFonts w:cs="Calibri"/>
                <w:b/>
                <w:bCs/>
                <w:szCs w:val="18"/>
              </w:rPr>
              <w:t>Total</w:t>
            </w:r>
          </w:p>
        </w:tc>
        <w:tc>
          <w:tcPr>
            <w:tcW w:w="1084" w:type="dxa"/>
            <w:tcBorders>
              <w:top w:val="single" w:sz="4" w:space="0" w:color="auto"/>
              <w:left w:val="nil"/>
              <w:bottom w:val="single" w:sz="4" w:space="0" w:color="auto"/>
              <w:right w:val="nil"/>
            </w:tcBorders>
            <w:shd w:val="clear" w:color="000000" w:fill="D9D9D9"/>
            <w:vAlign w:val="bottom"/>
            <w:hideMark/>
          </w:tcPr>
          <w:p w:rsidR="008835EB" w:rsidRDefault="008835EB" w:rsidP="007E3F2E">
            <w:pPr>
              <w:jc w:val="right"/>
              <w:rPr>
                <w:rFonts w:cs="Calibri"/>
                <w:szCs w:val="18"/>
              </w:rPr>
            </w:pPr>
            <w:r>
              <w:rPr>
                <w:rFonts w:cs="Calibri"/>
                <w:szCs w:val="18"/>
              </w:rPr>
              <w:t xml:space="preserve"> 14 </w:t>
            </w:r>
          </w:p>
        </w:tc>
        <w:tc>
          <w:tcPr>
            <w:tcW w:w="1083" w:type="dxa"/>
            <w:gridSpan w:val="2"/>
            <w:tcBorders>
              <w:top w:val="single" w:sz="4" w:space="0" w:color="auto"/>
              <w:left w:val="nil"/>
              <w:bottom w:val="single" w:sz="4" w:space="0" w:color="auto"/>
              <w:right w:val="nil"/>
            </w:tcBorders>
            <w:shd w:val="clear" w:color="000000" w:fill="D9D9D9"/>
            <w:vAlign w:val="bottom"/>
            <w:hideMark/>
          </w:tcPr>
          <w:p w:rsidR="008835EB" w:rsidRDefault="008835EB" w:rsidP="007E3F2E">
            <w:pPr>
              <w:jc w:val="right"/>
              <w:rPr>
                <w:rFonts w:cs="Calibri"/>
                <w:szCs w:val="18"/>
              </w:rPr>
            </w:pPr>
            <w:r>
              <w:rPr>
                <w:rFonts w:cs="Calibri"/>
                <w:szCs w:val="18"/>
              </w:rPr>
              <w:t xml:space="preserve"> 14 </w:t>
            </w:r>
          </w:p>
        </w:tc>
        <w:tc>
          <w:tcPr>
            <w:tcW w:w="1083" w:type="dxa"/>
            <w:gridSpan w:val="2"/>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53</w:t>
            </w:r>
          </w:p>
        </w:tc>
        <w:tc>
          <w:tcPr>
            <w:tcW w:w="1083"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402</w:t>
            </w:r>
          </w:p>
        </w:tc>
        <w:tc>
          <w:tcPr>
            <w:tcW w:w="1082"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483</w:t>
            </w:r>
          </w:p>
        </w:tc>
      </w:tr>
    </w:tbl>
    <w:p w:rsidR="008835EB" w:rsidRDefault="008835EB" w:rsidP="008835EB">
      <w:pPr>
        <w:spacing w:line="240" w:lineRule="auto"/>
      </w:pPr>
      <w:bookmarkStart w:id="479" w:name="RANGE!D10:I30"/>
      <w:bookmarkStart w:id="480" w:name="RANGE!D7:J41"/>
      <w:bookmarkStart w:id="481" w:name="RANGE!D7:J42"/>
      <w:bookmarkStart w:id="482" w:name="RANGE!D7:J31"/>
      <w:bookmarkStart w:id="483" w:name="RANGE!D7:J32"/>
      <w:bookmarkStart w:id="484" w:name="RANGE!D7:J33"/>
      <w:bookmarkStart w:id="485" w:name="RANGE!D6:J32"/>
      <w:bookmarkEnd w:id="479"/>
      <w:bookmarkEnd w:id="480"/>
      <w:bookmarkEnd w:id="481"/>
      <w:bookmarkEnd w:id="482"/>
      <w:bookmarkEnd w:id="483"/>
      <w:bookmarkEnd w:id="484"/>
      <w:bookmarkEnd w:id="485"/>
      <w:r>
        <w:br w:type="page"/>
      </w:r>
    </w:p>
    <w:tbl>
      <w:tblPr>
        <w:tblW w:w="9087" w:type="dxa"/>
        <w:tblInd w:w="80" w:type="dxa"/>
        <w:tblLayout w:type="fixed"/>
        <w:tblLook w:val="04A0" w:firstRow="1" w:lastRow="0" w:firstColumn="1" w:lastColumn="0" w:noHBand="0" w:noVBand="1"/>
      </w:tblPr>
      <w:tblGrid>
        <w:gridCol w:w="2875"/>
        <w:gridCol w:w="1037"/>
        <w:gridCol w:w="1035"/>
        <w:gridCol w:w="1035"/>
        <w:gridCol w:w="1035"/>
        <w:gridCol w:w="1035"/>
        <w:gridCol w:w="1035"/>
      </w:tblGrid>
      <w:tr w:rsidR="008835EB" w:rsidTr="007E3F2E">
        <w:trPr>
          <w:trHeight w:val="255"/>
        </w:trPr>
        <w:tc>
          <w:tcPr>
            <w:tcW w:w="9087" w:type="dxa"/>
            <w:gridSpan w:val="7"/>
            <w:tcBorders>
              <w:top w:val="nil"/>
              <w:left w:val="nil"/>
              <w:bottom w:val="nil"/>
              <w:right w:val="nil"/>
            </w:tcBorders>
            <w:shd w:val="clear" w:color="000000" w:fill="D9D9D9"/>
            <w:noWrap/>
            <w:hideMark/>
          </w:tcPr>
          <w:p w:rsidR="008835EB" w:rsidRPr="007872C6" w:rsidRDefault="008835EB" w:rsidP="007E3F2E">
            <w:pPr>
              <w:pStyle w:val="NotesHeading-Level1"/>
            </w:pPr>
            <w:bookmarkStart w:id="486" w:name="Note_AFLTABLE1" w:colFirst="0" w:colLast="0"/>
            <w:r>
              <w:lastRenderedPageBreak/>
              <w:t xml:space="preserve">Note </w:t>
            </w:r>
            <w:proofErr w:type="spellStart"/>
            <w:r>
              <w:t>7.3E</w:t>
            </w:r>
            <w:proofErr w:type="spellEnd"/>
            <w:r>
              <w:t>: Liquidity Risk</w:t>
            </w:r>
          </w:p>
        </w:tc>
      </w:tr>
      <w:bookmarkEnd w:id="486"/>
      <w:tr w:rsidR="008835EB" w:rsidTr="007E3F2E">
        <w:trPr>
          <w:trHeight w:val="1485"/>
        </w:trPr>
        <w:tc>
          <w:tcPr>
            <w:tcW w:w="9087" w:type="dxa"/>
            <w:gridSpan w:val="7"/>
            <w:tcBorders>
              <w:top w:val="single" w:sz="4" w:space="0" w:color="D9D9D9"/>
              <w:left w:val="nil"/>
              <w:bottom w:val="single" w:sz="4" w:space="0" w:color="D9D9D9"/>
              <w:right w:val="nil"/>
            </w:tcBorders>
            <w:shd w:val="clear" w:color="000000" w:fill="D9D9D9"/>
            <w:vAlign w:val="bottom"/>
            <w:hideMark/>
          </w:tcPr>
          <w:p w:rsidR="008835EB" w:rsidRDefault="008835EB" w:rsidP="007E3F2E">
            <w:pPr>
              <w:spacing w:after="120"/>
              <w:rPr>
                <w:rFonts w:cs="Calibri"/>
                <w:szCs w:val="18"/>
              </w:rPr>
            </w:pPr>
            <w:r>
              <w:rPr>
                <w:rFonts w:cs="Calibri"/>
                <w:szCs w:val="18"/>
              </w:rPr>
              <w:t>The Department's financial liabilities were trade creditors.  The exposure to liquidity risk is based on the notion that the department would encounter difficulty in meeting its obligations associated with financial liabilities.  This was highly unlikely as the department was appropriated funding from the Australian Government and the department manages its budgeted funds to ensure it had adequate funds to meet payments as they fall due.  In addition, the department has policies in place to ensure timely payments were made when due and had no past experience of default.</w:t>
            </w:r>
          </w:p>
        </w:tc>
      </w:tr>
      <w:tr w:rsidR="008835EB" w:rsidTr="007E3F2E">
        <w:trPr>
          <w:trHeight w:val="255"/>
        </w:trPr>
        <w:tc>
          <w:tcPr>
            <w:tcW w:w="9087" w:type="dxa"/>
            <w:gridSpan w:val="7"/>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Maturities for non-derivative financial liabilities in 2016</w:t>
            </w:r>
          </w:p>
        </w:tc>
      </w:tr>
      <w:tr w:rsidR="008835EB" w:rsidTr="007E3F2E">
        <w:trPr>
          <w:trHeight w:val="780"/>
        </w:trPr>
        <w:tc>
          <w:tcPr>
            <w:tcW w:w="2875" w:type="dxa"/>
            <w:tcBorders>
              <w:top w:val="nil"/>
              <w:left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p w:rsidR="008835EB" w:rsidRDefault="008835EB" w:rsidP="007E3F2E">
            <w:pPr>
              <w:rPr>
                <w:rFonts w:ascii="Arial" w:hAnsi="Arial" w:cs="Arial"/>
                <w:sz w:val="16"/>
                <w:szCs w:val="16"/>
              </w:rPr>
            </w:pPr>
            <w:r>
              <w:rPr>
                <w:rFonts w:ascii="Arial" w:hAnsi="Arial" w:cs="Arial"/>
                <w:sz w:val="16"/>
                <w:szCs w:val="16"/>
              </w:rPr>
              <w:t> </w:t>
            </w:r>
          </w:p>
        </w:tc>
        <w:tc>
          <w:tcPr>
            <w:tcW w:w="1037" w:type="dxa"/>
            <w:tcBorders>
              <w:top w:val="nil"/>
              <w:left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On demand</w:t>
            </w:r>
          </w:p>
        </w:tc>
        <w:tc>
          <w:tcPr>
            <w:tcW w:w="1035" w:type="dxa"/>
            <w:tcBorders>
              <w:top w:val="nil"/>
              <w:left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Within one year</w:t>
            </w:r>
          </w:p>
        </w:tc>
        <w:tc>
          <w:tcPr>
            <w:tcW w:w="1035" w:type="dxa"/>
            <w:tcBorders>
              <w:top w:val="nil"/>
              <w:left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 xml:space="preserve">Between one to </w:t>
            </w:r>
            <w:r>
              <w:rPr>
                <w:rFonts w:cs="Calibri"/>
                <w:b/>
                <w:bCs/>
                <w:szCs w:val="18"/>
              </w:rPr>
              <w:br/>
              <w:t>two years</w:t>
            </w:r>
          </w:p>
        </w:tc>
        <w:tc>
          <w:tcPr>
            <w:tcW w:w="1035" w:type="dxa"/>
            <w:tcBorders>
              <w:top w:val="nil"/>
              <w:left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 xml:space="preserve">Between two to </w:t>
            </w:r>
            <w:r>
              <w:rPr>
                <w:rFonts w:cs="Calibri"/>
                <w:b/>
                <w:bCs/>
                <w:szCs w:val="18"/>
              </w:rPr>
              <w:br/>
              <w:t>five years</w:t>
            </w:r>
          </w:p>
        </w:tc>
        <w:tc>
          <w:tcPr>
            <w:tcW w:w="1035" w:type="dxa"/>
            <w:tcBorders>
              <w:top w:val="nil"/>
              <w:left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More than five years</w:t>
            </w:r>
          </w:p>
        </w:tc>
        <w:tc>
          <w:tcPr>
            <w:tcW w:w="1035" w:type="dxa"/>
            <w:tcBorders>
              <w:top w:val="nil"/>
              <w:left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Total</w:t>
            </w:r>
          </w:p>
        </w:tc>
      </w:tr>
      <w:tr w:rsidR="008835EB" w:rsidTr="007E3F2E">
        <w:trPr>
          <w:trHeight w:val="255"/>
        </w:trPr>
        <w:tc>
          <w:tcPr>
            <w:tcW w:w="2875"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37" w:type="dxa"/>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$'000</w:t>
            </w:r>
          </w:p>
        </w:tc>
        <w:tc>
          <w:tcPr>
            <w:tcW w:w="1035" w:type="dxa"/>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$'000</w:t>
            </w:r>
          </w:p>
        </w:tc>
        <w:tc>
          <w:tcPr>
            <w:tcW w:w="1035" w:type="dxa"/>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$'000</w:t>
            </w:r>
          </w:p>
        </w:tc>
        <w:tc>
          <w:tcPr>
            <w:tcW w:w="1035" w:type="dxa"/>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$'000</w:t>
            </w:r>
          </w:p>
        </w:tc>
        <w:tc>
          <w:tcPr>
            <w:tcW w:w="1035" w:type="dxa"/>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$'000</w:t>
            </w:r>
          </w:p>
        </w:tc>
        <w:tc>
          <w:tcPr>
            <w:tcW w:w="1035" w:type="dxa"/>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$'000</w:t>
            </w:r>
          </w:p>
        </w:tc>
      </w:tr>
      <w:tr w:rsidR="008835EB" w:rsidTr="007E3F2E">
        <w:trPr>
          <w:trHeight w:val="255"/>
        </w:trPr>
        <w:tc>
          <w:tcPr>
            <w:tcW w:w="2875"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Financial Liabilities</w:t>
            </w:r>
          </w:p>
        </w:tc>
        <w:tc>
          <w:tcPr>
            <w:tcW w:w="1037" w:type="dxa"/>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 </w:t>
            </w:r>
          </w:p>
        </w:tc>
        <w:tc>
          <w:tcPr>
            <w:tcW w:w="1035" w:type="dxa"/>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 </w:t>
            </w:r>
          </w:p>
        </w:tc>
        <w:tc>
          <w:tcPr>
            <w:tcW w:w="1035" w:type="dxa"/>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 </w:t>
            </w:r>
          </w:p>
        </w:tc>
        <w:tc>
          <w:tcPr>
            <w:tcW w:w="1035" w:type="dxa"/>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 </w:t>
            </w:r>
          </w:p>
        </w:tc>
        <w:tc>
          <w:tcPr>
            <w:tcW w:w="1035" w:type="dxa"/>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 </w:t>
            </w:r>
          </w:p>
        </w:tc>
        <w:tc>
          <w:tcPr>
            <w:tcW w:w="1035" w:type="dxa"/>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 </w:t>
            </w:r>
          </w:p>
        </w:tc>
      </w:tr>
      <w:tr w:rsidR="008835EB" w:rsidTr="007E3F2E">
        <w:trPr>
          <w:trHeight w:val="255"/>
        </w:trPr>
        <w:tc>
          <w:tcPr>
            <w:tcW w:w="2875"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Trade creditors and accruals</w:t>
            </w:r>
          </w:p>
        </w:tc>
        <w:tc>
          <w:tcPr>
            <w:tcW w:w="1037"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 -</w:t>
            </w:r>
          </w:p>
        </w:tc>
        <w:tc>
          <w:tcPr>
            <w:tcW w:w="1035"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60,980 </w:t>
            </w:r>
          </w:p>
        </w:tc>
        <w:tc>
          <w:tcPr>
            <w:tcW w:w="1035"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 -</w:t>
            </w:r>
          </w:p>
        </w:tc>
        <w:tc>
          <w:tcPr>
            <w:tcW w:w="1035"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 -</w:t>
            </w:r>
          </w:p>
        </w:tc>
        <w:tc>
          <w:tcPr>
            <w:tcW w:w="1035"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 -</w:t>
            </w:r>
          </w:p>
        </w:tc>
        <w:tc>
          <w:tcPr>
            <w:tcW w:w="1035"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60,980 </w:t>
            </w:r>
          </w:p>
        </w:tc>
      </w:tr>
      <w:tr w:rsidR="008835EB" w:rsidTr="007E3F2E">
        <w:trPr>
          <w:trHeight w:val="255"/>
        </w:trPr>
        <w:tc>
          <w:tcPr>
            <w:tcW w:w="2875"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Total</w:t>
            </w:r>
          </w:p>
        </w:tc>
        <w:tc>
          <w:tcPr>
            <w:tcW w:w="1037"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w:t>
            </w:r>
          </w:p>
        </w:tc>
        <w:tc>
          <w:tcPr>
            <w:tcW w:w="1035"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60,980</w:t>
            </w:r>
          </w:p>
        </w:tc>
        <w:tc>
          <w:tcPr>
            <w:tcW w:w="1035"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w:t>
            </w:r>
          </w:p>
        </w:tc>
        <w:tc>
          <w:tcPr>
            <w:tcW w:w="1035"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w:t>
            </w:r>
          </w:p>
        </w:tc>
        <w:tc>
          <w:tcPr>
            <w:tcW w:w="1035"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w:t>
            </w:r>
          </w:p>
        </w:tc>
        <w:tc>
          <w:tcPr>
            <w:tcW w:w="1035"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60,980</w:t>
            </w:r>
          </w:p>
        </w:tc>
      </w:tr>
      <w:tr w:rsidR="008835EB" w:rsidTr="007E3F2E">
        <w:trPr>
          <w:trHeight w:val="255"/>
        </w:trPr>
        <w:tc>
          <w:tcPr>
            <w:tcW w:w="2875" w:type="dxa"/>
            <w:tcBorders>
              <w:top w:val="nil"/>
              <w:left w:val="nil"/>
              <w:bottom w:val="nil"/>
              <w:right w:val="nil"/>
            </w:tcBorders>
            <w:shd w:val="clear" w:color="000000" w:fill="D9D9D9"/>
            <w:vAlign w:val="bottom"/>
            <w:hideMark/>
          </w:tcPr>
          <w:p w:rsidR="008835EB" w:rsidRDefault="008835EB" w:rsidP="007E3F2E">
            <w:pPr>
              <w:rPr>
                <w:rFonts w:cs="Calibri"/>
                <w:szCs w:val="18"/>
              </w:rPr>
            </w:pPr>
            <w:r>
              <w:rPr>
                <w:rFonts w:cs="Calibri"/>
                <w:szCs w:val="18"/>
              </w:rPr>
              <w:t> </w:t>
            </w:r>
          </w:p>
        </w:tc>
        <w:tc>
          <w:tcPr>
            <w:tcW w:w="1037" w:type="dxa"/>
            <w:tcBorders>
              <w:top w:val="nil"/>
              <w:left w:val="nil"/>
              <w:bottom w:val="nil"/>
              <w:right w:val="nil"/>
            </w:tcBorders>
            <w:shd w:val="clear" w:color="000000" w:fill="D9D9D9"/>
            <w:vAlign w:val="bottom"/>
            <w:hideMark/>
          </w:tcPr>
          <w:p w:rsidR="008835EB" w:rsidRDefault="008835EB" w:rsidP="007E3F2E">
            <w:pPr>
              <w:rPr>
                <w:rFonts w:cs="Calibri"/>
                <w:szCs w:val="18"/>
              </w:rPr>
            </w:pPr>
            <w:r>
              <w:rPr>
                <w:rFonts w:cs="Calibri"/>
                <w:szCs w:val="18"/>
              </w:rPr>
              <w:t> </w:t>
            </w:r>
          </w:p>
        </w:tc>
        <w:tc>
          <w:tcPr>
            <w:tcW w:w="1035" w:type="dxa"/>
            <w:tcBorders>
              <w:top w:val="nil"/>
              <w:left w:val="nil"/>
              <w:bottom w:val="nil"/>
              <w:right w:val="nil"/>
            </w:tcBorders>
            <w:shd w:val="clear" w:color="000000" w:fill="D9D9D9"/>
            <w:vAlign w:val="bottom"/>
            <w:hideMark/>
          </w:tcPr>
          <w:p w:rsidR="008835EB" w:rsidRDefault="008835EB" w:rsidP="007E3F2E">
            <w:pPr>
              <w:rPr>
                <w:rFonts w:cs="Calibri"/>
                <w:szCs w:val="18"/>
              </w:rPr>
            </w:pPr>
            <w:r>
              <w:rPr>
                <w:rFonts w:cs="Calibri"/>
                <w:szCs w:val="18"/>
              </w:rPr>
              <w:t> </w:t>
            </w:r>
          </w:p>
        </w:tc>
        <w:tc>
          <w:tcPr>
            <w:tcW w:w="1035" w:type="dxa"/>
            <w:tcBorders>
              <w:top w:val="nil"/>
              <w:left w:val="nil"/>
              <w:bottom w:val="nil"/>
              <w:right w:val="nil"/>
            </w:tcBorders>
            <w:shd w:val="clear" w:color="000000" w:fill="D9D9D9"/>
            <w:vAlign w:val="bottom"/>
            <w:hideMark/>
          </w:tcPr>
          <w:p w:rsidR="008835EB" w:rsidRDefault="008835EB" w:rsidP="007E3F2E">
            <w:pPr>
              <w:rPr>
                <w:rFonts w:cs="Calibri"/>
                <w:szCs w:val="18"/>
              </w:rPr>
            </w:pPr>
            <w:r>
              <w:rPr>
                <w:rFonts w:cs="Calibri"/>
                <w:szCs w:val="18"/>
              </w:rPr>
              <w:t> </w:t>
            </w:r>
          </w:p>
        </w:tc>
        <w:tc>
          <w:tcPr>
            <w:tcW w:w="1035" w:type="dxa"/>
            <w:tcBorders>
              <w:top w:val="nil"/>
              <w:left w:val="nil"/>
              <w:bottom w:val="nil"/>
              <w:right w:val="nil"/>
            </w:tcBorders>
            <w:shd w:val="clear" w:color="000000" w:fill="D9D9D9"/>
            <w:vAlign w:val="bottom"/>
            <w:hideMark/>
          </w:tcPr>
          <w:p w:rsidR="008835EB" w:rsidRDefault="008835EB" w:rsidP="007E3F2E">
            <w:pPr>
              <w:rPr>
                <w:rFonts w:cs="Calibri"/>
                <w:szCs w:val="18"/>
              </w:rPr>
            </w:pPr>
            <w:r>
              <w:rPr>
                <w:rFonts w:cs="Calibri"/>
                <w:szCs w:val="18"/>
              </w:rPr>
              <w:t> </w:t>
            </w:r>
          </w:p>
        </w:tc>
        <w:tc>
          <w:tcPr>
            <w:tcW w:w="1035" w:type="dxa"/>
            <w:tcBorders>
              <w:top w:val="nil"/>
              <w:left w:val="nil"/>
              <w:bottom w:val="nil"/>
              <w:right w:val="nil"/>
            </w:tcBorders>
            <w:shd w:val="clear" w:color="000000" w:fill="D9D9D9"/>
            <w:vAlign w:val="bottom"/>
            <w:hideMark/>
          </w:tcPr>
          <w:p w:rsidR="008835EB" w:rsidRDefault="008835EB" w:rsidP="007E3F2E">
            <w:pPr>
              <w:rPr>
                <w:rFonts w:cs="Calibri"/>
                <w:szCs w:val="18"/>
              </w:rPr>
            </w:pPr>
            <w:r>
              <w:rPr>
                <w:rFonts w:cs="Calibri"/>
                <w:szCs w:val="18"/>
              </w:rPr>
              <w:t> </w:t>
            </w:r>
          </w:p>
        </w:tc>
        <w:tc>
          <w:tcPr>
            <w:tcW w:w="1035" w:type="dxa"/>
            <w:tcBorders>
              <w:top w:val="nil"/>
              <w:left w:val="nil"/>
              <w:bottom w:val="nil"/>
              <w:right w:val="nil"/>
            </w:tcBorders>
            <w:shd w:val="clear" w:color="000000" w:fill="D9D9D9"/>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9087" w:type="dxa"/>
            <w:gridSpan w:val="7"/>
            <w:tcBorders>
              <w:top w:val="nil"/>
              <w:left w:val="nil"/>
              <w:bottom w:val="nil"/>
              <w:right w:val="nil"/>
            </w:tcBorders>
            <w:shd w:val="clear" w:color="000000" w:fill="D9D9D9"/>
            <w:vAlign w:val="bottom"/>
            <w:hideMark/>
          </w:tcPr>
          <w:p w:rsidR="008835EB" w:rsidRDefault="008835EB" w:rsidP="007E3F2E">
            <w:pPr>
              <w:rPr>
                <w:rFonts w:cs="Calibri"/>
                <w:szCs w:val="18"/>
              </w:rPr>
            </w:pPr>
            <w:r>
              <w:rPr>
                <w:rFonts w:cs="Calibri"/>
                <w:szCs w:val="18"/>
              </w:rPr>
              <w:t>Maturities for non-derivative financial liabilities 2015</w:t>
            </w:r>
          </w:p>
        </w:tc>
      </w:tr>
      <w:tr w:rsidR="008835EB" w:rsidTr="007E3F2E">
        <w:trPr>
          <w:trHeight w:val="540"/>
        </w:trPr>
        <w:tc>
          <w:tcPr>
            <w:tcW w:w="2875"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37"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On</w:t>
            </w:r>
          </w:p>
        </w:tc>
        <w:tc>
          <w:tcPr>
            <w:tcW w:w="1035" w:type="dxa"/>
            <w:tcBorders>
              <w:top w:val="nil"/>
              <w:left w:val="nil"/>
              <w:bottom w:val="nil"/>
              <w:right w:val="nil"/>
            </w:tcBorders>
            <w:shd w:val="clear" w:color="000000" w:fill="D9D9D9"/>
            <w:vAlign w:val="bottom"/>
            <w:hideMark/>
          </w:tcPr>
          <w:p w:rsidR="008835EB" w:rsidRDefault="008835EB" w:rsidP="007E3F2E">
            <w:pPr>
              <w:jc w:val="right"/>
              <w:rPr>
                <w:rFonts w:cs="Calibri"/>
                <w:szCs w:val="18"/>
              </w:rPr>
            </w:pPr>
            <w:r>
              <w:rPr>
                <w:rFonts w:cs="Calibri"/>
                <w:szCs w:val="18"/>
              </w:rPr>
              <w:t xml:space="preserve">Within one </w:t>
            </w:r>
          </w:p>
        </w:tc>
        <w:tc>
          <w:tcPr>
            <w:tcW w:w="1035" w:type="dxa"/>
            <w:tcBorders>
              <w:top w:val="nil"/>
              <w:left w:val="nil"/>
              <w:bottom w:val="nil"/>
              <w:right w:val="nil"/>
            </w:tcBorders>
            <w:shd w:val="clear" w:color="000000" w:fill="D9D9D9"/>
            <w:vAlign w:val="bottom"/>
            <w:hideMark/>
          </w:tcPr>
          <w:p w:rsidR="008835EB" w:rsidRDefault="008835EB" w:rsidP="007E3F2E">
            <w:pPr>
              <w:jc w:val="right"/>
              <w:rPr>
                <w:rFonts w:cs="Calibri"/>
                <w:szCs w:val="18"/>
              </w:rPr>
            </w:pPr>
            <w:r>
              <w:rPr>
                <w:rFonts w:cs="Calibri"/>
                <w:szCs w:val="18"/>
              </w:rPr>
              <w:t>Between one to two</w:t>
            </w:r>
          </w:p>
        </w:tc>
        <w:tc>
          <w:tcPr>
            <w:tcW w:w="1035" w:type="dxa"/>
            <w:tcBorders>
              <w:top w:val="nil"/>
              <w:left w:val="nil"/>
              <w:bottom w:val="nil"/>
              <w:right w:val="nil"/>
            </w:tcBorders>
            <w:shd w:val="clear" w:color="000000" w:fill="D9D9D9"/>
            <w:vAlign w:val="bottom"/>
            <w:hideMark/>
          </w:tcPr>
          <w:p w:rsidR="008835EB" w:rsidRDefault="008835EB" w:rsidP="007E3F2E">
            <w:pPr>
              <w:jc w:val="right"/>
              <w:rPr>
                <w:rFonts w:cs="Calibri"/>
                <w:szCs w:val="18"/>
              </w:rPr>
            </w:pPr>
            <w:r>
              <w:rPr>
                <w:rFonts w:cs="Calibri"/>
                <w:szCs w:val="18"/>
              </w:rPr>
              <w:t>Between two to five</w:t>
            </w:r>
          </w:p>
        </w:tc>
        <w:tc>
          <w:tcPr>
            <w:tcW w:w="1035" w:type="dxa"/>
            <w:tcBorders>
              <w:top w:val="nil"/>
              <w:left w:val="nil"/>
              <w:bottom w:val="nil"/>
              <w:right w:val="nil"/>
            </w:tcBorders>
            <w:shd w:val="clear" w:color="000000" w:fill="D9D9D9"/>
            <w:vAlign w:val="bottom"/>
            <w:hideMark/>
          </w:tcPr>
          <w:p w:rsidR="008835EB" w:rsidRDefault="008835EB" w:rsidP="007E3F2E">
            <w:pPr>
              <w:jc w:val="right"/>
              <w:rPr>
                <w:rFonts w:cs="Calibri"/>
                <w:szCs w:val="18"/>
              </w:rPr>
            </w:pPr>
            <w:r>
              <w:rPr>
                <w:rFonts w:cs="Calibri"/>
                <w:szCs w:val="18"/>
              </w:rPr>
              <w:t>More than</w:t>
            </w:r>
          </w:p>
        </w:tc>
        <w:tc>
          <w:tcPr>
            <w:tcW w:w="1035"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55"/>
        </w:trPr>
        <w:tc>
          <w:tcPr>
            <w:tcW w:w="2875"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37"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demand</w:t>
            </w:r>
          </w:p>
        </w:tc>
        <w:tc>
          <w:tcPr>
            <w:tcW w:w="1035"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year</w:t>
            </w:r>
          </w:p>
        </w:tc>
        <w:tc>
          <w:tcPr>
            <w:tcW w:w="1035"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years</w:t>
            </w:r>
          </w:p>
        </w:tc>
        <w:tc>
          <w:tcPr>
            <w:tcW w:w="1035"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years</w:t>
            </w:r>
          </w:p>
        </w:tc>
        <w:tc>
          <w:tcPr>
            <w:tcW w:w="1035"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five years</w:t>
            </w:r>
          </w:p>
        </w:tc>
        <w:tc>
          <w:tcPr>
            <w:tcW w:w="1035"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Total</w:t>
            </w:r>
          </w:p>
        </w:tc>
      </w:tr>
      <w:tr w:rsidR="008835EB" w:rsidTr="007E3F2E">
        <w:trPr>
          <w:trHeight w:val="255"/>
        </w:trPr>
        <w:tc>
          <w:tcPr>
            <w:tcW w:w="2875" w:type="dxa"/>
            <w:tcBorders>
              <w:top w:val="nil"/>
              <w:left w:val="nil"/>
              <w:bottom w:val="nil"/>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37"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$'000</w:t>
            </w:r>
          </w:p>
        </w:tc>
        <w:tc>
          <w:tcPr>
            <w:tcW w:w="1035"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$'000</w:t>
            </w:r>
          </w:p>
        </w:tc>
        <w:tc>
          <w:tcPr>
            <w:tcW w:w="1035"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$'000</w:t>
            </w:r>
          </w:p>
        </w:tc>
        <w:tc>
          <w:tcPr>
            <w:tcW w:w="1035"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$'000</w:t>
            </w:r>
          </w:p>
        </w:tc>
        <w:tc>
          <w:tcPr>
            <w:tcW w:w="1035"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$'000</w:t>
            </w:r>
          </w:p>
        </w:tc>
        <w:tc>
          <w:tcPr>
            <w:tcW w:w="1035"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2875"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Financial Liabilities</w:t>
            </w:r>
          </w:p>
        </w:tc>
        <w:tc>
          <w:tcPr>
            <w:tcW w:w="1037"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w:t>
            </w:r>
          </w:p>
        </w:tc>
        <w:tc>
          <w:tcPr>
            <w:tcW w:w="1035"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w:t>
            </w:r>
          </w:p>
        </w:tc>
        <w:tc>
          <w:tcPr>
            <w:tcW w:w="1035"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w:t>
            </w:r>
          </w:p>
        </w:tc>
        <w:tc>
          <w:tcPr>
            <w:tcW w:w="1035"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w:t>
            </w:r>
          </w:p>
        </w:tc>
        <w:tc>
          <w:tcPr>
            <w:tcW w:w="1035"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w:t>
            </w:r>
          </w:p>
        </w:tc>
        <w:tc>
          <w:tcPr>
            <w:tcW w:w="1035"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55"/>
        </w:trPr>
        <w:tc>
          <w:tcPr>
            <w:tcW w:w="2875" w:type="dxa"/>
            <w:tcBorders>
              <w:top w:val="nil"/>
              <w:left w:val="nil"/>
              <w:bottom w:val="single" w:sz="4" w:space="0" w:color="D9D9D9"/>
              <w:right w:val="nil"/>
            </w:tcBorders>
            <w:shd w:val="clear" w:color="000000" w:fill="D9D9D9"/>
            <w:vAlign w:val="bottom"/>
            <w:hideMark/>
          </w:tcPr>
          <w:p w:rsidR="008835EB" w:rsidRDefault="008835EB" w:rsidP="007E3F2E">
            <w:pPr>
              <w:rPr>
                <w:rFonts w:cs="Calibri"/>
                <w:szCs w:val="18"/>
              </w:rPr>
            </w:pPr>
            <w:r>
              <w:rPr>
                <w:rFonts w:cs="Calibri"/>
                <w:szCs w:val="18"/>
              </w:rPr>
              <w:t>At amortised cost:</w:t>
            </w:r>
          </w:p>
        </w:tc>
        <w:tc>
          <w:tcPr>
            <w:tcW w:w="1037"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35"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35"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35"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35"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c>
          <w:tcPr>
            <w:tcW w:w="1035" w:type="dxa"/>
            <w:tcBorders>
              <w:top w:val="nil"/>
              <w:left w:val="nil"/>
              <w:bottom w:val="single" w:sz="4" w:space="0" w:color="D9D9D9"/>
              <w:right w:val="nil"/>
            </w:tcBorders>
            <w:shd w:val="clear" w:color="000000" w:fill="D9D9D9"/>
            <w:noWrap/>
            <w:vAlign w:val="bottom"/>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55"/>
        </w:trPr>
        <w:tc>
          <w:tcPr>
            <w:tcW w:w="2875" w:type="dxa"/>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Trade creditors and accruals</w:t>
            </w:r>
          </w:p>
        </w:tc>
        <w:tc>
          <w:tcPr>
            <w:tcW w:w="1037"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 -</w:t>
            </w:r>
          </w:p>
        </w:tc>
        <w:tc>
          <w:tcPr>
            <w:tcW w:w="1035"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99,476 </w:t>
            </w:r>
          </w:p>
        </w:tc>
        <w:tc>
          <w:tcPr>
            <w:tcW w:w="1035"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 -</w:t>
            </w:r>
          </w:p>
        </w:tc>
        <w:tc>
          <w:tcPr>
            <w:tcW w:w="1035"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 -</w:t>
            </w:r>
          </w:p>
        </w:tc>
        <w:tc>
          <w:tcPr>
            <w:tcW w:w="1035"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 -</w:t>
            </w:r>
          </w:p>
        </w:tc>
        <w:tc>
          <w:tcPr>
            <w:tcW w:w="1035"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99,476 </w:t>
            </w:r>
          </w:p>
        </w:tc>
      </w:tr>
      <w:tr w:rsidR="008835EB" w:rsidTr="007E3F2E">
        <w:trPr>
          <w:trHeight w:val="270"/>
        </w:trPr>
        <w:tc>
          <w:tcPr>
            <w:tcW w:w="2875" w:type="dxa"/>
            <w:tcBorders>
              <w:top w:val="nil"/>
              <w:left w:val="nil"/>
              <w:bottom w:val="single" w:sz="8" w:space="0" w:color="D9D9D9"/>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Total</w:t>
            </w:r>
          </w:p>
        </w:tc>
        <w:tc>
          <w:tcPr>
            <w:tcW w:w="1037"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w:t>
            </w:r>
          </w:p>
        </w:tc>
        <w:tc>
          <w:tcPr>
            <w:tcW w:w="1035"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99,476</w:t>
            </w:r>
          </w:p>
        </w:tc>
        <w:tc>
          <w:tcPr>
            <w:tcW w:w="1035"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w:t>
            </w:r>
          </w:p>
        </w:tc>
        <w:tc>
          <w:tcPr>
            <w:tcW w:w="1035"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w:t>
            </w:r>
          </w:p>
        </w:tc>
        <w:tc>
          <w:tcPr>
            <w:tcW w:w="1035"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w:t>
            </w:r>
          </w:p>
        </w:tc>
        <w:tc>
          <w:tcPr>
            <w:tcW w:w="1035"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99,476</w:t>
            </w:r>
          </w:p>
        </w:tc>
      </w:tr>
      <w:tr w:rsidR="008835EB" w:rsidTr="007E3F2E">
        <w:trPr>
          <w:trHeight w:val="255"/>
        </w:trPr>
        <w:tc>
          <w:tcPr>
            <w:tcW w:w="9087" w:type="dxa"/>
            <w:gridSpan w:val="7"/>
            <w:tcBorders>
              <w:top w:val="nil"/>
              <w:left w:val="nil"/>
              <w:bottom w:val="single" w:sz="4" w:space="0" w:color="D9D9D9"/>
              <w:right w:val="nil"/>
            </w:tcBorders>
            <w:shd w:val="clear" w:color="000000" w:fill="D9D9D9"/>
            <w:vAlign w:val="bottom"/>
            <w:hideMark/>
          </w:tcPr>
          <w:p w:rsidR="008835EB" w:rsidRDefault="008835EB" w:rsidP="007E3F2E">
            <w:pPr>
              <w:rPr>
                <w:rFonts w:cs="Calibri"/>
                <w:szCs w:val="18"/>
              </w:rPr>
            </w:pPr>
            <w:r>
              <w:rPr>
                <w:rFonts w:cs="Calibri"/>
                <w:szCs w:val="18"/>
              </w:rPr>
              <w:t>The Department has no derivative financial liabilities in the current year and prior year.</w:t>
            </w:r>
          </w:p>
        </w:tc>
      </w:tr>
      <w:tr w:rsidR="008835EB" w:rsidTr="007E3F2E">
        <w:trPr>
          <w:trHeight w:val="255"/>
        </w:trPr>
        <w:tc>
          <w:tcPr>
            <w:tcW w:w="9087" w:type="dxa"/>
            <w:gridSpan w:val="7"/>
            <w:tcBorders>
              <w:top w:val="nil"/>
              <w:left w:val="nil"/>
              <w:bottom w:val="nil"/>
              <w:right w:val="nil"/>
            </w:tcBorders>
            <w:shd w:val="clear" w:color="000000" w:fill="D9D9D9"/>
            <w:noWrap/>
            <w:hideMark/>
          </w:tcPr>
          <w:p w:rsidR="008835EB" w:rsidRPr="007872C6" w:rsidRDefault="008835EB" w:rsidP="007E3F2E">
            <w:pPr>
              <w:pStyle w:val="NotesHeading-Level1"/>
              <w:spacing w:before="360"/>
            </w:pPr>
            <w:bookmarkStart w:id="487" w:name="RANGE!D7:J30"/>
            <w:bookmarkStart w:id="488" w:name="Note_AFKTABLE1" w:colFirst="0" w:colLast="0"/>
            <w:bookmarkEnd w:id="487"/>
            <w:r>
              <w:t xml:space="preserve">Note </w:t>
            </w:r>
            <w:proofErr w:type="spellStart"/>
            <w:r>
              <w:t>7.3F</w:t>
            </w:r>
            <w:proofErr w:type="spellEnd"/>
            <w:r>
              <w:t>: Market Risk</w:t>
            </w:r>
          </w:p>
        </w:tc>
      </w:tr>
      <w:bookmarkEnd w:id="488"/>
      <w:tr w:rsidR="008835EB" w:rsidTr="007E3F2E">
        <w:trPr>
          <w:trHeight w:val="480"/>
        </w:trPr>
        <w:tc>
          <w:tcPr>
            <w:tcW w:w="9087" w:type="dxa"/>
            <w:gridSpan w:val="7"/>
            <w:tcBorders>
              <w:top w:val="nil"/>
              <w:left w:val="nil"/>
              <w:bottom w:val="single" w:sz="4" w:space="0" w:color="D9D9D9"/>
              <w:right w:val="nil"/>
            </w:tcBorders>
            <w:shd w:val="clear" w:color="000000" w:fill="D9D9D9"/>
            <w:vAlign w:val="bottom"/>
            <w:hideMark/>
          </w:tcPr>
          <w:p w:rsidR="008835EB" w:rsidRDefault="008835EB" w:rsidP="007E3F2E">
            <w:pPr>
              <w:spacing w:before="120"/>
            </w:pPr>
            <w:r>
              <w:t xml:space="preserve">The Department held basic financial instruments that did not expose it to certain market risks including to ‘currency risk’ and ‘other price risks’.  </w:t>
            </w:r>
          </w:p>
        </w:tc>
      </w:tr>
    </w:tbl>
    <w:p w:rsidR="008835EB" w:rsidRDefault="008835EB" w:rsidP="008835EB">
      <w:bookmarkStart w:id="489" w:name="RANGE!D6:J27"/>
      <w:bookmarkEnd w:id="489"/>
    </w:p>
    <w:p w:rsidR="008835EB" w:rsidRDefault="008835EB" w:rsidP="008835EB">
      <w:pPr>
        <w:sectPr w:rsidR="008835EB" w:rsidSect="00F74C23">
          <w:pgSz w:w="11906" w:h="16838"/>
          <w:pgMar w:top="1134" w:right="1134" w:bottom="1134" w:left="1134" w:header="958" w:footer="737" w:gutter="0"/>
          <w:cols w:space="720"/>
          <w:docGrid w:linePitch="245"/>
        </w:sectPr>
      </w:pPr>
    </w:p>
    <w:p w:rsidR="008835EB" w:rsidRPr="007D5337" w:rsidRDefault="008835EB" w:rsidP="008835EB">
      <w:pPr>
        <w:pStyle w:val="SubHeading"/>
      </w:pPr>
      <w:bookmarkStart w:id="490" w:name="_Toc456689865"/>
      <w:r>
        <w:lastRenderedPageBreak/>
        <w:t>Fair Value Measurement</w:t>
      </w:r>
      <w:bookmarkEnd w:id="490"/>
    </w:p>
    <w:p w:rsidR="008835EB" w:rsidRDefault="008835EB" w:rsidP="008835EB">
      <w:pPr>
        <w:rPr>
          <w:rFonts w:cs="Calibri"/>
          <w:szCs w:val="18"/>
        </w:rPr>
      </w:pPr>
      <w:r w:rsidRPr="00D80CCA">
        <w:rPr>
          <w:rFonts w:cs="Calibri"/>
          <w:szCs w:val="18"/>
        </w:rPr>
        <w:t>The following table provide</w:t>
      </w:r>
      <w:r>
        <w:rPr>
          <w:rFonts w:cs="Calibri"/>
          <w:szCs w:val="18"/>
        </w:rPr>
        <w:t>s</w:t>
      </w:r>
      <w:r w:rsidRPr="00D80CCA">
        <w:rPr>
          <w:rFonts w:cs="Calibri"/>
          <w:szCs w:val="18"/>
        </w:rPr>
        <w:t xml:space="preserve"> an analysis of assets and liabilities that are measured at fair value.</w:t>
      </w:r>
      <w:r>
        <w:rPr>
          <w:rFonts w:cs="Calibri"/>
          <w:szCs w:val="18"/>
        </w:rPr>
        <w:t xml:space="preserve"> </w:t>
      </w:r>
      <w:r w:rsidRPr="00D80CCA">
        <w:rPr>
          <w:rFonts w:cs="Calibri"/>
          <w:szCs w:val="18"/>
        </w:rPr>
        <w:t>The different levels of the fair value hierarchy are defined below.</w:t>
      </w:r>
    </w:p>
    <w:p w:rsidR="008835EB" w:rsidRDefault="008835EB" w:rsidP="008835EB">
      <w:pPr>
        <w:rPr>
          <w:rFonts w:cs="Calibri"/>
          <w:szCs w:val="18"/>
        </w:rPr>
      </w:pPr>
      <w:r w:rsidRPr="001017FF">
        <w:rPr>
          <w:rFonts w:cs="Calibri"/>
          <w:szCs w:val="18"/>
        </w:rPr>
        <w:t>Level 1: Quoted prices (unadjusted) in active markets for identical assets or liabilities that the department can access at measurement date.</w:t>
      </w:r>
    </w:p>
    <w:p w:rsidR="008835EB" w:rsidRDefault="008835EB" w:rsidP="008835EB">
      <w:pPr>
        <w:rPr>
          <w:rFonts w:cs="Calibri"/>
          <w:szCs w:val="18"/>
        </w:rPr>
      </w:pPr>
      <w:r w:rsidRPr="001017FF">
        <w:rPr>
          <w:rFonts w:cs="Calibri"/>
          <w:szCs w:val="18"/>
        </w:rPr>
        <w:t>Level 2: Inputs other than quoted prices included within Level 1 that are observable for the asset or liability, either directly or indirectly.</w:t>
      </w:r>
    </w:p>
    <w:p w:rsidR="008835EB" w:rsidRDefault="008835EB" w:rsidP="008835EB">
      <w:pPr>
        <w:spacing w:after="120"/>
        <w:rPr>
          <w:rFonts w:cs="Calibri"/>
          <w:szCs w:val="18"/>
        </w:rPr>
      </w:pPr>
      <w:proofErr w:type="gramStart"/>
      <w:r w:rsidRPr="001017FF">
        <w:rPr>
          <w:rFonts w:cs="Calibri"/>
          <w:szCs w:val="18"/>
        </w:rPr>
        <w:t>Level 3: Unobservable inputs for the asset or liability.</w:t>
      </w:r>
      <w:proofErr w:type="gramEnd"/>
    </w:p>
    <w:tbl>
      <w:tblPr>
        <w:tblW w:w="13991" w:type="dxa"/>
        <w:tblInd w:w="80" w:type="dxa"/>
        <w:tblLayout w:type="fixed"/>
        <w:tblLook w:val="04A0" w:firstRow="1" w:lastRow="0" w:firstColumn="1" w:lastColumn="0" w:noHBand="0" w:noVBand="1"/>
      </w:tblPr>
      <w:tblGrid>
        <w:gridCol w:w="5557"/>
        <w:gridCol w:w="354"/>
        <w:gridCol w:w="921"/>
        <w:gridCol w:w="287"/>
        <w:gridCol w:w="989"/>
        <w:gridCol w:w="216"/>
        <w:gridCol w:w="1343"/>
        <w:gridCol w:w="1245"/>
        <w:gridCol w:w="3079"/>
      </w:tblGrid>
      <w:tr w:rsidR="008835EB" w:rsidTr="007E3F2E">
        <w:trPr>
          <w:trHeight w:val="240"/>
        </w:trPr>
        <w:tc>
          <w:tcPr>
            <w:tcW w:w="13991" w:type="dxa"/>
            <w:gridSpan w:val="9"/>
            <w:tcBorders>
              <w:top w:val="nil"/>
              <w:left w:val="nil"/>
              <w:bottom w:val="nil"/>
              <w:right w:val="nil"/>
            </w:tcBorders>
            <w:shd w:val="clear" w:color="FFFFFF" w:fill="FFFFFF"/>
            <w:noWrap/>
            <w:vAlign w:val="bottom"/>
            <w:hideMark/>
          </w:tcPr>
          <w:p w:rsidR="008835EB" w:rsidRDefault="008835EB" w:rsidP="007E3F2E">
            <w:pPr>
              <w:pStyle w:val="NotesHeading-Level1"/>
            </w:pPr>
            <w:bookmarkStart w:id="491" w:name="RANGE!D7:I7"/>
            <w:bookmarkStart w:id="492" w:name="Note_FIMTABLE1" w:colFirst="0" w:colLast="0"/>
            <w:r>
              <w:t xml:space="preserve">Note </w:t>
            </w:r>
            <w:proofErr w:type="spellStart"/>
            <w:r>
              <w:t>7.4A</w:t>
            </w:r>
            <w:proofErr w:type="spellEnd"/>
            <w:r>
              <w:t>: Fair Value Measurements</w:t>
            </w:r>
            <w:bookmarkEnd w:id="491"/>
          </w:p>
        </w:tc>
      </w:tr>
      <w:bookmarkEnd w:id="492"/>
      <w:tr w:rsidR="008835EB" w:rsidTr="007E3F2E">
        <w:trPr>
          <w:trHeight w:val="240"/>
        </w:trPr>
        <w:tc>
          <w:tcPr>
            <w:tcW w:w="5911" w:type="dxa"/>
            <w:gridSpan w:val="2"/>
            <w:tcBorders>
              <w:top w:val="nil"/>
              <w:left w:val="nil"/>
              <w:bottom w:val="nil"/>
              <w:right w:val="nil"/>
            </w:tcBorders>
            <w:shd w:val="clear" w:color="FFFFFF" w:fill="FFFFFF"/>
            <w:noWrap/>
            <w:vAlign w:val="bottom"/>
            <w:hideMark/>
          </w:tcPr>
          <w:p w:rsidR="008835EB" w:rsidRDefault="008835EB" w:rsidP="007E3F2E">
            <w:pPr>
              <w:rPr>
                <w:rFonts w:cs="Calibri"/>
                <w:b/>
                <w:bCs/>
                <w:szCs w:val="18"/>
              </w:rPr>
            </w:pPr>
            <w:r>
              <w:rPr>
                <w:rFonts w:cs="Calibri"/>
                <w:b/>
                <w:bCs/>
                <w:szCs w:val="18"/>
              </w:rPr>
              <w:t> </w:t>
            </w:r>
          </w:p>
        </w:tc>
        <w:tc>
          <w:tcPr>
            <w:tcW w:w="1208" w:type="dxa"/>
            <w:gridSpan w:val="2"/>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1205" w:type="dxa"/>
            <w:gridSpan w:val="2"/>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1343"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124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3079"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r>
      <w:tr w:rsidR="008835EB" w:rsidTr="007E3F2E">
        <w:trPr>
          <w:trHeight w:val="255"/>
        </w:trPr>
        <w:tc>
          <w:tcPr>
            <w:tcW w:w="9667" w:type="dxa"/>
            <w:gridSpan w:val="7"/>
            <w:tcBorders>
              <w:top w:val="single" w:sz="4" w:space="0" w:color="auto"/>
              <w:left w:val="nil"/>
              <w:bottom w:val="single" w:sz="4" w:space="0" w:color="auto"/>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Fair value measurements at the end of the reporting period</w:t>
            </w:r>
          </w:p>
        </w:tc>
        <w:tc>
          <w:tcPr>
            <w:tcW w:w="4324" w:type="dxa"/>
            <w:gridSpan w:val="2"/>
            <w:tcBorders>
              <w:top w:val="single" w:sz="4" w:space="0" w:color="auto"/>
              <w:left w:val="nil"/>
              <w:bottom w:val="single" w:sz="4" w:space="0" w:color="auto"/>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For Levels 2 and 3 fair value measurements</w:t>
            </w:r>
          </w:p>
        </w:tc>
      </w:tr>
      <w:tr w:rsidR="008835EB" w:rsidTr="007E3F2E">
        <w:trPr>
          <w:trHeight w:val="255"/>
        </w:trPr>
        <w:tc>
          <w:tcPr>
            <w:tcW w:w="5557"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1275" w:type="dxa"/>
            <w:gridSpan w:val="2"/>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2016</w:t>
            </w:r>
          </w:p>
        </w:tc>
        <w:tc>
          <w:tcPr>
            <w:tcW w:w="1276" w:type="dxa"/>
            <w:gridSpan w:val="2"/>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2015</w:t>
            </w:r>
          </w:p>
        </w:tc>
        <w:tc>
          <w:tcPr>
            <w:tcW w:w="1559" w:type="dxa"/>
            <w:gridSpan w:val="2"/>
            <w:vMerge w:val="restart"/>
            <w:tcBorders>
              <w:top w:val="nil"/>
              <w:left w:val="nil"/>
              <w:bottom w:val="single" w:sz="4" w:space="0" w:color="000000"/>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Category (Level 1, 2 or 3)</w:t>
            </w:r>
          </w:p>
        </w:tc>
        <w:tc>
          <w:tcPr>
            <w:tcW w:w="1245" w:type="dxa"/>
            <w:vMerge w:val="restart"/>
            <w:tcBorders>
              <w:top w:val="nil"/>
              <w:left w:val="nil"/>
              <w:bottom w:val="single" w:sz="4" w:space="0" w:color="000000"/>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 xml:space="preserve">Valuation Techniques </w:t>
            </w:r>
            <w:r>
              <w:rPr>
                <w:rFonts w:cs="Calibri"/>
                <w:b/>
                <w:bCs/>
                <w:szCs w:val="18"/>
                <w:vertAlign w:val="superscript"/>
              </w:rPr>
              <w:t>1</w:t>
            </w:r>
          </w:p>
        </w:tc>
        <w:tc>
          <w:tcPr>
            <w:tcW w:w="3079" w:type="dxa"/>
            <w:vMerge w:val="restart"/>
            <w:tcBorders>
              <w:top w:val="nil"/>
              <w:left w:val="nil"/>
              <w:bottom w:val="single" w:sz="4" w:space="0" w:color="000000"/>
              <w:right w:val="nil"/>
            </w:tcBorders>
            <w:shd w:val="clear" w:color="FFFFFF" w:fill="FFFFFF"/>
            <w:vAlign w:val="bottom"/>
            <w:hideMark/>
          </w:tcPr>
          <w:p w:rsidR="008835EB" w:rsidRDefault="008835EB" w:rsidP="007E3F2E">
            <w:pPr>
              <w:jc w:val="right"/>
              <w:rPr>
                <w:rFonts w:cs="Calibri"/>
                <w:b/>
                <w:bCs/>
                <w:szCs w:val="18"/>
              </w:rPr>
            </w:pPr>
            <w:r>
              <w:rPr>
                <w:rFonts w:cs="Calibri"/>
                <w:b/>
                <w:bCs/>
                <w:szCs w:val="18"/>
              </w:rPr>
              <w:t>Inputs Used</w:t>
            </w:r>
          </w:p>
        </w:tc>
      </w:tr>
      <w:tr w:rsidR="008835EB" w:rsidTr="007E3F2E">
        <w:trPr>
          <w:trHeight w:val="240"/>
        </w:trPr>
        <w:tc>
          <w:tcPr>
            <w:tcW w:w="5557" w:type="dxa"/>
            <w:tcBorders>
              <w:top w:val="nil"/>
              <w:left w:val="nil"/>
              <w:bottom w:val="single" w:sz="4" w:space="0" w:color="auto"/>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75" w:type="dxa"/>
            <w:gridSpan w:val="2"/>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$'000</w:t>
            </w:r>
          </w:p>
        </w:tc>
        <w:tc>
          <w:tcPr>
            <w:tcW w:w="1276" w:type="dxa"/>
            <w:gridSpan w:val="2"/>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$'000</w:t>
            </w:r>
          </w:p>
        </w:tc>
        <w:tc>
          <w:tcPr>
            <w:tcW w:w="1559" w:type="dxa"/>
            <w:gridSpan w:val="2"/>
            <w:vMerge/>
            <w:tcBorders>
              <w:top w:val="nil"/>
              <w:left w:val="nil"/>
              <w:bottom w:val="single" w:sz="4" w:space="0" w:color="000000"/>
              <w:right w:val="nil"/>
            </w:tcBorders>
            <w:vAlign w:val="center"/>
            <w:hideMark/>
          </w:tcPr>
          <w:p w:rsidR="008835EB" w:rsidRDefault="008835EB" w:rsidP="007E3F2E">
            <w:pPr>
              <w:rPr>
                <w:rFonts w:cs="Calibri"/>
                <w:b/>
                <w:bCs/>
                <w:szCs w:val="18"/>
              </w:rPr>
            </w:pPr>
          </w:p>
        </w:tc>
        <w:tc>
          <w:tcPr>
            <w:tcW w:w="1245" w:type="dxa"/>
            <w:vMerge/>
            <w:tcBorders>
              <w:top w:val="nil"/>
              <w:left w:val="nil"/>
              <w:bottom w:val="single" w:sz="4" w:space="0" w:color="000000"/>
              <w:right w:val="nil"/>
            </w:tcBorders>
            <w:vAlign w:val="center"/>
            <w:hideMark/>
          </w:tcPr>
          <w:p w:rsidR="008835EB" w:rsidRDefault="008835EB" w:rsidP="007E3F2E">
            <w:pPr>
              <w:rPr>
                <w:rFonts w:cs="Calibri"/>
                <w:b/>
                <w:bCs/>
                <w:szCs w:val="18"/>
              </w:rPr>
            </w:pPr>
          </w:p>
        </w:tc>
        <w:tc>
          <w:tcPr>
            <w:tcW w:w="3079" w:type="dxa"/>
            <w:vMerge/>
            <w:tcBorders>
              <w:top w:val="nil"/>
              <w:left w:val="nil"/>
              <w:bottom w:val="single" w:sz="4" w:space="0" w:color="000000"/>
              <w:right w:val="nil"/>
            </w:tcBorders>
            <w:vAlign w:val="center"/>
            <w:hideMark/>
          </w:tcPr>
          <w:p w:rsidR="008835EB" w:rsidRDefault="008835EB" w:rsidP="007E3F2E">
            <w:pPr>
              <w:rPr>
                <w:rFonts w:cs="Calibri"/>
                <w:b/>
                <w:bCs/>
                <w:szCs w:val="18"/>
              </w:rPr>
            </w:pPr>
          </w:p>
        </w:tc>
      </w:tr>
      <w:tr w:rsidR="008835EB" w:rsidTr="007E3F2E">
        <w:trPr>
          <w:trHeight w:val="240"/>
        </w:trPr>
        <w:tc>
          <w:tcPr>
            <w:tcW w:w="5557" w:type="dxa"/>
            <w:tcBorders>
              <w:top w:val="nil"/>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Non-financial assets</w:t>
            </w:r>
          </w:p>
        </w:tc>
        <w:tc>
          <w:tcPr>
            <w:tcW w:w="1275" w:type="dxa"/>
            <w:gridSpan w:val="2"/>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76" w:type="dxa"/>
            <w:gridSpan w:val="2"/>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559" w:type="dxa"/>
            <w:gridSpan w:val="2"/>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245"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3079"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r>
      <w:tr w:rsidR="008835EB" w:rsidTr="007E3F2E">
        <w:trPr>
          <w:trHeight w:val="1050"/>
        </w:trPr>
        <w:tc>
          <w:tcPr>
            <w:tcW w:w="5557" w:type="dxa"/>
            <w:vMerge w:val="restart"/>
            <w:tcBorders>
              <w:top w:val="single" w:sz="4" w:space="0" w:color="auto"/>
              <w:left w:val="nil"/>
              <w:bottom w:val="single" w:sz="4" w:space="0" w:color="000000"/>
              <w:right w:val="nil"/>
            </w:tcBorders>
            <w:shd w:val="clear" w:color="FFFFFF" w:fill="FFFFFF"/>
            <w:noWrap/>
            <w:hideMark/>
          </w:tcPr>
          <w:p w:rsidR="008835EB" w:rsidRDefault="008835EB" w:rsidP="007E3F2E">
            <w:pPr>
              <w:rPr>
                <w:rFonts w:cs="Calibri"/>
                <w:szCs w:val="18"/>
              </w:rPr>
            </w:pPr>
            <w:r>
              <w:rPr>
                <w:rFonts w:cs="Calibri"/>
                <w:szCs w:val="18"/>
              </w:rPr>
              <w:t>Leasehold Improvements</w:t>
            </w:r>
          </w:p>
        </w:tc>
        <w:tc>
          <w:tcPr>
            <w:tcW w:w="1275" w:type="dxa"/>
            <w:gridSpan w:val="2"/>
            <w:tcBorders>
              <w:top w:val="single" w:sz="4" w:space="0" w:color="auto"/>
              <w:left w:val="nil"/>
              <w:bottom w:val="nil"/>
              <w:right w:val="nil"/>
            </w:tcBorders>
            <w:shd w:val="clear" w:color="FFFFFF" w:fill="FFFFFF"/>
            <w:noWrap/>
            <w:hideMark/>
          </w:tcPr>
          <w:p w:rsidR="008835EB" w:rsidRDefault="008835EB" w:rsidP="007E3F2E">
            <w:pPr>
              <w:jc w:val="right"/>
              <w:rPr>
                <w:rFonts w:cs="Calibri"/>
                <w:b/>
                <w:bCs/>
                <w:szCs w:val="18"/>
              </w:rPr>
            </w:pPr>
            <w:r>
              <w:rPr>
                <w:rFonts w:cs="Calibri"/>
                <w:b/>
                <w:bCs/>
                <w:szCs w:val="18"/>
              </w:rPr>
              <w:t xml:space="preserve">23,074 </w:t>
            </w:r>
          </w:p>
        </w:tc>
        <w:tc>
          <w:tcPr>
            <w:tcW w:w="1276" w:type="dxa"/>
            <w:gridSpan w:val="2"/>
            <w:tcBorders>
              <w:top w:val="single" w:sz="4" w:space="0" w:color="auto"/>
              <w:left w:val="nil"/>
              <w:bottom w:val="nil"/>
              <w:right w:val="nil"/>
            </w:tcBorders>
            <w:shd w:val="clear" w:color="FFFFFF" w:fill="FFFFFF"/>
            <w:noWrap/>
            <w:hideMark/>
          </w:tcPr>
          <w:p w:rsidR="008835EB" w:rsidRDefault="008835EB" w:rsidP="007E3F2E">
            <w:pPr>
              <w:jc w:val="right"/>
              <w:rPr>
                <w:rFonts w:cs="Calibri"/>
                <w:szCs w:val="18"/>
              </w:rPr>
            </w:pPr>
            <w:r>
              <w:rPr>
                <w:rFonts w:cs="Calibri"/>
                <w:szCs w:val="18"/>
              </w:rPr>
              <w:t xml:space="preserve">18,928 </w:t>
            </w:r>
          </w:p>
        </w:tc>
        <w:tc>
          <w:tcPr>
            <w:tcW w:w="1559" w:type="dxa"/>
            <w:gridSpan w:val="2"/>
            <w:tcBorders>
              <w:top w:val="single" w:sz="4" w:space="0" w:color="auto"/>
              <w:left w:val="nil"/>
              <w:bottom w:val="nil"/>
              <w:right w:val="nil"/>
            </w:tcBorders>
            <w:shd w:val="clear" w:color="FFFFFF" w:fill="FFFFFF"/>
            <w:noWrap/>
            <w:hideMark/>
          </w:tcPr>
          <w:p w:rsidR="008835EB" w:rsidRDefault="008835EB" w:rsidP="007E3F2E">
            <w:pPr>
              <w:jc w:val="right"/>
              <w:rPr>
                <w:rFonts w:cs="Calibri"/>
                <w:szCs w:val="18"/>
              </w:rPr>
            </w:pPr>
            <w:r>
              <w:rPr>
                <w:rFonts w:cs="Calibri"/>
                <w:szCs w:val="18"/>
              </w:rPr>
              <w:t xml:space="preserve">3 </w:t>
            </w:r>
          </w:p>
        </w:tc>
        <w:tc>
          <w:tcPr>
            <w:tcW w:w="1245" w:type="dxa"/>
            <w:tcBorders>
              <w:top w:val="single" w:sz="4" w:space="0" w:color="auto"/>
              <w:left w:val="nil"/>
              <w:bottom w:val="nil"/>
              <w:right w:val="nil"/>
            </w:tcBorders>
            <w:shd w:val="clear" w:color="FFFFFF" w:fill="FFFFFF"/>
            <w:hideMark/>
          </w:tcPr>
          <w:p w:rsidR="008835EB" w:rsidRDefault="008835EB" w:rsidP="007E3F2E">
            <w:pPr>
              <w:jc w:val="right"/>
              <w:rPr>
                <w:rFonts w:cs="Calibri"/>
                <w:szCs w:val="18"/>
              </w:rPr>
            </w:pPr>
            <w:r>
              <w:rPr>
                <w:rFonts w:cs="Calibri"/>
                <w:szCs w:val="18"/>
              </w:rPr>
              <w:t>Depreciated Replacement Cost</w:t>
            </w:r>
          </w:p>
        </w:tc>
        <w:tc>
          <w:tcPr>
            <w:tcW w:w="3079" w:type="dxa"/>
            <w:tcBorders>
              <w:top w:val="nil"/>
              <w:left w:val="nil"/>
              <w:right w:val="nil"/>
            </w:tcBorders>
            <w:shd w:val="clear" w:color="FFFFFF" w:fill="FFFFFF"/>
            <w:hideMark/>
          </w:tcPr>
          <w:p w:rsidR="008835EB" w:rsidRDefault="008835EB" w:rsidP="007E3F2E">
            <w:pPr>
              <w:rPr>
                <w:rFonts w:cs="Calibri"/>
                <w:szCs w:val="18"/>
              </w:rPr>
            </w:pPr>
            <w:r>
              <w:rPr>
                <w:rFonts w:cs="Calibri"/>
                <w:szCs w:val="18"/>
              </w:rPr>
              <w:t>The cost to acquire a substitute asset of comparable utility adjusted for depreciation and obsolescence. Depreciation based on lease term</w:t>
            </w:r>
          </w:p>
        </w:tc>
      </w:tr>
      <w:tr w:rsidR="008835EB" w:rsidTr="007E3F2E">
        <w:trPr>
          <w:trHeight w:val="998"/>
        </w:trPr>
        <w:tc>
          <w:tcPr>
            <w:tcW w:w="5557" w:type="dxa"/>
            <w:vMerge/>
            <w:tcBorders>
              <w:top w:val="single" w:sz="4" w:space="0" w:color="auto"/>
              <w:left w:val="nil"/>
              <w:bottom w:val="single" w:sz="4" w:space="0" w:color="000000"/>
              <w:right w:val="nil"/>
            </w:tcBorders>
            <w:vAlign w:val="center"/>
            <w:hideMark/>
          </w:tcPr>
          <w:p w:rsidR="008835EB" w:rsidRDefault="008835EB" w:rsidP="007E3F2E">
            <w:pPr>
              <w:rPr>
                <w:rFonts w:cs="Calibri"/>
                <w:szCs w:val="18"/>
              </w:rPr>
            </w:pPr>
          </w:p>
        </w:tc>
        <w:tc>
          <w:tcPr>
            <w:tcW w:w="1275" w:type="dxa"/>
            <w:gridSpan w:val="2"/>
            <w:tcBorders>
              <w:top w:val="single" w:sz="4" w:space="0" w:color="auto"/>
              <w:left w:val="nil"/>
              <w:bottom w:val="single" w:sz="4" w:space="0" w:color="auto"/>
              <w:right w:val="nil"/>
            </w:tcBorders>
            <w:shd w:val="clear" w:color="FFFFFF" w:fill="FFFFFF"/>
            <w:noWrap/>
            <w:hideMark/>
          </w:tcPr>
          <w:p w:rsidR="008835EB" w:rsidRDefault="008835EB" w:rsidP="007E3F2E">
            <w:pPr>
              <w:jc w:val="right"/>
              <w:rPr>
                <w:rFonts w:cs="Calibri"/>
                <w:b/>
                <w:bCs/>
                <w:szCs w:val="18"/>
              </w:rPr>
            </w:pPr>
            <w:r>
              <w:rPr>
                <w:rFonts w:cs="Calibri"/>
                <w:b/>
                <w:bCs/>
                <w:szCs w:val="18"/>
              </w:rPr>
              <w:t xml:space="preserve">191 </w:t>
            </w:r>
          </w:p>
        </w:tc>
        <w:tc>
          <w:tcPr>
            <w:tcW w:w="1276" w:type="dxa"/>
            <w:gridSpan w:val="2"/>
            <w:tcBorders>
              <w:top w:val="single" w:sz="4" w:space="0" w:color="auto"/>
              <w:left w:val="nil"/>
              <w:bottom w:val="single" w:sz="4" w:space="0" w:color="auto"/>
              <w:right w:val="nil"/>
            </w:tcBorders>
            <w:shd w:val="clear" w:color="FFFFFF" w:fill="FFFFFF"/>
            <w:noWrap/>
            <w:hideMark/>
          </w:tcPr>
          <w:p w:rsidR="008835EB" w:rsidRDefault="008835EB" w:rsidP="007E3F2E">
            <w:pPr>
              <w:jc w:val="right"/>
              <w:rPr>
                <w:rFonts w:cs="Calibri"/>
                <w:szCs w:val="18"/>
              </w:rPr>
            </w:pPr>
            <w:r>
              <w:rPr>
                <w:rFonts w:cs="Calibri"/>
                <w:szCs w:val="18"/>
              </w:rPr>
              <w:t xml:space="preserve">320 </w:t>
            </w:r>
          </w:p>
        </w:tc>
        <w:tc>
          <w:tcPr>
            <w:tcW w:w="1559" w:type="dxa"/>
            <w:gridSpan w:val="2"/>
            <w:tcBorders>
              <w:top w:val="single" w:sz="4" w:space="0" w:color="auto"/>
              <w:left w:val="nil"/>
              <w:bottom w:val="single" w:sz="4" w:space="0" w:color="auto"/>
              <w:right w:val="nil"/>
            </w:tcBorders>
            <w:shd w:val="clear" w:color="FFFFFF" w:fill="FFFFFF"/>
            <w:noWrap/>
            <w:hideMark/>
          </w:tcPr>
          <w:p w:rsidR="008835EB" w:rsidRDefault="008835EB" w:rsidP="007E3F2E">
            <w:pPr>
              <w:jc w:val="right"/>
              <w:rPr>
                <w:rFonts w:cs="Calibri"/>
                <w:szCs w:val="18"/>
              </w:rPr>
            </w:pPr>
            <w:r>
              <w:rPr>
                <w:rFonts w:cs="Calibri"/>
                <w:szCs w:val="18"/>
              </w:rPr>
              <w:t xml:space="preserve">3 </w:t>
            </w:r>
          </w:p>
        </w:tc>
        <w:tc>
          <w:tcPr>
            <w:tcW w:w="1245" w:type="dxa"/>
            <w:tcBorders>
              <w:top w:val="single" w:sz="4" w:space="0" w:color="auto"/>
              <w:left w:val="nil"/>
              <w:bottom w:val="single" w:sz="4" w:space="0" w:color="auto"/>
              <w:right w:val="nil"/>
            </w:tcBorders>
            <w:shd w:val="clear" w:color="FFFFFF" w:fill="FFFFFF"/>
            <w:hideMark/>
          </w:tcPr>
          <w:p w:rsidR="008835EB" w:rsidRDefault="008835EB" w:rsidP="007E3F2E">
            <w:pPr>
              <w:jc w:val="right"/>
              <w:rPr>
                <w:rFonts w:cs="Calibri"/>
                <w:szCs w:val="18"/>
              </w:rPr>
            </w:pPr>
            <w:r>
              <w:rPr>
                <w:rFonts w:cs="Calibri"/>
                <w:szCs w:val="18"/>
              </w:rPr>
              <w:t>Depreciated Replacement Cost</w:t>
            </w:r>
          </w:p>
        </w:tc>
        <w:tc>
          <w:tcPr>
            <w:tcW w:w="3079" w:type="dxa"/>
            <w:tcBorders>
              <w:top w:val="single" w:sz="4" w:space="0" w:color="auto"/>
              <w:left w:val="nil"/>
              <w:bottom w:val="single" w:sz="4" w:space="0" w:color="auto"/>
              <w:right w:val="nil"/>
            </w:tcBorders>
            <w:shd w:val="clear" w:color="FFFFFF" w:fill="FFFFFF"/>
            <w:hideMark/>
          </w:tcPr>
          <w:p w:rsidR="008835EB" w:rsidRDefault="008835EB" w:rsidP="007E3F2E">
            <w:pPr>
              <w:rPr>
                <w:rFonts w:cs="Calibri"/>
                <w:szCs w:val="18"/>
              </w:rPr>
            </w:pPr>
            <w:r>
              <w:rPr>
                <w:rFonts w:cs="Calibri"/>
                <w:szCs w:val="18"/>
              </w:rPr>
              <w:t xml:space="preserve">Current restoration costs (price per square metre of floor area) </w:t>
            </w:r>
            <w:r>
              <w:rPr>
                <w:rFonts w:cs="Calibri"/>
                <w:szCs w:val="18"/>
              </w:rPr>
              <w:br/>
              <w:t>BPI and Government Bond rates Depreciation based on lease term</w:t>
            </w:r>
          </w:p>
        </w:tc>
      </w:tr>
      <w:tr w:rsidR="008835EB" w:rsidTr="007E3F2E">
        <w:trPr>
          <w:trHeight w:val="720"/>
        </w:trPr>
        <w:tc>
          <w:tcPr>
            <w:tcW w:w="5557" w:type="dxa"/>
            <w:vMerge w:val="restart"/>
            <w:tcBorders>
              <w:top w:val="single" w:sz="4" w:space="0" w:color="auto"/>
              <w:left w:val="nil"/>
              <w:bottom w:val="nil"/>
              <w:right w:val="nil"/>
            </w:tcBorders>
            <w:shd w:val="clear" w:color="FFFFFF" w:fill="FFFFFF"/>
            <w:noWrap/>
            <w:hideMark/>
          </w:tcPr>
          <w:p w:rsidR="008835EB" w:rsidRDefault="008835EB" w:rsidP="007E3F2E">
            <w:pPr>
              <w:rPr>
                <w:rFonts w:cs="Calibri"/>
                <w:szCs w:val="18"/>
              </w:rPr>
            </w:pPr>
            <w:r>
              <w:rPr>
                <w:rFonts w:cs="Calibri"/>
                <w:szCs w:val="18"/>
              </w:rPr>
              <w:t>Infrastructure, plant and equipment</w:t>
            </w:r>
          </w:p>
        </w:tc>
        <w:tc>
          <w:tcPr>
            <w:tcW w:w="1275" w:type="dxa"/>
            <w:gridSpan w:val="2"/>
            <w:tcBorders>
              <w:top w:val="single" w:sz="4" w:space="0" w:color="auto"/>
              <w:left w:val="nil"/>
              <w:bottom w:val="nil"/>
              <w:right w:val="nil"/>
            </w:tcBorders>
            <w:shd w:val="clear" w:color="FFFFFF" w:fill="FFFFFF"/>
            <w:noWrap/>
            <w:hideMark/>
          </w:tcPr>
          <w:p w:rsidR="008835EB" w:rsidRDefault="008835EB" w:rsidP="007E3F2E">
            <w:pPr>
              <w:jc w:val="right"/>
              <w:rPr>
                <w:rFonts w:cs="Calibri"/>
                <w:b/>
                <w:bCs/>
                <w:szCs w:val="18"/>
              </w:rPr>
            </w:pPr>
            <w:r>
              <w:rPr>
                <w:rFonts w:cs="Calibri"/>
                <w:b/>
                <w:bCs/>
                <w:szCs w:val="18"/>
              </w:rPr>
              <w:t xml:space="preserve">7,912 </w:t>
            </w:r>
          </w:p>
        </w:tc>
        <w:tc>
          <w:tcPr>
            <w:tcW w:w="1276" w:type="dxa"/>
            <w:gridSpan w:val="2"/>
            <w:tcBorders>
              <w:top w:val="single" w:sz="4" w:space="0" w:color="auto"/>
              <w:left w:val="nil"/>
              <w:bottom w:val="nil"/>
              <w:right w:val="nil"/>
            </w:tcBorders>
            <w:shd w:val="clear" w:color="FFFFFF" w:fill="FFFFFF"/>
            <w:noWrap/>
            <w:hideMark/>
          </w:tcPr>
          <w:p w:rsidR="008835EB" w:rsidRDefault="008835EB" w:rsidP="007E3F2E">
            <w:pPr>
              <w:jc w:val="right"/>
              <w:rPr>
                <w:rFonts w:cs="Calibri"/>
                <w:szCs w:val="18"/>
              </w:rPr>
            </w:pPr>
            <w:r>
              <w:rPr>
                <w:rFonts w:cs="Calibri"/>
                <w:szCs w:val="18"/>
              </w:rPr>
              <w:t xml:space="preserve">4,684 </w:t>
            </w:r>
          </w:p>
        </w:tc>
        <w:tc>
          <w:tcPr>
            <w:tcW w:w="1559" w:type="dxa"/>
            <w:gridSpan w:val="2"/>
            <w:tcBorders>
              <w:top w:val="single" w:sz="4" w:space="0" w:color="auto"/>
              <w:left w:val="nil"/>
              <w:bottom w:val="nil"/>
              <w:right w:val="nil"/>
            </w:tcBorders>
            <w:shd w:val="clear" w:color="FFFFFF" w:fill="FFFFFF"/>
            <w:noWrap/>
            <w:hideMark/>
          </w:tcPr>
          <w:p w:rsidR="008835EB" w:rsidRDefault="008835EB" w:rsidP="007E3F2E">
            <w:pPr>
              <w:jc w:val="right"/>
              <w:rPr>
                <w:rFonts w:cs="Calibri"/>
                <w:szCs w:val="18"/>
              </w:rPr>
            </w:pPr>
            <w:r>
              <w:rPr>
                <w:rFonts w:cs="Calibri"/>
                <w:szCs w:val="18"/>
              </w:rPr>
              <w:t xml:space="preserve">2 </w:t>
            </w:r>
          </w:p>
        </w:tc>
        <w:tc>
          <w:tcPr>
            <w:tcW w:w="1245" w:type="dxa"/>
            <w:tcBorders>
              <w:top w:val="single" w:sz="4" w:space="0" w:color="auto"/>
              <w:left w:val="nil"/>
              <w:bottom w:val="nil"/>
              <w:right w:val="nil"/>
            </w:tcBorders>
            <w:shd w:val="clear" w:color="FFFFFF" w:fill="FFFFFF"/>
            <w:hideMark/>
          </w:tcPr>
          <w:p w:rsidR="008835EB" w:rsidRDefault="008835EB" w:rsidP="007E3F2E">
            <w:pPr>
              <w:jc w:val="right"/>
              <w:rPr>
                <w:rFonts w:cs="Calibri"/>
                <w:szCs w:val="18"/>
              </w:rPr>
            </w:pPr>
            <w:r>
              <w:rPr>
                <w:rFonts w:cs="Calibri"/>
                <w:szCs w:val="18"/>
              </w:rPr>
              <w:t>Market Approach</w:t>
            </w:r>
          </w:p>
        </w:tc>
        <w:tc>
          <w:tcPr>
            <w:tcW w:w="3079" w:type="dxa"/>
            <w:tcBorders>
              <w:top w:val="single" w:sz="4" w:space="0" w:color="auto"/>
              <w:left w:val="nil"/>
              <w:bottom w:val="single" w:sz="4" w:space="0" w:color="auto"/>
              <w:right w:val="nil"/>
            </w:tcBorders>
            <w:shd w:val="clear" w:color="FFFFFF" w:fill="FFFFFF"/>
            <w:hideMark/>
          </w:tcPr>
          <w:p w:rsidR="008835EB" w:rsidRDefault="008835EB" w:rsidP="007E3F2E">
            <w:pPr>
              <w:rPr>
                <w:rFonts w:cs="Calibri"/>
                <w:szCs w:val="18"/>
              </w:rPr>
            </w:pPr>
            <w:r>
              <w:rPr>
                <w:rFonts w:cs="Calibri"/>
                <w:szCs w:val="18"/>
              </w:rPr>
              <w:t>Fair value estimated with reference to recent market transactions involving plant &amp; equipment</w:t>
            </w:r>
          </w:p>
        </w:tc>
      </w:tr>
      <w:tr w:rsidR="008835EB" w:rsidTr="007E3F2E">
        <w:trPr>
          <w:trHeight w:val="720"/>
        </w:trPr>
        <w:tc>
          <w:tcPr>
            <w:tcW w:w="5557" w:type="dxa"/>
            <w:vMerge/>
            <w:tcBorders>
              <w:top w:val="single" w:sz="4" w:space="0" w:color="auto"/>
              <w:left w:val="nil"/>
              <w:bottom w:val="nil"/>
              <w:right w:val="nil"/>
            </w:tcBorders>
            <w:vAlign w:val="center"/>
            <w:hideMark/>
          </w:tcPr>
          <w:p w:rsidR="008835EB" w:rsidRDefault="008835EB" w:rsidP="007E3F2E">
            <w:pPr>
              <w:rPr>
                <w:rFonts w:cs="Calibri"/>
                <w:szCs w:val="18"/>
              </w:rPr>
            </w:pPr>
          </w:p>
        </w:tc>
        <w:tc>
          <w:tcPr>
            <w:tcW w:w="1275" w:type="dxa"/>
            <w:gridSpan w:val="2"/>
            <w:tcBorders>
              <w:top w:val="single" w:sz="4" w:space="0" w:color="auto"/>
              <w:left w:val="nil"/>
              <w:bottom w:val="nil"/>
              <w:right w:val="nil"/>
            </w:tcBorders>
            <w:shd w:val="clear" w:color="FFFFFF" w:fill="FFFFFF"/>
            <w:noWrap/>
            <w:hideMark/>
          </w:tcPr>
          <w:p w:rsidR="008835EB" w:rsidRDefault="008835EB" w:rsidP="007E3F2E">
            <w:pPr>
              <w:jc w:val="right"/>
              <w:rPr>
                <w:rFonts w:cs="Calibri"/>
                <w:b/>
                <w:bCs/>
                <w:szCs w:val="18"/>
              </w:rPr>
            </w:pPr>
            <w:r>
              <w:rPr>
                <w:rFonts w:cs="Calibri"/>
                <w:b/>
                <w:bCs/>
                <w:szCs w:val="18"/>
              </w:rPr>
              <w:t xml:space="preserve">736 </w:t>
            </w:r>
          </w:p>
        </w:tc>
        <w:tc>
          <w:tcPr>
            <w:tcW w:w="1276" w:type="dxa"/>
            <w:gridSpan w:val="2"/>
            <w:tcBorders>
              <w:top w:val="single" w:sz="4" w:space="0" w:color="auto"/>
              <w:left w:val="nil"/>
              <w:bottom w:val="nil"/>
              <w:right w:val="nil"/>
            </w:tcBorders>
            <w:shd w:val="clear" w:color="FFFFFF" w:fill="FFFFFF"/>
            <w:noWrap/>
            <w:hideMark/>
          </w:tcPr>
          <w:p w:rsidR="008835EB" w:rsidRDefault="008835EB" w:rsidP="007E3F2E">
            <w:pPr>
              <w:jc w:val="right"/>
              <w:rPr>
                <w:rFonts w:cs="Calibri"/>
                <w:szCs w:val="18"/>
              </w:rPr>
            </w:pPr>
            <w:r>
              <w:rPr>
                <w:rFonts w:cs="Calibri"/>
                <w:szCs w:val="18"/>
              </w:rPr>
              <w:t xml:space="preserve"> -</w:t>
            </w:r>
          </w:p>
        </w:tc>
        <w:tc>
          <w:tcPr>
            <w:tcW w:w="1559" w:type="dxa"/>
            <w:gridSpan w:val="2"/>
            <w:tcBorders>
              <w:top w:val="single" w:sz="4" w:space="0" w:color="auto"/>
              <w:left w:val="nil"/>
              <w:bottom w:val="nil"/>
              <w:right w:val="nil"/>
            </w:tcBorders>
            <w:shd w:val="clear" w:color="FFFFFF" w:fill="FFFFFF"/>
            <w:noWrap/>
            <w:hideMark/>
          </w:tcPr>
          <w:p w:rsidR="008835EB" w:rsidRDefault="008835EB" w:rsidP="007E3F2E">
            <w:pPr>
              <w:jc w:val="right"/>
              <w:rPr>
                <w:rFonts w:cs="Calibri"/>
                <w:szCs w:val="18"/>
              </w:rPr>
            </w:pPr>
            <w:r>
              <w:rPr>
                <w:rFonts w:cs="Calibri"/>
                <w:szCs w:val="18"/>
              </w:rPr>
              <w:t xml:space="preserve">3 </w:t>
            </w:r>
          </w:p>
        </w:tc>
        <w:tc>
          <w:tcPr>
            <w:tcW w:w="1245" w:type="dxa"/>
            <w:tcBorders>
              <w:top w:val="single" w:sz="4" w:space="0" w:color="auto"/>
              <w:left w:val="nil"/>
              <w:bottom w:val="nil"/>
              <w:right w:val="nil"/>
            </w:tcBorders>
            <w:shd w:val="clear" w:color="FFFFFF" w:fill="FFFFFF"/>
            <w:hideMark/>
          </w:tcPr>
          <w:p w:rsidR="008835EB" w:rsidRDefault="008835EB" w:rsidP="007E3F2E">
            <w:pPr>
              <w:jc w:val="right"/>
              <w:rPr>
                <w:rFonts w:cs="Calibri"/>
                <w:szCs w:val="18"/>
              </w:rPr>
            </w:pPr>
            <w:r>
              <w:rPr>
                <w:rFonts w:cs="Calibri"/>
                <w:szCs w:val="18"/>
              </w:rPr>
              <w:t>Market Approach</w:t>
            </w:r>
          </w:p>
        </w:tc>
        <w:tc>
          <w:tcPr>
            <w:tcW w:w="3079" w:type="dxa"/>
            <w:tcBorders>
              <w:top w:val="nil"/>
              <w:left w:val="nil"/>
              <w:bottom w:val="single" w:sz="4" w:space="0" w:color="auto"/>
              <w:right w:val="nil"/>
            </w:tcBorders>
            <w:shd w:val="clear" w:color="FFFFFF" w:fill="FFFFFF"/>
            <w:hideMark/>
          </w:tcPr>
          <w:p w:rsidR="008835EB" w:rsidRDefault="008835EB" w:rsidP="007E3F2E">
            <w:pPr>
              <w:rPr>
                <w:rFonts w:cs="Calibri"/>
                <w:szCs w:val="18"/>
              </w:rPr>
            </w:pPr>
            <w:r>
              <w:rPr>
                <w:rFonts w:cs="Calibri"/>
                <w:szCs w:val="18"/>
              </w:rPr>
              <w:t>Fair value estimated with reference to recent market transactions involving plant &amp; equipment</w:t>
            </w:r>
          </w:p>
        </w:tc>
      </w:tr>
      <w:tr w:rsidR="008835EB" w:rsidTr="007E3F2E">
        <w:trPr>
          <w:trHeight w:val="1379"/>
        </w:trPr>
        <w:tc>
          <w:tcPr>
            <w:tcW w:w="5557" w:type="dxa"/>
            <w:vMerge/>
            <w:tcBorders>
              <w:top w:val="single" w:sz="4" w:space="0" w:color="auto"/>
              <w:left w:val="nil"/>
              <w:bottom w:val="nil"/>
              <w:right w:val="nil"/>
            </w:tcBorders>
            <w:vAlign w:val="center"/>
            <w:hideMark/>
          </w:tcPr>
          <w:p w:rsidR="008835EB" w:rsidRDefault="008835EB" w:rsidP="007E3F2E">
            <w:pPr>
              <w:rPr>
                <w:rFonts w:cs="Calibri"/>
                <w:szCs w:val="18"/>
              </w:rPr>
            </w:pPr>
          </w:p>
        </w:tc>
        <w:tc>
          <w:tcPr>
            <w:tcW w:w="1275" w:type="dxa"/>
            <w:gridSpan w:val="2"/>
            <w:tcBorders>
              <w:top w:val="single" w:sz="4" w:space="0" w:color="auto"/>
              <w:left w:val="nil"/>
              <w:bottom w:val="single" w:sz="4" w:space="0" w:color="000000"/>
              <w:right w:val="nil"/>
            </w:tcBorders>
            <w:shd w:val="clear" w:color="FFFFFF" w:fill="FFFFFF"/>
            <w:noWrap/>
            <w:hideMark/>
          </w:tcPr>
          <w:p w:rsidR="008835EB" w:rsidRDefault="008835EB" w:rsidP="007E3F2E">
            <w:pPr>
              <w:jc w:val="right"/>
              <w:rPr>
                <w:rFonts w:cs="Calibri"/>
                <w:b/>
                <w:bCs/>
                <w:szCs w:val="18"/>
              </w:rPr>
            </w:pPr>
            <w:r>
              <w:rPr>
                <w:rFonts w:cs="Calibri"/>
                <w:b/>
                <w:bCs/>
                <w:szCs w:val="18"/>
              </w:rPr>
              <w:t xml:space="preserve">5,066 </w:t>
            </w:r>
          </w:p>
        </w:tc>
        <w:tc>
          <w:tcPr>
            <w:tcW w:w="1276" w:type="dxa"/>
            <w:gridSpan w:val="2"/>
            <w:tcBorders>
              <w:top w:val="single" w:sz="4" w:space="0" w:color="auto"/>
              <w:left w:val="nil"/>
              <w:bottom w:val="single" w:sz="4" w:space="0" w:color="000000"/>
              <w:right w:val="nil"/>
            </w:tcBorders>
            <w:shd w:val="clear" w:color="FFFFFF" w:fill="FFFFFF"/>
            <w:noWrap/>
            <w:hideMark/>
          </w:tcPr>
          <w:p w:rsidR="008835EB" w:rsidRDefault="008835EB" w:rsidP="007E3F2E">
            <w:pPr>
              <w:jc w:val="right"/>
              <w:rPr>
                <w:rFonts w:cs="Calibri"/>
                <w:szCs w:val="18"/>
              </w:rPr>
            </w:pPr>
            <w:r>
              <w:rPr>
                <w:rFonts w:cs="Calibri"/>
                <w:szCs w:val="18"/>
              </w:rPr>
              <w:t xml:space="preserve">8,525 </w:t>
            </w:r>
          </w:p>
        </w:tc>
        <w:tc>
          <w:tcPr>
            <w:tcW w:w="1559" w:type="dxa"/>
            <w:gridSpan w:val="2"/>
            <w:tcBorders>
              <w:top w:val="single" w:sz="4" w:space="0" w:color="auto"/>
              <w:left w:val="nil"/>
              <w:bottom w:val="single" w:sz="4" w:space="0" w:color="000000"/>
              <w:right w:val="nil"/>
            </w:tcBorders>
            <w:shd w:val="clear" w:color="FFFFFF" w:fill="FFFFFF"/>
            <w:noWrap/>
            <w:hideMark/>
          </w:tcPr>
          <w:p w:rsidR="008835EB" w:rsidRDefault="008835EB" w:rsidP="007E3F2E">
            <w:pPr>
              <w:jc w:val="right"/>
              <w:rPr>
                <w:rFonts w:cs="Calibri"/>
                <w:szCs w:val="18"/>
              </w:rPr>
            </w:pPr>
            <w:r>
              <w:rPr>
                <w:rFonts w:cs="Calibri"/>
                <w:szCs w:val="18"/>
              </w:rPr>
              <w:t xml:space="preserve">3 </w:t>
            </w:r>
          </w:p>
        </w:tc>
        <w:tc>
          <w:tcPr>
            <w:tcW w:w="1245" w:type="dxa"/>
            <w:tcBorders>
              <w:top w:val="single" w:sz="4" w:space="0" w:color="auto"/>
              <w:left w:val="nil"/>
              <w:bottom w:val="single" w:sz="4" w:space="0" w:color="000000"/>
              <w:right w:val="nil"/>
            </w:tcBorders>
            <w:shd w:val="clear" w:color="FFFFFF" w:fill="FFFFFF"/>
            <w:hideMark/>
          </w:tcPr>
          <w:p w:rsidR="008835EB" w:rsidRDefault="008835EB" w:rsidP="007E3F2E">
            <w:pPr>
              <w:jc w:val="right"/>
              <w:rPr>
                <w:rFonts w:cs="Calibri"/>
                <w:szCs w:val="18"/>
              </w:rPr>
            </w:pPr>
            <w:r>
              <w:rPr>
                <w:rFonts w:cs="Calibri"/>
                <w:szCs w:val="18"/>
              </w:rPr>
              <w:t>Depreciated Replacement Cost</w:t>
            </w:r>
          </w:p>
        </w:tc>
        <w:tc>
          <w:tcPr>
            <w:tcW w:w="3079" w:type="dxa"/>
            <w:tcBorders>
              <w:top w:val="nil"/>
              <w:left w:val="nil"/>
              <w:right w:val="nil"/>
            </w:tcBorders>
            <w:shd w:val="clear" w:color="FFFFFF" w:fill="FFFFFF"/>
            <w:hideMark/>
          </w:tcPr>
          <w:p w:rsidR="008835EB" w:rsidRDefault="008835EB" w:rsidP="007E3F2E">
            <w:pPr>
              <w:rPr>
                <w:rFonts w:cs="Calibri"/>
                <w:szCs w:val="18"/>
              </w:rPr>
            </w:pPr>
            <w:r>
              <w:rPr>
                <w:rFonts w:cs="Calibri"/>
                <w:szCs w:val="18"/>
              </w:rPr>
              <w:t>Current prices for substitute assets. Physical depreciation and obsolescence was determined based on judgement regarding economic and external factors.</w:t>
            </w:r>
          </w:p>
        </w:tc>
      </w:tr>
      <w:tr w:rsidR="008835EB" w:rsidTr="007E3F2E">
        <w:trPr>
          <w:trHeight w:val="240"/>
        </w:trPr>
        <w:tc>
          <w:tcPr>
            <w:tcW w:w="5557"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non-financial assets</w:t>
            </w:r>
          </w:p>
        </w:tc>
        <w:tc>
          <w:tcPr>
            <w:tcW w:w="1275" w:type="dxa"/>
            <w:gridSpan w:val="2"/>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36,979</w:t>
            </w:r>
          </w:p>
        </w:tc>
        <w:tc>
          <w:tcPr>
            <w:tcW w:w="1276" w:type="dxa"/>
            <w:gridSpan w:val="2"/>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32,457</w:t>
            </w:r>
          </w:p>
        </w:tc>
        <w:tc>
          <w:tcPr>
            <w:tcW w:w="1559" w:type="dxa"/>
            <w:gridSpan w:val="2"/>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1245" w:type="dxa"/>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3079" w:type="dxa"/>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r>
      <w:tr w:rsidR="008835EB" w:rsidTr="007E3F2E">
        <w:trPr>
          <w:trHeight w:val="435"/>
        </w:trPr>
        <w:tc>
          <w:tcPr>
            <w:tcW w:w="5557" w:type="dxa"/>
            <w:tcBorders>
              <w:top w:val="nil"/>
              <w:left w:val="nil"/>
              <w:bottom w:val="nil"/>
              <w:right w:val="nil"/>
            </w:tcBorders>
            <w:shd w:val="clear" w:color="FFFFFF" w:fill="FFFFFF"/>
            <w:vAlign w:val="bottom"/>
            <w:hideMark/>
          </w:tcPr>
          <w:p w:rsidR="008835EB" w:rsidRDefault="008835EB" w:rsidP="007E3F2E">
            <w:pPr>
              <w:rPr>
                <w:rFonts w:cs="Calibri"/>
                <w:b/>
                <w:bCs/>
                <w:i/>
                <w:iCs/>
                <w:szCs w:val="18"/>
              </w:rPr>
            </w:pPr>
            <w:r>
              <w:rPr>
                <w:rFonts w:cs="Calibri"/>
                <w:b/>
                <w:bCs/>
                <w:i/>
                <w:iCs/>
                <w:szCs w:val="18"/>
              </w:rPr>
              <w:t>Total fair value measurements of assets in the Statement of Financial Position</w:t>
            </w:r>
          </w:p>
        </w:tc>
        <w:tc>
          <w:tcPr>
            <w:tcW w:w="1275" w:type="dxa"/>
            <w:gridSpan w:val="2"/>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36,979</w:t>
            </w:r>
          </w:p>
        </w:tc>
        <w:tc>
          <w:tcPr>
            <w:tcW w:w="1276" w:type="dxa"/>
            <w:gridSpan w:val="2"/>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32,457</w:t>
            </w:r>
          </w:p>
        </w:tc>
        <w:tc>
          <w:tcPr>
            <w:tcW w:w="1559" w:type="dxa"/>
            <w:gridSpan w:val="2"/>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1245" w:type="dxa"/>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c>
          <w:tcPr>
            <w:tcW w:w="3079" w:type="dxa"/>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w:t>
            </w:r>
          </w:p>
        </w:tc>
      </w:tr>
    </w:tbl>
    <w:p w:rsidR="008835EB" w:rsidRDefault="008835EB" w:rsidP="008835EB">
      <w:pPr>
        <w:spacing w:line="240" w:lineRule="auto"/>
        <w:rPr>
          <w:rFonts w:asciiTheme="minorHAnsi" w:hAnsiTheme="minorHAnsi" w:cstheme="minorHAnsi"/>
          <w:b/>
          <w:sz w:val="20"/>
        </w:rPr>
        <w:sectPr w:rsidR="008835EB" w:rsidSect="00F74C23">
          <w:pgSz w:w="16838" w:h="11906" w:orient="landscape"/>
          <w:pgMar w:top="1134" w:right="1134" w:bottom="1134" w:left="1134" w:header="958" w:footer="737" w:gutter="0"/>
          <w:cols w:space="720"/>
          <w:docGrid w:linePitch="245"/>
        </w:sectPr>
      </w:pPr>
      <w:bookmarkStart w:id="493" w:name="RANGE!D7:D22"/>
      <w:bookmarkStart w:id="494" w:name="RANGE!D7:I28"/>
      <w:bookmarkStart w:id="495" w:name="RANGE!D7:D30"/>
      <w:bookmarkStart w:id="496" w:name="RANGE!D7:I30"/>
      <w:bookmarkStart w:id="497" w:name="RANGE!D7:I55"/>
      <w:bookmarkStart w:id="498" w:name="RANGE!D7:I56"/>
      <w:bookmarkStart w:id="499" w:name="RANGE!D7:D57"/>
      <w:bookmarkStart w:id="500" w:name="RANGE!D7:I58"/>
      <w:bookmarkStart w:id="501" w:name="RANGE!D7:I59"/>
      <w:bookmarkStart w:id="502" w:name="RANGE!D7:D58"/>
      <w:bookmarkStart w:id="503" w:name="RANGE!D7:J59"/>
      <w:bookmarkStart w:id="504" w:name="RANGE!D7:D46"/>
      <w:bookmarkStart w:id="505" w:name="RANGE!D7:J48"/>
      <w:bookmarkStart w:id="506" w:name="RANGE!D7:D48"/>
      <w:bookmarkStart w:id="507" w:name="RANGE!D7:J50"/>
      <w:bookmarkStart w:id="508" w:name="RANGE!D7:D49"/>
      <w:bookmarkStart w:id="509" w:name="RANGE!D7:J51"/>
      <w:bookmarkStart w:id="510" w:name="RANGE!D7:D20"/>
      <w:bookmarkStart w:id="511" w:name="RANGE!D7:H20"/>
      <w:bookmarkStart w:id="512" w:name="RANGE!D7:I27"/>
      <w:bookmarkStart w:id="513" w:name="RANGE!D7:D24"/>
      <w:bookmarkStart w:id="514" w:name="RANGE!D7:I24"/>
      <w:bookmarkStart w:id="515" w:name="RANGE!D7:G28"/>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rsidR="008835EB" w:rsidRDefault="008835EB" w:rsidP="008835EB">
      <w:pPr>
        <w:spacing w:line="240" w:lineRule="auto"/>
        <w:rPr>
          <w:rFonts w:asciiTheme="minorHAnsi" w:hAnsiTheme="minorHAnsi" w:cstheme="minorHAnsi"/>
          <w:b/>
          <w:sz w:val="20"/>
        </w:rPr>
      </w:pPr>
    </w:p>
    <w:tbl>
      <w:tblPr>
        <w:tblW w:w="9087" w:type="dxa"/>
        <w:tblInd w:w="80" w:type="dxa"/>
        <w:tblLayout w:type="fixed"/>
        <w:tblLook w:val="04A0" w:firstRow="1" w:lastRow="0" w:firstColumn="1" w:lastColumn="0" w:noHBand="0" w:noVBand="1"/>
      </w:tblPr>
      <w:tblGrid>
        <w:gridCol w:w="6483"/>
        <w:gridCol w:w="1302"/>
        <w:gridCol w:w="1302"/>
      </w:tblGrid>
      <w:tr w:rsidR="008835EB" w:rsidTr="007E3F2E">
        <w:trPr>
          <w:trHeight w:val="255"/>
        </w:trPr>
        <w:tc>
          <w:tcPr>
            <w:tcW w:w="6406" w:type="dxa"/>
            <w:tcBorders>
              <w:top w:val="nil"/>
              <w:left w:val="nil"/>
              <w:bottom w:val="nil"/>
              <w:right w:val="nil"/>
            </w:tcBorders>
            <w:shd w:val="clear" w:color="auto" w:fill="auto"/>
            <w:hideMark/>
          </w:tcPr>
          <w:p w:rsidR="008835EB" w:rsidRDefault="008835EB" w:rsidP="007E3F2E">
            <w:pPr>
              <w:rPr>
                <w:rFonts w:cs="Calibri"/>
                <w:b/>
                <w:bCs/>
                <w:color w:val="000000"/>
                <w:szCs w:val="18"/>
              </w:rPr>
            </w:pPr>
            <w:bookmarkStart w:id="516" w:name="Note_FIMTABLE2" w:colFirst="0" w:colLast="0"/>
          </w:p>
        </w:tc>
        <w:tc>
          <w:tcPr>
            <w:tcW w:w="1287"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2016</w:t>
            </w:r>
          </w:p>
        </w:tc>
        <w:tc>
          <w:tcPr>
            <w:tcW w:w="1287"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2015</w:t>
            </w:r>
          </w:p>
        </w:tc>
      </w:tr>
      <w:bookmarkEnd w:id="516"/>
      <w:tr w:rsidR="008835EB" w:rsidTr="007E3F2E">
        <w:trPr>
          <w:trHeight w:val="255"/>
        </w:trPr>
        <w:tc>
          <w:tcPr>
            <w:tcW w:w="6406" w:type="dxa"/>
            <w:tcBorders>
              <w:top w:val="nil"/>
              <w:left w:val="nil"/>
              <w:bottom w:val="nil"/>
              <w:right w:val="nil"/>
            </w:tcBorders>
            <w:shd w:val="clear" w:color="auto" w:fill="auto"/>
            <w:hideMark/>
          </w:tcPr>
          <w:p w:rsidR="008835EB" w:rsidRDefault="008835EB" w:rsidP="007E3F2E">
            <w:pPr>
              <w:rPr>
                <w:rFonts w:cs="Calibri"/>
                <w:b/>
                <w:bCs/>
                <w:color w:val="000000"/>
                <w:szCs w:val="18"/>
              </w:rPr>
            </w:pPr>
          </w:p>
        </w:tc>
        <w:tc>
          <w:tcPr>
            <w:tcW w:w="1287"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$'000</w:t>
            </w:r>
          </w:p>
        </w:tc>
        <w:tc>
          <w:tcPr>
            <w:tcW w:w="1287"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55"/>
        </w:trPr>
        <w:tc>
          <w:tcPr>
            <w:tcW w:w="6406" w:type="dxa"/>
            <w:tcBorders>
              <w:top w:val="nil"/>
              <w:left w:val="nil"/>
              <w:bottom w:val="nil"/>
              <w:right w:val="nil"/>
            </w:tcBorders>
            <w:shd w:val="clear" w:color="auto" w:fill="auto"/>
            <w:hideMark/>
          </w:tcPr>
          <w:p w:rsidR="008835EB" w:rsidRDefault="008835EB" w:rsidP="007E3F2E">
            <w:pPr>
              <w:rPr>
                <w:rFonts w:cs="Calibri"/>
                <w:b/>
                <w:bCs/>
                <w:color w:val="000000"/>
                <w:szCs w:val="18"/>
              </w:rPr>
            </w:pPr>
            <w:r>
              <w:rPr>
                <w:rFonts w:cs="Calibri"/>
                <w:b/>
                <w:bCs/>
                <w:color w:val="000000"/>
                <w:szCs w:val="18"/>
              </w:rPr>
              <w:t>Assets not measured at fair value in the statement of financial position</w:t>
            </w:r>
          </w:p>
        </w:tc>
        <w:tc>
          <w:tcPr>
            <w:tcW w:w="1287" w:type="dxa"/>
            <w:tcBorders>
              <w:top w:val="nil"/>
              <w:left w:val="nil"/>
              <w:bottom w:val="nil"/>
              <w:right w:val="nil"/>
            </w:tcBorders>
            <w:shd w:val="clear" w:color="auto" w:fill="auto"/>
            <w:noWrap/>
            <w:hideMark/>
          </w:tcPr>
          <w:p w:rsidR="008835EB" w:rsidRDefault="008835EB" w:rsidP="007E3F2E">
            <w:pPr>
              <w:jc w:val="right"/>
              <w:rPr>
                <w:rFonts w:cs="Calibri"/>
                <w:szCs w:val="18"/>
              </w:rPr>
            </w:pPr>
          </w:p>
        </w:tc>
        <w:tc>
          <w:tcPr>
            <w:tcW w:w="1287" w:type="dxa"/>
            <w:tcBorders>
              <w:top w:val="nil"/>
              <w:left w:val="nil"/>
              <w:bottom w:val="nil"/>
              <w:right w:val="nil"/>
            </w:tcBorders>
            <w:shd w:val="clear" w:color="FFFFFF" w:fill="FFFFFF"/>
            <w:noWrap/>
            <w:vAlign w:val="bottom"/>
            <w:hideMark/>
          </w:tcPr>
          <w:p w:rsidR="008835EB" w:rsidRDefault="008835EB" w:rsidP="007E3F2E">
            <w:pPr>
              <w:rPr>
                <w:rFonts w:cs="Calibri"/>
                <w:szCs w:val="18"/>
              </w:rPr>
            </w:pPr>
            <w:r>
              <w:rPr>
                <w:rFonts w:cs="Calibri"/>
                <w:szCs w:val="18"/>
              </w:rPr>
              <w:t> </w:t>
            </w:r>
          </w:p>
        </w:tc>
      </w:tr>
      <w:tr w:rsidR="008835EB" w:rsidTr="007E3F2E">
        <w:trPr>
          <w:trHeight w:val="255"/>
        </w:trPr>
        <w:tc>
          <w:tcPr>
            <w:tcW w:w="6406" w:type="dxa"/>
            <w:tcBorders>
              <w:top w:val="nil"/>
              <w:left w:val="nil"/>
              <w:bottom w:val="nil"/>
              <w:right w:val="nil"/>
            </w:tcBorders>
            <w:shd w:val="clear" w:color="FFFFFF" w:fill="FFFFFF"/>
            <w:hideMark/>
          </w:tcPr>
          <w:p w:rsidR="008835EB" w:rsidRDefault="008835EB" w:rsidP="007E3F2E">
            <w:pPr>
              <w:rPr>
                <w:rFonts w:cs="Calibri"/>
                <w:color w:val="000000"/>
                <w:szCs w:val="18"/>
              </w:rPr>
            </w:pPr>
            <w:r>
              <w:rPr>
                <w:rFonts w:cs="Calibri"/>
                <w:color w:val="000000"/>
                <w:szCs w:val="18"/>
              </w:rPr>
              <w:t>Leasehold Improvements—</w:t>
            </w:r>
            <w:proofErr w:type="spellStart"/>
            <w:r>
              <w:rPr>
                <w:rFonts w:cs="Calibri"/>
                <w:color w:val="000000"/>
                <w:szCs w:val="18"/>
              </w:rPr>
              <w:t>AUC</w:t>
            </w:r>
            <w:proofErr w:type="spellEnd"/>
          </w:p>
        </w:tc>
        <w:tc>
          <w:tcPr>
            <w:tcW w:w="1287" w:type="dxa"/>
            <w:tcBorders>
              <w:top w:val="nil"/>
              <w:left w:val="nil"/>
              <w:bottom w:val="nil"/>
              <w:right w:val="nil"/>
            </w:tcBorders>
            <w:shd w:val="clear" w:color="auto" w:fill="auto"/>
            <w:noWrap/>
            <w:hideMark/>
          </w:tcPr>
          <w:p w:rsidR="008835EB" w:rsidRDefault="008835EB" w:rsidP="007E3F2E">
            <w:pPr>
              <w:jc w:val="right"/>
              <w:rPr>
                <w:rFonts w:cs="Calibri"/>
                <w:szCs w:val="18"/>
              </w:rPr>
            </w:pPr>
            <w:r>
              <w:rPr>
                <w:rFonts w:cs="Calibri"/>
                <w:szCs w:val="18"/>
              </w:rPr>
              <w:t xml:space="preserve">8 </w:t>
            </w:r>
          </w:p>
        </w:tc>
        <w:tc>
          <w:tcPr>
            <w:tcW w:w="1287" w:type="dxa"/>
            <w:tcBorders>
              <w:top w:val="nil"/>
              <w:left w:val="nil"/>
              <w:bottom w:val="nil"/>
              <w:right w:val="nil"/>
            </w:tcBorders>
            <w:shd w:val="clear" w:color="auto" w:fill="auto"/>
            <w:noWrap/>
            <w:hideMark/>
          </w:tcPr>
          <w:p w:rsidR="008835EB" w:rsidRDefault="008835EB" w:rsidP="007E3F2E">
            <w:pPr>
              <w:jc w:val="right"/>
              <w:rPr>
                <w:rFonts w:cs="Calibri"/>
                <w:szCs w:val="18"/>
              </w:rPr>
            </w:pPr>
            <w:r>
              <w:rPr>
                <w:rFonts w:cs="Calibri"/>
                <w:szCs w:val="18"/>
              </w:rPr>
              <w:t xml:space="preserve">1,013 </w:t>
            </w:r>
          </w:p>
        </w:tc>
      </w:tr>
      <w:tr w:rsidR="008835EB" w:rsidTr="007E3F2E">
        <w:trPr>
          <w:trHeight w:val="255"/>
        </w:trPr>
        <w:tc>
          <w:tcPr>
            <w:tcW w:w="6406" w:type="dxa"/>
            <w:tcBorders>
              <w:top w:val="nil"/>
              <w:left w:val="nil"/>
              <w:bottom w:val="nil"/>
              <w:right w:val="nil"/>
            </w:tcBorders>
            <w:shd w:val="clear" w:color="FFFFFF" w:fill="FFFFFF"/>
            <w:hideMark/>
          </w:tcPr>
          <w:p w:rsidR="008835EB" w:rsidRDefault="008835EB" w:rsidP="007E3F2E">
            <w:pPr>
              <w:rPr>
                <w:rFonts w:cs="Calibri"/>
                <w:color w:val="000000"/>
                <w:szCs w:val="18"/>
              </w:rPr>
            </w:pPr>
            <w:r>
              <w:rPr>
                <w:rFonts w:cs="Calibri"/>
                <w:color w:val="000000"/>
                <w:szCs w:val="18"/>
              </w:rPr>
              <w:t>Infrastructure, Plant &amp; Equipment—</w:t>
            </w:r>
            <w:proofErr w:type="spellStart"/>
            <w:r>
              <w:rPr>
                <w:rFonts w:cs="Calibri"/>
                <w:color w:val="000000"/>
                <w:szCs w:val="18"/>
              </w:rPr>
              <w:t>AUC</w:t>
            </w:r>
            <w:proofErr w:type="spellEnd"/>
          </w:p>
        </w:tc>
        <w:tc>
          <w:tcPr>
            <w:tcW w:w="1287" w:type="dxa"/>
            <w:tcBorders>
              <w:top w:val="nil"/>
              <w:left w:val="nil"/>
              <w:bottom w:val="nil"/>
              <w:right w:val="nil"/>
            </w:tcBorders>
            <w:shd w:val="clear" w:color="auto" w:fill="auto"/>
            <w:noWrap/>
            <w:hideMark/>
          </w:tcPr>
          <w:p w:rsidR="008835EB" w:rsidRDefault="008835EB" w:rsidP="007E3F2E">
            <w:pPr>
              <w:jc w:val="right"/>
              <w:rPr>
                <w:rFonts w:cs="Calibri"/>
                <w:szCs w:val="18"/>
              </w:rPr>
            </w:pPr>
            <w:r>
              <w:rPr>
                <w:rFonts w:cs="Calibri"/>
                <w:szCs w:val="18"/>
              </w:rPr>
              <w:t xml:space="preserve"> -</w:t>
            </w:r>
          </w:p>
        </w:tc>
        <w:tc>
          <w:tcPr>
            <w:tcW w:w="1287" w:type="dxa"/>
            <w:tcBorders>
              <w:top w:val="nil"/>
              <w:left w:val="nil"/>
              <w:bottom w:val="nil"/>
              <w:right w:val="nil"/>
            </w:tcBorders>
            <w:shd w:val="clear" w:color="auto" w:fill="auto"/>
            <w:noWrap/>
            <w:hideMark/>
          </w:tcPr>
          <w:p w:rsidR="008835EB" w:rsidRDefault="008835EB" w:rsidP="007E3F2E">
            <w:pPr>
              <w:jc w:val="right"/>
              <w:rPr>
                <w:rFonts w:cs="Calibri"/>
                <w:szCs w:val="18"/>
              </w:rPr>
            </w:pPr>
            <w:r>
              <w:rPr>
                <w:rFonts w:cs="Calibri"/>
                <w:szCs w:val="18"/>
              </w:rPr>
              <w:t xml:space="preserve">32 </w:t>
            </w:r>
          </w:p>
        </w:tc>
      </w:tr>
      <w:tr w:rsidR="008835EB" w:rsidTr="007E3F2E">
        <w:trPr>
          <w:trHeight w:val="255"/>
        </w:trPr>
        <w:tc>
          <w:tcPr>
            <w:tcW w:w="6406" w:type="dxa"/>
            <w:tcBorders>
              <w:top w:val="nil"/>
              <w:left w:val="nil"/>
              <w:bottom w:val="nil"/>
              <w:right w:val="nil"/>
            </w:tcBorders>
            <w:shd w:val="clear" w:color="FFFFFF" w:fill="FFFFFF"/>
            <w:hideMark/>
          </w:tcPr>
          <w:p w:rsidR="008835EB" w:rsidRDefault="008835EB" w:rsidP="007E3F2E">
            <w:pPr>
              <w:rPr>
                <w:rFonts w:cs="Calibri"/>
                <w:b/>
                <w:bCs/>
                <w:color w:val="000000"/>
                <w:szCs w:val="18"/>
              </w:rPr>
            </w:pPr>
            <w:r>
              <w:rPr>
                <w:rFonts w:cs="Calibri"/>
                <w:b/>
                <w:bCs/>
                <w:color w:val="000000"/>
                <w:szCs w:val="18"/>
              </w:rPr>
              <w:t>Total assets not measured at fair value in the statement of financial position</w:t>
            </w:r>
          </w:p>
        </w:tc>
        <w:tc>
          <w:tcPr>
            <w:tcW w:w="1287" w:type="dxa"/>
            <w:tcBorders>
              <w:top w:val="single" w:sz="4" w:space="0" w:color="auto"/>
              <w:left w:val="nil"/>
              <w:bottom w:val="single" w:sz="4" w:space="0" w:color="auto"/>
              <w:right w:val="nil"/>
            </w:tcBorders>
            <w:shd w:val="clear" w:color="FFFFFF" w:fill="FFFFFF"/>
            <w:noWrap/>
            <w:hideMark/>
          </w:tcPr>
          <w:p w:rsidR="008835EB" w:rsidRDefault="008835EB" w:rsidP="007E3F2E">
            <w:pPr>
              <w:jc w:val="right"/>
              <w:rPr>
                <w:rFonts w:cs="Calibri"/>
                <w:b/>
                <w:bCs/>
                <w:szCs w:val="18"/>
              </w:rPr>
            </w:pPr>
            <w:r>
              <w:rPr>
                <w:rFonts w:cs="Calibri"/>
                <w:b/>
                <w:bCs/>
                <w:szCs w:val="18"/>
              </w:rPr>
              <w:t xml:space="preserve"> 8 </w:t>
            </w:r>
          </w:p>
        </w:tc>
        <w:tc>
          <w:tcPr>
            <w:tcW w:w="1287" w:type="dxa"/>
            <w:tcBorders>
              <w:top w:val="single" w:sz="4" w:space="0" w:color="auto"/>
              <w:left w:val="nil"/>
              <w:bottom w:val="single" w:sz="4" w:space="0" w:color="auto"/>
              <w:right w:val="nil"/>
            </w:tcBorders>
            <w:shd w:val="clear" w:color="auto" w:fill="auto"/>
            <w:noWrap/>
            <w:hideMark/>
          </w:tcPr>
          <w:p w:rsidR="008835EB" w:rsidRDefault="008835EB" w:rsidP="007E3F2E">
            <w:pPr>
              <w:jc w:val="right"/>
              <w:rPr>
                <w:rFonts w:cs="Calibri"/>
                <w:szCs w:val="18"/>
              </w:rPr>
            </w:pPr>
            <w:r>
              <w:rPr>
                <w:rFonts w:cs="Calibri"/>
                <w:szCs w:val="18"/>
              </w:rPr>
              <w:t xml:space="preserve">1,045 </w:t>
            </w:r>
          </w:p>
        </w:tc>
      </w:tr>
    </w:tbl>
    <w:p w:rsidR="008835EB" w:rsidRDefault="008835EB" w:rsidP="008835EB">
      <w:pPr>
        <w:spacing w:after="120" w:line="240" w:lineRule="auto"/>
        <w:rPr>
          <w:rFonts w:cs="Arial"/>
          <w:szCs w:val="18"/>
        </w:rPr>
      </w:pPr>
      <w:bookmarkStart w:id="517" w:name="RANGE!D27:F32"/>
      <w:bookmarkStart w:id="518" w:name="RANGE!D28:F33"/>
      <w:bookmarkEnd w:id="517"/>
      <w:bookmarkEnd w:id="518"/>
    </w:p>
    <w:p w:rsidR="008835EB" w:rsidRDefault="008835EB" w:rsidP="008835EB">
      <w:pPr>
        <w:pStyle w:val="PolicytextDept"/>
      </w:pPr>
      <w:r>
        <w:t>Accounting Policy</w:t>
      </w:r>
    </w:p>
    <w:p w:rsidR="008835EB" w:rsidRPr="00A4547F" w:rsidRDefault="008835EB" w:rsidP="008835EB">
      <w:pPr>
        <w:pStyle w:val="PolicytextDept"/>
        <w:rPr>
          <w:b/>
          <w:lang w:eastAsia="en-AU"/>
        </w:rPr>
      </w:pPr>
      <w:r w:rsidRPr="00A4547F">
        <w:rPr>
          <w:lang w:eastAsia="en-AU"/>
        </w:rPr>
        <w:t xml:space="preserve">Australian Valuation Solutions (AVS) provided a comprehensive valuation of all leasehold improvements </w:t>
      </w:r>
      <w:r>
        <w:rPr>
          <w:lang w:eastAsia="en-AU"/>
        </w:rPr>
        <w:t xml:space="preserve">and Infrastructure Plant and Equipment </w:t>
      </w:r>
      <w:r w:rsidRPr="00A4547F">
        <w:rPr>
          <w:lang w:eastAsia="en-AU"/>
        </w:rPr>
        <w:t>as at 30 June 2016</w:t>
      </w:r>
      <w:r>
        <w:rPr>
          <w:lang w:eastAsia="en-AU"/>
        </w:rPr>
        <w:t xml:space="preserve"> and has relied upon those outcomes to establish carrying amounts</w:t>
      </w:r>
      <w:r w:rsidRPr="00A4547F">
        <w:rPr>
          <w:lang w:eastAsia="en-AU"/>
        </w:rPr>
        <w:t>.</w:t>
      </w:r>
      <w:r>
        <w:rPr>
          <w:rStyle w:val="FootnoteReference"/>
          <w:lang w:eastAsia="en-AU"/>
        </w:rPr>
        <w:footnoteReference w:id="1"/>
      </w:r>
      <w:r>
        <w:rPr>
          <w:lang w:eastAsia="en-AU"/>
        </w:rPr>
        <w:t xml:space="preserve"> The D</w:t>
      </w:r>
      <w:r w:rsidRPr="00A4547F">
        <w:rPr>
          <w:lang w:eastAsia="en-AU"/>
        </w:rPr>
        <w:t>epartment has a policy of testing the currency of the valuation of various asset classes at least once every 12 months and to obtain a comprehensive valuation at</w:t>
      </w:r>
      <w:r>
        <w:rPr>
          <w:lang w:eastAsia="en-AU"/>
        </w:rPr>
        <w:t xml:space="preserve"> least once every three years. </w:t>
      </w:r>
      <w:r w:rsidRPr="00A4547F">
        <w:rPr>
          <w:lang w:eastAsia="en-AU"/>
        </w:rPr>
        <w:t>AVS pro</w:t>
      </w:r>
      <w:r>
        <w:rPr>
          <w:lang w:eastAsia="en-AU"/>
        </w:rPr>
        <w:t>vided written assurance to the D</w:t>
      </w:r>
      <w:r w:rsidRPr="00A4547F">
        <w:rPr>
          <w:lang w:eastAsia="en-AU"/>
        </w:rPr>
        <w:t xml:space="preserve">epartment that the models developed comply with </w:t>
      </w:r>
      <w:proofErr w:type="spellStart"/>
      <w:r w:rsidRPr="00A4547F">
        <w:rPr>
          <w:lang w:eastAsia="en-AU"/>
        </w:rPr>
        <w:t>AASB</w:t>
      </w:r>
      <w:proofErr w:type="spellEnd"/>
      <w:r w:rsidRPr="00A4547F">
        <w:rPr>
          <w:lang w:eastAsia="en-AU"/>
        </w:rPr>
        <w:t xml:space="preserve"> 13.</w:t>
      </w:r>
      <w:r>
        <w:rPr>
          <w:rStyle w:val="FootnoteReference"/>
          <w:lang w:eastAsia="en-AU"/>
        </w:rPr>
        <w:footnoteReference w:id="2"/>
      </w:r>
    </w:p>
    <w:p w:rsidR="008835EB" w:rsidRDefault="008835EB" w:rsidP="008835EB">
      <w:pPr>
        <w:pStyle w:val="PolicytextDept"/>
        <w:rPr>
          <w:lang w:eastAsia="en-AU"/>
        </w:rPr>
      </w:pPr>
      <w:r>
        <w:rPr>
          <w:lang w:eastAsia="en-AU"/>
        </w:rPr>
        <w:t>The methods utilised to determine and substantiate inputs are derived and evaluated as follows:</w:t>
      </w:r>
    </w:p>
    <w:p w:rsidR="008835EB" w:rsidRDefault="008835EB" w:rsidP="008835EB">
      <w:pPr>
        <w:pStyle w:val="PolicytextDept"/>
        <w:rPr>
          <w:lang w:eastAsia="en-AU"/>
        </w:rPr>
      </w:pPr>
      <w:r>
        <w:rPr>
          <w:lang w:eastAsia="en-AU"/>
        </w:rPr>
        <w:t>Replacement Cost—the amount a market participant would be prepared to pay to acquire or construct a substitute asset of comparable utility without adjustment. The Replacement cost has been determined by current market prices relevant to the location of the asset.</w:t>
      </w:r>
    </w:p>
    <w:p w:rsidR="008835EB" w:rsidRDefault="008835EB" w:rsidP="008835EB">
      <w:pPr>
        <w:pStyle w:val="PolicytextDept"/>
        <w:rPr>
          <w:lang w:eastAsia="en-AU"/>
        </w:rPr>
      </w:pPr>
      <w:r>
        <w:rPr>
          <w:lang w:eastAsia="en-AU"/>
        </w:rPr>
        <w:t xml:space="preserve">Physical Depreciation and Obsolescence—assets that do not transact with enough frequency or transparency to develop objective opinions of value from observable market evidence have been measured utilising the Depreciated Replacement Cost approach. Under the Depreciated Replacement Cost approach the estimated cost to replace the asset is calculated and then adjusted to take into account physical depreciation and obsolescence. </w:t>
      </w:r>
    </w:p>
    <w:p w:rsidR="008835EB" w:rsidRDefault="008835EB" w:rsidP="008835EB">
      <w:pPr>
        <w:pStyle w:val="PolicytextDept"/>
        <w:rPr>
          <w:lang w:eastAsia="en-AU"/>
        </w:rPr>
      </w:pPr>
      <w:r>
        <w:rPr>
          <w:lang w:eastAsia="en-AU"/>
        </w:rPr>
        <w:t>Physical depreciation and obsolescence has been determined based on professional judgement regarding physical, economic and external obsolescence factors relevant to the asset under consideration. For all leasehold improvement assets, the consumed economic benefit/asset obsolescence is determined based on the term of the associated lease.</w:t>
      </w:r>
    </w:p>
    <w:p w:rsidR="008835EB" w:rsidRDefault="008835EB" w:rsidP="008835EB">
      <w:pPr>
        <w:pStyle w:val="PolicytextDept"/>
        <w:rPr>
          <w:lang w:eastAsia="en-AU"/>
        </w:rPr>
      </w:pPr>
      <w:r>
        <w:rPr>
          <w:lang w:eastAsia="en-AU"/>
        </w:rPr>
        <w:t>Market Approach—this approach seeks to estimate the fair value of an asset with reference to recent market transactions involving identical or comparable assets. Professional judgement and available information generated by market transactions involving plant and equipment were used in determining fair value under this approach.</w:t>
      </w:r>
    </w:p>
    <w:p w:rsidR="008835EB" w:rsidRDefault="008835EB" w:rsidP="008835EB">
      <w:pPr>
        <w:pStyle w:val="PolicytextDept"/>
        <w:rPr>
          <w:lang w:eastAsia="en-AU"/>
        </w:rPr>
      </w:pPr>
      <w:r>
        <w:rPr>
          <w:lang w:eastAsia="en-AU"/>
        </w:rPr>
        <w:t>The D</w:t>
      </w:r>
      <w:r w:rsidRPr="00200687">
        <w:rPr>
          <w:lang w:eastAsia="en-AU"/>
        </w:rPr>
        <w:t xml:space="preserve">epartment </w:t>
      </w:r>
      <w:r>
        <w:rPr>
          <w:lang w:eastAsia="en-AU"/>
        </w:rPr>
        <w:t xml:space="preserve">recognises </w:t>
      </w:r>
      <w:r w:rsidRPr="00200687">
        <w:rPr>
          <w:lang w:eastAsia="en-AU"/>
        </w:rPr>
        <w:t>transfers between the levels of the fair value hierarchy to have occurred at the end of the reporting period.</w:t>
      </w:r>
      <w:r>
        <w:rPr>
          <w:rStyle w:val="FootnoteReference"/>
          <w:lang w:eastAsia="en-AU"/>
        </w:rPr>
        <w:footnoteReference w:id="3"/>
      </w:r>
    </w:p>
    <w:p w:rsidR="008835EB" w:rsidRPr="003A10DB" w:rsidRDefault="008835EB" w:rsidP="008835EB">
      <w:pPr>
        <w:pStyle w:val="PolicytextDept"/>
      </w:pPr>
      <w:r w:rsidRPr="003A10DB">
        <w:t>The carrying amount of assets and liabilities not measured at fair value, are considered to be a reasonable approximation of their fair value.</w:t>
      </w:r>
      <w:r w:rsidRPr="003A10DB">
        <w:rPr>
          <w:vertAlign w:val="superscript"/>
        </w:rPr>
        <w:footnoteReference w:id="4"/>
      </w:r>
    </w:p>
    <w:p w:rsidR="008835EB" w:rsidRDefault="008835EB" w:rsidP="008835EB">
      <w:bookmarkStart w:id="519" w:name="Note_FIPTABLE1" w:colFirst="0" w:colLast="0"/>
      <w:r>
        <w:br w:type="page"/>
      </w:r>
    </w:p>
    <w:tbl>
      <w:tblPr>
        <w:tblW w:w="9087" w:type="dxa"/>
        <w:tblInd w:w="80" w:type="dxa"/>
        <w:tblLayout w:type="fixed"/>
        <w:tblLook w:val="04A0" w:firstRow="1" w:lastRow="0" w:firstColumn="1" w:lastColumn="0" w:noHBand="0" w:noVBand="1"/>
      </w:tblPr>
      <w:tblGrid>
        <w:gridCol w:w="3313"/>
        <w:gridCol w:w="965"/>
        <w:gridCol w:w="1008"/>
        <w:gridCol w:w="1018"/>
        <w:gridCol w:w="994"/>
        <w:gridCol w:w="931"/>
        <w:gridCol w:w="858"/>
      </w:tblGrid>
      <w:tr w:rsidR="008835EB" w:rsidTr="007E3F2E">
        <w:trPr>
          <w:trHeight w:val="240"/>
        </w:trPr>
        <w:tc>
          <w:tcPr>
            <w:tcW w:w="9087" w:type="dxa"/>
            <w:gridSpan w:val="7"/>
            <w:tcBorders>
              <w:top w:val="nil"/>
              <w:left w:val="nil"/>
              <w:bottom w:val="nil"/>
              <w:right w:val="nil"/>
            </w:tcBorders>
            <w:shd w:val="clear" w:color="FFFFFF" w:fill="FFFFFF"/>
            <w:noWrap/>
            <w:vAlign w:val="bottom"/>
            <w:hideMark/>
          </w:tcPr>
          <w:p w:rsidR="008835EB" w:rsidRDefault="008835EB" w:rsidP="007E3F2E">
            <w:pPr>
              <w:pStyle w:val="NotesHeading-Level1"/>
            </w:pPr>
            <w:r>
              <w:lastRenderedPageBreak/>
              <w:t xml:space="preserve">Note </w:t>
            </w:r>
            <w:proofErr w:type="spellStart"/>
            <w:r>
              <w:t>7.4B</w:t>
            </w:r>
            <w:proofErr w:type="spellEnd"/>
            <w:r>
              <w:t>: Reconciliation for Recurring Level 3 Fair Value Measurements</w:t>
            </w:r>
          </w:p>
        </w:tc>
      </w:tr>
      <w:bookmarkEnd w:id="519"/>
      <w:tr w:rsidR="008835EB" w:rsidTr="007E3F2E">
        <w:trPr>
          <w:trHeight w:val="240"/>
        </w:trPr>
        <w:tc>
          <w:tcPr>
            <w:tcW w:w="3313"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965"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008"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018"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994"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931"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c>
          <w:tcPr>
            <w:tcW w:w="85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40"/>
        </w:trPr>
        <w:tc>
          <w:tcPr>
            <w:tcW w:w="9087" w:type="dxa"/>
            <w:gridSpan w:val="7"/>
            <w:tcBorders>
              <w:top w:val="nil"/>
              <w:left w:val="nil"/>
              <w:bottom w:val="single" w:sz="4" w:space="0" w:color="auto"/>
              <w:right w:val="nil"/>
            </w:tcBorders>
            <w:shd w:val="clear" w:color="FFFFFF" w:fill="FFFFFF"/>
            <w:vAlign w:val="bottom"/>
            <w:hideMark/>
          </w:tcPr>
          <w:p w:rsidR="008835EB" w:rsidRDefault="008835EB" w:rsidP="007E3F2E">
            <w:pPr>
              <w:rPr>
                <w:rFonts w:cs="Calibri"/>
                <w:b/>
                <w:bCs/>
                <w:szCs w:val="18"/>
              </w:rPr>
            </w:pPr>
            <w:r>
              <w:rPr>
                <w:rFonts w:cs="Calibri"/>
                <w:b/>
                <w:bCs/>
                <w:szCs w:val="18"/>
              </w:rPr>
              <w:t>Recurring Level 3 fair value measurements—reconciliation for assets</w:t>
            </w:r>
          </w:p>
        </w:tc>
      </w:tr>
      <w:tr w:rsidR="008835EB" w:rsidTr="007E3F2E">
        <w:trPr>
          <w:trHeight w:val="240"/>
        </w:trPr>
        <w:tc>
          <w:tcPr>
            <w:tcW w:w="3313"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5774" w:type="dxa"/>
            <w:gridSpan w:val="6"/>
            <w:tcBorders>
              <w:top w:val="single" w:sz="4" w:space="0" w:color="auto"/>
              <w:left w:val="nil"/>
              <w:bottom w:val="single" w:sz="4" w:space="0" w:color="auto"/>
              <w:right w:val="nil"/>
            </w:tcBorders>
            <w:shd w:val="clear" w:color="FFFFFF" w:fill="FFFFFF"/>
            <w:vAlign w:val="bottom"/>
            <w:hideMark/>
          </w:tcPr>
          <w:p w:rsidR="008835EB" w:rsidRDefault="008835EB" w:rsidP="007E3F2E">
            <w:pPr>
              <w:jc w:val="center"/>
              <w:rPr>
                <w:rFonts w:cs="Calibri"/>
                <w:b/>
                <w:bCs/>
                <w:szCs w:val="18"/>
              </w:rPr>
            </w:pPr>
            <w:r>
              <w:rPr>
                <w:rFonts w:cs="Calibri"/>
                <w:b/>
                <w:bCs/>
                <w:szCs w:val="18"/>
              </w:rPr>
              <w:t>Non-financial assets</w:t>
            </w:r>
          </w:p>
        </w:tc>
      </w:tr>
      <w:tr w:rsidR="008835EB" w:rsidTr="007E3F2E">
        <w:trPr>
          <w:trHeight w:val="643"/>
        </w:trPr>
        <w:tc>
          <w:tcPr>
            <w:tcW w:w="3313"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1973" w:type="dxa"/>
            <w:gridSpan w:val="2"/>
            <w:tcBorders>
              <w:top w:val="single" w:sz="4" w:space="0" w:color="auto"/>
              <w:left w:val="nil"/>
              <w:bottom w:val="nil"/>
              <w:right w:val="nil"/>
            </w:tcBorders>
            <w:shd w:val="clear" w:color="FFFFFF" w:fill="FFFFFF"/>
            <w:vAlign w:val="bottom"/>
            <w:hideMark/>
          </w:tcPr>
          <w:p w:rsidR="008835EB" w:rsidRDefault="008835EB" w:rsidP="007E3F2E">
            <w:pPr>
              <w:jc w:val="center"/>
              <w:rPr>
                <w:rFonts w:cs="Calibri"/>
                <w:b/>
                <w:bCs/>
                <w:szCs w:val="18"/>
              </w:rPr>
            </w:pPr>
            <w:r>
              <w:rPr>
                <w:rFonts w:cs="Calibri"/>
                <w:b/>
                <w:bCs/>
                <w:szCs w:val="18"/>
              </w:rPr>
              <w:t>Leasehold Improvements</w:t>
            </w:r>
          </w:p>
        </w:tc>
        <w:tc>
          <w:tcPr>
            <w:tcW w:w="2012" w:type="dxa"/>
            <w:gridSpan w:val="2"/>
            <w:tcBorders>
              <w:top w:val="single" w:sz="4" w:space="0" w:color="auto"/>
              <w:left w:val="nil"/>
              <w:bottom w:val="nil"/>
              <w:right w:val="nil"/>
            </w:tcBorders>
            <w:shd w:val="clear" w:color="FFFFFF" w:fill="FFFFFF"/>
            <w:vAlign w:val="bottom"/>
            <w:hideMark/>
          </w:tcPr>
          <w:p w:rsidR="008835EB" w:rsidRDefault="008835EB" w:rsidP="007E3F2E">
            <w:pPr>
              <w:jc w:val="center"/>
              <w:rPr>
                <w:rFonts w:cs="Calibri"/>
                <w:b/>
                <w:bCs/>
                <w:szCs w:val="18"/>
              </w:rPr>
            </w:pPr>
            <w:r>
              <w:rPr>
                <w:rFonts w:cs="Calibri"/>
                <w:b/>
                <w:bCs/>
                <w:szCs w:val="18"/>
              </w:rPr>
              <w:t>Infrastructure, plant and equipment</w:t>
            </w:r>
          </w:p>
        </w:tc>
        <w:tc>
          <w:tcPr>
            <w:tcW w:w="1789" w:type="dxa"/>
            <w:gridSpan w:val="2"/>
            <w:tcBorders>
              <w:top w:val="single" w:sz="4" w:space="0" w:color="auto"/>
              <w:left w:val="nil"/>
              <w:bottom w:val="nil"/>
              <w:right w:val="nil"/>
            </w:tcBorders>
            <w:shd w:val="clear" w:color="FFFFFF" w:fill="FFFFFF"/>
            <w:vAlign w:val="bottom"/>
            <w:hideMark/>
          </w:tcPr>
          <w:p w:rsidR="008835EB" w:rsidRDefault="008835EB" w:rsidP="007E3F2E">
            <w:pPr>
              <w:jc w:val="center"/>
              <w:rPr>
                <w:rFonts w:cs="Calibri"/>
                <w:b/>
                <w:bCs/>
                <w:szCs w:val="18"/>
              </w:rPr>
            </w:pPr>
            <w:r>
              <w:rPr>
                <w:rFonts w:cs="Calibri"/>
                <w:b/>
                <w:bCs/>
                <w:szCs w:val="18"/>
              </w:rPr>
              <w:t>Total</w:t>
            </w:r>
          </w:p>
        </w:tc>
      </w:tr>
      <w:tr w:rsidR="008835EB" w:rsidTr="007E3F2E">
        <w:trPr>
          <w:trHeight w:val="240"/>
        </w:trPr>
        <w:tc>
          <w:tcPr>
            <w:tcW w:w="3313"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96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2016</w:t>
            </w:r>
          </w:p>
        </w:tc>
        <w:tc>
          <w:tcPr>
            <w:tcW w:w="100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2015</w:t>
            </w:r>
          </w:p>
        </w:tc>
        <w:tc>
          <w:tcPr>
            <w:tcW w:w="101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2016</w:t>
            </w:r>
          </w:p>
        </w:tc>
        <w:tc>
          <w:tcPr>
            <w:tcW w:w="994"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2015</w:t>
            </w:r>
          </w:p>
        </w:tc>
        <w:tc>
          <w:tcPr>
            <w:tcW w:w="931"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2016</w:t>
            </w:r>
          </w:p>
        </w:tc>
        <w:tc>
          <w:tcPr>
            <w:tcW w:w="85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2015</w:t>
            </w:r>
          </w:p>
        </w:tc>
      </w:tr>
      <w:tr w:rsidR="008835EB" w:rsidTr="007E3F2E">
        <w:trPr>
          <w:trHeight w:val="240"/>
        </w:trPr>
        <w:tc>
          <w:tcPr>
            <w:tcW w:w="3313" w:type="dxa"/>
            <w:tcBorders>
              <w:top w:val="nil"/>
              <w:left w:val="nil"/>
              <w:bottom w:val="nil"/>
              <w:right w:val="nil"/>
            </w:tcBorders>
            <w:shd w:val="clear" w:color="FFFFFF" w:fill="FFFFFF"/>
            <w:noWrap/>
            <w:vAlign w:val="bottom"/>
            <w:hideMark/>
          </w:tcPr>
          <w:p w:rsidR="008835EB" w:rsidRDefault="008835EB" w:rsidP="007E3F2E">
            <w:pPr>
              <w:rPr>
                <w:rFonts w:ascii="Arial" w:hAnsi="Arial" w:cs="Arial"/>
                <w:szCs w:val="18"/>
              </w:rPr>
            </w:pPr>
            <w:r>
              <w:rPr>
                <w:rFonts w:ascii="Arial" w:hAnsi="Arial" w:cs="Arial"/>
                <w:szCs w:val="18"/>
              </w:rPr>
              <w:t> </w:t>
            </w:r>
          </w:p>
        </w:tc>
        <w:tc>
          <w:tcPr>
            <w:tcW w:w="965" w:type="dxa"/>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$'000</w:t>
            </w:r>
          </w:p>
        </w:tc>
        <w:tc>
          <w:tcPr>
            <w:tcW w:w="1008" w:type="dxa"/>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$'000</w:t>
            </w:r>
          </w:p>
        </w:tc>
        <w:tc>
          <w:tcPr>
            <w:tcW w:w="1018" w:type="dxa"/>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$'000</w:t>
            </w:r>
          </w:p>
        </w:tc>
        <w:tc>
          <w:tcPr>
            <w:tcW w:w="994" w:type="dxa"/>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$'000</w:t>
            </w:r>
          </w:p>
        </w:tc>
        <w:tc>
          <w:tcPr>
            <w:tcW w:w="931" w:type="dxa"/>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$'000</w:t>
            </w:r>
          </w:p>
        </w:tc>
        <w:tc>
          <w:tcPr>
            <w:tcW w:w="858" w:type="dxa"/>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40"/>
        </w:trPr>
        <w:tc>
          <w:tcPr>
            <w:tcW w:w="3313" w:type="dxa"/>
            <w:tcBorders>
              <w:top w:val="single" w:sz="4" w:space="0" w:color="auto"/>
              <w:left w:val="nil"/>
              <w:bottom w:val="nil"/>
              <w:right w:val="nil"/>
            </w:tcBorders>
            <w:shd w:val="clear" w:color="FFFFFF" w:fill="FFFFFF"/>
            <w:vAlign w:val="bottom"/>
            <w:hideMark/>
          </w:tcPr>
          <w:p w:rsidR="008835EB" w:rsidRDefault="008835EB" w:rsidP="007E3F2E">
            <w:pPr>
              <w:rPr>
                <w:rFonts w:cs="Calibri"/>
                <w:b/>
                <w:bCs/>
                <w:szCs w:val="18"/>
              </w:rPr>
            </w:pPr>
            <w:r>
              <w:rPr>
                <w:rFonts w:cs="Calibri"/>
                <w:b/>
                <w:bCs/>
                <w:szCs w:val="18"/>
              </w:rPr>
              <w:t>Opening balance</w:t>
            </w:r>
          </w:p>
        </w:tc>
        <w:tc>
          <w:tcPr>
            <w:tcW w:w="96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19,248 </w:t>
            </w:r>
          </w:p>
        </w:tc>
        <w:tc>
          <w:tcPr>
            <w:tcW w:w="100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20,608 </w:t>
            </w:r>
          </w:p>
        </w:tc>
        <w:tc>
          <w:tcPr>
            <w:tcW w:w="101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8,525 </w:t>
            </w:r>
          </w:p>
        </w:tc>
        <w:tc>
          <w:tcPr>
            <w:tcW w:w="994"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8,568 </w:t>
            </w:r>
          </w:p>
        </w:tc>
        <w:tc>
          <w:tcPr>
            <w:tcW w:w="931"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27,773 </w:t>
            </w:r>
          </w:p>
        </w:tc>
        <w:tc>
          <w:tcPr>
            <w:tcW w:w="85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29,176 </w:t>
            </w:r>
          </w:p>
        </w:tc>
      </w:tr>
      <w:tr w:rsidR="008835EB" w:rsidTr="007E3F2E">
        <w:trPr>
          <w:trHeight w:val="240"/>
        </w:trPr>
        <w:tc>
          <w:tcPr>
            <w:tcW w:w="3313"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 xml:space="preserve">Total losses recognised in net cost of </w:t>
            </w:r>
            <w:proofErr w:type="spellStart"/>
            <w:r>
              <w:rPr>
                <w:rFonts w:cs="Calibri"/>
                <w:szCs w:val="18"/>
              </w:rPr>
              <w:t>services</w:t>
            </w:r>
            <w:r>
              <w:rPr>
                <w:rFonts w:ascii="Arial" w:hAnsi="Arial" w:cs="Arial"/>
                <w:szCs w:val="18"/>
                <w:vertAlign w:val="superscript"/>
              </w:rPr>
              <w:t>1</w:t>
            </w:r>
            <w:proofErr w:type="spellEnd"/>
          </w:p>
        </w:tc>
        <w:tc>
          <w:tcPr>
            <w:tcW w:w="96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(2,845)</w:t>
            </w:r>
          </w:p>
        </w:tc>
        <w:tc>
          <w:tcPr>
            <w:tcW w:w="100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(8,289)</w:t>
            </w:r>
          </w:p>
        </w:tc>
        <w:tc>
          <w:tcPr>
            <w:tcW w:w="101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(1,444)</w:t>
            </w:r>
          </w:p>
        </w:tc>
        <w:tc>
          <w:tcPr>
            <w:tcW w:w="994"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(2,852)</w:t>
            </w:r>
          </w:p>
        </w:tc>
        <w:tc>
          <w:tcPr>
            <w:tcW w:w="931"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(4,289)</w:t>
            </w:r>
          </w:p>
        </w:tc>
        <w:tc>
          <w:tcPr>
            <w:tcW w:w="85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(11,141)</w:t>
            </w:r>
          </w:p>
        </w:tc>
      </w:tr>
      <w:tr w:rsidR="008835EB" w:rsidTr="007E3F2E">
        <w:trPr>
          <w:trHeight w:val="240"/>
        </w:trPr>
        <w:tc>
          <w:tcPr>
            <w:tcW w:w="3313"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Total gains recognised in comprehensive income</w:t>
            </w:r>
          </w:p>
        </w:tc>
        <w:tc>
          <w:tcPr>
            <w:tcW w:w="96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100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(2)</w:t>
            </w:r>
          </w:p>
        </w:tc>
        <w:tc>
          <w:tcPr>
            <w:tcW w:w="101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994"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(17)</w:t>
            </w:r>
          </w:p>
        </w:tc>
        <w:tc>
          <w:tcPr>
            <w:tcW w:w="931"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85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(19)</w:t>
            </w:r>
          </w:p>
        </w:tc>
      </w:tr>
      <w:tr w:rsidR="008835EB" w:rsidTr="007E3F2E">
        <w:trPr>
          <w:trHeight w:val="240"/>
        </w:trPr>
        <w:tc>
          <w:tcPr>
            <w:tcW w:w="3313"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Purchases</w:t>
            </w:r>
          </w:p>
        </w:tc>
        <w:tc>
          <w:tcPr>
            <w:tcW w:w="96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666 </w:t>
            </w:r>
          </w:p>
        </w:tc>
        <w:tc>
          <w:tcPr>
            <w:tcW w:w="100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6,522 </w:t>
            </w:r>
          </w:p>
        </w:tc>
        <w:tc>
          <w:tcPr>
            <w:tcW w:w="101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252 </w:t>
            </w:r>
          </w:p>
        </w:tc>
        <w:tc>
          <w:tcPr>
            <w:tcW w:w="994"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2,806 </w:t>
            </w:r>
          </w:p>
        </w:tc>
        <w:tc>
          <w:tcPr>
            <w:tcW w:w="931"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918 </w:t>
            </w:r>
          </w:p>
        </w:tc>
        <w:tc>
          <w:tcPr>
            <w:tcW w:w="85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9,328 </w:t>
            </w:r>
          </w:p>
        </w:tc>
      </w:tr>
      <w:tr w:rsidR="008835EB" w:rsidTr="007E3F2E">
        <w:trPr>
          <w:trHeight w:val="240"/>
        </w:trPr>
        <w:tc>
          <w:tcPr>
            <w:tcW w:w="3313"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Disposals</w:t>
            </w:r>
          </w:p>
        </w:tc>
        <w:tc>
          <w:tcPr>
            <w:tcW w:w="96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(239)</w:t>
            </w:r>
          </w:p>
        </w:tc>
        <w:tc>
          <w:tcPr>
            <w:tcW w:w="100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c>
          <w:tcPr>
            <w:tcW w:w="101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(325)</w:t>
            </w:r>
          </w:p>
        </w:tc>
        <w:tc>
          <w:tcPr>
            <w:tcW w:w="994"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c>
          <w:tcPr>
            <w:tcW w:w="931"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(564)</w:t>
            </w:r>
          </w:p>
        </w:tc>
        <w:tc>
          <w:tcPr>
            <w:tcW w:w="85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r>
      <w:tr w:rsidR="008835EB" w:rsidTr="007E3F2E">
        <w:trPr>
          <w:trHeight w:val="240"/>
        </w:trPr>
        <w:tc>
          <w:tcPr>
            <w:tcW w:w="3313"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Reclassifications</w:t>
            </w:r>
          </w:p>
        </w:tc>
        <w:tc>
          <w:tcPr>
            <w:tcW w:w="96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c>
          <w:tcPr>
            <w:tcW w:w="100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c>
          <w:tcPr>
            <w:tcW w:w="101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952 </w:t>
            </w:r>
          </w:p>
        </w:tc>
        <w:tc>
          <w:tcPr>
            <w:tcW w:w="994"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c>
          <w:tcPr>
            <w:tcW w:w="931"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952 </w:t>
            </w:r>
          </w:p>
        </w:tc>
        <w:tc>
          <w:tcPr>
            <w:tcW w:w="85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r>
      <w:tr w:rsidR="008835EB" w:rsidTr="007E3F2E">
        <w:trPr>
          <w:trHeight w:val="240"/>
        </w:trPr>
        <w:tc>
          <w:tcPr>
            <w:tcW w:w="3313"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Revaluation increment against Statement of Equity</w:t>
            </w:r>
          </w:p>
        </w:tc>
        <w:tc>
          <w:tcPr>
            <w:tcW w:w="96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6,435 </w:t>
            </w:r>
          </w:p>
        </w:tc>
        <w:tc>
          <w:tcPr>
            <w:tcW w:w="100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c>
          <w:tcPr>
            <w:tcW w:w="101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725 </w:t>
            </w:r>
          </w:p>
        </w:tc>
        <w:tc>
          <w:tcPr>
            <w:tcW w:w="994"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c>
          <w:tcPr>
            <w:tcW w:w="931"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7,160 </w:t>
            </w:r>
          </w:p>
        </w:tc>
        <w:tc>
          <w:tcPr>
            <w:tcW w:w="85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r>
      <w:tr w:rsidR="008835EB" w:rsidTr="007E3F2E">
        <w:trPr>
          <w:trHeight w:val="240"/>
        </w:trPr>
        <w:tc>
          <w:tcPr>
            <w:tcW w:w="3313"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Transfers into Level 3</w:t>
            </w:r>
            <w:r>
              <w:rPr>
                <w:rFonts w:cs="Calibri"/>
                <w:szCs w:val="18"/>
                <w:vertAlign w:val="superscript"/>
              </w:rPr>
              <w:t>2</w:t>
            </w:r>
          </w:p>
        </w:tc>
        <w:tc>
          <w:tcPr>
            <w:tcW w:w="965"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100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409 </w:t>
            </w:r>
          </w:p>
        </w:tc>
        <w:tc>
          <w:tcPr>
            <w:tcW w:w="101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14 </w:t>
            </w:r>
          </w:p>
        </w:tc>
        <w:tc>
          <w:tcPr>
            <w:tcW w:w="994"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20 </w:t>
            </w:r>
          </w:p>
        </w:tc>
        <w:tc>
          <w:tcPr>
            <w:tcW w:w="931"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14 </w:t>
            </w:r>
          </w:p>
        </w:tc>
        <w:tc>
          <w:tcPr>
            <w:tcW w:w="85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429 </w:t>
            </w:r>
          </w:p>
        </w:tc>
      </w:tr>
      <w:tr w:rsidR="008835EB" w:rsidTr="007E3F2E">
        <w:trPr>
          <w:trHeight w:val="240"/>
        </w:trPr>
        <w:tc>
          <w:tcPr>
            <w:tcW w:w="3313" w:type="dxa"/>
            <w:tcBorders>
              <w:top w:val="nil"/>
              <w:left w:val="nil"/>
              <w:bottom w:val="nil"/>
              <w:right w:val="nil"/>
            </w:tcBorders>
            <w:shd w:val="clear" w:color="FFFFFF" w:fill="FFFFFF"/>
            <w:vAlign w:val="bottom"/>
            <w:hideMark/>
          </w:tcPr>
          <w:p w:rsidR="008835EB" w:rsidRDefault="008835EB" w:rsidP="007E3F2E">
            <w:pPr>
              <w:rPr>
                <w:rFonts w:cs="Calibri"/>
                <w:szCs w:val="18"/>
              </w:rPr>
            </w:pPr>
            <w:r>
              <w:rPr>
                <w:rFonts w:cs="Calibri"/>
                <w:szCs w:val="18"/>
              </w:rPr>
              <w:t>Transfers out Level 3</w:t>
            </w:r>
            <w:r>
              <w:rPr>
                <w:rFonts w:ascii="Arial" w:hAnsi="Arial" w:cs="Arial"/>
                <w:szCs w:val="18"/>
                <w:vertAlign w:val="superscript"/>
              </w:rPr>
              <w:t>4</w:t>
            </w:r>
          </w:p>
        </w:tc>
        <w:tc>
          <w:tcPr>
            <w:tcW w:w="96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c>
          <w:tcPr>
            <w:tcW w:w="100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c>
          <w:tcPr>
            <w:tcW w:w="1018"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(2,897)</w:t>
            </w:r>
          </w:p>
        </w:tc>
        <w:tc>
          <w:tcPr>
            <w:tcW w:w="994"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c>
          <w:tcPr>
            <w:tcW w:w="931"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(2,897)</w:t>
            </w:r>
          </w:p>
        </w:tc>
        <w:tc>
          <w:tcPr>
            <w:tcW w:w="858"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r>
      <w:tr w:rsidR="008835EB" w:rsidTr="007E3F2E">
        <w:trPr>
          <w:trHeight w:val="240"/>
        </w:trPr>
        <w:tc>
          <w:tcPr>
            <w:tcW w:w="3313" w:type="dxa"/>
            <w:tcBorders>
              <w:top w:val="single" w:sz="4" w:space="0" w:color="auto"/>
              <w:left w:val="nil"/>
              <w:bottom w:val="single" w:sz="4" w:space="0" w:color="auto"/>
              <w:right w:val="nil"/>
            </w:tcBorders>
            <w:shd w:val="clear" w:color="FFFFFF" w:fill="FFFFFF"/>
            <w:vAlign w:val="bottom"/>
            <w:hideMark/>
          </w:tcPr>
          <w:p w:rsidR="008835EB" w:rsidRDefault="008835EB" w:rsidP="007E3F2E">
            <w:pPr>
              <w:rPr>
                <w:rFonts w:cs="Calibri"/>
                <w:b/>
                <w:bCs/>
                <w:szCs w:val="18"/>
              </w:rPr>
            </w:pPr>
            <w:r>
              <w:rPr>
                <w:rFonts w:cs="Calibri"/>
                <w:b/>
                <w:bCs/>
                <w:szCs w:val="18"/>
              </w:rPr>
              <w:t>Closing balance</w:t>
            </w:r>
          </w:p>
        </w:tc>
        <w:tc>
          <w:tcPr>
            <w:tcW w:w="965"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23,265 </w:t>
            </w:r>
          </w:p>
        </w:tc>
        <w:tc>
          <w:tcPr>
            <w:tcW w:w="1008"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19,248 </w:t>
            </w:r>
          </w:p>
        </w:tc>
        <w:tc>
          <w:tcPr>
            <w:tcW w:w="1018"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5,802 </w:t>
            </w:r>
          </w:p>
        </w:tc>
        <w:tc>
          <w:tcPr>
            <w:tcW w:w="994"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8,525 </w:t>
            </w:r>
          </w:p>
        </w:tc>
        <w:tc>
          <w:tcPr>
            <w:tcW w:w="931"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29,067 </w:t>
            </w:r>
          </w:p>
        </w:tc>
        <w:tc>
          <w:tcPr>
            <w:tcW w:w="858" w:type="dxa"/>
            <w:tcBorders>
              <w:top w:val="single" w:sz="4" w:space="0" w:color="auto"/>
              <w:left w:val="nil"/>
              <w:bottom w:val="single" w:sz="4" w:space="0" w:color="auto"/>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27,773 </w:t>
            </w:r>
          </w:p>
        </w:tc>
      </w:tr>
    </w:tbl>
    <w:p w:rsidR="008835EB" w:rsidRDefault="008835EB" w:rsidP="008835EB">
      <w:pPr>
        <w:pStyle w:val="ReportText"/>
      </w:pPr>
      <w:bookmarkStart w:id="520" w:name="RANGE!D7:J28"/>
      <w:bookmarkStart w:id="521" w:name="RANGE!D7:D28"/>
      <w:bookmarkStart w:id="522" w:name="RANGE!D7:D38"/>
      <w:bookmarkStart w:id="523" w:name="RANGE!D7:I38"/>
      <w:bookmarkStart w:id="524" w:name="RANGE!D7:D34"/>
      <w:bookmarkStart w:id="525" w:name="RANGE!D7:I34"/>
      <w:bookmarkStart w:id="526" w:name="RANGE!D7:I29"/>
      <w:bookmarkEnd w:id="520"/>
      <w:bookmarkEnd w:id="521"/>
      <w:bookmarkEnd w:id="522"/>
      <w:bookmarkEnd w:id="523"/>
      <w:bookmarkEnd w:id="524"/>
      <w:bookmarkEnd w:id="525"/>
      <w:bookmarkEnd w:id="526"/>
      <w:r>
        <w:t>1. These losses are presented in the Statement of Comprehensive Income under ‘depreciation and amortisation’ and ‘write-down and Impairment of assets’.</w:t>
      </w:r>
    </w:p>
    <w:p w:rsidR="008835EB" w:rsidRDefault="008835EB" w:rsidP="008835EB">
      <w:pPr>
        <w:pStyle w:val="ReportText"/>
      </w:pPr>
      <w:r>
        <w:t>2. These gains are presented in the Statement of Comprehensive Income under Other Changes in Asset Revaluation Reserves.</w:t>
      </w:r>
    </w:p>
    <w:p w:rsidR="008835EB" w:rsidRDefault="008835EB" w:rsidP="008835EB">
      <w:pPr>
        <w:pStyle w:val="ReportText"/>
      </w:pPr>
      <w:r>
        <w:t xml:space="preserve">3. There have been asset transfers into level 3 during the year. This is due to an increase in the professional judgement required in using a market approach or a change in the valuation technique from a market approach to a depreciated replacement cost approach. </w:t>
      </w:r>
    </w:p>
    <w:p w:rsidR="008835EB" w:rsidRDefault="008835EB" w:rsidP="008835EB">
      <w:pPr>
        <w:pStyle w:val="ReportText"/>
      </w:pPr>
      <w:r>
        <w:t xml:space="preserve">4. There have been asset transfers out of level 3 during the year. This is due to a change in the valuation technique from a depreciated replacement cost approach to a market approach. </w:t>
      </w:r>
    </w:p>
    <w:p w:rsidR="008835EB" w:rsidRDefault="008835EB" w:rsidP="008835EB">
      <w:pPr>
        <w:spacing w:line="240" w:lineRule="auto"/>
        <w:rPr>
          <w:rFonts w:asciiTheme="minorHAnsi" w:hAnsiTheme="minorHAnsi" w:cs="Arial"/>
          <w:szCs w:val="18"/>
          <w:lang w:eastAsia="en-AU"/>
        </w:rPr>
      </w:pPr>
      <w:r>
        <w:br w:type="page"/>
      </w:r>
    </w:p>
    <w:p w:rsidR="008835EB" w:rsidRDefault="008835EB" w:rsidP="008835EB">
      <w:pPr>
        <w:pStyle w:val="SubHeading"/>
      </w:pPr>
      <w:bookmarkStart w:id="527" w:name="_Toc456689866"/>
      <w:r>
        <w:lastRenderedPageBreak/>
        <w:t>Administered - Fair Value Measurement</w:t>
      </w:r>
      <w:bookmarkEnd w:id="527"/>
    </w:p>
    <w:tbl>
      <w:tblPr>
        <w:tblW w:w="9087" w:type="dxa"/>
        <w:tblInd w:w="80" w:type="dxa"/>
        <w:tblLayout w:type="fixed"/>
        <w:tblLook w:val="04A0" w:firstRow="1" w:lastRow="0" w:firstColumn="1" w:lastColumn="0" w:noHBand="0" w:noVBand="1"/>
      </w:tblPr>
      <w:tblGrid>
        <w:gridCol w:w="3520"/>
        <w:gridCol w:w="16"/>
        <w:gridCol w:w="887"/>
        <w:gridCol w:w="492"/>
        <w:gridCol w:w="358"/>
        <w:gridCol w:w="960"/>
        <w:gridCol w:w="73"/>
        <w:gridCol w:w="970"/>
        <w:gridCol w:w="422"/>
        <w:gridCol w:w="327"/>
        <w:gridCol w:w="1062"/>
      </w:tblGrid>
      <w:tr w:rsidR="008835EB" w:rsidTr="007E3F2E">
        <w:trPr>
          <w:trHeight w:val="375"/>
        </w:trPr>
        <w:tc>
          <w:tcPr>
            <w:tcW w:w="9087" w:type="dxa"/>
            <w:gridSpan w:val="11"/>
            <w:tcBorders>
              <w:top w:val="single" w:sz="4" w:space="0" w:color="D9D9D9"/>
              <w:left w:val="nil"/>
              <w:right w:val="nil"/>
            </w:tcBorders>
            <w:shd w:val="clear" w:color="000000" w:fill="D9D9D9"/>
          </w:tcPr>
          <w:p w:rsidR="008835EB" w:rsidRPr="00446974" w:rsidRDefault="008835EB" w:rsidP="007E3F2E">
            <w:pPr>
              <w:spacing w:after="120"/>
            </w:pPr>
            <w:r w:rsidRPr="00446974">
              <w:t>The following tables provide an analysis of assets and liabilities that are measured at fair value.</w:t>
            </w:r>
          </w:p>
          <w:p w:rsidR="008835EB" w:rsidRDefault="008835EB" w:rsidP="007E3F2E">
            <w:pPr>
              <w:spacing w:after="120"/>
            </w:pPr>
            <w:r w:rsidRPr="00446974">
              <w:t>The different levels of the fair value hierarchy are defined below.</w:t>
            </w:r>
          </w:p>
        </w:tc>
      </w:tr>
      <w:tr w:rsidR="008835EB" w:rsidTr="007E3F2E">
        <w:trPr>
          <w:trHeight w:val="375"/>
        </w:trPr>
        <w:tc>
          <w:tcPr>
            <w:tcW w:w="9087" w:type="dxa"/>
            <w:gridSpan w:val="11"/>
            <w:tcBorders>
              <w:left w:val="nil"/>
              <w:bottom w:val="single" w:sz="4" w:space="0" w:color="auto"/>
              <w:right w:val="nil"/>
            </w:tcBorders>
            <w:shd w:val="clear" w:color="000000" w:fill="D9D9D9"/>
          </w:tcPr>
          <w:p w:rsidR="008835EB" w:rsidRDefault="008835EB" w:rsidP="007E3F2E">
            <w:pPr>
              <w:pStyle w:val="NotesHeading-Level1"/>
              <w:rPr>
                <w:rFonts w:cs="Calibri"/>
                <w:bCs/>
                <w:szCs w:val="18"/>
              </w:rPr>
            </w:pPr>
            <w:bookmarkStart w:id="528" w:name="RANGE!D7:J8"/>
            <w:r>
              <w:t xml:space="preserve">Note </w:t>
            </w:r>
            <w:proofErr w:type="spellStart"/>
            <w:r>
              <w:t>7.5A</w:t>
            </w:r>
            <w:proofErr w:type="spellEnd"/>
            <w:r>
              <w:t>: Fair Value Measurements</w:t>
            </w:r>
            <w:bookmarkEnd w:id="528"/>
          </w:p>
        </w:tc>
      </w:tr>
      <w:tr w:rsidR="008835EB" w:rsidTr="007E3F2E">
        <w:trPr>
          <w:trHeight w:val="795"/>
        </w:trPr>
        <w:tc>
          <w:tcPr>
            <w:tcW w:w="3536" w:type="dxa"/>
            <w:gridSpan w:val="2"/>
            <w:tcBorders>
              <w:top w:val="nil"/>
              <w:left w:val="nil"/>
              <w:bottom w:val="nil"/>
              <w:right w:val="nil"/>
            </w:tcBorders>
            <w:shd w:val="clear" w:color="000000" w:fill="D9D9D9"/>
            <w:vAlign w:val="bottom"/>
            <w:hideMark/>
          </w:tcPr>
          <w:p w:rsidR="008835EB" w:rsidRDefault="008835EB" w:rsidP="007E3F2E">
            <w:pPr>
              <w:rPr>
                <w:rFonts w:cs="Calibri"/>
                <w:szCs w:val="18"/>
              </w:rPr>
            </w:pPr>
            <w:r>
              <w:rPr>
                <w:rFonts w:cs="Calibri"/>
                <w:szCs w:val="18"/>
              </w:rPr>
              <w:t> </w:t>
            </w:r>
          </w:p>
        </w:tc>
        <w:tc>
          <w:tcPr>
            <w:tcW w:w="2697" w:type="dxa"/>
            <w:gridSpan w:val="4"/>
            <w:tcBorders>
              <w:top w:val="single" w:sz="4" w:space="0" w:color="auto"/>
              <w:left w:val="nil"/>
              <w:bottom w:val="single" w:sz="4" w:space="0" w:color="auto"/>
              <w:right w:val="single" w:sz="4" w:space="0" w:color="000000"/>
            </w:tcBorders>
            <w:shd w:val="clear" w:color="000000" w:fill="D9D9D9"/>
            <w:vAlign w:val="bottom"/>
            <w:hideMark/>
          </w:tcPr>
          <w:p w:rsidR="008835EB" w:rsidRDefault="008835EB" w:rsidP="007E3F2E">
            <w:pPr>
              <w:rPr>
                <w:rFonts w:cs="Calibri"/>
                <w:b/>
                <w:bCs/>
                <w:szCs w:val="18"/>
              </w:rPr>
            </w:pPr>
            <w:r>
              <w:rPr>
                <w:rFonts w:cs="Calibri"/>
                <w:b/>
                <w:bCs/>
                <w:szCs w:val="18"/>
              </w:rPr>
              <w:t>Fair value measurements at the end of the reporting period using</w:t>
            </w:r>
          </w:p>
        </w:tc>
        <w:tc>
          <w:tcPr>
            <w:tcW w:w="2854" w:type="dxa"/>
            <w:gridSpan w:val="5"/>
            <w:tcBorders>
              <w:top w:val="single" w:sz="4" w:space="0" w:color="auto"/>
              <w:left w:val="nil"/>
              <w:bottom w:val="single" w:sz="4" w:space="0" w:color="auto"/>
              <w:right w:val="nil"/>
            </w:tcBorders>
            <w:shd w:val="clear" w:color="000000" w:fill="D9D9D9"/>
            <w:hideMark/>
          </w:tcPr>
          <w:p w:rsidR="008835EB" w:rsidRDefault="008835EB" w:rsidP="007E3F2E">
            <w:pPr>
              <w:rPr>
                <w:rFonts w:cs="Calibri"/>
                <w:b/>
                <w:bCs/>
                <w:szCs w:val="18"/>
              </w:rPr>
            </w:pPr>
            <w:r>
              <w:rPr>
                <w:rFonts w:cs="Calibri"/>
                <w:b/>
                <w:bCs/>
                <w:szCs w:val="18"/>
              </w:rPr>
              <w:t>For Levels 2 and 3 fair value measurements</w:t>
            </w:r>
          </w:p>
        </w:tc>
      </w:tr>
      <w:tr w:rsidR="008835EB" w:rsidTr="007E3F2E">
        <w:trPr>
          <w:trHeight w:val="503"/>
        </w:trPr>
        <w:tc>
          <w:tcPr>
            <w:tcW w:w="3536" w:type="dxa"/>
            <w:gridSpan w:val="2"/>
            <w:tcBorders>
              <w:top w:val="nil"/>
              <w:left w:val="nil"/>
              <w:bottom w:val="nil"/>
              <w:right w:val="nil"/>
            </w:tcBorders>
            <w:shd w:val="clear" w:color="000000" w:fill="D9D9D9"/>
            <w:vAlign w:val="bottom"/>
            <w:hideMark/>
          </w:tcPr>
          <w:p w:rsidR="008835EB" w:rsidRDefault="008835EB" w:rsidP="007E3F2E">
            <w:pPr>
              <w:rPr>
                <w:rFonts w:cs="Calibri"/>
                <w:szCs w:val="18"/>
              </w:rPr>
            </w:pPr>
            <w:r>
              <w:rPr>
                <w:rFonts w:cs="Calibri"/>
                <w:szCs w:val="18"/>
              </w:rPr>
              <w:t> </w:t>
            </w:r>
          </w:p>
        </w:tc>
        <w:tc>
          <w:tcPr>
            <w:tcW w:w="887" w:type="dxa"/>
            <w:tcBorders>
              <w:top w:val="nil"/>
              <w:left w:val="nil"/>
              <w:bottom w:val="single" w:sz="4" w:space="0" w:color="D9D9D9"/>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2016</w:t>
            </w:r>
          </w:p>
        </w:tc>
        <w:tc>
          <w:tcPr>
            <w:tcW w:w="850" w:type="dxa"/>
            <w:gridSpan w:val="2"/>
            <w:tcBorders>
              <w:top w:val="nil"/>
              <w:left w:val="nil"/>
              <w:bottom w:val="single" w:sz="4" w:space="0" w:color="D9D9D9"/>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2015</w:t>
            </w:r>
          </w:p>
        </w:tc>
        <w:tc>
          <w:tcPr>
            <w:tcW w:w="960" w:type="dxa"/>
            <w:vMerge w:val="restart"/>
            <w:tcBorders>
              <w:top w:val="nil"/>
              <w:left w:val="nil"/>
              <w:bottom w:val="single" w:sz="4" w:space="0" w:color="000000"/>
              <w:right w:val="single" w:sz="4" w:space="0" w:color="auto"/>
            </w:tcBorders>
            <w:shd w:val="clear" w:color="000000" w:fill="D9D9D9"/>
            <w:vAlign w:val="bottom"/>
            <w:hideMark/>
          </w:tcPr>
          <w:p w:rsidR="008835EB" w:rsidRDefault="008835EB" w:rsidP="007E3F2E">
            <w:pPr>
              <w:jc w:val="right"/>
              <w:rPr>
                <w:rFonts w:cs="Calibri"/>
                <w:b/>
                <w:bCs/>
                <w:szCs w:val="18"/>
              </w:rPr>
            </w:pPr>
            <w:r>
              <w:rPr>
                <w:rFonts w:cs="Calibri"/>
                <w:b/>
                <w:bCs/>
                <w:szCs w:val="18"/>
              </w:rPr>
              <w:t>Category Level 1, 2 or 3)</w:t>
            </w:r>
          </w:p>
        </w:tc>
        <w:tc>
          <w:tcPr>
            <w:tcW w:w="1043" w:type="dxa"/>
            <w:gridSpan w:val="2"/>
            <w:vMerge w:val="restart"/>
            <w:tcBorders>
              <w:top w:val="nil"/>
              <w:left w:val="single" w:sz="4" w:space="0" w:color="auto"/>
              <w:bottom w:val="single" w:sz="4" w:space="0" w:color="000000"/>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Valuation Techniques</w:t>
            </w:r>
          </w:p>
        </w:tc>
        <w:tc>
          <w:tcPr>
            <w:tcW w:w="749" w:type="dxa"/>
            <w:gridSpan w:val="2"/>
            <w:vMerge w:val="restart"/>
            <w:tcBorders>
              <w:top w:val="nil"/>
              <w:left w:val="nil"/>
              <w:bottom w:val="single" w:sz="4" w:space="0" w:color="000000"/>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Inputs used</w:t>
            </w:r>
          </w:p>
        </w:tc>
        <w:tc>
          <w:tcPr>
            <w:tcW w:w="1062" w:type="dxa"/>
            <w:vMerge w:val="restart"/>
            <w:tcBorders>
              <w:top w:val="nil"/>
              <w:left w:val="nil"/>
              <w:bottom w:val="single" w:sz="4" w:space="0" w:color="000000"/>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Weighted average</w:t>
            </w:r>
          </w:p>
        </w:tc>
      </w:tr>
      <w:tr w:rsidR="008835EB" w:rsidTr="007E3F2E">
        <w:trPr>
          <w:trHeight w:val="240"/>
        </w:trPr>
        <w:tc>
          <w:tcPr>
            <w:tcW w:w="3536" w:type="dxa"/>
            <w:gridSpan w:val="2"/>
            <w:tcBorders>
              <w:top w:val="nil"/>
              <w:left w:val="nil"/>
              <w:bottom w:val="single" w:sz="4" w:space="0" w:color="auto"/>
              <w:right w:val="nil"/>
            </w:tcBorders>
            <w:shd w:val="clear" w:color="000000" w:fill="D9D9D9"/>
            <w:vAlign w:val="bottom"/>
            <w:hideMark/>
          </w:tcPr>
          <w:p w:rsidR="008835EB" w:rsidRDefault="008835EB" w:rsidP="007E3F2E">
            <w:pPr>
              <w:rPr>
                <w:rFonts w:cs="Calibri"/>
                <w:szCs w:val="18"/>
              </w:rPr>
            </w:pPr>
            <w:r>
              <w:rPr>
                <w:rFonts w:cs="Calibri"/>
                <w:szCs w:val="18"/>
              </w:rPr>
              <w:t> </w:t>
            </w:r>
          </w:p>
        </w:tc>
        <w:tc>
          <w:tcPr>
            <w:tcW w:w="887" w:type="dxa"/>
            <w:tcBorders>
              <w:top w:val="nil"/>
              <w:left w:val="nil"/>
              <w:bottom w:val="single" w:sz="4" w:space="0" w:color="auto"/>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$'000</w:t>
            </w:r>
          </w:p>
        </w:tc>
        <w:tc>
          <w:tcPr>
            <w:tcW w:w="850" w:type="dxa"/>
            <w:gridSpan w:val="2"/>
            <w:tcBorders>
              <w:top w:val="nil"/>
              <w:left w:val="nil"/>
              <w:bottom w:val="single" w:sz="4" w:space="0" w:color="auto"/>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$'000</w:t>
            </w:r>
          </w:p>
        </w:tc>
        <w:tc>
          <w:tcPr>
            <w:tcW w:w="960" w:type="dxa"/>
            <w:vMerge/>
            <w:tcBorders>
              <w:top w:val="nil"/>
              <w:left w:val="nil"/>
              <w:bottom w:val="single" w:sz="4" w:space="0" w:color="000000"/>
              <w:right w:val="single" w:sz="4" w:space="0" w:color="auto"/>
            </w:tcBorders>
            <w:vAlign w:val="center"/>
            <w:hideMark/>
          </w:tcPr>
          <w:p w:rsidR="008835EB" w:rsidRDefault="008835EB" w:rsidP="007E3F2E">
            <w:pPr>
              <w:rPr>
                <w:rFonts w:cs="Calibri"/>
                <w:b/>
                <w:bCs/>
                <w:szCs w:val="18"/>
              </w:rPr>
            </w:pPr>
          </w:p>
        </w:tc>
        <w:tc>
          <w:tcPr>
            <w:tcW w:w="1043" w:type="dxa"/>
            <w:gridSpan w:val="2"/>
            <w:vMerge/>
            <w:tcBorders>
              <w:top w:val="nil"/>
              <w:left w:val="single" w:sz="4" w:space="0" w:color="auto"/>
              <w:bottom w:val="single" w:sz="4" w:space="0" w:color="000000"/>
              <w:right w:val="nil"/>
            </w:tcBorders>
            <w:vAlign w:val="center"/>
            <w:hideMark/>
          </w:tcPr>
          <w:p w:rsidR="008835EB" w:rsidRDefault="008835EB" w:rsidP="007E3F2E">
            <w:pPr>
              <w:rPr>
                <w:rFonts w:cs="Calibri"/>
                <w:b/>
                <w:bCs/>
                <w:szCs w:val="18"/>
              </w:rPr>
            </w:pPr>
          </w:p>
        </w:tc>
        <w:tc>
          <w:tcPr>
            <w:tcW w:w="749" w:type="dxa"/>
            <w:gridSpan w:val="2"/>
            <w:vMerge/>
            <w:tcBorders>
              <w:top w:val="nil"/>
              <w:left w:val="nil"/>
              <w:bottom w:val="single" w:sz="4" w:space="0" w:color="000000"/>
              <w:right w:val="nil"/>
            </w:tcBorders>
            <w:vAlign w:val="center"/>
            <w:hideMark/>
          </w:tcPr>
          <w:p w:rsidR="008835EB" w:rsidRDefault="008835EB" w:rsidP="007E3F2E">
            <w:pPr>
              <w:rPr>
                <w:rFonts w:cs="Calibri"/>
                <w:b/>
                <w:bCs/>
                <w:szCs w:val="18"/>
              </w:rPr>
            </w:pPr>
          </w:p>
        </w:tc>
        <w:tc>
          <w:tcPr>
            <w:tcW w:w="1062" w:type="dxa"/>
            <w:vMerge/>
            <w:tcBorders>
              <w:top w:val="nil"/>
              <w:left w:val="nil"/>
              <w:bottom w:val="single" w:sz="4" w:space="0" w:color="000000"/>
              <w:right w:val="nil"/>
            </w:tcBorders>
            <w:vAlign w:val="center"/>
            <w:hideMark/>
          </w:tcPr>
          <w:p w:rsidR="008835EB" w:rsidRDefault="008835EB" w:rsidP="007E3F2E">
            <w:pPr>
              <w:rPr>
                <w:rFonts w:cs="Calibri"/>
                <w:b/>
                <w:bCs/>
                <w:szCs w:val="18"/>
              </w:rPr>
            </w:pPr>
          </w:p>
        </w:tc>
      </w:tr>
      <w:tr w:rsidR="008835EB" w:rsidTr="007E3F2E">
        <w:trPr>
          <w:trHeight w:val="240"/>
        </w:trPr>
        <w:tc>
          <w:tcPr>
            <w:tcW w:w="3536" w:type="dxa"/>
            <w:gridSpan w:val="2"/>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Financial assets</w:t>
            </w:r>
          </w:p>
        </w:tc>
        <w:tc>
          <w:tcPr>
            <w:tcW w:w="887" w:type="dxa"/>
            <w:tcBorders>
              <w:top w:val="nil"/>
              <w:left w:val="nil"/>
              <w:bottom w:val="single" w:sz="4" w:space="0" w:color="D9D9D9"/>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 </w:t>
            </w:r>
          </w:p>
        </w:tc>
        <w:tc>
          <w:tcPr>
            <w:tcW w:w="850" w:type="dxa"/>
            <w:gridSpan w:val="2"/>
            <w:tcBorders>
              <w:top w:val="nil"/>
              <w:left w:val="nil"/>
              <w:bottom w:val="single" w:sz="4" w:space="0" w:color="D9D9D9"/>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 </w:t>
            </w:r>
          </w:p>
        </w:tc>
        <w:tc>
          <w:tcPr>
            <w:tcW w:w="960" w:type="dxa"/>
            <w:tcBorders>
              <w:top w:val="nil"/>
              <w:left w:val="nil"/>
              <w:bottom w:val="single" w:sz="4" w:space="0" w:color="D9D9D9"/>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 </w:t>
            </w:r>
          </w:p>
        </w:tc>
        <w:tc>
          <w:tcPr>
            <w:tcW w:w="1043" w:type="dxa"/>
            <w:gridSpan w:val="2"/>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749" w:type="dxa"/>
            <w:gridSpan w:val="2"/>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c>
          <w:tcPr>
            <w:tcW w:w="1062" w:type="dxa"/>
            <w:tcBorders>
              <w:top w:val="nil"/>
              <w:left w:val="nil"/>
              <w:bottom w:val="single" w:sz="4" w:space="0" w:color="D9D9D9"/>
              <w:right w:val="nil"/>
            </w:tcBorders>
            <w:shd w:val="clear" w:color="000000" w:fill="D9D9D9"/>
            <w:noWrap/>
            <w:vAlign w:val="bottom"/>
            <w:hideMark/>
          </w:tcPr>
          <w:p w:rsidR="008835EB" w:rsidRDefault="008835EB" w:rsidP="007E3F2E">
            <w:pPr>
              <w:rPr>
                <w:rFonts w:cs="Calibri"/>
                <w:sz w:val="16"/>
                <w:szCs w:val="16"/>
              </w:rPr>
            </w:pPr>
            <w:r>
              <w:rPr>
                <w:rFonts w:cs="Calibri"/>
                <w:sz w:val="16"/>
                <w:szCs w:val="16"/>
              </w:rPr>
              <w:t> </w:t>
            </w:r>
          </w:p>
        </w:tc>
      </w:tr>
      <w:tr w:rsidR="008835EB" w:rsidTr="007E3F2E">
        <w:trPr>
          <w:trHeight w:val="698"/>
        </w:trPr>
        <w:tc>
          <w:tcPr>
            <w:tcW w:w="3536" w:type="dxa"/>
            <w:gridSpan w:val="2"/>
            <w:tcBorders>
              <w:top w:val="nil"/>
              <w:left w:val="nil"/>
              <w:bottom w:val="single" w:sz="4" w:space="0" w:color="D9D9D9"/>
              <w:right w:val="nil"/>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Administered investments</w:t>
            </w:r>
          </w:p>
        </w:tc>
        <w:tc>
          <w:tcPr>
            <w:tcW w:w="887"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240,897 </w:t>
            </w:r>
          </w:p>
        </w:tc>
        <w:tc>
          <w:tcPr>
            <w:tcW w:w="850" w:type="dxa"/>
            <w:gridSpan w:val="2"/>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224,658 </w:t>
            </w:r>
          </w:p>
        </w:tc>
        <w:tc>
          <w:tcPr>
            <w:tcW w:w="960" w:type="dxa"/>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3 </w:t>
            </w:r>
          </w:p>
        </w:tc>
        <w:tc>
          <w:tcPr>
            <w:tcW w:w="1043" w:type="dxa"/>
            <w:gridSpan w:val="2"/>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Net assets of the entity</w:t>
            </w:r>
          </w:p>
        </w:tc>
        <w:tc>
          <w:tcPr>
            <w:tcW w:w="749" w:type="dxa"/>
            <w:gridSpan w:val="2"/>
            <w:tcBorders>
              <w:top w:val="nil"/>
              <w:left w:val="nil"/>
              <w:bottom w:val="nil"/>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Net Assets</w:t>
            </w:r>
          </w:p>
        </w:tc>
        <w:tc>
          <w:tcPr>
            <w:tcW w:w="1062" w:type="dxa"/>
            <w:tcBorders>
              <w:top w:val="nil"/>
              <w:left w:val="nil"/>
              <w:bottom w:val="single" w:sz="4" w:space="0" w:color="auto"/>
              <w:right w:val="nil"/>
            </w:tcBorders>
            <w:shd w:val="clear" w:color="000000" w:fill="A6A6A6"/>
            <w:vAlign w:val="bottom"/>
            <w:hideMark/>
          </w:tcPr>
          <w:p w:rsidR="008835EB" w:rsidRDefault="008835EB" w:rsidP="007E3F2E">
            <w:pPr>
              <w:rPr>
                <w:rFonts w:cs="Calibri"/>
                <w:szCs w:val="18"/>
              </w:rPr>
            </w:pPr>
            <w:r>
              <w:rPr>
                <w:rFonts w:cs="Calibri"/>
                <w:szCs w:val="18"/>
              </w:rPr>
              <w:t> </w:t>
            </w:r>
          </w:p>
        </w:tc>
      </w:tr>
      <w:tr w:rsidR="008835EB" w:rsidTr="007E3F2E">
        <w:trPr>
          <w:trHeight w:val="240"/>
        </w:trPr>
        <w:tc>
          <w:tcPr>
            <w:tcW w:w="3536" w:type="dxa"/>
            <w:gridSpan w:val="2"/>
            <w:tcBorders>
              <w:top w:val="nil"/>
              <w:left w:val="nil"/>
              <w:bottom w:val="single" w:sz="8" w:space="0" w:color="D9D9D9"/>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Total financial assets</w:t>
            </w:r>
          </w:p>
        </w:tc>
        <w:tc>
          <w:tcPr>
            <w:tcW w:w="887"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240,897</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224,658</w:t>
            </w:r>
          </w:p>
        </w:tc>
        <w:tc>
          <w:tcPr>
            <w:tcW w:w="960" w:type="dxa"/>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w:t>
            </w:r>
          </w:p>
        </w:tc>
        <w:tc>
          <w:tcPr>
            <w:tcW w:w="1043" w:type="dxa"/>
            <w:gridSpan w:val="2"/>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w:t>
            </w:r>
          </w:p>
        </w:tc>
        <w:tc>
          <w:tcPr>
            <w:tcW w:w="749" w:type="dxa"/>
            <w:gridSpan w:val="2"/>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w:t>
            </w:r>
          </w:p>
        </w:tc>
        <w:tc>
          <w:tcPr>
            <w:tcW w:w="1062" w:type="dxa"/>
            <w:tcBorders>
              <w:top w:val="nil"/>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w:t>
            </w:r>
          </w:p>
        </w:tc>
      </w:tr>
      <w:tr w:rsidR="008835EB" w:rsidTr="007E3F2E">
        <w:trPr>
          <w:trHeight w:val="735"/>
        </w:trPr>
        <w:tc>
          <w:tcPr>
            <w:tcW w:w="3536" w:type="dxa"/>
            <w:gridSpan w:val="2"/>
            <w:tcBorders>
              <w:top w:val="nil"/>
              <w:left w:val="nil"/>
              <w:bottom w:val="single" w:sz="8" w:space="0" w:color="D9D9D9"/>
              <w:right w:val="nil"/>
            </w:tcBorders>
            <w:shd w:val="clear" w:color="000000" w:fill="D9D9D9"/>
            <w:vAlign w:val="bottom"/>
            <w:hideMark/>
          </w:tcPr>
          <w:p w:rsidR="008835EB" w:rsidRDefault="008835EB" w:rsidP="007E3F2E">
            <w:pPr>
              <w:rPr>
                <w:rFonts w:cs="Calibri"/>
                <w:b/>
                <w:bCs/>
                <w:i/>
                <w:iCs/>
                <w:szCs w:val="18"/>
              </w:rPr>
            </w:pPr>
            <w:r>
              <w:rPr>
                <w:rFonts w:cs="Calibri"/>
                <w:b/>
                <w:bCs/>
                <w:i/>
                <w:iCs/>
                <w:szCs w:val="18"/>
              </w:rPr>
              <w:t>Total fair value measurements of assets in the Administered Schedule of Assets and Liabilities</w:t>
            </w:r>
          </w:p>
        </w:tc>
        <w:tc>
          <w:tcPr>
            <w:tcW w:w="887" w:type="dxa"/>
            <w:tcBorders>
              <w:top w:val="nil"/>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240,897</w:t>
            </w:r>
          </w:p>
        </w:tc>
        <w:tc>
          <w:tcPr>
            <w:tcW w:w="850" w:type="dxa"/>
            <w:gridSpan w:val="2"/>
            <w:tcBorders>
              <w:top w:val="nil"/>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224,658</w:t>
            </w:r>
          </w:p>
        </w:tc>
        <w:tc>
          <w:tcPr>
            <w:tcW w:w="960" w:type="dxa"/>
            <w:tcBorders>
              <w:top w:val="nil"/>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w:t>
            </w:r>
          </w:p>
        </w:tc>
        <w:tc>
          <w:tcPr>
            <w:tcW w:w="1043" w:type="dxa"/>
            <w:gridSpan w:val="2"/>
            <w:tcBorders>
              <w:top w:val="nil"/>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w:t>
            </w:r>
          </w:p>
        </w:tc>
        <w:tc>
          <w:tcPr>
            <w:tcW w:w="749" w:type="dxa"/>
            <w:gridSpan w:val="2"/>
            <w:tcBorders>
              <w:top w:val="nil"/>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w:t>
            </w:r>
          </w:p>
        </w:tc>
        <w:tc>
          <w:tcPr>
            <w:tcW w:w="1062" w:type="dxa"/>
            <w:tcBorders>
              <w:top w:val="nil"/>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w:t>
            </w:r>
          </w:p>
        </w:tc>
      </w:tr>
      <w:tr w:rsidR="008835EB" w:rsidTr="007E3F2E">
        <w:trPr>
          <w:trHeight w:val="2964"/>
        </w:trPr>
        <w:tc>
          <w:tcPr>
            <w:tcW w:w="9087" w:type="dxa"/>
            <w:gridSpan w:val="11"/>
            <w:tcBorders>
              <w:top w:val="nil"/>
              <w:left w:val="nil"/>
              <w:bottom w:val="nil"/>
              <w:right w:val="nil"/>
            </w:tcBorders>
            <w:shd w:val="clear" w:color="000000" w:fill="D9D9D9"/>
            <w:noWrap/>
            <w:vAlign w:val="bottom"/>
          </w:tcPr>
          <w:p w:rsidR="008835EB" w:rsidRDefault="008835EB" w:rsidP="007E3F2E">
            <w:pPr>
              <w:spacing w:before="120" w:after="120"/>
            </w:pPr>
            <w:bookmarkStart w:id="529" w:name="RANGE!D7:J16"/>
            <w:bookmarkStart w:id="530" w:name="RANGE!D7:D17"/>
            <w:bookmarkStart w:id="531" w:name="RANGE!D7:D16"/>
            <w:bookmarkStart w:id="532" w:name="RANGE!D7:J17"/>
            <w:bookmarkStart w:id="533" w:name="RANGE!D7:D23"/>
            <w:bookmarkStart w:id="534" w:name="RANGE!D7:H27"/>
            <w:bookmarkStart w:id="535" w:name="RANGE!D7:D26"/>
            <w:bookmarkEnd w:id="529"/>
            <w:bookmarkEnd w:id="530"/>
            <w:bookmarkEnd w:id="531"/>
            <w:bookmarkEnd w:id="532"/>
            <w:bookmarkEnd w:id="533"/>
            <w:bookmarkEnd w:id="534"/>
            <w:bookmarkEnd w:id="535"/>
            <w:r w:rsidRPr="00B71488">
              <w:t xml:space="preserve">There are a number of </w:t>
            </w:r>
            <w:r>
              <w:t>a</w:t>
            </w:r>
            <w:r w:rsidRPr="00B71488">
              <w:t xml:space="preserve">dministered assets and liabilities not measured at fair value in the </w:t>
            </w:r>
            <w:r>
              <w:t>Administered Schedule of Assets and Liabilities</w:t>
            </w:r>
            <w:r w:rsidRPr="00B71488">
              <w:t>. The carrying amounts of these assets and liabilities are considered to be a reasonable approximation of their fair value.</w:t>
            </w:r>
            <w:bookmarkStart w:id="536" w:name="RANGE!D7:I13"/>
            <w:bookmarkStart w:id="537" w:name="RANGE!D7:D13"/>
            <w:bookmarkStart w:id="538" w:name="RANGE!D7:H13"/>
            <w:bookmarkEnd w:id="536"/>
            <w:bookmarkEnd w:id="537"/>
            <w:bookmarkEnd w:id="538"/>
          </w:p>
          <w:p w:rsidR="008835EB" w:rsidRPr="00B71488" w:rsidRDefault="008835EB" w:rsidP="007E3F2E">
            <w:pPr>
              <w:spacing w:after="120"/>
              <w:rPr>
                <w:rFonts w:cs="Calibri"/>
                <w:szCs w:val="18"/>
              </w:rPr>
            </w:pPr>
            <w:r>
              <w:rPr>
                <w:rFonts w:cs="Calibri"/>
                <w:szCs w:val="18"/>
              </w:rPr>
              <w:t xml:space="preserve">The Department’s administered investments are classified as available-for-sale financial assets and are measured at their fair value as at 30 June </w:t>
            </w:r>
            <w:r w:rsidR="00FA455C">
              <w:rPr>
                <w:rFonts w:cs="Calibri"/>
                <w:szCs w:val="18"/>
              </w:rPr>
              <w:t>2016</w:t>
            </w:r>
            <w:r>
              <w:rPr>
                <w:rFonts w:cs="Calibri"/>
                <w:szCs w:val="18"/>
              </w:rPr>
              <w:t xml:space="preserve">. </w:t>
            </w:r>
            <w:r w:rsidRPr="00C87115">
              <w:rPr>
                <w:rFonts w:cs="Calibri"/>
                <w:szCs w:val="18"/>
              </w:rPr>
              <w:t xml:space="preserve">Fair value is assessed as the Australian Government's proportional interest in the net assets of the </w:t>
            </w:r>
            <w:r>
              <w:rPr>
                <w:rFonts w:cs="Calibri"/>
                <w:szCs w:val="18"/>
              </w:rPr>
              <w:t>entity</w:t>
            </w:r>
            <w:r w:rsidRPr="00C87115">
              <w:rPr>
                <w:rFonts w:cs="Calibri"/>
                <w:szCs w:val="18"/>
              </w:rPr>
              <w:t xml:space="preserve"> at balance date</w:t>
            </w:r>
            <w:r>
              <w:rPr>
                <w:rFonts w:cs="Calibri"/>
                <w:szCs w:val="18"/>
              </w:rPr>
              <w:t xml:space="preserve">. </w:t>
            </w:r>
            <w:r>
              <w:t xml:space="preserve">The methods and valuation techniques used for the purpose of measuring fair value of assets and liabilities </w:t>
            </w:r>
            <w:r>
              <w:rPr>
                <w:rFonts w:cs="Calibri"/>
                <w:szCs w:val="18"/>
              </w:rPr>
              <w:t xml:space="preserve">in </w:t>
            </w:r>
            <w:r w:rsidR="00FA455C">
              <w:rPr>
                <w:rFonts w:cs="Calibri"/>
                <w:szCs w:val="18"/>
              </w:rPr>
              <w:t>2016</w:t>
            </w:r>
            <w:r w:rsidRPr="00B71488">
              <w:rPr>
                <w:rFonts w:cs="Calibri"/>
                <w:szCs w:val="18"/>
              </w:rPr>
              <w:t xml:space="preserve"> are unchanged from</w:t>
            </w:r>
            <w:r>
              <w:rPr>
                <w:rFonts w:cs="Calibri"/>
                <w:szCs w:val="18"/>
              </w:rPr>
              <w:t xml:space="preserve"> the prior year.</w:t>
            </w:r>
          </w:p>
          <w:p w:rsidR="008835EB" w:rsidRPr="00D47E5B" w:rsidRDefault="008835EB" w:rsidP="007E3F2E">
            <w:pPr>
              <w:spacing w:after="120"/>
              <w:rPr>
                <w:rFonts w:cs="Calibri"/>
                <w:szCs w:val="18"/>
              </w:rPr>
            </w:pPr>
            <w:r w:rsidRPr="00B71488">
              <w:rPr>
                <w:rFonts w:cs="Calibri"/>
                <w:szCs w:val="18"/>
              </w:rPr>
              <w:t>Changing inputs to the level 3 hierarchy valuations to reasonably possible alternate assumptions would not significantly change amounts recognised in net cost of service or other comprehensive income.</w:t>
            </w:r>
          </w:p>
        </w:tc>
      </w:tr>
      <w:tr w:rsidR="008835EB" w:rsidTr="007E3F2E">
        <w:trPr>
          <w:trHeight w:val="419"/>
        </w:trPr>
        <w:tc>
          <w:tcPr>
            <w:tcW w:w="9087" w:type="dxa"/>
            <w:gridSpan w:val="11"/>
            <w:tcBorders>
              <w:top w:val="nil"/>
              <w:left w:val="nil"/>
              <w:bottom w:val="nil"/>
              <w:right w:val="nil"/>
            </w:tcBorders>
            <w:shd w:val="clear" w:color="000000" w:fill="D9D9D9"/>
            <w:noWrap/>
            <w:vAlign w:val="bottom"/>
            <w:hideMark/>
          </w:tcPr>
          <w:p w:rsidR="008835EB" w:rsidRDefault="008835EB" w:rsidP="007E3F2E">
            <w:pPr>
              <w:pStyle w:val="NotesHeading-Level1"/>
            </w:pPr>
            <w:bookmarkStart w:id="539" w:name="Note_AVDTABLE1" w:colFirst="0" w:colLast="0"/>
            <w:r>
              <w:t xml:space="preserve">Note </w:t>
            </w:r>
            <w:proofErr w:type="spellStart"/>
            <w:r>
              <w:t>7.5B</w:t>
            </w:r>
            <w:proofErr w:type="spellEnd"/>
            <w:r>
              <w:t>: Reconciliation For Recurring Level 3 Fair Value Measurements</w:t>
            </w:r>
          </w:p>
        </w:tc>
      </w:tr>
      <w:bookmarkEnd w:id="539"/>
      <w:tr w:rsidR="008835EB" w:rsidTr="007E3F2E">
        <w:trPr>
          <w:trHeight w:val="425"/>
        </w:trPr>
        <w:tc>
          <w:tcPr>
            <w:tcW w:w="9087" w:type="dxa"/>
            <w:gridSpan w:val="11"/>
            <w:tcBorders>
              <w:top w:val="nil"/>
              <w:left w:val="nil"/>
              <w:bottom w:val="nil"/>
              <w:right w:val="nil"/>
            </w:tcBorders>
            <w:shd w:val="clear" w:color="000000" w:fill="D9D9D9"/>
            <w:vAlign w:val="bottom"/>
            <w:hideMark/>
          </w:tcPr>
          <w:p w:rsidR="008835EB" w:rsidRDefault="008835EB" w:rsidP="007E3F2E">
            <w:pPr>
              <w:rPr>
                <w:rFonts w:cs="Calibri"/>
                <w:szCs w:val="18"/>
              </w:rPr>
            </w:pPr>
            <w:r>
              <w:rPr>
                <w:rFonts w:cs="Calibri"/>
                <w:szCs w:val="18"/>
              </w:rPr>
              <w:t>There have been no transfers between levels during the period.</w:t>
            </w:r>
          </w:p>
        </w:tc>
      </w:tr>
      <w:tr w:rsidR="008835EB" w:rsidTr="007E3F2E">
        <w:trPr>
          <w:trHeight w:val="431"/>
        </w:trPr>
        <w:tc>
          <w:tcPr>
            <w:tcW w:w="9087" w:type="dxa"/>
            <w:gridSpan w:val="11"/>
            <w:tcBorders>
              <w:top w:val="nil"/>
              <w:left w:val="nil"/>
              <w:bottom w:val="single" w:sz="4" w:space="0" w:color="auto"/>
              <w:right w:val="nil"/>
            </w:tcBorders>
            <w:shd w:val="clear" w:color="000000" w:fill="D9D9D9"/>
            <w:vAlign w:val="bottom"/>
            <w:hideMark/>
          </w:tcPr>
          <w:p w:rsidR="008835EB" w:rsidRDefault="008835EB" w:rsidP="007E3F2E">
            <w:pPr>
              <w:rPr>
                <w:rFonts w:cs="Calibri"/>
                <w:b/>
                <w:bCs/>
                <w:szCs w:val="18"/>
              </w:rPr>
            </w:pPr>
            <w:r>
              <w:rPr>
                <w:rFonts w:cs="Calibri"/>
                <w:b/>
                <w:bCs/>
                <w:szCs w:val="18"/>
              </w:rPr>
              <w:t>Recurring Level 3 fair value measurements—reconciliation for assets</w:t>
            </w:r>
          </w:p>
        </w:tc>
      </w:tr>
      <w:tr w:rsidR="008835EB" w:rsidTr="007E3F2E">
        <w:trPr>
          <w:trHeight w:val="240"/>
        </w:trPr>
        <w:tc>
          <w:tcPr>
            <w:tcW w:w="3520" w:type="dxa"/>
            <w:tcBorders>
              <w:top w:val="nil"/>
              <w:left w:val="nil"/>
              <w:bottom w:val="nil"/>
              <w:right w:val="nil"/>
            </w:tcBorders>
            <w:shd w:val="clear" w:color="000000" w:fill="D9D9D9"/>
            <w:vAlign w:val="bottom"/>
            <w:hideMark/>
          </w:tcPr>
          <w:p w:rsidR="008835EB" w:rsidRDefault="008835EB" w:rsidP="007E3F2E">
            <w:pPr>
              <w:rPr>
                <w:rFonts w:cs="Calibri"/>
                <w:szCs w:val="18"/>
              </w:rPr>
            </w:pPr>
            <w:r>
              <w:rPr>
                <w:rFonts w:cs="Calibri"/>
                <w:szCs w:val="18"/>
              </w:rPr>
              <w:t> </w:t>
            </w:r>
          </w:p>
        </w:tc>
        <w:tc>
          <w:tcPr>
            <w:tcW w:w="5567" w:type="dxa"/>
            <w:gridSpan w:val="10"/>
            <w:tcBorders>
              <w:top w:val="single" w:sz="4" w:space="0" w:color="auto"/>
              <w:left w:val="nil"/>
              <w:bottom w:val="single" w:sz="4" w:space="0" w:color="auto"/>
              <w:right w:val="nil"/>
            </w:tcBorders>
            <w:shd w:val="clear" w:color="000000" w:fill="D9D9D9"/>
            <w:vAlign w:val="bottom"/>
            <w:hideMark/>
          </w:tcPr>
          <w:p w:rsidR="008835EB" w:rsidRDefault="008835EB" w:rsidP="007E3F2E">
            <w:pPr>
              <w:jc w:val="center"/>
              <w:rPr>
                <w:rFonts w:cs="Calibri"/>
                <w:b/>
                <w:bCs/>
                <w:szCs w:val="18"/>
              </w:rPr>
            </w:pPr>
            <w:r>
              <w:rPr>
                <w:rFonts w:cs="Calibri"/>
                <w:b/>
                <w:bCs/>
                <w:szCs w:val="18"/>
              </w:rPr>
              <w:t>Financial assets</w:t>
            </w:r>
          </w:p>
        </w:tc>
      </w:tr>
      <w:tr w:rsidR="008835EB" w:rsidTr="007E3F2E">
        <w:trPr>
          <w:trHeight w:val="255"/>
        </w:trPr>
        <w:tc>
          <w:tcPr>
            <w:tcW w:w="3520"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 </w:t>
            </w:r>
          </w:p>
        </w:tc>
        <w:tc>
          <w:tcPr>
            <w:tcW w:w="2786" w:type="dxa"/>
            <w:gridSpan w:val="6"/>
            <w:tcBorders>
              <w:top w:val="single" w:sz="4" w:space="0" w:color="auto"/>
              <w:left w:val="nil"/>
              <w:bottom w:val="nil"/>
              <w:right w:val="nil"/>
            </w:tcBorders>
            <w:shd w:val="clear" w:color="000000" w:fill="D9D9D9"/>
            <w:vAlign w:val="bottom"/>
            <w:hideMark/>
          </w:tcPr>
          <w:p w:rsidR="008835EB" w:rsidRDefault="008835EB" w:rsidP="007E3F2E">
            <w:pPr>
              <w:jc w:val="center"/>
              <w:rPr>
                <w:rFonts w:cs="Calibri"/>
                <w:b/>
                <w:bCs/>
                <w:szCs w:val="18"/>
              </w:rPr>
            </w:pPr>
            <w:r>
              <w:rPr>
                <w:rFonts w:cs="Calibri"/>
                <w:b/>
                <w:bCs/>
                <w:szCs w:val="18"/>
              </w:rPr>
              <w:t>Administered investments</w:t>
            </w:r>
          </w:p>
        </w:tc>
        <w:tc>
          <w:tcPr>
            <w:tcW w:w="2781" w:type="dxa"/>
            <w:gridSpan w:val="4"/>
            <w:tcBorders>
              <w:top w:val="single" w:sz="4" w:space="0" w:color="auto"/>
              <w:left w:val="nil"/>
              <w:bottom w:val="single" w:sz="4" w:space="0" w:color="D9D9D9"/>
              <w:right w:val="nil"/>
            </w:tcBorders>
            <w:shd w:val="clear" w:color="000000" w:fill="D9D9D9"/>
            <w:vAlign w:val="bottom"/>
            <w:hideMark/>
          </w:tcPr>
          <w:p w:rsidR="008835EB" w:rsidRDefault="008835EB" w:rsidP="007E3F2E">
            <w:pPr>
              <w:jc w:val="center"/>
              <w:rPr>
                <w:rFonts w:cs="Calibri"/>
                <w:b/>
                <w:bCs/>
                <w:szCs w:val="18"/>
              </w:rPr>
            </w:pPr>
            <w:r>
              <w:rPr>
                <w:rFonts w:cs="Calibri"/>
                <w:b/>
                <w:bCs/>
                <w:szCs w:val="18"/>
              </w:rPr>
              <w:t>Total</w:t>
            </w:r>
          </w:p>
        </w:tc>
      </w:tr>
      <w:tr w:rsidR="008835EB" w:rsidTr="007E3F2E">
        <w:trPr>
          <w:trHeight w:val="240"/>
        </w:trPr>
        <w:tc>
          <w:tcPr>
            <w:tcW w:w="3520" w:type="dxa"/>
            <w:tcBorders>
              <w:top w:val="nil"/>
              <w:left w:val="nil"/>
              <w:bottom w:val="nil"/>
              <w:right w:val="nil"/>
            </w:tcBorders>
            <w:shd w:val="clear" w:color="000000" w:fill="D9D9D9"/>
            <w:vAlign w:val="bottom"/>
            <w:hideMark/>
          </w:tcPr>
          <w:p w:rsidR="008835EB" w:rsidRDefault="008835EB" w:rsidP="007E3F2E">
            <w:pPr>
              <w:rPr>
                <w:rFonts w:cs="Calibri"/>
                <w:szCs w:val="18"/>
              </w:rPr>
            </w:pPr>
            <w:r>
              <w:rPr>
                <w:rFonts w:cs="Calibri"/>
                <w:szCs w:val="18"/>
              </w:rPr>
              <w:t> </w:t>
            </w:r>
          </w:p>
        </w:tc>
        <w:tc>
          <w:tcPr>
            <w:tcW w:w="1395" w:type="dxa"/>
            <w:gridSpan w:val="3"/>
            <w:tcBorders>
              <w:top w:val="nil"/>
              <w:left w:val="nil"/>
              <w:bottom w:val="single" w:sz="4" w:space="0" w:color="D9D9D9"/>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2016</w:t>
            </w:r>
          </w:p>
        </w:tc>
        <w:tc>
          <w:tcPr>
            <w:tcW w:w="1391" w:type="dxa"/>
            <w:gridSpan w:val="3"/>
            <w:tcBorders>
              <w:top w:val="nil"/>
              <w:left w:val="nil"/>
              <w:bottom w:val="single" w:sz="4" w:space="0" w:color="D9D9D9"/>
              <w:right w:val="nil"/>
            </w:tcBorders>
            <w:shd w:val="clear" w:color="000000" w:fill="D9D9D9"/>
            <w:vAlign w:val="bottom"/>
            <w:hideMark/>
          </w:tcPr>
          <w:p w:rsidR="008835EB" w:rsidRDefault="008835EB" w:rsidP="007E3F2E">
            <w:pPr>
              <w:jc w:val="right"/>
              <w:rPr>
                <w:rFonts w:cs="Calibri"/>
                <w:szCs w:val="18"/>
              </w:rPr>
            </w:pPr>
            <w:r>
              <w:rPr>
                <w:rFonts w:cs="Calibri"/>
                <w:szCs w:val="18"/>
              </w:rPr>
              <w:t>2015</w:t>
            </w:r>
          </w:p>
        </w:tc>
        <w:tc>
          <w:tcPr>
            <w:tcW w:w="1392" w:type="dxa"/>
            <w:gridSpan w:val="2"/>
            <w:tcBorders>
              <w:top w:val="nil"/>
              <w:left w:val="nil"/>
              <w:bottom w:val="single" w:sz="4" w:space="0" w:color="D9D9D9"/>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2016</w:t>
            </w:r>
          </w:p>
        </w:tc>
        <w:tc>
          <w:tcPr>
            <w:tcW w:w="1389" w:type="dxa"/>
            <w:gridSpan w:val="2"/>
            <w:tcBorders>
              <w:top w:val="nil"/>
              <w:left w:val="nil"/>
              <w:bottom w:val="single" w:sz="4" w:space="0" w:color="D9D9D9"/>
              <w:right w:val="nil"/>
            </w:tcBorders>
            <w:shd w:val="clear" w:color="000000" w:fill="D9D9D9"/>
            <w:vAlign w:val="bottom"/>
            <w:hideMark/>
          </w:tcPr>
          <w:p w:rsidR="008835EB" w:rsidRDefault="008835EB" w:rsidP="007E3F2E">
            <w:pPr>
              <w:jc w:val="right"/>
              <w:rPr>
                <w:rFonts w:cs="Calibri"/>
                <w:szCs w:val="18"/>
              </w:rPr>
            </w:pPr>
            <w:r>
              <w:rPr>
                <w:rFonts w:cs="Calibri"/>
                <w:szCs w:val="18"/>
              </w:rPr>
              <w:t>2015</w:t>
            </w:r>
          </w:p>
        </w:tc>
      </w:tr>
      <w:tr w:rsidR="008835EB" w:rsidTr="007E3F2E">
        <w:trPr>
          <w:trHeight w:val="240"/>
        </w:trPr>
        <w:tc>
          <w:tcPr>
            <w:tcW w:w="3520" w:type="dxa"/>
            <w:tcBorders>
              <w:top w:val="nil"/>
              <w:left w:val="nil"/>
              <w:bottom w:val="single" w:sz="4" w:space="0" w:color="auto"/>
              <w:right w:val="nil"/>
            </w:tcBorders>
            <w:shd w:val="clear" w:color="000000" w:fill="D9D9D9"/>
            <w:vAlign w:val="bottom"/>
            <w:hideMark/>
          </w:tcPr>
          <w:p w:rsidR="008835EB" w:rsidRDefault="008835EB" w:rsidP="007E3F2E">
            <w:pPr>
              <w:rPr>
                <w:rFonts w:cs="Calibri"/>
                <w:szCs w:val="18"/>
              </w:rPr>
            </w:pPr>
            <w:r>
              <w:rPr>
                <w:rFonts w:cs="Calibri"/>
                <w:szCs w:val="18"/>
              </w:rPr>
              <w:t> </w:t>
            </w:r>
          </w:p>
        </w:tc>
        <w:tc>
          <w:tcPr>
            <w:tcW w:w="1395" w:type="dxa"/>
            <w:gridSpan w:val="3"/>
            <w:tcBorders>
              <w:top w:val="nil"/>
              <w:left w:val="nil"/>
              <w:bottom w:val="single" w:sz="4" w:space="0" w:color="auto"/>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$'000</w:t>
            </w:r>
          </w:p>
        </w:tc>
        <w:tc>
          <w:tcPr>
            <w:tcW w:w="1391" w:type="dxa"/>
            <w:gridSpan w:val="3"/>
            <w:tcBorders>
              <w:top w:val="nil"/>
              <w:left w:val="nil"/>
              <w:bottom w:val="single" w:sz="4" w:space="0" w:color="auto"/>
              <w:right w:val="nil"/>
            </w:tcBorders>
            <w:shd w:val="clear" w:color="000000" w:fill="D9D9D9"/>
            <w:vAlign w:val="bottom"/>
            <w:hideMark/>
          </w:tcPr>
          <w:p w:rsidR="008835EB" w:rsidRDefault="008835EB" w:rsidP="007E3F2E">
            <w:pPr>
              <w:jc w:val="right"/>
              <w:rPr>
                <w:rFonts w:cs="Calibri"/>
                <w:szCs w:val="18"/>
              </w:rPr>
            </w:pPr>
            <w:r>
              <w:rPr>
                <w:rFonts w:cs="Calibri"/>
                <w:szCs w:val="18"/>
              </w:rPr>
              <w:t>$'000</w:t>
            </w:r>
          </w:p>
        </w:tc>
        <w:tc>
          <w:tcPr>
            <w:tcW w:w="1392" w:type="dxa"/>
            <w:gridSpan w:val="2"/>
            <w:tcBorders>
              <w:top w:val="nil"/>
              <w:left w:val="nil"/>
              <w:bottom w:val="single" w:sz="4" w:space="0" w:color="auto"/>
              <w:right w:val="nil"/>
            </w:tcBorders>
            <w:shd w:val="clear" w:color="000000" w:fill="D9D9D9"/>
            <w:vAlign w:val="bottom"/>
            <w:hideMark/>
          </w:tcPr>
          <w:p w:rsidR="008835EB" w:rsidRDefault="008835EB" w:rsidP="007E3F2E">
            <w:pPr>
              <w:jc w:val="right"/>
              <w:rPr>
                <w:rFonts w:cs="Calibri"/>
                <w:b/>
                <w:bCs/>
                <w:szCs w:val="18"/>
              </w:rPr>
            </w:pPr>
            <w:r>
              <w:rPr>
                <w:rFonts w:cs="Calibri"/>
                <w:b/>
                <w:bCs/>
                <w:szCs w:val="18"/>
              </w:rPr>
              <w:t>$'000</w:t>
            </w:r>
          </w:p>
        </w:tc>
        <w:tc>
          <w:tcPr>
            <w:tcW w:w="1389" w:type="dxa"/>
            <w:gridSpan w:val="2"/>
            <w:tcBorders>
              <w:top w:val="nil"/>
              <w:left w:val="nil"/>
              <w:bottom w:val="single" w:sz="4" w:space="0" w:color="auto"/>
              <w:right w:val="nil"/>
            </w:tcBorders>
            <w:shd w:val="clear" w:color="000000" w:fill="D9D9D9"/>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40"/>
        </w:trPr>
        <w:tc>
          <w:tcPr>
            <w:tcW w:w="3520"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Opening balance</w:t>
            </w:r>
          </w:p>
        </w:tc>
        <w:tc>
          <w:tcPr>
            <w:tcW w:w="1395" w:type="dxa"/>
            <w:gridSpan w:val="3"/>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224,658 </w:t>
            </w:r>
          </w:p>
        </w:tc>
        <w:tc>
          <w:tcPr>
            <w:tcW w:w="1391" w:type="dxa"/>
            <w:gridSpan w:val="3"/>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145,477 </w:t>
            </w:r>
          </w:p>
        </w:tc>
        <w:tc>
          <w:tcPr>
            <w:tcW w:w="1392" w:type="dxa"/>
            <w:gridSpan w:val="2"/>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224,658 </w:t>
            </w:r>
          </w:p>
        </w:tc>
        <w:tc>
          <w:tcPr>
            <w:tcW w:w="1389" w:type="dxa"/>
            <w:gridSpan w:val="2"/>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145,477 </w:t>
            </w:r>
          </w:p>
        </w:tc>
      </w:tr>
      <w:tr w:rsidR="008835EB" w:rsidTr="007E3F2E">
        <w:trPr>
          <w:trHeight w:val="240"/>
        </w:trPr>
        <w:tc>
          <w:tcPr>
            <w:tcW w:w="3520" w:type="dxa"/>
            <w:tcBorders>
              <w:top w:val="nil"/>
              <w:left w:val="nil"/>
              <w:bottom w:val="nil"/>
              <w:right w:val="nil"/>
            </w:tcBorders>
            <w:shd w:val="clear" w:color="000000" w:fill="D9D9D9"/>
            <w:vAlign w:val="bottom"/>
            <w:hideMark/>
          </w:tcPr>
          <w:p w:rsidR="008835EB" w:rsidRDefault="008835EB" w:rsidP="007E3F2E">
            <w:pPr>
              <w:rPr>
                <w:rFonts w:cs="Calibri"/>
                <w:b/>
                <w:bCs/>
                <w:szCs w:val="18"/>
              </w:rPr>
            </w:pPr>
            <w:r>
              <w:rPr>
                <w:rFonts w:cs="Calibri"/>
                <w:b/>
                <w:bCs/>
                <w:szCs w:val="18"/>
              </w:rPr>
              <w:t>Restructured amount</w:t>
            </w:r>
          </w:p>
        </w:tc>
        <w:tc>
          <w:tcPr>
            <w:tcW w:w="1395" w:type="dxa"/>
            <w:gridSpan w:val="3"/>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w:t>
            </w:r>
          </w:p>
        </w:tc>
        <w:tc>
          <w:tcPr>
            <w:tcW w:w="1391" w:type="dxa"/>
            <w:gridSpan w:val="3"/>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w:t>
            </w:r>
          </w:p>
        </w:tc>
        <w:tc>
          <w:tcPr>
            <w:tcW w:w="1392" w:type="dxa"/>
            <w:gridSpan w:val="2"/>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w:t>
            </w:r>
          </w:p>
        </w:tc>
        <w:tc>
          <w:tcPr>
            <w:tcW w:w="1389" w:type="dxa"/>
            <w:gridSpan w:val="2"/>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w:t>
            </w:r>
          </w:p>
        </w:tc>
      </w:tr>
      <w:tr w:rsidR="008835EB" w:rsidTr="007E3F2E">
        <w:trPr>
          <w:trHeight w:val="240"/>
        </w:trPr>
        <w:tc>
          <w:tcPr>
            <w:tcW w:w="3520" w:type="dxa"/>
            <w:tcBorders>
              <w:top w:val="nil"/>
              <w:left w:val="nil"/>
              <w:bottom w:val="nil"/>
              <w:right w:val="nil"/>
            </w:tcBorders>
            <w:shd w:val="clear" w:color="000000" w:fill="D9D9D9"/>
            <w:vAlign w:val="bottom"/>
            <w:hideMark/>
          </w:tcPr>
          <w:p w:rsidR="008835EB" w:rsidRDefault="008835EB" w:rsidP="007E3F2E">
            <w:pPr>
              <w:rPr>
                <w:rFonts w:cs="Calibri"/>
                <w:szCs w:val="18"/>
              </w:rPr>
            </w:pPr>
            <w:r>
              <w:rPr>
                <w:rFonts w:cs="Calibri"/>
                <w:szCs w:val="18"/>
              </w:rPr>
              <w:t>Total gains recognised in administered equity</w:t>
            </w:r>
          </w:p>
        </w:tc>
        <w:tc>
          <w:tcPr>
            <w:tcW w:w="1395" w:type="dxa"/>
            <w:gridSpan w:val="3"/>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16,239 </w:t>
            </w:r>
          </w:p>
        </w:tc>
        <w:tc>
          <w:tcPr>
            <w:tcW w:w="1391" w:type="dxa"/>
            <w:gridSpan w:val="3"/>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79,181 </w:t>
            </w:r>
          </w:p>
        </w:tc>
        <w:tc>
          <w:tcPr>
            <w:tcW w:w="1392" w:type="dxa"/>
            <w:gridSpan w:val="2"/>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16,239 </w:t>
            </w:r>
          </w:p>
        </w:tc>
        <w:tc>
          <w:tcPr>
            <w:tcW w:w="1389" w:type="dxa"/>
            <w:gridSpan w:val="2"/>
            <w:tcBorders>
              <w:top w:val="nil"/>
              <w:left w:val="nil"/>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79,181 </w:t>
            </w:r>
          </w:p>
        </w:tc>
      </w:tr>
      <w:tr w:rsidR="008835EB" w:rsidTr="007E3F2E">
        <w:trPr>
          <w:trHeight w:val="240"/>
        </w:trPr>
        <w:tc>
          <w:tcPr>
            <w:tcW w:w="3520" w:type="dxa"/>
            <w:tcBorders>
              <w:top w:val="single" w:sz="4" w:space="0" w:color="auto"/>
              <w:left w:val="nil"/>
              <w:bottom w:val="single" w:sz="4" w:space="0" w:color="auto"/>
              <w:right w:val="nil"/>
            </w:tcBorders>
            <w:shd w:val="clear" w:color="000000" w:fill="D9D9D9"/>
            <w:vAlign w:val="bottom"/>
            <w:hideMark/>
          </w:tcPr>
          <w:p w:rsidR="008835EB" w:rsidRDefault="008835EB" w:rsidP="007E3F2E">
            <w:pPr>
              <w:rPr>
                <w:rFonts w:cs="Calibri"/>
                <w:b/>
                <w:bCs/>
                <w:szCs w:val="18"/>
              </w:rPr>
            </w:pPr>
            <w:r>
              <w:rPr>
                <w:rFonts w:cs="Calibri"/>
                <w:b/>
                <w:bCs/>
                <w:szCs w:val="18"/>
              </w:rPr>
              <w:t>Closing balance</w:t>
            </w:r>
          </w:p>
        </w:tc>
        <w:tc>
          <w:tcPr>
            <w:tcW w:w="1395" w:type="dxa"/>
            <w:gridSpan w:val="3"/>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240,897</w:t>
            </w:r>
          </w:p>
        </w:tc>
        <w:tc>
          <w:tcPr>
            <w:tcW w:w="1391" w:type="dxa"/>
            <w:gridSpan w:val="3"/>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224,658</w:t>
            </w:r>
          </w:p>
        </w:tc>
        <w:tc>
          <w:tcPr>
            <w:tcW w:w="1392" w:type="dxa"/>
            <w:gridSpan w:val="2"/>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240,897</w:t>
            </w:r>
          </w:p>
        </w:tc>
        <w:tc>
          <w:tcPr>
            <w:tcW w:w="1389" w:type="dxa"/>
            <w:gridSpan w:val="2"/>
            <w:tcBorders>
              <w:top w:val="single" w:sz="4" w:space="0" w:color="auto"/>
              <w:left w:val="nil"/>
              <w:bottom w:val="single" w:sz="4" w:space="0" w:color="auto"/>
              <w:right w:val="nil"/>
            </w:tcBorders>
            <w:shd w:val="clear" w:color="000000" w:fill="D9D9D9"/>
            <w:noWrap/>
            <w:vAlign w:val="bottom"/>
            <w:hideMark/>
          </w:tcPr>
          <w:p w:rsidR="008835EB" w:rsidRDefault="008835EB" w:rsidP="007E3F2E">
            <w:pPr>
              <w:jc w:val="right"/>
              <w:rPr>
                <w:rFonts w:cs="Calibri"/>
                <w:szCs w:val="18"/>
              </w:rPr>
            </w:pPr>
            <w:r>
              <w:rPr>
                <w:rFonts w:cs="Calibri"/>
                <w:szCs w:val="18"/>
              </w:rPr>
              <w:t>224,658</w:t>
            </w:r>
          </w:p>
        </w:tc>
      </w:tr>
    </w:tbl>
    <w:p w:rsidR="008835EB" w:rsidRDefault="008835EB" w:rsidP="008835EB">
      <w:pPr>
        <w:spacing w:line="240" w:lineRule="auto"/>
        <w:rPr>
          <w:rFonts w:asciiTheme="minorHAnsi" w:hAnsiTheme="minorHAnsi" w:cstheme="minorHAnsi"/>
          <w:b/>
          <w:sz w:val="20"/>
        </w:rPr>
        <w:sectPr w:rsidR="008835EB" w:rsidSect="00F74C23">
          <w:pgSz w:w="11906" w:h="16838"/>
          <w:pgMar w:top="1134" w:right="1134" w:bottom="1134" w:left="1134" w:header="958" w:footer="737" w:gutter="0"/>
          <w:cols w:space="720"/>
          <w:docGrid w:linePitch="245"/>
        </w:sectPr>
      </w:pPr>
      <w:bookmarkStart w:id="540" w:name="RANGE!D7:F26"/>
      <w:bookmarkStart w:id="541" w:name="RANGE!D7:H14"/>
      <w:bookmarkStart w:id="542" w:name="RANGE!D7:H15"/>
      <w:bookmarkStart w:id="543" w:name="RANGE!E7:H29"/>
      <w:bookmarkStart w:id="544" w:name="RANGE!E7:H36"/>
      <w:bookmarkStart w:id="545" w:name="RANGE!E7:H35"/>
      <w:bookmarkStart w:id="546" w:name="RANGE!E7:H34"/>
      <w:bookmarkStart w:id="547" w:name="RANGE!E7:H33"/>
      <w:bookmarkStart w:id="548" w:name="RANGE!E7:H32"/>
      <w:bookmarkStart w:id="549" w:name="RANGE!E6:H31"/>
      <w:bookmarkStart w:id="550" w:name="RANGE!E6:H36"/>
      <w:bookmarkStart w:id="551" w:name="RANGE!E6:H37"/>
      <w:bookmarkEnd w:id="540"/>
      <w:bookmarkEnd w:id="541"/>
      <w:bookmarkEnd w:id="542"/>
      <w:bookmarkEnd w:id="543"/>
      <w:bookmarkEnd w:id="544"/>
      <w:bookmarkEnd w:id="545"/>
      <w:bookmarkEnd w:id="546"/>
      <w:bookmarkEnd w:id="547"/>
      <w:bookmarkEnd w:id="548"/>
      <w:bookmarkEnd w:id="549"/>
      <w:bookmarkEnd w:id="550"/>
      <w:bookmarkEnd w:id="551"/>
      <w:r>
        <w:br w:type="page"/>
      </w:r>
    </w:p>
    <w:p w:rsidR="008835EB" w:rsidRDefault="008835EB" w:rsidP="008835EB">
      <w:pPr>
        <w:pStyle w:val="SectionHeading"/>
      </w:pPr>
      <w:bookmarkStart w:id="552" w:name="_Toc443469553"/>
      <w:bookmarkStart w:id="553" w:name="_Toc444065808"/>
      <w:bookmarkStart w:id="554" w:name="_Toc444077366"/>
      <w:bookmarkStart w:id="555" w:name="_Toc456689867"/>
      <w:r>
        <w:lastRenderedPageBreak/>
        <w:t>Other Information</w:t>
      </w:r>
      <w:bookmarkEnd w:id="552"/>
      <w:bookmarkEnd w:id="553"/>
      <w:bookmarkEnd w:id="554"/>
      <w:bookmarkEnd w:id="555"/>
    </w:p>
    <w:p w:rsidR="008835EB" w:rsidRDefault="008835EB" w:rsidP="008835EB">
      <w:pPr>
        <w:spacing w:after="120"/>
      </w:pPr>
      <w:r w:rsidRPr="00185212">
        <w:t xml:space="preserve">This section provides other disclosures relevant to the </w:t>
      </w:r>
      <w:r w:rsidR="00FA455C">
        <w:t>Department of Employment</w:t>
      </w:r>
      <w:r>
        <w:t xml:space="preserve"> </w:t>
      </w:r>
      <w:r w:rsidRPr="00185212">
        <w:t>financial information environment for the year.</w:t>
      </w:r>
    </w:p>
    <w:p w:rsidR="008835EB" w:rsidRPr="00EF7935" w:rsidRDefault="008835EB" w:rsidP="008835EB">
      <w:pPr>
        <w:pStyle w:val="SubHeading"/>
      </w:pPr>
      <w:bookmarkStart w:id="556" w:name="RANGE!D7:H100"/>
      <w:bookmarkStart w:id="557" w:name="RANGE!D7:J100"/>
      <w:bookmarkStart w:id="558" w:name="RANGE!D7:H95"/>
      <w:bookmarkStart w:id="559" w:name="RANGE!D7:H99"/>
      <w:bookmarkStart w:id="560" w:name="RANGE!D7:H50"/>
      <w:bookmarkStart w:id="561" w:name="RANGE!D7:H49"/>
      <w:bookmarkStart w:id="562" w:name="RANGE!D7:G54"/>
      <w:bookmarkStart w:id="563" w:name="RANGE!D7:G59"/>
      <w:bookmarkStart w:id="564" w:name="RANGE!D7:G39"/>
      <w:bookmarkStart w:id="565" w:name="RANGE!D7:K39"/>
      <w:bookmarkStart w:id="566" w:name="RANGE!D7:J25"/>
      <w:bookmarkStart w:id="567" w:name="RANGE!D6:K7"/>
      <w:bookmarkStart w:id="568" w:name="RANGE!D6:L7"/>
      <w:bookmarkStart w:id="569" w:name="RANGE!D7:G81"/>
      <w:bookmarkStart w:id="570" w:name="RANGE!D7:I82"/>
      <w:bookmarkStart w:id="571" w:name="RANGE!D7:I69"/>
      <w:bookmarkStart w:id="572" w:name="RANGE!D7:G82"/>
      <w:bookmarkStart w:id="573" w:name="RANGE!D7:G48"/>
      <w:bookmarkStart w:id="574" w:name="RANGE!D7:G42"/>
      <w:bookmarkStart w:id="575" w:name="RANGE!D7:G44"/>
      <w:bookmarkStart w:id="576" w:name="RANGE!D7:G30"/>
      <w:bookmarkStart w:id="577" w:name="RANGE!D7:G26"/>
      <w:bookmarkStart w:id="578" w:name="RANGE!D6:I41"/>
      <w:bookmarkStart w:id="579" w:name="RANGE!D7:J19"/>
      <w:bookmarkStart w:id="580" w:name="RANGE!D7:J22"/>
      <w:bookmarkStart w:id="581" w:name="RANGE!D7:J23"/>
      <w:bookmarkStart w:id="582" w:name="RANGE!D6:J22"/>
      <w:bookmarkStart w:id="583" w:name="RANGE!D6:J24"/>
      <w:bookmarkStart w:id="584" w:name="RANGE!D6:J18"/>
      <w:bookmarkStart w:id="585" w:name="RANGE!D6:J19"/>
      <w:bookmarkStart w:id="586" w:name="RANGE!D6:J20"/>
      <w:bookmarkStart w:id="587" w:name="RANGE!D19:J22"/>
      <w:bookmarkStart w:id="588" w:name="RANGE!D17:J20"/>
      <w:bookmarkStart w:id="589" w:name="RANGE!D17:J19"/>
      <w:bookmarkStart w:id="590" w:name="RANGE!D18:J20"/>
      <w:bookmarkStart w:id="591" w:name="RANGE!D36:J38"/>
      <w:bookmarkStart w:id="592" w:name="RANGE!D7:G29"/>
      <w:bookmarkStart w:id="593" w:name="_Toc456689868"/>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Pr="00EF7935">
        <w:t>Reporting of Outcomes</w:t>
      </w:r>
      <w:bookmarkEnd w:id="593"/>
    </w:p>
    <w:tbl>
      <w:tblPr>
        <w:tblW w:w="13991" w:type="dxa"/>
        <w:tblInd w:w="80" w:type="dxa"/>
        <w:tblLayout w:type="fixed"/>
        <w:tblLook w:val="04A0" w:firstRow="1" w:lastRow="0" w:firstColumn="1" w:lastColumn="0" w:noHBand="0" w:noVBand="1"/>
      </w:tblPr>
      <w:tblGrid>
        <w:gridCol w:w="3140"/>
        <w:gridCol w:w="1088"/>
        <w:gridCol w:w="1086"/>
        <w:gridCol w:w="1091"/>
        <w:gridCol w:w="1086"/>
        <w:gridCol w:w="1083"/>
        <w:gridCol w:w="1085"/>
        <w:gridCol w:w="1084"/>
        <w:gridCol w:w="1085"/>
        <w:gridCol w:w="1082"/>
        <w:gridCol w:w="1081"/>
      </w:tblGrid>
      <w:tr w:rsidR="008835EB" w:rsidTr="007E3F2E">
        <w:trPr>
          <w:trHeight w:val="387"/>
        </w:trPr>
        <w:tc>
          <w:tcPr>
            <w:tcW w:w="12910" w:type="dxa"/>
            <w:gridSpan w:val="10"/>
            <w:tcBorders>
              <w:top w:val="nil"/>
              <w:left w:val="nil"/>
              <w:bottom w:val="nil"/>
              <w:right w:val="nil"/>
            </w:tcBorders>
            <w:shd w:val="clear" w:color="FFFFFF" w:fill="FFFFFF"/>
            <w:noWrap/>
            <w:vAlign w:val="bottom"/>
            <w:hideMark/>
          </w:tcPr>
          <w:p w:rsidR="008835EB" w:rsidRDefault="008835EB" w:rsidP="007E3F2E">
            <w:pPr>
              <w:pStyle w:val="NotesHeading-Level1"/>
            </w:pPr>
            <w:bookmarkStart w:id="594" w:name="RANGE!D34:D94"/>
            <w:bookmarkStart w:id="595" w:name="Note_ROOTABLE2" w:colFirst="0" w:colLast="0"/>
            <w:r>
              <w:t xml:space="preserve">Note </w:t>
            </w:r>
            <w:proofErr w:type="spellStart"/>
            <w:r>
              <w:t>8.1A</w:t>
            </w:r>
            <w:proofErr w:type="spellEnd"/>
            <w:r>
              <w:t>: Major Classes of Departmental Expense, Income, Assets and Liabilities by Outcome</w:t>
            </w:r>
            <w:bookmarkEnd w:id="594"/>
          </w:p>
        </w:tc>
        <w:tc>
          <w:tcPr>
            <w:tcW w:w="1081" w:type="dxa"/>
            <w:tcBorders>
              <w:top w:val="nil"/>
              <w:left w:val="nil"/>
              <w:bottom w:val="nil"/>
              <w:right w:val="nil"/>
            </w:tcBorders>
            <w:shd w:val="clear" w:color="FFFFFF" w:fill="FFFFFF"/>
            <w:noWrap/>
            <w:vAlign w:val="bottom"/>
            <w:hideMark/>
          </w:tcPr>
          <w:p w:rsidR="008835EB" w:rsidRDefault="008835EB" w:rsidP="007E3F2E">
            <w:pPr>
              <w:pStyle w:val="NotesHeading-Level1"/>
            </w:pPr>
            <w:r>
              <w:t> </w:t>
            </w:r>
          </w:p>
        </w:tc>
      </w:tr>
      <w:bookmarkEnd w:id="595"/>
      <w:tr w:rsidR="008835EB" w:rsidTr="007E3F2E">
        <w:trPr>
          <w:trHeight w:val="529"/>
        </w:trPr>
        <w:tc>
          <w:tcPr>
            <w:tcW w:w="3140" w:type="dxa"/>
            <w:tcBorders>
              <w:top w:val="single" w:sz="4" w:space="0" w:color="auto"/>
              <w:left w:val="single" w:sz="4" w:space="0" w:color="auto"/>
              <w:bottom w:val="nil"/>
              <w:right w:val="single" w:sz="4" w:space="0" w:color="auto"/>
            </w:tcBorders>
            <w:shd w:val="clear" w:color="FFFFFF" w:fill="FFFFFF"/>
            <w:noWrap/>
            <w:hideMark/>
          </w:tcPr>
          <w:p w:rsidR="008835EB" w:rsidRDefault="008835EB" w:rsidP="007E3F2E">
            <w:pPr>
              <w:rPr>
                <w:rFonts w:cs="Calibri"/>
                <w:sz w:val="16"/>
                <w:szCs w:val="16"/>
              </w:rPr>
            </w:pPr>
            <w:r>
              <w:rPr>
                <w:rFonts w:cs="Calibri"/>
                <w:sz w:val="16"/>
                <w:szCs w:val="16"/>
              </w:rPr>
              <w:t> </w:t>
            </w:r>
          </w:p>
        </w:tc>
        <w:tc>
          <w:tcPr>
            <w:tcW w:w="2174" w:type="dxa"/>
            <w:gridSpan w:val="2"/>
            <w:tcBorders>
              <w:top w:val="single" w:sz="4" w:space="0" w:color="auto"/>
              <w:left w:val="nil"/>
              <w:bottom w:val="single" w:sz="4" w:space="0" w:color="auto"/>
              <w:right w:val="single" w:sz="4" w:space="0" w:color="auto"/>
            </w:tcBorders>
            <w:shd w:val="clear" w:color="FFFFFF" w:fill="FFFFFF"/>
            <w:vAlign w:val="bottom"/>
            <w:hideMark/>
          </w:tcPr>
          <w:p w:rsidR="008835EB" w:rsidRDefault="008835EB" w:rsidP="007E3F2E">
            <w:pPr>
              <w:jc w:val="center"/>
              <w:rPr>
                <w:rFonts w:cs="Calibri"/>
                <w:b/>
                <w:bCs/>
                <w:szCs w:val="18"/>
              </w:rPr>
            </w:pPr>
            <w:r>
              <w:rPr>
                <w:rFonts w:cs="Calibri"/>
                <w:b/>
                <w:bCs/>
                <w:szCs w:val="18"/>
              </w:rPr>
              <w:t>Outcome 1</w:t>
            </w:r>
          </w:p>
        </w:tc>
        <w:tc>
          <w:tcPr>
            <w:tcW w:w="2177" w:type="dxa"/>
            <w:gridSpan w:val="2"/>
            <w:tcBorders>
              <w:top w:val="single" w:sz="4" w:space="0" w:color="auto"/>
              <w:left w:val="nil"/>
              <w:bottom w:val="single" w:sz="4" w:space="0" w:color="auto"/>
              <w:right w:val="single" w:sz="4" w:space="0" w:color="auto"/>
            </w:tcBorders>
            <w:shd w:val="clear" w:color="FFFFFF" w:fill="FFFFFF"/>
            <w:vAlign w:val="bottom"/>
            <w:hideMark/>
          </w:tcPr>
          <w:p w:rsidR="008835EB" w:rsidRDefault="008835EB" w:rsidP="007E3F2E">
            <w:pPr>
              <w:jc w:val="center"/>
              <w:rPr>
                <w:rFonts w:cs="Calibri"/>
                <w:b/>
                <w:bCs/>
                <w:szCs w:val="18"/>
              </w:rPr>
            </w:pPr>
            <w:r>
              <w:rPr>
                <w:rFonts w:cs="Calibri"/>
                <w:b/>
                <w:bCs/>
                <w:szCs w:val="18"/>
              </w:rPr>
              <w:t>Outcome 2</w:t>
            </w:r>
          </w:p>
        </w:tc>
        <w:tc>
          <w:tcPr>
            <w:tcW w:w="2168" w:type="dxa"/>
            <w:gridSpan w:val="2"/>
            <w:tcBorders>
              <w:top w:val="single" w:sz="4" w:space="0" w:color="auto"/>
              <w:left w:val="nil"/>
              <w:bottom w:val="single" w:sz="4" w:space="0" w:color="auto"/>
              <w:right w:val="single" w:sz="4" w:space="0" w:color="auto"/>
            </w:tcBorders>
            <w:shd w:val="clear" w:color="FFFFFF" w:fill="FFFFFF"/>
            <w:vAlign w:val="bottom"/>
            <w:hideMark/>
          </w:tcPr>
          <w:p w:rsidR="008835EB" w:rsidRDefault="008835EB" w:rsidP="007E3F2E">
            <w:pPr>
              <w:jc w:val="center"/>
              <w:rPr>
                <w:rFonts w:cs="Calibri"/>
                <w:b/>
                <w:bCs/>
                <w:szCs w:val="18"/>
              </w:rPr>
            </w:pPr>
            <w:r>
              <w:rPr>
                <w:rFonts w:cs="Calibri"/>
                <w:b/>
                <w:bCs/>
                <w:szCs w:val="18"/>
              </w:rPr>
              <w:t>Payments to corporate Commonwealth entities*</w:t>
            </w:r>
          </w:p>
        </w:tc>
        <w:tc>
          <w:tcPr>
            <w:tcW w:w="2169" w:type="dxa"/>
            <w:gridSpan w:val="2"/>
            <w:tcBorders>
              <w:top w:val="single" w:sz="4" w:space="0" w:color="auto"/>
              <w:left w:val="nil"/>
              <w:bottom w:val="single" w:sz="4" w:space="0" w:color="auto"/>
              <w:right w:val="single" w:sz="4" w:space="0" w:color="auto"/>
            </w:tcBorders>
            <w:shd w:val="clear" w:color="FFFFFF" w:fill="FFFFFF"/>
            <w:vAlign w:val="bottom"/>
            <w:hideMark/>
          </w:tcPr>
          <w:p w:rsidR="008835EB" w:rsidRDefault="008835EB" w:rsidP="007E3F2E">
            <w:pPr>
              <w:jc w:val="center"/>
              <w:rPr>
                <w:rFonts w:cs="Calibri"/>
                <w:b/>
                <w:bCs/>
                <w:szCs w:val="18"/>
              </w:rPr>
            </w:pPr>
            <w:r>
              <w:rPr>
                <w:rFonts w:cs="Calibri"/>
                <w:b/>
                <w:bCs/>
                <w:szCs w:val="18"/>
              </w:rPr>
              <w:t>Not attributed</w:t>
            </w:r>
            <w:r>
              <w:rPr>
                <w:rFonts w:cs="Calibri"/>
                <w:b/>
                <w:bCs/>
                <w:szCs w:val="18"/>
                <w:vertAlign w:val="superscript"/>
              </w:rPr>
              <w:t>#</w:t>
            </w:r>
          </w:p>
        </w:tc>
        <w:tc>
          <w:tcPr>
            <w:tcW w:w="2163" w:type="dxa"/>
            <w:gridSpan w:val="2"/>
            <w:tcBorders>
              <w:top w:val="single" w:sz="4" w:space="0" w:color="auto"/>
              <w:left w:val="nil"/>
              <w:bottom w:val="single" w:sz="4" w:space="0" w:color="auto"/>
              <w:right w:val="single" w:sz="4" w:space="0" w:color="000000"/>
            </w:tcBorders>
            <w:shd w:val="clear" w:color="FFFFFF" w:fill="FFFFFF"/>
            <w:vAlign w:val="bottom"/>
            <w:hideMark/>
          </w:tcPr>
          <w:p w:rsidR="008835EB" w:rsidRDefault="008835EB" w:rsidP="007E3F2E">
            <w:pPr>
              <w:jc w:val="center"/>
              <w:rPr>
                <w:rFonts w:cs="Calibri"/>
                <w:b/>
                <w:bCs/>
                <w:szCs w:val="18"/>
              </w:rPr>
            </w:pPr>
            <w:r>
              <w:rPr>
                <w:rFonts w:cs="Calibri"/>
                <w:b/>
                <w:bCs/>
                <w:szCs w:val="18"/>
              </w:rPr>
              <w:t>Total</w:t>
            </w:r>
          </w:p>
        </w:tc>
      </w:tr>
      <w:tr w:rsidR="008835EB" w:rsidTr="007E3F2E">
        <w:trPr>
          <w:trHeight w:val="240"/>
        </w:trPr>
        <w:tc>
          <w:tcPr>
            <w:tcW w:w="3140" w:type="dxa"/>
            <w:tcBorders>
              <w:top w:val="nil"/>
              <w:left w:val="single" w:sz="4" w:space="0" w:color="auto"/>
              <w:bottom w:val="nil"/>
              <w:right w:val="single" w:sz="4" w:space="0" w:color="auto"/>
            </w:tcBorders>
            <w:shd w:val="clear" w:color="FFFFFF" w:fill="FFFFFF"/>
            <w:noWrap/>
            <w:hideMark/>
          </w:tcPr>
          <w:p w:rsidR="008835EB" w:rsidRDefault="008835EB" w:rsidP="007E3F2E">
            <w:pPr>
              <w:rPr>
                <w:rFonts w:cs="Calibri"/>
                <w:sz w:val="16"/>
                <w:szCs w:val="16"/>
              </w:rPr>
            </w:pPr>
            <w:r>
              <w:rPr>
                <w:rFonts w:cs="Calibri"/>
                <w:sz w:val="16"/>
                <w:szCs w:val="16"/>
              </w:rPr>
              <w:t> </w:t>
            </w:r>
          </w:p>
        </w:tc>
        <w:tc>
          <w:tcPr>
            <w:tcW w:w="1088" w:type="dxa"/>
            <w:tcBorders>
              <w:top w:val="nil"/>
              <w:left w:val="nil"/>
              <w:bottom w:val="nil"/>
              <w:right w:val="single" w:sz="4" w:space="0" w:color="auto"/>
            </w:tcBorders>
            <w:shd w:val="clear" w:color="FFFFFF" w:fill="FFFFFF"/>
            <w:vAlign w:val="bottom"/>
            <w:hideMark/>
          </w:tcPr>
          <w:p w:rsidR="008835EB" w:rsidRDefault="008835EB" w:rsidP="007E3F2E">
            <w:pPr>
              <w:jc w:val="right"/>
              <w:rPr>
                <w:rFonts w:cs="Calibri"/>
                <w:b/>
                <w:bCs/>
                <w:szCs w:val="18"/>
              </w:rPr>
            </w:pPr>
            <w:r>
              <w:rPr>
                <w:rFonts w:cs="Calibri"/>
                <w:b/>
                <w:bCs/>
                <w:szCs w:val="18"/>
              </w:rPr>
              <w:t>2016</w:t>
            </w:r>
          </w:p>
        </w:tc>
        <w:tc>
          <w:tcPr>
            <w:tcW w:w="1086" w:type="dxa"/>
            <w:tcBorders>
              <w:top w:val="nil"/>
              <w:left w:val="nil"/>
              <w:bottom w:val="nil"/>
              <w:right w:val="single" w:sz="4" w:space="0" w:color="auto"/>
            </w:tcBorders>
            <w:shd w:val="clear" w:color="FFFFFF" w:fill="FFFFFF"/>
            <w:vAlign w:val="bottom"/>
            <w:hideMark/>
          </w:tcPr>
          <w:p w:rsidR="008835EB" w:rsidRDefault="008835EB" w:rsidP="007E3F2E">
            <w:pPr>
              <w:jc w:val="right"/>
              <w:rPr>
                <w:rFonts w:cs="Calibri"/>
                <w:szCs w:val="18"/>
              </w:rPr>
            </w:pPr>
            <w:r>
              <w:rPr>
                <w:rFonts w:cs="Calibri"/>
                <w:szCs w:val="18"/>
              </w:rPr>
              <w:t>2015</w:t>
            </w:r>
          </w:p>
        </w:tc>
        <w:tc>
          <w:tcPr>
            <w:tcW w:w="1091" w:type="dxa"/>
            <w:tcBorders>
              <w:top w:val="nil"/>
              <w:left w:val="nil"/>
              <w:bottom w:val="nil"/>
              <w:right w:val="single" w:sz="4" w:space="0" w:color="auto"/>
            </w:tcBorders>
            <w:shd w:val="clear" w:color="FFFFFF" w:fill="FFFFFF"/>
            <w:vAlign w:val="bottom"/>
            <w:hideMark/>
          </w:tcPr>
          <w:p w:rsidR="008835EB" w:rsidRDefault="008835EB" w:rsidP="007E3F2E">
            <w:pPr>
              <w:jc w:val="right"/>
              <w:rPr>
                <w:rFonts w:cs="Calibri"/>
                <w:b/>
                <w:bCs/>
                <w:szCs w:val="18"/>
              </w:rPr>
            </w:pPr>
            <w:r>
              <w:rPr>
                <w:rFonts w:cs="Calibri"/>
                <w:b/>
                <w:bCs/>
                <w:szCs w:val="18"/>
              </w:rPr>
              <w:t>2016</w:t>
            </w:r>
          </w:p>
        </w:tc>
        <w:tc>
          <w:tcPr>
            <w:tcW w:w="1086" w:type="dxa"/>
            <w:tcBorders>
              <w:top w:val="nil"/>
              <w:left w:val="nil"/>
              <w:bottom w:val="nil"/>
              <w:right w:val="single" w:sz="4" w:space="0" w:color="auto"/>
            </w:tcBorders>
            <w:shd w:val="clear" w:color="FFFFFF" w:fill="FFFFFF"/>
            <w:vAlign w:val="bottom"/>
            <w:hideMark/>
          </w:tcPr>
          <w:p w:rsidR="008835EB" w:rsidRDefault="008835EB" w:rsidP="007E3F2E">
            <w:pPr>
              <w:jc w:val="right"/>
              <w:rPr>
                <w:rFonts w:cs="Calibri"/>
                <w:szCs w:val="18"/>
              </w:rPr>
            </w:pPr>
            <w:r>
              <w:rPr>
                <w:rFonts w:cs="Calibri"/>
                <w:szCs w:val="18"/>
              </w:rPr>
              <w:t>2015</w:t>
            </w:r>
          </w:p>
        </w:tc>
        <w:tc>
          <w:tcPr>
            <w:tcW w:w="1083" w:type="dxa"/>
            <w:tcBorders>
              <w:top w:val="nil"/>
              <w:left w:val="nil"/>
              <w:bottom w:val="nil"/>
              <w:right w:val="single" w:sz="4" w:space="0" w:color="auto"/>
            </w:tcBorders>
            <w:shd w:val="clear" w:color="FFFFFF" w:fill="FFFFFF"/>
            <w:vAlign w:val="bottom"/>
            <w:hideMark/>
          </w:tcPr>
          <w:p w:rsidR="008835EB" w:rsidRDefault="008835EB" w:rsidP="007E3F2E">
            <w:pPr>
              <w:jc w:val="right"/>
              <w:rPr>
                <w:rFonts w:cs="Calibri"/>
                <w:b/>
                <w:bCs/>
                <w:szCs w:val="18"/>
              </w:rPr>
            </w:pPr>
            <w:r>
              <w:rPr>
                <w:rFonts w:cs="Calibri"/>
                <w:b/>
                <w:bCs/>
                <w:szCs w:val="18"/>
              </w:rPr>
              <w:t>2016</w:t>
            </w:r>
          </w:p>
        </w:tc>
        <w:tc>
          <w:tcPr>
            <w:tcW w:w="1085" w:type="dxa"/>
            <w:tcBorders>
              <w:top w:val="nil"/>
              <w:left w:val="nil"/>
              <w:bottom w:val="nil"/>
              <w:right w:val="single" w:sz="4" w:space="0" w:color="auto"/>
            </w:tcBorders>
            <w:shd w:val="clear" w:color="FFFFFF" w:fill="FFFFFF"/>
            <w:vAlign w:val="bottom"/>
            <w:hideMark/>
          </w:tcPr>
          <w:p w:rsidR="008835EB" w:rsidRDefault="008835EB" w:rsidP="007E3F2E">
            <w:pPr>
              <w:jc w:val="right"/>
              <w:rPr>
                <w:rFonts w:cs="Calibri"/>
                <w:szCs w:val="18"/>
              </w:rPr>
            </w:pPr>
            <w:r>
              <w:rPr>
                <w:rFonts w:cs="Calibri"/>
                <w:szCs w:val="18"/>
              </w:rPr>
              <w:t>2015</w:t>
            </w:r>
          </w:p>
        </w:tc>
        <w:tc>
          <w:tcPr>
            <w:tcW w:w="1084" w:type="dxa"/>
            <w:tcBorders>
              <w:top w:val="nil"/>
              <w:left w:val="nil"/>
              <w:bottom w:val="nil"/>
              <w:right w:val="single" w:sz="4" w:space="0" w:color="auto"/>
            </w:tcBorders>
            <w:shd w:val="clear" w:color="FFFFFF" w:fill="FFFFFF"/>
            <w:vAlign w:val="bottom"/>
            <w:hideMark/>
          </w:tcPr>
          <w:p w:rsidR="008835EB" w:rsidRDefault="008835EB" w:rsidP="007E3F2E">
            <w:pPr>
              <w:jc w:val="right"/>
              <w:rPr>
                <w:rFonts w:cs="Calibri"/>
                <w:b/>
                <w:bCs/>
                <w:szCs w:val="18"/>
              </w:rPr>
            </w:pPr>
            <w:r>
              <w:rPr>
                <w:rFonts w:cs="Calibri"/>
                <w:b/>
                <w:bCs/>
                <w:szCs w:val="18"/>
              </w:rPr>
              <w:t>2016</w:t>
            </w:r>
          </w:p>
        </w:tc>
        <w:tc>
          <w:tcPr>
            <w:tcW w:w="1085" w:type="dxa"/>
            <w:tcBorders>
              <w:top w:val="nil"/>
              <w:left w:val="nil"/>
              <w:bottom w:val="nil"/>
              <w:right w:val="single" w:sz="4" w:space="0" w:color="auto"/>
            </w:tcBorders>
            <w:shd w:val="clear" w:color="FFFFFF" w:fill="FFFFFF"/>
            <w:vAlign w:val="bottom"/>
            <w:hideMark/>
          </w:tcPr>
          <w:p w:rsidR="008835EB" w:rsidRDefault="008835EB" w:rsidP="007E3F2E">
            <w:pPr>
              <w:jc w:val="right"/>
              <w:rPr>
                <w:rFonts w:cs="Calibri"/>
                <w:szCs w:val="18"/>
              </w:rPr>
            </w:pPr>
            <w:r>
              <w:rPr>
                <w:rFonts w:cs="Calibri"/>
                <w:szCs w:val="18"/>
              </w:rPr>
              <w:t>2015</w:t>
            </w:r>
          </w:p>
        </w:tc>
        <w:tc>
          <w:tcPr>
            <w:tcW w:w="1082" w:type="dxa"/>
            <w:tcBorders>
              <w:top w:val="nil"/>
              <w:left w:val="nil"/>
              <w:bottom w:val="nil"/>
              <w:right w:val="single" w:sz="4" w:space="0" w:color="auto"/>
            </w:tcBorders>
            <w:shd w:val="clear" w:color="FFFFFF" w:fill="FFFFFF"/>
            <w:vAlign w:val="bottom"/>
            <w:hideMark/>
          </w:tcPr>
          <w:p w:rsidR="008835EB" w:rsidRDefault="008835EB" w:rsidP="007E3F2E">
            <w:pPr>
              <w:jc w:val="right"/>
              <w:rPr>
                <w:rFonts w:cs="Calibri"/>
                <w:b/>
                <w:bCs/>
                <w:szCs w:val="18"/>
              </w:rPr>
            </w:pPr>
            <w:r>
              <w:rPr>
                <w:rFonts w:cs="Calibri"/>
                <w:b/>
                <w:bCs/>
                <w:szCs w:val="18"/>
              </w:rPr>
              <w:t>2016</w:t>
            </w:r>
          </w:p>
        </w:tc>
        <w:tc>
          <w:tcPr>
            <w:tcW w:w="1081" w:type="dxa"/>
            <w:tcBorders>
              <w:top w:val="nil"/>
              <w:left w:val="nil"/>
              <w:bottom w:val="nil"/>
              <w:right w:val="single" w:sz="4" w:space="0" w:color="auto"/>
            </w:tcBorders>
            <w:shd w:val="clear" w:color="FFFFFF" w:fill="FFFFFF"/>
            <w:vAlign w:val="bottom"/>
            <w:hideMark/>
          </w:tcPr>
          <w:p w:rsidR="008835EB" w:rsidRDefault="008835EB" w:rsidP="007E3F2E">
            <w:pPr>
              <w:jc w:val="right"/>
              <w:rPr>
                <w:rFonts w:cs="Calibri"/>
                <w:szCs w:val="18"/>
              </w:rPr>
            </w:pPr>
            <w:r>
              <w:rPr>
                <w:rFonts w:cs="Calibri"/>
                <w:szCs w:val="18"/>
              </w:rPr>
              <w:t>2015</w:t>
            </w:r>
          </w:p>
        </w:tc>
      </w:tr>
      <w:tr w:rsidR="008835EB" w:rsidTr="007E3F2E">
        <w:trPr>
          <w:trHeight w:val="240"/>
        </w:trPr>
        <w:tc>
          <w:tcPr>
            <w:tcW w:w="3140" w:type="dxa"/>
            <w:tcBorders>
              <w:top w:val="nil"/>
              <w:left w:val="single" w:sz="4" w:space="0" w:color="auto"/>
              <w:bottom w:val="single" w:sz="4" w:space="0" w:color="auto"/>
              <w:right w:val="single" w:sz="4" w:space="0" w:color="auto"/>
            </w:tcBorders>
            <w:shd w:val="clear" w:color="FFFFFF" w:fill="FFFFFF"/>
            <w:noWrap/>
            <w:hideMark/>
          </w:tcPr>
          <w:p w:rsidR="008835EB" w:rsidRDefault="008835EB" w:rsidP="007E3F2E">
            <w:pPr>
              <w:rPr>
                <w:rFonts w:cs="Calibri"/>
                <w:sz w:val="16"/>
                <w:szCs w:val="16"/>
              </w:rPr>
            </w:pPr>
            <w:r>
              <w:rPr>
                <w:rFonts w:cs="Calibri"/>
                <w:sz w:val="16"/>
                <w:szCs w:val="16"/>
              </w:rPr>
              <w:t> </w:t>
            </w:r>
          </w:p>
        </w:tc>
        <w:tc>
          <w:tcPr>
            <w:tcW w:w="1088" w:type="dxa"/>
            <w:tcBorders>
              <w:top w:val="nil"/>
              <w:left w:val="nil"/>
              <w:bottom w:val="single" w:sz="4" w:space="0" w:color="auto"/>
              <w:right w:val="single" w:sz="4" w:space="0" w:color="auto"/>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1086" w:type="dxa"/>
            <w:tcBorders>
              <w:top w:val="nil"/>
              <w:left w:val="nil"/>
              <w:bottom w:val="single" w:sz="4" w:space="0" w:color="auto"/>
              <w:right w:val="single" w:sz="4" w:space="0" w:color="auto"/>
            </w:tcBorders>
            <w:shd w:val="clear" w:color="FFFFFF" w:fill="FFFFFF"/>
            <w:vAlign w:val="bottom"/>
            <w:hideMark/>
          </w:tcPr>
          <w:p w:rsidR="008835EB" w:rsidRDefault="008835EB" w:rsidP="007E3F2E">
            <w:pPr>
              <w:jc w:val="right"/>
              <w:rPr>
                <w:rFonts w:cs="Calibri"/>
                <w:szCs w:val="18"/>
              </w:rPr>
            </w:pPr>
            <w:r>
              <w:rPr>
                <w:rFonts w:cs="Calibri"/>
                <w:szCs w:val="18"/>
              </w:rPr>
              <w:t>$'000</w:t>
            </w:r>
          </w:p>
        </w:tc>
        <w:tc>
          <w:tcPr>
            <w:tcW w:w="1091" w:type="dxa"/>
            <w:tcBorders>
              <w:top w:val="nil"/>
              <w:left w:val="nil"/>
              <w:bottom w:val="single" w:sz="4" w:space="0" w:color="auto"/>
              <w:right w:val="single" w:sz="4" w:space="0" w:color="auto"/>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1086" w:type="dxa"/>
            <w:tcBorders>
              <w:top w:val="nil"/>
              <w:left w:val="nil"/>
              <w:bottom w:val="single" w:sz="4" w:space="0" w:color="auto"/>
              <w:right w:val="single" w:sz="4" w:space="0" w:color="auto"/>
            </w:tcBorders>
            <w:shd w:val="clear" w:color="FFFFFF" w:fill="FFFFFF"/>
            <w:vAlign w:val="bottom"/>
            <w:hideMark/>
          </w:tcPr>
          <w:p w:rsidR="008835EB" w:rsidRDefault="008835EB" w:rsidP="007E3F2E">
            <w:pPr>
              <w:jc w:val="right"/>
              <w:rPr>
                <w:rFonts w:cs="Calibri"/>
                <w:szCs w:val="18"/>
              </w:rPr>
            </w:pPr>
            <w:r>
              <w:rPr>
                <w:rFonts w:cs="Calibri"/>
                <w:szCs w:val="18"/>
              </w:rPr>
              <w:t>$'000</w:t>
            </w:r>
          </w:p>
        </w:tc>
        <w:tc>
          <w:tcPr>
            <w:tcW w:w="1083" w:type="dxa"/>
            <w:tcBorders>
              <w:top w:val="nil"/>
              <w:left w:val="nil"/>
              <w:bottom w:val="single" w:sz="4" w:space="0" w:color="auto"/>
              <w:right w:val="single" w:sz="4" w:space="0" w:color="auto"/>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1085" w:type="dxa"/>
            <w:tcBorders>
              <w:top w:val="nil"/>
              <w:left w:val="nil"/>
              <w:bottom w:val="single" w:sz="4" w:space="0" w:color="auto"/>
              <w:right w:val="single" w:sz="4" w:space="0" w:color="auto"/>
            </w:tcBorders>
            <w:shd w:val="clear" w:color="FFFFFF" w:fill="FFFFFF"/>
            <w:vAlign w:val="bottom"/>
            <w:hideMark/>
          </w:tcPr>
          <w:p w:rsidR="008835EB" w:rsidRDefault="008835EB" w:rsidP="007E3F2E">
            <w:pPr>
              <w:jc w:val="right"/>
              <w:rPr>
                <w:rFonts w:cs="Calibri"/>
                <w:szCs w:val="18"/>
              </w:rPr>
            </w:pPr>
            <w:r>
              <w:rPr>
                <w:rFonts w:cs="Calibri"/>
                <w:szCs w:val="18"/>
              </w:rPr>
              <w:t>$'000</w:t>
            </w:r>
          </w:p>
        </w:tc>
        <w:tc>
          <w:tcPr>
            <w:tcW w:w="1084" w:type="dxa"/>
            <w:tcBorders>
              <w:top w:val="nil"/>
              <w:left w:val="nil"/>
              <w:bottom w:val="single" w:sz="4" w:space="0" w:color="auto"/>
              <w:right w:val="single" w:sz="4" w:space="0" w:color="auto"/>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1085" w:type="dxa"/>
            <w:tcBorders>
              <w:top w:val="nil"/>
              <w:left w:val="nil"/>
              <w:bottom w:val="single" w:sz="4" w:space="0" w:color="auto"/>
              <w:right w:val="single" w:sz="4" w:space="0" w:color="auto"/>
            </w:tcBorders>
            <w:shd w:val="clear" w:color="FFFFFF" w:fill="FFFFFF"/>
            <w:vAlign w:val="bottom"/>
            <w:hideMark/>
          </w:tcPr>
          <w:p w:rsidR="008835EB" w:rsidRDefault="008835EB" w:rsidP="007E3F2E">
            <w:pPr>
              <w:jc w:val="right"/>
              <w:rPr>
                <w:rFonts w:cs="Calibri"/>
                <w:szCs w:val="18"/>
              </w:rPr>
            </w:pPr>
            <w:r>
              <w:rPr>
                <w:rFonts w:cs="Calibri"/>
                <w:szCs w:val="18"/>
              </w:rPr>
              <w:t>$'000</w:t>
            </w:r>
          </w:p>
        </w:tc>
        <w:tc>
          <w:tcPr>
            <w:tcW w:w="1082" w:type="dxa"/>
            <w:tcBorders>
              <w:top w:val="nil"/>
              <w:left w:val="nil"/>
              <w:bottom w:val="single" w:sz="4" w:space="0" w:color="auto"/>
              <w:right w:val="single" w:sz="4" w:space="0" w:color="auto"/>
            </w:tcBorders>
            <w:shd w:val="clear" w:color="FFFFFF" w:fill="FFFFFF"/>
            <w:vAlign w:val="bottom"/>
            <w:hideMark/>
          </w:tcPr>
          <w:p w:rsidR="008835EB" w:rsidRDefault="008835EB" w:rsidP="007E3F2E">
            <w:pPr>
              <w:jc w:val="right"/>
              <w:rPr>
                <w:rFonts w:cs="Calibri"/>
                <w:b/>
                <w:bCs/>
                <w:szCs w:val="18"/>
              </w:rPr>
            </w:pPr>
            <w:r>
              <w:rPr>
                <w:rFonts w:cs="Calibri"/>
                <w:b/>
                <w:bCs/>
                <w:szCs w:val="18"/>
              </w:rPr>
              <w:t>$'000</w:t>
            </w:r>
          </w:p>
        </w:tc>
        <w:tc>
          <w:tcPr>
            <w:tcW w:w="1081" w:type="dxa"/>
            <w:tcBorders>
              <w:top w:val="nil"/>
              <w:left w:val="nil"/>
              <w:bottom w:val="single" w:sz="4" w:space="0" w:color="auto"/>
              <w:right w:val="single" w:sz="4" w:space="0" w:color="auto"/>
            </w:tcBorders>
            <w:shd w:val="clear" w:color="FFFFFF" w:fill="FFFFFF"/>
            <w:vAlign w:val="bottom"/>
            <w:hideMark/>
          </w:tcPr>
          <w:p w:rsidR="008835EB" w:rsidRDefault="008835EB" w:rsidP="007E3F2E">
            <w:pPr>
              <w:jc w:val="right"/>
              <w:rPr>
                <w:rFonts w:cs="Calibri"/>
                <w:szCs w:val="18"/>
              </w:rPr>
            </w:pPr>
            <w:r>
              <w:rPr>
                <w:rFonts w:cs="Calibri"/>
                <w:szCs w:val="18"/>
              </w:rPr>
              <w:t>$'000</w:t>
            </w:r>
          </w:p>
        </w:tc>
      </w:tr>
      <w:tr w:rsidR="008835EB" w:rsidTr="007E3F2E">
        <w:trPr>
          <w:trHeight w:val="229"/>
        </w:trPr>
        <w:tc>
          <w:tcPr>
            <w:tcW w:w="3140" w:type="dxa"/>
            <w:tcBorders>
              <w:top w:val="nil"/>
              <w:left w:val="single" w:sz="4" w:space="0" w:color="auto"/>
              <w:bottom w:val="nil"/>
              <w:right w:val="single" w:sz="4" w:space="0" w:color="auto"/>
            </w:tcBorders>
            <w:shd w:val="clear" w:color="FFFFFF" w:fill="FFFFFF"/>
            <w:vAlign w:val="bottom"/>
            <w:hideMark/>
          </w:tcPr>
          <w:p w:rsidR="008835EB" w:rsidRDefault="008835EB" w:rsidP="007E3F2E">
            <w:pPr>
              <w:rPr>
                <w:rFonts w:cs="Calibri"/>
                <w:b/>
                <w:bCs/>
                <w:szCs w:val="18"/>
              </w:rPr>
            </w:pPr>
            <w:r>
              <w:rPr>
                <w:rFonts w:cs="Calibri"/>
                <w:b/>
                <w:bCs/>
                <w:szCs w:val="18"/>
              </w:rPr>
              <w:t>Expenses</w:t>
            </w:r>
          </w:p>
        </w:tc>
        <w:tc>
          <w:tcPr>
            <w:tcW w:w="1088" w:type="dxa"/>
            <w:tcBorders>
              <w:top w:val="nil"/>
              <w:left w:val="nil"/>
              <w:bottom w:val="nil"/>
              <w:right w:val="single" w:sz="4" w:space="0" w:color="auto"/>
            </w:tcBorders>
            <w:shd w:val="clear" w:color="FFFFFF" w:fill="FFFFFF"/>
            <w:noWrap/>
            <w:hideMark/>
          </w:tcPr>
          <w:p w:rsidR="008835EB" w:rsidRDefault="008835EB" w:rsidP="007E3F2E">
            <w:pPr>
              <w:rPr>
                <w:rFonts w:cs="Calibri"/>
                <w:sz w:val="16"/>
                <w:szCs w:val="16"/>
              </w:rPr>
            </w:pPr>
            <w:r>
              <w:rPr>
                <w:rFonts w:cs="Calibri"/>
                <w:sz w:val="16"/>
                <w:szCs w:val="16"/>
              </w:rPr>
              <w:t> </w:t>
            </w:r>
          </w:p>
        </w:tc>
        <w:tc>
          <w:tcPr>
            <w:tcW w:w="1086" w:type="dxa"/>
            <w:tcBorders>
              <w:top w:val="nil"/>
              <w:left w:val="nil"/>
              <w:bottom w:val="nil"/>
              <w:right w:val="single" w:sz="4" w:space="0" w:color="auto"/>
            </w:tcBorders>
            <w:shd w:val="clear" w:color="FFFFFF" w:fill="FFFFFF"/>
            <w:noWrap/>
            <w:hideMark/>
          </w:tcPr>
          <w:p w:rsidR="008835EB" w:rsidRDefault="008835EB" w:rsidP="007E3F2E">
            <w:pPr>
              <w:rPr>
                <w:rFonts w:cs="Calibri"/>
                <w:sz w:val="16"/>
                <w:szCs w:val="16"/>
              </w:rPr>
            </w:pPr>
            <w:r>
              <w:rPr>
                <w:rFonts w:cs="Calibri"/>
                <w:sz w:val="16"/>
                <w:szCs w:val="16"/>
              </w:rPr>
              <w:t> </w:t>
            </w:r>
          </w:p>
        </w:tc>
        <w:tc>
          <w:tcPr>
            <w:tcW w:w="1091" w:type="dxa"/>
            <w:tcBorders>
              <w:top w:val="nil"/>
              <w:left w:val="nil"/>
              <w:bottom w:val="nil"/>
              <w:right w:val="single" w:sz="4" w:space="0" w:color="auto"/>
            </w:tcBorders>
            <w:shd w:val="clear" w:color="FFFFFF" w:fill="FFFFFF"/>
            <w:noWrap/>
            <w:hideMark/>
          </w:tcPr>
          <w:p w:rsidR="008835EB" w:rsidRDefault="008835EB" w:rsidP="007E3F2E">
            <w:pPr>
              <w:rPr>
                <w:rFonts w:cs="Calibri"/>
                <w:sz w:val="16"/>
                <w:szCs w:val="16"/>
              </w:rPr>
            </w:pPr>
            <w:r>
              <w:rPr>
                <w:rFonts w:cs="Calibri"/>
                <w:sz w:val="16"/>
                <w:szCs w:val="16"/>
              </w:rPr>
              <w:t> </w:t>
            </w:r>
          </w:p>
        </w:tc>
        <w:tc>
          <w:tcPr>
            <w:tcW w:w="1086" w:type="dxa"/>
            <w:tcBorders>
              <w:top w:val="nil"/>
              <w:left w:val="nil"/>
              <w:bottom w:val="nil"/>
              <w:right w:val="single" w:sz="4" w:space="0" w:color="auto"/>
            </w:tcBorders>
            <w:shd w:val="clear" w:color="FFFFFF" w:fill="FFFFFF"/>
            <w:noWrap/>
            <w:hideMark/>
          </w:tcPr>
          <w:p w:rsidR="008835EB" w:rsidRDefault="008835EB" w:rsidP="007E3F2E">
            <w:pPr>
              <w:rPr>
                <w:rFonts w:cs="Calibri"/>
                <w:sz w:val="16"/>
                <w:szCs w:val="16"/>
              </w:rPr>
            </w:pPr>
            <w:r>
              <w:rPr>
                <w:rFonts w:cs="Calibri"/>
                <w:sz w:val="16"/>
                <w:szCs w:val="16"/>
              </w:rPr>
              <w:t> </w:t>
            </w:r>
          </w:p>
        </w:tc>
        <w:tc>
          <w:tcPr>
            <w:tcW w:w="1083" w:type="dxa"/>
            <w:tcBorders>
              <w:top w:val="nil"/>
              <w:left w:val="nil"/>
              <w:bottom w:val="nil"/>
              <w:right w:val="single" w:sz="4" w:space="0" w:color="auto"/>
            </w:tcBorders>
            <w:shd w:val="clear" w:color="FFFFFF" w:fill="FFFFFF"/>
            <w:noWrap/>
            <w:hideMark/>
          </w:tcPr>
          <w:p w:rsidR="008835EB" w:rsidRDefault="008835EB" w:rsidP="007E3F2E">
            <w:pPr>
              <w:rPr>
                <w:rFonts w:cs="Calibri"/>
                <w:sz w:val="16"/>
                <w:szCs w:val="16"/>
              </w:rPr>
            </w:pPr>
            <w:r>
              <w:rPr>
                <w:rFonts w:cs="Calibri"/>
                <w:sz w:val="16"/>
                <w:szCs w:val="16"/>
              </w:rPr>
              <w:t> </w:t>
            </w:r>
          </w:p>
        </w:tc>
        <w:tc>
          <w:tcPr>
            <w:tcW w:w="1085" w:type="dxa"/>
            <w:tcBorders>
              <w:top w:val="nil"/>
              <w:left w:val="nil"/>
              <w:bottom w:val="nil"/>
              <w:right w:val="single" w:sz="4" w:space="0" w:color="auto"/>
            </w:tcBorders>
            <w:shd w:val="clear" w:color="FFFFFF" w:fill="FFFFFF"/>
            <w:noWrap/>
            <w:hideMark/>
          </w:tcPr>
          <w:p w:rsidR="008835EB" w:rsidRDefault="008835EB" w:rsidP="007E3F2E">
            <w:pPr>
              <w:rPr>
                <w:rFonts w:cs="Calibri"/>
                <w:sz w:val="16"/>
                <w:szCs w:val="16"/>
              </w:rPr>
            </w:pPr>
            <w:r>
              <w:rPr>
                <w:rFonts w:cs="Calibri"/>
                <w:sz w:val="16"/>
                <w:szCs w:val="16"/>
              </w:rPr>
              <w:t> </w:t>
            </w:r>
          </w:p>
        </w:tc>
        <w:tc>
          <w:tcPr>
            <w:tcW w:w="1084" w:type="dxa"/>
            <w:tcBorders>
              <w:top w:val="nil"/>
              <w:left w:val="nil"/>
              <w:bottom w:val="nil"/>
              <w:right w:val="single" w:sz="4" w:space="0" w:color="auto"/>
            </w:tcBorders>
            <w:shd w:val="clear" w:color="FFFFFF" w:fill="FFFFFF"/>
            <w:noWrap/>
            <w:hideMark/>
          </w:tcPr>
          <w:p w:rsidR="008835EB" w:rsidRDefault="008835EB" w:rsidP="007E3F2E">
            <w:pPr>
              <w:rPr>
                <w:rFonts w:cs="Calibri"/>
                <w:sz w:val="16"/>
                <w:szCs w:val="16"/>
              </w:rPr>
            </w:pPr>
            <w:r>
              <w:rPr>
                <w:rFonts w:cs="Calibri"/>
                <w:sz w:val="16"/>
                <w:szCs w:val="16"/>
              </w:rPr>
              <w:t> </w:t>
            </w:r>
          </w:p>
        </w:tc>
        <w:tc>
          <w:tcPr>
            <w:tcW w:w="1085" w:type="dxa"/>
            <w:tcBorders>
              <w:top w:val="nil"/>
              <w:left w:val="nil"/>
              <w:bottom w:val="nil"/>
              <w:right w:val="single" w:sz="4" w:space="0" w:color="auto"/>
            </w:tcBorders>
            <w:shd w:val="clear" w:color="FFFFFF" w:fill="FFFFFF"/>
            <w:noWrap/>
            <w:hideMark/>
          </w:tcPr>
          <w:p w:rsidR="008835EB" w:rsidRDefault="008835EB" w:rsidP="007E3F2E">
            <w:pPr>
              <w:rPr>
                <w:rFonts w:cs="Calibri"/>
                <w:sz w:val="16"/>
                <w:szCs w:val="16"/>
              </w:rPr>
            </w:pPr>
            <w:r>
              <w:rPr>
                <w:rFonts w:cs="Calibri"/>
                <w:sz w:val="16"/>
                <w:szCs w:val="16"/>
              </w:rPr>
              <w:t> </w:t>
            </w:r>
          </w:p>
        </w:tc>
        <w:tc>
          <w:tcPr>
            <w:tcW w:w="1082" w:type="dxa"/>
            <w:tcBorders>
              <w:top w:val="nil"/>
              <w:left w:val="nil"/>
              <w:bottom w:val="nil"/>
              <w:right w:val="single" w:sz="4" w:space="0" w:color="auto"/>
            </w:tcBorders>
            <w:shd w:val="clear" w:color="FFFFFF" w:fill="FFFFFF"/>
            <w:noWrap/>
            <w:hideMark/>
          </w:tcPr>
          <w:p w:rsidR="008835EB" w:rsidRDefault="008835EB" w:rsidP="007E3F2E">
            <w:pPr>
              <w:rPr>
                <w:rFonts w:cs="Calibri"/>
                <w:sz w:val="16"/>
                <w:szCs w:val="16"/>
              </w:rPr>
            </w:pPr>
            <w:r>
              <w:rPr>
                <w:rFonts w:cs="Calibri"/>
                <w:sz w:val="16"/>
                <w:szCs w:val="16"/>
              </w:rPr>
              <w:t> </w:t>
            </w:r>
          </w:p>
        </w:tc>
        <w:tc>
          <w:tcPr>
            <w:tcW w:w="1081" w:type="dxa"/>
            <w:tcBorders>
              <w:top w:val="nil"/>
              <w:left w:val="nil"/>
              <w:bottom w:val="nil"/>
              <w:right w:val="single" w:sz="4" w:space="0" w:color="auto"/>
            </w:tcBorders>
            <w:shd w:val="clear" w:color="FFFFFF" w:fill="FFFFFF"/>
            <w:noWrap/>
            <w:hideMark/>
          </w:tcPr>
          <w:p w:rsidR="008835EB" w:rsidRDefault="008835EB" w:rsidP="007E3F2E">
            <w:pPr>
              <w:rPr>
                <w:rFonts w:cs="Calibri"/>
                <w:sz w:val="16"/>
                <w:szCs w:val="16"/>
              </w:rPr>
            </w:pPr>
            <w:r>
              <w:rPr>
                <w:rFonts w:cs="Calibri"/>
                <w:sz w:val="16"/>
                <w:szCs w:val="16"/>
              </w:rPr>
              <w:t> </w:t>
            </w:r>
          </w:p>
        </w:tc>
      </w:tr>
      <w:tr w:rsidR="008835EB" w:rsidTr="007E3F2E">
        <w:trPr>
          <w:trHeight w:val="229"/>
        </w:trPr>
        <w:tc>
          <w:tcPr>
            <w:tcW w:w="3140" w:type="dxa"/>
            <w:tcBorders>
              <w:top w:val="nil"/>
              <w:left w:val="single" w:sz="4" w:space="0" w:color="auto"/>
              <w:bottom w:val="nil"/>
              <w:right w:val="single" w:sz="4" w:space="0" w:color="auto"/>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Employee benefits</w:t>
            </w:r>
          </w:p>
        </w:tc>
        <w:tc>
          <w:tcPr>
            <w:tcW w:w="1088"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158,140 </w:t>
            </w:r>
          </w:p>
        </w:tc>
        <w:tc>
          <w:tcPr>
            <w:tcW w:w="1086"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147,912 </w:t>
            </w:r>
          </w:p>
        </w:tc>
        <w:tc>
          <w:tcPr>
            <w:tcW w:w="1091"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45,135 </w:t>
            </w:r>
          </w:p>
        </w:tc>
        <w:tc>
          <w:tcPr>
            <w:tcW w:w="1086"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33,767 </w:t>
            </w:r>
          </w:p>
        </w:tc>
        <w:tc>
          <w:tcPr>
            <w:tcW w:w="1083"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108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c>
          <w:tcPr>
            <w:tcW w:w="1084" w:type="dxa"/>
            <w:tcBorders>
              <w:top w:val="nil"/>
              <w:left w:val="single" w:sz="4" w:space="0" w:color="auto"/>
              <w:bottom w:val="nil"/>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108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c>
          <w:tcPr>
            <w:tcW w:w="1082" w:type="dxa"/>
            <w:tcBorders>
              <w:top w:val="nil"/>
              <w:left w:val="single" w:sz="4" w:space="0" w:color="auto"/>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203,275</w:t>
            </w:r>
          </w:p>
        </w:tc>
        <w:tc>
          <w:tcPr>
            <w:tcW w:w="1081" w:type="dxa"/>
            <w:tcBorders>
              <w:top w:val="nil"/>
              <w:left w:val="single" w:sz="4" w:space="0" w:color="auto"/>
              <w:bottom w:val="nil"/>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181,711</w:t>
            </w:r>
          </w:p>
        </w:tc>
      </w:tr>
      <w:tr w:rsidR="008835EB" w:rsidTr="007E3F2E">
        <w:trPr>
          <w:trHeight w:val="229"/>
        </w:trPr>
        <w:tc>
          <w:tcPr>
            <w:tcW w:w="3140" w:type="dxa"/>
            <w:tcBorders>
              <w:top w:val="nil"/>
              <w:left w:val="single" w:sz="4" w:space="0" w:color="auto"/>
              <w:bottom w:val="nil"/>
              <w:right w:val="single" w:sz="4" w:space="0" w:color="auto"/>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Suppliers</w:t>
            </w:r>
          </w:p>
        </w:tc>
        <w:tc>
          <w:tcPr>
            <w:tcW w:w="1088"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79,233 </w:t>
            </w:r>
          </w:p>
        </w:tc>
        <w:tc>
          <w:tcPr>
            <w:tcW w:w="1086"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81,407 </w:t>
            </w:r>
          </w:p>
        </w:tc>
        <w:tc>
          <w:tcPr>
            <w:tcW w:w="1091"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22,614 </w:t>
            </w:r>
          </w:p>
        </w:tc>
        <w:tc>
          <w:tcPr>
            <w:tcW w:w="1086"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42,113 </w:t>
            </w:r>
          </w:p>
        </w:tc>
        <w:tc>
          <w:tcPr>
            <w:tcW w:w="1083"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108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c>
          <w:tcPr>
            <w:tcW w:w="1084" w:type="dxa"/>
            <w:tcBorders>
              <w:top w:val="nil"/>
              <w:left w:val="single" w:sz="4" w:space="0" w:color="auto"/>
              <w:bottom w:val="nil"/>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108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c>
          <w:tcPr>
            <w:tcW w:w="1082" w:type="dxa"/>
            <w:tcBorders>
              <w:top w:val="nil"/>
              <w:left w:val="single" w:sz="4" w:space="0" w:color="auto"/>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101,847</w:t>
            </w:r>
          </w:p>
        </w:tc>
        <w:tc>
          <w:tcPr>
            <w:tcW w:w="1081" w:type="dxa"/>
            <w:tcBorders>
              <w:top w:val="nil"/>
              <w:left w:val="single" w:sz="4" w:space="0" w:color="auto"/>
              <w:bottom w:val="nil"/>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123,488</w:t>
            </w:r>
          </w:p>
        </w:tc>
      </w:tr>
      <w:tr w:rsidR="008835EB" w:rsidTr="007E3F2E">
        <w:trPr>
          <w:trHeight w:val="229"/>
        </w:trPr>
        <w:tc>
          <w:tcPr>
            <w:tcW w:w="3140" w:type="dxa"/>
            <w:tcBorders>
              <w:top w:val="nil"/>
              <w:left w:val="single" w:sz="4" w:space="0" w:color="auto"/>
              <w:bottom w:val="nil"/>
              <w:right w:val="single" w:sz="4" w:space="0" w:color="auto"/>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Grants</w:t>
            </w:r>
          </w:p>
        </w:tc>
        <w:tc>
          <w:tcPr>
            <w:tcW w:w="1088"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90 </w:t>
            </w:r>
          </w:p>
        </w:tc>
        <w:tc>
          <w:tcPr>
            <w:tcW w:w="1086"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589 </w:t>
            </w:r>
          </w:p>
        </w:tc>
        <w:tc>
          <w:tcPr>
            <w:tcW w:w="1091"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210 </w:t>
            </w:r>
          </w:p>
        </w:tc>
        <w:tc>
          <w:tcPr>
            <w:tcW w:w="1086"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850 </w:t>
            </w:r>
          </w:p>
        </w:tc>
        <w:tc>
          <w:tcPr>
            <w:tcW w:w="1083"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108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c>
          <w:tcPr>
            <w:tcW w:w="1084" w:type="dxa"/>
            <w:tcBorders>
              <w:top w:val="nil"/>
              <w:left w:val="single" w:sz="4" w:space="0" w:color="auto"/>
              <w:bottom w:val="nil"/>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108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c>
          <w:tcPr>
            <w:tcW w:w="1082" w:type="dxa"/>
            <w:tcBorders>
              <w:top w:val="nil"/>
              <w:left w:val="single" w:sz="4" w:space="0" w:color="auto"/>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300</w:t>
            </w:r>
          </w:p>
        </w:tc>
        <w:tc>
          <w:tcPr>
            <w:tcW w:w="1081" w:type="dxa"/>
            <w:tcBorders>
              <w:top w:val="nil"/>
              <w:left w:val="single" w:sz="4" w:space="0" w:color="auto"/>
              <w:bottom w:val="nil"/>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1,439</w:t>
            </w:r>
          </w:p>
        </w:tc>
      </w:tr>
      <w:tr w:rsidR="008835EB" w:rsidTr="007E3F2E">
        <w:trPr>
          <w:trHeight w:val="229"/>
        </w:trPr>
        <w:tc>
          <w:tcPr>
            <w:tcW w:w="3140" w:type="dxa"/>
            <w:tcBorders>
              <w:top w:val="nil"/>
              <w:left w:val="single" w:sz="4" w:space="0" w:color="auto"/>
              <w:bottom w:val="nil"/>
              <w:right w:val="single" w:sz="4" w:space="0" w:color="auto"/>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Depreciation and amortisation</w:t>
            </w:r>
          </w:p>
        </w:tc>
        <w:tc>
          <w:tcPr>
            <w:tcW w:w="1088"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16,750 </w:t>
            </w:r>
          </w:p>
        </w:tc>
        <w:tc>
          <w:tcPr>
            <w:tcW w:w="1086"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21,891 </w:t>
            </w:r>
          </w:p>
        </w:tc>
        <w:tc>
          <w:tcPr>
            <w:tcW w:w="1091"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5,111 </w:t>
            </w:r>
          </w:p>
        </w:tc>
        <w:tc>
          <w:tcPr>
            <w:tcW w:w="1086"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5,984 </w:t>
            </w:r>
          </w:p>
        </w:tc>
        <w:tc>
          <w:tcPr>
            <w:tcW w:w="1083"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108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c>
          <w:tcPr>
            <w:tcW w:w="1084" w:type="dxa"/>
            <w:tcBorders>
              <w:top w:val="nil"/>
              <w:left w:val="single" w:sz="4" w:space="0" w:color="auto"/>
              <w:bottom w:val="nil"/>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1085" w:type="dxa"/>
            <w:tcBorders>
              <w:top w:val="nil"/>
              <w:left w:val="nil"/>
              <w:bottom w:val="nil"/>
              <w:right w:val="nil"/>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c>
          <w:tcPr>
            <w:tcW w:w="1082" w:type="dxa"/>
            <w:tcBorders>
              <w:top w:val="nil"/>
              <w:left w:val="single" w:sz="4" w:space="0" w:color="auto"/>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21,861</w:t>
            </w:r>
          </w:p>
        </w:tc>
        <w:tc>
          <w:tcPr>
            <w:tcW w:w="1081" w:type="dxa"/>
            <w:tcBorders>
              <w:top w:val="nil"/>
              <w:left w:val="single" w:sz="4" w:space="0" w:color="auto"/>
              <w:bottom w:val="nil"/>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27,875</w:t>
            </w:r>
          </w:p>
        </w:tc>
      </w:tr>
      <w:tr w:rsidR="008835EB" w:rsidTr="007E3F2E">
        <w:trPr>
          <w:trHeight w:val="229"/>
        </w:trPr>
        <w:tc>
          <w:tcPr>
            <w:tcW w:w="3140" w:type="dxa"/>
            <w:tcBorders>
              <w:top w:val="nil"/>
              <w:left w:val="single" w:sz="4" w:space="0" w:color="auto"/>
              <w:bottom w:val="nil"/>
              <w:right w:val="single" w:sz="4" w:space="0" w:color="auto"/>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Other</w:t>
            </w:r>
          </w:p>
        </w:tc>
        <w:tc>
          <w:tcPr>
            <w:tcW w:w="1088"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723 </w:t>
            </w:r>
          </w:p>
        </w:tc>
        <w:tc>
          <w:tcPr>
            <w:tcW w:w="1086"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1,160 </w:t>
            </w:r>
          </w:p>
        </w:tc>
        <w:tc>
          <w:tcPr>
            <w:tcW w:w="1091"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206 </w:t>
            </w:r>
          </w:p>
        </w:tc>
        <w:tc>
          <w:tcPr>
            <w:tcW w:w="1086"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386 </w:t>
            </w:r>
          </w:p>
        </w:tc>
        <w:tc>
          <w:tcPr>
            <w:tcW w:w="1083"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1085"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c>
          <w:tcPr>
            <w:tcW w:w="1084"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1085"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c>
          <w:tcPr>
            <w:tcW w:w="1082" w:type="dxa"/>
            <w:tcBorders>
              <w:top w:val="nil"/>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929</w:t>
            </w:r>
          </w:p>
        </w:tc>
        <w:tc>
          <w:tcPr>
            <w:tcW w:w="1081" w:type="dxa"/>
            <w:tcBorders>
              <w:top w:val="nil"/>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1,546</w:t>
            </w:r>
          </w:p>
        </w:tc>
      </w:tr>
      <w:tr w:rsidR="008835EB" w:rsidTr="007E3F2E">
        <w:trPr>
          <w:trHeight w:val="229"/>
        </w:trPr>
        <w:tc>
          <w:tcPr>
            <w:tcW w:w="3140"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8835EB" w:rsidRDefault="008835EB" w:rsidP="007E3F2E">
            <w:pPr>
              <w:rPr>
                <w:rFonts w:cs="Calibri"/>
                <w:b/>
                <w:bCs/>
                <w:szCs w:val="18"/>
              </w:rPr>
            </w:pPr>
            <w:r>
              <w:rPr>
                <w:rFonts w:cs="Calibri"/>
                <w:b/>
                <w:bCs/>
                <w:szCs w:val="18"/>
              </w:rPr>
              <w:t>Total expenses</w:t>
            </w:r>
          </w:p>
        </w:tc>
        <w:tc>
          <w:tcPr>
            <w:tcW w:w="1088" w:type="dxa"/>
            <w:tcBorders>
              <w:top w:val="single" w:sz="4" w:space="0" w:color="auto"/>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254,936</w:t>
            </w:r>
          </w:p>
        </w:tc>
        <w:tc>
          <w:tcPr>
            <w:tcW w:w="1086" w:type="dxa"/>
            <w:tcBorders>
              <w:top w:val="single" w:sz="4" w:space="0" w:color="auto"/>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252,959</w:t>
            </w:r>
          </w:p>
        </w:tc>
        <w:tc>
          <w:tcPr>
            <w:tcW w:w="1091" w:type="dxa"/>
            <w:tcBorders>
              <w:top w:val="single" w:sz="4" w:space="0" w:color="auto"/>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73,276</w:t>
            </w:r>
          </w:p>
        </w:tc>
        <w:tc>
          <w:tcPr>
            <w:tcW w:w="1086" w:type="dxa"/>
            <w:tcBorders>
              <w:top w:val="single" w:sz="4" w:space="0" w:color="auto"/>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83,100</w:t>
            </w:r>
          </w:p>
        </w:tc>
        <w:tc>
          <w:tcPr>
            <w:tcW w:w="1083" w:type="dxa"/>
            <w:tcBorders>
              <w:top w:val="single" w:sz="4" w:space="0" w:color="auto"/>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w:t>
            </w:r>
          </w:p>
        </w:tc>
        <w:tc>
          <w:tcPr>
            <w:tcW w:w="1085" w:type="dxa"/>
            <w:tcBorders>
              <w:top w:val="single" w:sz="4" w:space="0" w:color="auto"/>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w:t>
            </w:r>
          </w:p>
        </w:tc>
        <w:tc>
          <w:tcPr>
            <w:tcW w:w="1084" w:type="dxa"/>
            <w:tcBorders>
              <w:top w:val="single" w:sz="4" w:space="0" w:color="auto"/>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w:t>
            </w:r>
          </w:p>
        </w:tc>
        <w:tc>
          <w:tcPr>
            <w:tcW w:w="1085" w:type="dxa"/>
            <w:tcBorders>
              <w:top w:val="single" w:sz="4" w:space="0" w:color="auto"/>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w:t>
            </w:r>
          </w:p>
        </w:tc>
        <w:tc>
          <w:tcPr>
            <w:tcW w:w="1082" w:type="dxa"/>
            <w:tcBorders>
              <w:top w:val="nil"/>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328,212</w:t>
            </w:r>
          </w:p>
        </w:tc>
        <w:tc>
          <w:tcPr>
            <w:tcW w:w="1081" w:type="dxa"/>
            <w:tcBorders>
              <w:top w:val="nil"/>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336,059</w:t>
            </w:r>
          </w:p>
        </w:tc>
      </w:tr>
      <w:tr w:rsidR="008835EB" w:rsidTr="007E3F2E">
        <w:trPr>
          <w:trHeight w:val="229"/>
        </w:trPr>
        <w:tc>
          <w:tcPr>
            <w:tcW w:w="3140" w:type="dxa"/>
            <w:tcBorders>
              <w:top w:val="nil"/>
              <w:left w:val="single" w:sz="4" w:space="0" w:color="auto"/>
              <w:bottom w:val="nil"/>
              <w:right w:val="single" w:sz="4" w:space="0" w:color="auto"/>
            </w:tcBorders>
            <w:shd w:val="clear" w:color="FFFFFF" w:fill="FFFFFF"/>
            <w:vAlign w:val="bottom"/>
            <w:hideMark/>
          </w:tcPr>
          <w:p w:rsidR="008835EB" w:rsidRDefault="008835EB" w:rsidP="007E3F2E">
            <w:pPr>
              <w:rPr>
                <w:rFonts w:cs="Calibri"/>
                <w:b/>
                <w:bCs/>
                <w:szCs w:val="18"/>
              </w:rPr>
            </w:pPr>
            <w:r>
              <w:rPr>
                <w:rFonts w:cs="Calibri"/>
                <w:b/>
                <w:bCs/>
                <w:szCs w:val="18"/>
              </w:rPr>
              <w:t>Income</w:t>
            </w:r>
          </w:p>
        </w:tc>
        <w:tc>
          <w:tcPr>
            <w:tcW w:w="1088" w:type="dxa"/>
            <w:tcBorders>
              <w:top w:val="nil"/>
              <w:left w:val="nil"/>
              <w:bottom w:val="nil"/>
              <w:right w:val="single" w:sz="4" w:space="0" w:color="auto"/>
            </w:tcBorders>
            <w:shd w:val="clear" w:color="FFFFFF" w:fill="FFFFFF"/>
            <w:noWrap/>
            <w:hideMark/>
          </w:tcPr>
          <w:p w:rsidR="008835EB" w:rsidRDefault="008835EB" w:rsidP="007E3F2E">
            <w:pPr>
              <w:rPr>
                <w:rFonts w:cs="Calibri"/>
                <w:szCs w:val="18"/>
              </w:rPr>
            </w:pPr>
            <w:r>
              <w:rPr>
                <w:rFonts w:cs="Calibri"/>
                <w:szCs w:val="18"/>
              </w:rPr>
              <w:t> </w:t>
            </w:r>
          </w:p>
        </w:tc>
        <w:tc>
          <w:tcPr>
            <w:tcW w:w="1086" w:type="dxa"/>
            <w:tcBorders>
              <w:top w:val="nil"/>
              <w:left w:val="nil"/>
              <w:bottom w:val="nil"/>
              <w:right w:val="single" w:sz="4" w:space="0" w:color="auto"/>
            </w:tcBorders>
            <w:shd w:val="clear" w:color="FFFFFF" w:fill="FFFFFF"/>
            <w:noWrap/>
            <w:hideMark/>
          </w:tcPr>
          <w:p w:rsidR="008835EB" w:rsidRDefault="008835EB" w:rsidP="007E3F2E">
            <w:pPr>
              <w:rPr>
                <w:rFonts w:cs="Calibri"/>
                <w:sz w:val="16"/>
                <w:szCs w:val="16"/>
              </w:rPr>
            </w:pPr>
            <w:r>
              <w:rPr>
                <w:rFonts w:cs="Calibri"/>
                <w:sz w:val="16"/>
                <w:szCs w:val="16"/>
              </w:rPr>
              <w:t> </w:t>
            </w:r>
          </w:p>
        </w:tc>
        <w:tc>
          <w:tcPr>
            <w:tcW w:w="1091" w:type="dxa"/>
            <w:tcBorders>
              <w:top w:val="nil"/>
              <w:left w:val="nil"/>
              <w:bottom w:val="nil"/>
              <w:right w:val="single" w:sz="4" w:space="0" w:color="auto"/>
            </w:tcBorders>
            <w:shd w:val="clear" w:color="FFFFFF" w:fill="FFFFFF"/>
            <w:noWrap/>
            <w:hideMark/>
          </w:tcPr>
          <w:p w:rsidR="008835EB" w:rsidRDefault="008835EB" w:rsidP="007E3F2E">
            <w:pPr>
              <w:rPr>
                <w:rFonts w:cs="Calibri"/>
                <w:szCs w:val="18"/>
              </w:rPr>
            </w:pPr>
            <w:r>
              <w:rPr>
                <w:rFonts w:cs="Calibri"/>
                <w:szCs w:val="18"/>
              </w:rPr>
              <w:t> </w:t>
            </w:r>
          </w:p>
        </w:tc>
        <w:tc>
          <w:tcPr>
            <w:tcW w:w="1086" w:type="dxa"/>
            <w:tcBorders>
              <w:top w:val="nil"/>
              <w:left w:val="nil"/>
              <w:bottom w:val="nil"/>
              <w:right w:val="single" w:sz="4" w:space="0" w:color="auto"/>
            </w:tcBorders>
            <w:shd w:val="clear" w:color="FFFFFF" w:fill="FFFFFF"/>
            <w:noWrap/>
            <w:hideMark/>
          </w:tcPr>
          <w:p w:rsidR="008835EB" w:rsidRDefault="008835EB" w:rsidP="007E3F2E">
            <w:pPr>
              <w:rPr>
                <w:rFonts w:cs="Calibri"/>
                <w:szCs w:val="18"/>
              </w:rPr>
            </w:pPr>
            <w:r>
              <w:rPr>
                <w:rFonts w:cs="Calibri"/>
                <w:szCs w:val="18"/>
              </w:rPr>
              <w:t> </w:t>
            </w:r>
          </w:p>
        </w:tc>
        <w:tc>
          <w:tcPr>
            <w:tcW w:w="1083" w:type="dxa"/>
            <w:tcBorders>
              <w:top w:val="nil"/>
              <w:left w:val="nil"/>
              <w:bottom w:val="nil"/>
              <w:right w:val="single" w:sz="4" w:space="0" w:color="auto"/>
            </w:tcBorders>
            <w:shd w:val="clear" w:color="FFFFFF" w:fill="FFFFFF"/>
            <w:noWrap/>
            <w:hideMark/>
          </w:tcPr>
          <w:p w:rsidR="008835EB" w:rsidRDefault="008835EB" w:rsidP="007E3F2E">
            <w:pPr>
              <w:rPr>
                <w:rFonts w:cs="Calibri"/>
                <w:szCs w:val="18"/>
              </w:rPr>
            </w:pPr>
            <w:r>
              <w:rPr>
                <w:rFonts w:cs="Calibri"/>
                <w:szCs w:val="18"/>
              </w:rPr>
              <w:t> </w:t>
            </w:r>
          </w:p>
        </w:tc>
        <w:tc>
          <w:tcPr>
            <w:tcW w:w="1085" w:type="dxa"/>
            <w:tcBorders>
              <w:top w:val="nil"/>
              <w:left w:val="nil"/>
              <w:bottom w:val="nil"/>
              <w:right w:val="single" w:sz="4" w:space="0" w:color="auto"/>
            </w:tcBorders>
            <w:shd w:val="clear" w:color="FFFFFF" w:fill="FFFFFF"/>
            <w:noWrap/>
            <w:hideMark/>
          </w:tcPr>
          <w:p w:rsidR="008835EB" w:rsidRDefault="008835EB" w:rsidP="007E3F2E">
            <w:pPr>
              <w:rPr>
                <w:rFonts w:cs="Calibri"/>
                <w:szCs w:val="18"/>
              </w:rPr>
            </w:pPr>
            <w:r>
              <w:rPr>
                <w:rFonts w:cs="Calibri"/>
                <w:szCs w:val="18"/>
              </w:rPr>
              <w:t> </w:t>
            </w:r>
          </w:p>
        </w:tc>
        <w:tc>
          <w:tcPr>
            <w:tcW w:w="1084" w:type="dxa"/>
            <w:tcBorders>
              <w:top w:val="nil"/>
              <w:left w:val="nil"/>
              <w:bottom w:val="nil"/>
              <w:right w:val="single" w:sz="4" w:space="0" w:color="auto"/>
            </w:tcBorders>
            <w:shd w:val="clear" w:color="FFFFFF" w:fill="FFFFFF"/>
            <w:noWrap/>
            <w:hideMark/>
          </w:tcPr>
          <w:p w:rsidR="008835EB" w:rsidRDefault="008835EB" w:rsidP="007E3F2E">
            <w:pPr>
              <w:rPr>
                <w:rFonts w:cs="Calibri"/>
                <w:szCs w:val="18"/>
              </w:rPr>
            </w:pPr>
            <w:r>
              <w:rPr>
                <w:rFonts w:cs="Calibri"/>
                <w:szCs w:val="18"/>
              </w:rPr>
              <w:t> </w:t>
            </w:r>
          </w:p>
        </w:tc>
        <w:tc>
          <w:tcPr>
            <w:tcW w:w="1085" w:type="dxa"/>
            <w:tcBorders>
              <w:top w:val="nil"/>
              <w:left w:val="nil"/>
              <w:bottom w:val="nil"/>
              <w:right w:val="single" w:sz="4" w:space="0" w:color="auto"/>
            </w:tcBorders>
            <w:shd w:val="clear" w:color="FFFFFF" w:fill="FFFFFF"/>
            <w:noWrap/>
            <w:hideMark/>
          </w:tcPr>
          <w:p w:rsidR="008835EB" w:rsidRDefault="008835EB" w:rsidP="007E3F2E">
            <w:pPr>
              <w:rPr>
                <w:rFonts w:cs="Calibri"/>
                <w:sz w:val="16"/>
                <w:szCs w:val="16"/>
              </w:rPr>
            </w:pPr>
            <w:r>
              <w:rPr>
                <w:rFonts w:cs="Calibri"/>
                <w:sz w:val="16"/>
                <w:szCs w:val="16"/>
              </w:rPr>
              <w:t> </w:t>
            </w:r>
          </w:p>
        </w:tc>
        <w:tc>
          <w:tcPr>
            <w:tcW w:w="1082" w:type="dxa"/>
            <w:tcBorders>
              <w:top w:val="nil"/>
              <w:left w:val="nil"/>
              <w:bottom w:val="nil"/>
              <w:right w:val="single" w:sz="4" w:space="0" w:color="auto"/>
            </w:tcBorders>
            <w:shd w:val="clear" w:color="FFFFFF" w:fill="FFFFFF"/>
            <w:noWrap/>
            <w:hideMark/>
          </w:tcPr>
          <w:p w:rsidR="008835EB" w:rsidRDefault="008835EB" w:rsidP="007E3F2E">
            <w:pPr>
              <w:rPr>
                <w:rFonts w:cs="Calibri"/>
                <w:szCs w:val="18"/>
              </w:rPr>
            </w:pPr>
            <w:r>
              <w:rPr>
                <w:rFonts w:cs="Calibri"/>
                <w:szCs w:val="18"/>
              </w:rPr>
              <w:t> </w:t>
            </w:r>
          </w:p>
        </w:tc>
        <w:tc>
          <w:tcPr>
            <w:tcW w:w="1081" w:type="dxa"/>
            <w:tcBorders>
              <w:top w:val="nil"/>
              <w:left w:val="nil"/>
              <w:bottom w:val="nil"/>
              <w:right w:val="single" w:sz="4" w:space="0" w:color="auto"/>
            </w:tcBorders>
            <w:shd w:val="clear" w:color="FFFFFF" w:fill="FFFFFF"/>
            <w:noWrap/>
            <w:hideMark/>
          </w:tcPr>
          <w:p w:rsidR="008835EB" w:rsidRDefault="008835EB" w:rsidP="007E3F2E">
            <w:pPr>
              <w:rPr>
                <w:rFonts w:cs="Calibri"/>
                <w:sz w:val="16"/>
                <w:szCs w:val="16"/>
              </w:rPr>
            </w:pPr>
            <w:r>
              <w:rPr>
                <w:rFonts w:cs="Calibri"/>
                <w:sz w:val="16"/>
                <w:szCs w:val="16"/>
              </w:rPr>
              <w:t> </w:t>
            </w:r>
          </w:p>
        </w:tc>
      </w:tr>
      <w:tr w:rsidR="008835EB" w:rsidTr="007E3F2E">
        <w:trPr>
          <w:trHeight w:val="229"/>
        </w:trPr>
        <w:tc>
          <w:tcPr>
            <w:tcW w:w="3140" w:type="dxa"/>
            <w:tcBorders>
              <w:top w:val="nil"/>
              <w:left w:val="single" w:sz="4" w:space="0" w:color="auto"/>
              <w:bottom w:val="nil"/>
              <w:right w:val="single" w:sz="4" w:space="0" w:color="auto"/>
            </w:tcBorders>
            <w:shd w:val="clear" w:color="FFFFFF" w:fill="FFFFFF"/>
            <w:vAlign w:val="bottom"/>
            <w:hideMark/>
          </w:tcPr>
          <w:p w:rsidR="008835EB" w:rsidRDefault="008835EB" w:rsidP="008835EB">
            <w:pPr>
              <w:ind w:firstLineChars="100" w:firstLine="180"/>
              <w:rPr>
                <w:rFonts w:cs="Calibri"/>
                <w:szCs w:val="18"/>
              </w:rPr>
            </w:pPr>
            <w:r>
              <w:rPr>
                <w:rFonts w:cs="Calibri"/>
                <w:szCs w:val="18"/>
              </w:rPr>
              <w:t>Sales of goods and rendering of services</w:t>
            </w:r>
          </w:p>
        </w:tc>
        <w:tc>
          <w:tcPr>
            <w:tcW w:w="1088"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19,012 </w:t>
            </w:r>
          </w:p>
        </w:tc>
        <w:tc>
          <w:tcPr>
            <w:tcW w:w="1086"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22,582 </w:t>
            </w:r>
          </w:p>
        </w:tc>
        <w:tc>
          <w:tcPr>
            <w:tcW w:w="1091"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5,261 </w:t>
            </w:r>
          </w:p>
        </w:tc>
        <w:tc>
          <w:tcPr>
            <w:tcW w:w="1086"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3,978 </w:t>
            </w:r>
          </w:p>
        </w:tc>
        <w:tc>
          <w:tcPr>
            <w:tcW w:w="1083"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1085"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c>
          <w:tcPr>
            <w:tcW w:w="1084"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1085"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c>
          <w:tcPr>
            <w:tcW w:w="108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24,273</w:t>
            </w:r>
          </w:p>
        </w:tc>
        <w:tc>
          <w:tcPr>
            <w:tcW w:w="1081" w:type="dxa"/>
            <w:tcBorders>
              <w:top w:val="nil"/>
              <w:left w:val="single" w:sz="4" w:space="0" w:color="auto"/>
              <w:bottom w:val="nil"/>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26,560</w:t>
            </w:r>
          </w:p>
        </w:tc>
      </w:tr>
      <w:tr w:rsidR="008835EB" w:rsidTr="007E3F2E">
        <w:trPr>
          <w:trHeight w:val="229"/>
        </w:trPr>
        <w:tc>
          <w:tcPr>
            <w:tcW w:w="3140" w:type="dxa"/>
            <w:tcBorders>
              <w:top w:val="nil"/>
              <w:left w:val="single" w:sz="4" w:space="0" w:color="auto"/>
              <w:bottom w:val="nil"/>
              <w:right w:val="single" w:sz="4" w:space="0" w:color="auto"/>
            </w:tcBorders>
            <w:shd w:val="clear" w:color="FFFFFF" w:fill="FFFFFF"/>
            <w:noWrap/>
            <w:vAlign w:val="bottom"/>
            <w:hideMark/>
          </w:tcPr>
          <w:p w:rsidR="008835EB" w:rsidRDefault="008835EB" w:rsidP="008835EB">
            <w:pPr>
              <w:ind w:firstLineChars="100" w:firstLine="180"/>
              <w:rPr>
                <w:rFonts w:cs="Calibri"/>
                <w:szCs w:val="18"/>
              </w:rPr>
            </w:pPr>
            <w:r>
              <w:rPr>
                <w:rFonts w:cs="Calibri"/>
                <w:szCs w:val="18"/>
              </w:rPr>
              <w:t>Other</w:t>
            </w:r>
          </w:p>
        </w:tc>
        <w:tc>
          <w:tcPr>
            <w:tcW w:w="1088"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2,882 </w:t>
            </w:r>
          </w:p>
        </w:tc>
        <w:tc>
          <w:tcPr>
            <w:tcW w:w="1086"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908 </w:t>
            </w:r>
          </w:p>
        </w:tc>
        <w:tc>
          <w:tcPr>
            <w:tcW w:w="1091"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870 </w:t>
            </w:r>
          </w:p>
        </w:tc>
        <w:tc>
          <w:tcPr>
            <w:tcW w:w="1086"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453 </w:t>
            </w:r>
          </w:p>
        </w:tc>
        <w:tc>
          <w:tcPr>
            <w:tcW w:w="1083"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1085"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c>
          <w:tcPr>
            <w:tcW w:w="1084"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 xml:space="preserve"> -</w:t>
            </w:r>
          </w:p>
        </w:tc>
        <w:tc>
          <w:tcPr>
            <w:tcW w:w="1085" w:type="dxa"/>
            <w:tcBorders>
              <w:top w:val="nil"/>
              <w:left w:val="nil"/>
              <w:bottom w:val="nil"/>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 xml:space="preserve"> -</w:t>
            </w:r>
          </w:p>
        </w:tc>
        <w:tc>
          <w:tcPr>
            <w:tcW w:w="1082" w:type="dxa"/>
            <w:tcBorders>
              <w:top w:val="nil"/>
              <w:left w:val="nil"/>
              <w:bottom w:val="nil"/>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3,752</w:t>
            </w:r>
          </w:p>
        </w:tc>
        <w:tc>
          <w:tcPr>
            <w:tcW w:w="1081" w:type="dxa"/>
            <w:tcBorders>
              <w:top w:val="nil"/>
              <w:left w:val="single" w:sz="4" w:space="0" w:color="auto"/>
              <w:bottom w:val="nil"/>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1,361</w:t>
            </w:r>
          </w:p>
        </w:tc>
      </w:tr>
      <w:tr w:rsidR="008835EB" w:rsidTr="007E3F2E">
        <w:trPr>
          <w:trHeight w:val="229"/>
        </w:trPr>
        <w:tc>
          <w:tcPr>
            <w:tcW w:w="3140"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8835EB" w:rsidRDefault="008835EB" w:rsidP="007E3F2E">
            <w:pPr>
              <w:rPr>
                <w:rFonts w:cs="Calibri"/>
                <w:b/>
                <w:bCs/>
                <w:szCs w:val="18"/>
              </w:rPr>
            </w:pPr>
            <w:r>
              <w:rPr>
                <w:rFonts w:cs="Calibri"/>
                <w:b/>
                <w:bCs/>
                <w:szCs w:val="18"/>
              </w:rPr>
              <w:t>Total income</w:t>
            </w:r>
          </w:p>
        </w:tc>
        <w:tc>
          <w:tcPr>
            <w:tcW w:w="1088" w:type="dxa"/>
            <w:tcBorders>
              <w:top w:val="single" w:sz="4" w:space="0" w:color="auto"/>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21,894</w:t>
            </w:r>
          </w:p>
        </w:tc>
        <w:tc>
          <w:tcPr>
            <w:tcW w:w="1086" w:type="dxa"/>
            <w:tcBorders>
              <w:top w:val="single" w:sz="4" w:space="0" w:color="auto"/>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23,490</w:t>
            </w:r>
          </w:p>
        </w:tc>
        <w:tc>
          <w:tcPr>
            <w:tcW w:w="1091" w:type="dxa"/>
            <w:tcBorders>
              <w:top w:val="single" w:sz="4" w:space="0" w:color="auto"/>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6,131</w:t>
            </w:r>
          </w:p>
        </w:tc>
        <w:tc>
          <w:tcPr>
            <w:tcW w:w="1086" w:type="dxa"/>
            <w:tcBorders>
              <w:top w:val="single" w:sz="4" w:space="0" w:color="auto"/>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4,431</w:t>
            </w:r>
          </w:p>
        </w:tc>
        <w:tc>
          <w:tcPr>
            <w:tcW w:w="1083" w:type="dxa"/>
            <w:tcBorders>
              <w:top w:val="single" w:sz="4" w:space="0" w:color="auto"/>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w:t>
            </w:r>
          </w:p>
        </w:tc>
        <w:tc>
          <w:tcPr>
            <w:tcW w:w="1085" w:type="dxa"/>
            <w:tcBorders>
              <w:top w:val="single" w:sz="4" w:space="0" w:color="auto"/>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w:t>
            </w:r>
          </w:p>
        </w:tc>
        <w:tc>
          <w:tcPr>
            <w:tcW w:w="1084" w:type="dxa"/>
            <w:tcBorders>
              <w:top w:val="single" w:sz="4" w:space="0" w:color="auto"/>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w:t>
            </w:r>
          </w:p>
        </w:tc>
        <w:tc>
          <w:tcPr>
            <w:tcW w:w="1085" w:type="dxa"/>
            <w:tcBorders>
              <w:top w:val="single" w:sz="4" w:space="0" w:color="auto"/>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w:t>
            </w:r>
          </w:p>
        </w:tc>
        <w:tc>
          <w:tcPr>
            <w:tcW w:w="1082" w:type="dxa"/>
            <w:tcBorders>
              <w:top w:val="single" w:sz="4" w:space="0" w:color="auto"/>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28,025</w:t>
            </w:r>
          </w:p>
        </w:tc>
        <w:tc>
          <w:tcPr>
            <w:tcW w:w="1081" w:type="dxa"/>
            <w:tcBorders>
              <w:top w:val="single" w:sz="4" w:space="0" w:color="auto"/>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27,921</w:t>
            </w:r>
          </w:p>
        </w:tc>
      </w:tr>
      <w:tr w:rsidR="008835EB" w:rsidTr="007E3F2E">
        <w:trPr>
          <w:trHeight w:val="240"/>
        </w:trPr>
        <w:tc>
          <w:tcPr>
            <w:tcW w:w="3140" w:type="dxa"/>
            <w:tcBorders>
              <w:top w:val="nil"/>
              <w:left w:val="single" w:sz="4" w:space="0" w:color="auto"/>
              <w:bottom w:val="nil"/>
              <w:right w:val="single" w:sz="4" w:space="0" w:color="auto"/>
            </w:tcBorders>
            <w:shd w:val="clear" w:color="000000" w:fill="D9D9D9"/>
            <w:hideMark/>
          </w:tcPr>
          <w:p w:rsidR="008835EB" w:rsidRDefault="008835EB" w:rsidP="007E3F2E">
            <w:pPr>
              <w:rPr>
                <w:rFonts w:cs="Calibri"/>
                <w:b/>
                <w:bCs/>
                <w:szCs w:val="18"/>
              </w:rPr>
            </w:pPr>
            <w:r>
              <w:rPr>
                <w:rFonts w:cs="Calibri"/>
                <w:b/>
                <w:bCs/>
                <w:szCs w:val="18"/>
              </w:rPr>
              <w:t>Expenses</w:t>
            </w:r>
          </w:p>
        </w:tc>
        <w:tc>
          <w:tcPr>
            <w:tcW w:w="1088" w:type="dxa"/>
            <w:tcBorders>
              <w:top w:val="nil"/>
              <w:left w:val="nil"/>
              <w:bottom w:val="nil"/>
              <w:right w:val="single" w:sz="4" w:space="0" w:color="auto"/>
            </w:tcBorders>
            <w:shd w:val="clear" w:color="000000" w:fill="D9D9D9"/>
            <w:noWrap/>
            <w:hideMark/>
          </w:tcPr>
          <w:p w:rsidR="008835EB" w:rsidRDefault="008835EB" w:rsidP="007E3F2E">
            <w:pPr>
              <w:rPr>
                <w:rFonts w:ascii="Arial" w:hAnsi="Arial" w:cs="Arial"/>
                <w:sz w:val="16"/>
                <w:szCs w:val="16"/>
              </w:rPr>
            </w:pPr>
            <w:r>
              <w:rPr>
                <w:rFonts w:ascii="Arial" w:hAnsi="Arial" w:cs="Arial"/>
                <w:sz w:val="16"/>
                <w:szCs w:val="16"/>
              </w:rPr>
              <w:t> </w:t>
            </w:r>
          </w:p>
        </w:tc>
        <w:tc>
          <w:tcPr>
            <w:tcW w:w="1086" w:type="dxa"/>
            <w:tcBorders>
              <w:top w:val="nil"/>
              <w:left w:val="nil"/>
              <w:bottom w:val="nil"/>
              <w:right w:val="single" w:sz="4" w:space="0" w:color="auto"/>
            </w:tcBorders>
            <w:shd w:val="clear" w:color="000000" w:fill="D9D9D9"/>
            <w:noWrap/>
            <w:hideMark/>
          </w:tcPr>
          <w:p w:rsidR="008835EB" w:rsidRDefault="008835EB" w:rsidP="007E3F2E">
            <w:pPr>
              <w:rPr>
                <w:rFonts w:ascii="Arial" w:hAnsi="Arial" w:cs="Arial"/>
                <w:sz w:val="16"/>
                <w:szCs w:val="16"/>
              </w:rPr>
            </w:pPr>
            <w:r>
              <w:rPr>
                <w:rFonts w:ascii="Arial" w:hAnsi="Arial" w:cs="Arial"/>
                <w:sz w:val="16"/>
                <w:szCs w:val="16"/>
              </w:rPr>
              <w:t> </w:t>
            </w:r>
          </w:p>
        </w:tc>
        <w:tc>
          <w:tcPr>
            <w:tcW w:w="1091" w:type="dxa"/>
            <w:tcBorders>
              <w:top w:val="nil"/>
              <w:left w:val="nil"/>
              <w:bottom w:val="nil"/>
              <w:right w:val="single" w:sz="4" w:space="0" w:color="auto"/>
            </w:tcBorders>
            <w:shd w:val="clear" w:color="000000" w:fill="D9D9D9"/>
            <w:noWrap/>
            <w:hideMark/>
          </w:tcPr>
          <w:p w:rsidR="008835EB" w:rsidRDefault="008835EB" w:rsidP="007E3F2E">
            <w:pPr>
              <w:rPr>
                <w:rFonts w:ascii="Arial" w:hAnsi="Arial" w:cs="Arial"/>
                <w:sz w:val="16"/>
                <w:szCs w:val="16"/>
              </w:rPr>
            </w:pPr>
            <w:r>
              <w:rPr>
                <w:rFonts w:ascii="Arial" w:hAnsi="Arial" w:cs="Arial"/>
                <w:sz w:val="16"/>
                <w:szCs w:val="16"/>
              </w:rPr>
              <w:t> </w:t>
            </w:r>
          </w:p>
        </w:tc>
        <w:tc>
          <w:tcPr>
            <w:tcW w:w="1086" w:type="dxa"/>
            <w:tcBorders>
              <w:top w:val="nil"/>
              <w:left w:val="nil"/>
              <w:bottom w:val="nil"/>
              <w:right w:val="single" w:sz="4" w:space="0" w:color="auto"/>
            </w:tcBorders>
            <w:shd w:val="clear" w:color="000000" w:fill="D9D9D9"/>
            <w:noWrap/>
            <w:hideMark/>
          </w:tcPr>
          <w:p w:rsidR="008835EB" w:rsidRDefault="008835EB" w:rsidP="007E3F2E">
            <w:pPr>
              <w:rPr>
                <w:rFonts w:ascii="Arial" w:hAnsi="Arial" w:cs="Arial"/>
                <w:sz w:val="16"/>
                <w:szCs w:val="16"/>
              </w:rPr>
            </w:pPr>
            <w:r>
              <w:rPr>
                <w:rFonts w:ascii="Arial" w:hAnsi="Arial" w:cs="Arial"/>
                <w:sz w:val="16"/>
                <w:szCs w:val="16"/>
              </w:rPr>
              <w:t> </w:t>
            </w:r>
          </w:p>
        </w:tc>
        <w:tc>
          <w:tcPr>
            <w:tcW w:w="1083" w:type="dxa"/>
            <w:tcBorders>
              <w:top w:val="nil"/>
              <w:left w:val="nil"/>
              <w:bottom w:val="nil"/>
              <w:right w:val="single" w:sz="4" w:space="0" w:color="auto"/>
            </w:tcBorders>
            <w:shd w:val="clear" w:color="000000" w:fill="D9D9D9"/>
            <w:noWrap/>
            <w:hideMark/>
          </w:tcPr>
          <w:p w:rsidR="008835EB" w:rsidRDefault="008835EB" w:rsidP="007E3F2E">
            <w:pPr>
              <w:rPr>
                <w:rFonts w:ascii="Arial" w:hAnsi="Arial" w:cs="Arial"/>
                <w:sz w:val="16"/>
                <w:szCs w:val="16"/>
              </w:rPr>
            </w:pPr>
            <w:r>
              <w:rPr>
                <w:rFonts w:ascii="Arial" w:hAnsi="Arial" w:cs="Arial"/>
                <w:sz w:val="16"/>
                <w:szCs w:val="16"/>
              </w:rPr>
              <w:t> </w:t>
            </w:r>
          </w:p>
        </w:tc>
        <w:tc>
          <w:tcPr>
            <w:tcW w:w="1085" w:type="dxa"/>
            <w:tcBorders>
              <w:top w:val="nil"/>
              <w:left w:val="nil"/>
              <w:bottom w:val="nil"/>
              <w:right w:val="single" w:sz="4" w:space="0" w:color="auto"/>
            </w:tcBorders>
            <w:shd w:val="clear" w:color="000000" w:fill="D9D9D9"/>
            <w:noWrap/>
            <w:hideMark/>
          </w:tcPr>
          <w:p w:rsidR="008835EB" w:rsidRDefault="008835EB" w:rsidP="007E3F2E">
            <w:pPr>
              <w:rPr>
                <w:rFonts w:ascii="Arial" w:hAnsi="Arial" w:cs="Arial"/>
                <w:sz w:val="16"/>
                <w:szCs w:val="16"/>
              </w:rPr>
            </w:pPr>
            <w:r>
              <w:rPr>
                <w:rFonts w:ascii="Arial" w:hAnsi="Arial" w:cs="Arial"/>
                <w:sz w:val="16"/>
                <w:szCs w:val="16"/>
              </w:rPr>
              <w:t> </w:t>
            </w:r>
          </w:p>
        </w:tc>
        <w:tc>
          <w:tcPr>
            <w:tcW w:w="1084" w:type="dxa"/>
            <w:tcBorders>
              <w:top w:val="nil"/>
              <w:left w:val="nil"/>
              <w:bottom w:val="nil"/>
              <w:right w:val="single" w:sz="4" w:space="0" w:color="auto"/>
            </w:tcBorders>
            <w:shd w:val="clear" w:color="000000" w:fill="D9D9D9"/>
            <w:noWrap/>
            <w:hideMark/>
          </w:tcPr>
          <w:p w:rsidR="008835EB" w:rsidRDefault="008835EB" w:rsidP="007E3F2E">
            <w:pPr>
              <w:rPr>
                <w:rFonts w:ascii="Arial" w:hAnsi="Arial" w:cs="Arial"/>
                <w:sz w:val="16"/>
                <w:szCs w:val="16"/>
              </w:rPr>
            </w:pPr>
            <w:r>
              <w:rPr>
                <w:rFonts w:ascii="Arial" w:hAnsi="Arial" w:cs="Arial"/>
                <w:sz w:val="16"/>
                <w:szCs w:val="16"/>
              </w:rPr>
              <w:t> </w:t>
            </w:r>
          </w:p>
        </w:tc>
        <w:tc>
          <w:tcPr>
            <w:tcW w:w="1085" w:type="dxa"/>
            <w:tcBorders>
              <w:top w:val="nil"/>
              <w:left w:val="nil"/>
              <w:bottom w:val="nil"/>
              <w:right w:val="single" w:sz="4" w:space="0" w:color="auto"/>
            </w:tcBorders>
            <w:shd w:val="clear" w:color="000000" w:fill="D9D9D9"/>
            <w:noWrap/>
            <w:hideMark/>
          </w:tcPr>
          <w:p w:rsidR="008835EB" w:rsidRDefault="008835EB" w:rsidP="007E3F2E">
            <w:pPr>
              <w:rPr>
                <w:rFonts w:ascii="Arial" w:hAnsi="Arial" w:cs="Arial"/>
                <w:sz w:val="16"/>
                <w:szCs w:val="16"/>
              </w:rPr>
            </w:pPr>
            <w:r>
              <w:rPr>
                <w:rFonts w:ascii="Arial" w:hAnsi="Arial" w:cs="Arial"/>
                <w:sz w:val="16"/>
                <w:szCs w:val="16"/>
              </w:rPr>
              <w:t> </w:t>
            </w:r>
          </w:p>
        </w:tc>
        <w:tc>
          <w:tcPr>
            <w:tcW w:w="1082" w:type="dxa"/>
            <w:tcBorders>
              <w:top w:val="nil"/>
              <w:left w:val="nil"/>
              <w:bottom w:val="nil"/>
              <w:right w:val="single" w:sz="4" w:space="0" w:color="auto"/>
            </w:tcBorders>
            <w:shd w:val="clear" w:color="000000" w:fill="D9D9D9"/>
            <w:noWrap/>
            <w:hideMark/>
          </w:tcPr>
          <w:p w:rsidR="008835EB" w:rsidRDefault="008835EB" w:rsidP="007E3F2E">
            <w:pPr>
              <w:rPr>
                <w:rFonts w:ascii="Arial" w:hAnsi="Arial" w:cs="Arial"/>
                <w:sz w:val="16"/>
                <w:szCs w:val="16"/>
              </w:rPr>
            </w:pPr>
            <w:r>
              <w:rPr>
                <w:rFonts w:ascii="Arial" w:hAnsi="Arial" w:cs="Arial"/>
                <w:sz w:val="16"/>
                <w:szCs w:val="16"/>
              </w:rPr>
              <w:t> </w:t>
            </w:r>
          </w:p>
        </w:tc>
        <w:tc>
          <w:tcPr>
            <w:tcW w:w="1081" w:type="dxa"/>
            <w:tcBorders>
              <w:top w:val="nil"/>
              <w:left w:val="nil"/>
              <w:bottom w:val="nil"/>
              <w:right w:val="single" w:sz="4" w:space="0" w:color="auto"/>
            </w:tcBorders>
            <w:shd w:val="clear" w:color="000000" w:fill="D9D9D9"/>
            <w:noWrap/>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40"/>
        </w:trPr>
        <w:tc>
          <w:tcPr>
            <w:tcW w:w="3140" w:type="dxa"/>
            <w:tcBorders>
              <w:top w:val="nil"/>
              <w:left w:val="single" w:sz="4" w:space="0" w:color="auto"/>
              <w:bottom w:val="nil"/>
              <w:right w:val="single" w:sz="4" w:space="0" w:color="auto"/>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Suppliers</w:t>
            </w:r>
          </w:p>
        </w:tc>
        <w:tc>
          <w:tcPr>
            <w:tcW w:w="1088"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983,296 </w:t>
            </w:r>
          </w:p>
        </w:tc>
        <w:tc>
          <w:tcPr>
            <w:tcW w:w="1086"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1,171,324 </w:t>
            </w:r>
          </w:p>
        </w:tc>
        <w:tc>
          <w:tcPr>
            <w:tcW w:w="1091"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20,925 </w:t>
            </w:r>
          </w:p>
        </w:tc>
        <w:tc>
          <w:tcPr>
            <w:tcW w:w="1086"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16,544 </w:t>
            </w:r>
          </w:p>
        </w:tc>
        <w:tc>
          <w:tcPr>
            <w:tcW w:w="1083"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 -</w:t>
            </w:r>
          </w:p>
        </w:tc>
        <w:tc>
          <w:tcPr>
            <w:tcW w:w="1085"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 -</w:t>
            </w:r>
          </w:p>
        </w:tc>
        <w:tc>
          <w:tcPr>
            <w:tcW w:w="1084"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 -</w:t>
            </w:r>
          </w:p>
        </w:tc>
        <w:tc>
          <w:tcPr>
            <w:tcW w:w="1085"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 -</w:t>
            </w:r>
          </w:p>
        </w:tc>
        <w:tc>
          <w:tcPr>
            <w:tcW w:w="1082" w:type="dxa"/>
            <w:tcBorders>
              <w:top w:val="nil"/>
              <w:left w:val="single" w:sz="4" w:space="0" w:color="auto"/>
              <w:bottom w:val="nil"/>
              <w:right w:val="single" w:sz="4" w:space="0" w:color="auto"/>
            </w:tcBorders>
            <w:shd w:val="clear" w:color="000000" w:fill="D9D9D9"/>
            <w:noWrap/>
            <w:vAlign w:val="center"/>
            <w:hideMark/>
          </w:tcPr>
          <w:p w:rsidR="008835EB" w:rsidRDefault="008835EB" w:rsidP="007E3F2E">
            <w:pPr>
              <w:jc w:val="right"/>
              <w:rPr>
                <w:rFonts w:cs="Calibri"/>
                <w:b/>
                <w:bCs/>
                <w:szCs w:val="18"/>
              </w:rPr>
            </w:pPr>
            <w:r>
              <w:rPr>
                <w:rFonts w:cs="Calibri"/>
                <w:b/>
                <w:bCs/>
                <w:szCs w:val="18"/>
              </w:rPr>
              <w:t>1,004,221</w:t>
            </w:r>
          </w:p>
        </w:tc>
        <w:tc>
          <w:tcPr>
            <w:tcW w:w="1081" w:type="dxa"/>
            <w:tcBorders>
              <w:top w:val="nil"/>
              <w:left w:val="nil"/>
              <w:bottom w:val="nil"/>
              <w:right w:val="single" w:sz="4" w:space="0" w:color="auto"/>
            </w:tcBorders>
            <w:shd w:val="clear" w:color="000000" w:fill="D9D9D9"/>
            <w:noWrap/>
            <w:vAlign w:val="center"/>
            <w:hideMark/>
          </w:tcPr>
          <w:p w:rsidR="008835EB" w:rsidRDefault="008835EB" w:rsidP="007E3F2E">
            <w:pPr>
              <w:jc w:val="right"/>
              <w:rPr>
                <w:rFonts w:cs="Calibri"/>
                <w:szCs w:val="18"/>
              </w:rPr>
            </w:pPr>
            <w:r>
              <w:rPr>
                <w:rFonts w:cs="Calibri"/>
                <w:szCs w:val="18"/>
              </w:rPr>
              <w:t>1,187,868</w:t>
            </w:r>
          </w:p>
        </w:tc>
      </w:tr>
      <w:tr w:rsidR="008835EB" w:rsidTr="007E3F2E">
        <w:trPr>
          <w:trHeight w:val="240"/>
        </w:trPr>
        <w:tc>
          <w:tcPr>
            <w:tcW w:w="3140" w:type="dxa"/>
            <w:tcBorders>
              <w:top w:val="nil"/>
              <w:left w:val="single" w:sz="4" w:space="0" w:color="auto"/>
              <w:bottom w:val="nil"/>
              <w:right w:val="single" w:sz="4" w:space="0" w:color="auto"/>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Subsidies</w:t>
            </w:r>
          </w:p>
        </w:tc>
        <w:tc>
          <w:tcPr>
            <w:tcW w:w="1088"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20,234 </w:t>
            </w:r>
          </w:p>
        </w:tc>
        <w:tc>
          <w:tcPr>
            <w:tcW w:w="1086"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120,839 </w:t>
            </w:r>
          </w:p>
        </w:tc>
        <w:tc>
          <w:tcPr>
            <w:tcW w:w="1091"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144,931 </w:t>
            </w:r>
          </w:p>
        </w:tc>
        <w:tc>
          <w:tcPr>
            <w:tcW w:w="1086"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160,506 </w:t>
            </w:r>
          </w:p>
        </w:tc>
        <w:tc>
          <w:tcPr>
            <w:tcW w:w="1083"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 -</w:t>
            </w:r>
          </w:p>
        </w:tc>
        <w:tc>
          <w:tcPr>
            <w:tcW w:w="1085"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 -</w:t>
            </w:r>
          </w:p>
        </w:tc>
        <w:tc>
          <w:tcPr>
            <w:tcW w:w="1084"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 -</w:t>
            </w:r>
          </w:p>
        </w:tc>
        <w:tc>
          <w:tcPr>
            <w:tcW w:w="1085"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 -</w:t>
            </w:r>
          </w:p>
        </w:tc>
        <w:tc>
          <w:tcPr>
            <w:tcW w:w="1082" w:type="dxa"/>
            <w:tcBorders>
              <w:top w:val="nil"/>
              <w:left w:val="single" w:sz="4" w:space="0" w:color="auto"/>
              <w:bottom w:val="nil"/>
              <w:right w:val="single" w:sz="4" w:space="0" w:color="auto"/>
            </w:tcBorders>
            <w:shd w:val="clear" w:color="000000" w:fill="D9D9D9"/>
            <w:noWrap/>
            <w:vAlign w:val="center"/>
            <w:hideMark/>
          </w:tcPr>
          <w:p w:rsidR="008835EB" w:rsidRDefault="008835EB" w:rsidP="007E3F2E">
            <w:pPr>
              <w:jc w:val="right"/>
              <w:rPr>
                <w:rFonts w:cs="Calibri"/>
                <w:b/>
                <w:bCs/>
                <w:szCs w:val="18"/>
              </w:rPr>
            </w:pPr>
            <w:r>
              <w:rPr>
                <w:rFonts w:cs="Calibri"/>
                <w:b/>
                <w:bCs/>
                <w:szCs w:val="18"/>
              </w:rPr>
              <w:t>165,165</w:t>
            </w:r>
          </w:p>
        </w:tc>
        <w:tc>
          <w:tcPr>
            <w:tcW w:w="1081" w:type="dxa"/>
            <w:tcBorders>
              <w:top w:val="nil"/>
              <w:left w:val="nil"/>
              <w:bottom w:val="nil"/>
              <w:right w:val="single" w:sz="4" w:space="0" w:color="auto"/>
            </w:tcBorders>
            <w:shd w:val="clear" w:color="000000" w:fill="D9D9D9"/>
            <w:noWrap/>
            <w:vAlign w:val="center"/>
            <w:hideMark/>
          </w:tcPr>
          <w:p w:rsidR="008835EB" w:rsidRDefault="008835EB" w:rsidP="007E3F2E">
            <w:pPr>
              <w:jc w:val="right"/>
              <w:rPr>
                <w:rFonts w:cs="Calibri"/>
                <w:szCs w:val="18"/>
              </w:rPr>
            </w:pPr>
            <w:r>
              <w:rPr>
                <w:rFonts w:cs="Calibri"/>
                <w:szCs w:val="18"/>
              </w:rPr>
              <w:t>281,345</w:t>
            </w:r>
          </w:p>
        </w:tc>
      </w:tr>
      <w:tr w:rsidR="008835EB" w:rsidTr="007E3F2E">
        <w:trPr>
          <w:trHeight w:val="240"/>
        </w:trPr>
        <w:tc>
          <w:tcPr>
            <w:tcW w:w="3140" w:type="dxa"/>
            <w:tcBorders>
              <w:top w:val="nil"/>
              <w:left w:val="single" w:sz="4" w:space="0" w:color="auto"/>
              <w:bottom w:val="nil"/>
              <w:right w:val="single" w:sz="4" w:space="0" w:color="auto"/>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Personal benefits</w:t>
            </w:r>
          </w:p>
        </w:tc>
        <w:tc>
          <w:tcPr>
            <w:tcW w:w="1088"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56,183 </w:t>
            </w:r>
          </w:p>
        </w:tc>
        <w:tc>
          <w:tcPr>
            <w:tcW w:w="1086"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72,530 </w:t>
            </w:r>
          </w:p>
        </w:tc>
        <w:tc>
          <w:tcPr>
            <w:tcW w:w="1091"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281,631 </w:t>
            </w:r>
          </w:p>
        </w:tc>
        <w:tc>
          <w:tcPr>
            <w:tcW w:w="1086"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312,429 </w:t>
            </w:r>
          </w:p>
        </w:tc>
        <w:tc>
          <w:tcPr>
            <w:tcW w:w="1083"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 -</w:t>
            </w:r>
          </w:p>
        </w:tc>
        <w:tc>
          <w:tcPr>
            <w:tcW w:w="1085"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 -</w:t>
            </w:r>
          </w:p>
        </w:tc>
        <w:tc>
          <w:tcPr>
            <w:tcW w:w="1084"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 -</w:t>
            </w:r>
          </w:p>
        </w:tc>
        <w:tc>
          <w:tcPr>
            <w:tcW w:w="1085"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 -</w:t>
            </w:r>
          </w:p>
        </w:tc>
        <w:tc>
          <w:tcPr>
            <w:tcW w:w="1082" w:type="dxa"/>
            <w:tcBorders>
              <w:top w:val="nil"/>
              <w:left w:val="single" w:sz="4" w:space="0" w:color="auto"/>
              <w:bottom w:val="nil"/>
              <w:right w:val="single" w:sz="4" w:space="0" w:color="auto"/>
            </w:tcBorders>
            <w:shd w:val="clear" w:color="000000" w:fill="D9D9D9"/>
            <w:noWrap/>
            <w:vAlign w:val="center"/>
            <w:hideMark/>
          </w:tcPr>
          <w:p w:rsidR="008835EB" w:rsidRDefault="008835EB" w:rsidP="007E3F2E">
            <w:pPr>
              <w:jc w:val="right"/>
              <w:rPr>
                <w:rFonts w:cs="Calibri"/>
                <w:b/>
                <w:bCs/>
                <w:szCs w:val="18"/>
              </w:rPr>
            </w:pPr>
            <w:r>
              <w:rPr>
                <w:rFonts w:cs="Calibri"/>
                <w:b/>
                <w:bCs/>
                <w:szCs w:val="18"/>
              </w:rPr>
              <w:t>337,814</w:t>
            </w:r>
          </w:p>
        </w:tc>
        <w:tc>
          <w:tcPr>
            <w:tcW w:w="1081" w:type="dxa"/>
            <w:tcBorders>
              <w:top w:val="nil"/>
              <w:left w:val="nil"/>
              <w:bottom w:val="nil"/>
              <w:right w:val="single" w:sz="4" w:space="0" w:color="auto"/>
            </w:tcBorders>
            <w:shd w:val="clear" w:color="000000" w:fill="D9D9D9"/>
            <w:noWrap/>
            <w:vAlign w:val="center"/>
            <w:hideMark/>
          </w:tcPr>
          <w:p w:rsidR="008835EB" w:rsidRDefault="008835EB" w:rsidP="007E3F2E">
            <w:pPr>
              <w:jc w:val="right"/>
              <w:rPr>
                <w:rFonts w:cs="Calibri"/>
                <w:szCs w:val="18"/>
              </w:rPr>
            </w:pPr>
            <w:r>
              <w:rPr>
                <w:rFonts w:cs="Calibri"/>
                <w:szCs w:val="18"/>
              </w:rPr>
              <w:t>384,959</w:t>
            </w:r>
          </w:p>
        </w:tc>
      </w:tr>
      <w:tr w:rsidR="008835EB" w:rsidTr="007E3F2E">
        <w:trPr>
          <w:trHeight w:val="240"/>
        </w:trPr>
        <w:tc>
          <w:tcPr>
            <w:tcW w:w="3140" w:type="dxa"/>
            <w:tcBorders>
              <w:top w:val="nil"/>
              <w:left w:val="single" w:sz="4" w:space="0" w:color="auto"/>
              <w:bottom w:val="nil"/>
              <w:right w:val="single" w:sz="4" w:space="0" w:color="auto"/>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Grants</w:t>
            </w:r>
          </w:p>
        </w:tc>
        <w:tc>
          <w:tcPr>
            <w:tcW w:w="1088"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8,929 </w:t>
            </w:r>
          </w:p>
        </w:tc>
        <w:tc>
          <w:tcPr>
            <w:tcW w:w="1086"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2,411 </w:t>
            </w:r>
          </w:p>
        </w:tc>
        <w:tc>
          <w:tcPr>
            <w:tcW w:w="1091"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81,904 </w:t>
            </w:r>
          </w:p>
        </w:tc>
        <w:tc>
          <w:tcPr>
            <w:tcW w:w="1086"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87,362 </w:t>
            </w:r>
          </w:p>
        </w:tc>
        <w:tc>
          <w:tcPr>
            <w:tcW w:w="1083"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 -</w:t>
            </w:r>
          </w:p>
        </w:tc>
        <w:tc>
          <w:tcPr>
            <w:tcW w:w="1085"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 -</w:t>
            </w:r>
          </w:p>
        </w:tc>
        <w:tc>
          <w:tcPr>
            <w:tcW w:w="1084"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 -</w:t>
            </w:r>
          </w:p>
        </w:tc>
        <w:tc>
          <w:tcPr>
            <w:tcW w:w="1085"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 -</w:t>
            </w:r>
          </w:p>
        </w:tc>
        <w:tc>
          <w:tcPr>
            <w:tcW w:w="1082" w:type="dxa"/>
            <w:tcBorders>
              <w:top w:val="nil"/>
              <w:left w:val="single" w:sz="4" w:space="0" w:color="auto"/>
              <w:bottom w:val="nil"/>
              <w:right w:val="single" w:sz="4" w:space="0" w:color="auto"/>
            </w:tcBorders>
            <w:shd w:val="clear" w:color="000000" w:fill="D9D9D9"/>
            <w:noWrap/>
            <w:vAlign w:val="center"/>
            <w:hideMark/>
          </w:tcPr>
          <w:p w:rsidR="008835EB" w:rsidRDefault="008835EB" w:rsidP="007E3F2E">
            <w:pPr>
              <w:jc w:val="right"/>
              <w:rPr>
                <w:rFonts w:cs="Calibri"/>
                <w:b/>
                <w:bCs/>
                <w:szCs w:val="18"/>
              </w:rPr>
            </w:pPr>
            <w:r>
              <w:rPr>
                <w:rFonts w:cs="Calibri"/>
                <w:b/>
                <w:bCs/>
                <w:szCs w:val="18"/>
              </w:rPr>
              <w:t>90,833</w:t>
            </w:r>
          </w:p>
        </w:tc>
        <w:tc>
          <w:tcPr>
            <w:tcW w:w="1081" w:type="dxa"/>
            <w:tcBorders>
              <w:top w:val="nil"/>
              <w:left w:val="nil"/>
              <w:bottom w:val="nil"/>
              <w:right w:val="single" w:sz="4" w:space="0" w:color="auto"/>
            </w:tcBorders>
            <w:shd w:val="clear" w:color="000000" w:fill="D9D9D9"/>
            <w:noWrap/>
            <w:vAlign w:val="center"/>
            <w:hideMark/>
          </w:tcPr>
          <w:p w:rsidR="008835EB" w:rsidRDefault="008835EB" w:rsidP="007E3F2E">
            <w:pPr>
              <w:jc w:val="right"/>
              <w:rPr>
                <w:rFonts w:cs="Calibri"/>
                <w:szCs w:val="18"/>
              </w:rPr>
            </w:pPr>
            <w:r>
              <w:rPr>
                <w:rFonts w:cs="Calibri"/>
                <w:szCs w:val="18"/>
              </w:rPr>
              <w:t>89,773</w:t>
            </w:r>
          </w:p>
        </w:tc>
      </w:tr>
      <w:tr w:rsidR="008835EB" w:rsidTr="007E3F2E">
        <w:trPr>
          <w:trHeight w:val="240"/>
        </w:trPr>
        <w:tc>
          <w:tcPr>
            <w:tcW w:w="3140" w:type="dxa"/>
            <w:tcBorders>
              <w:top w:val="nil"/>
              <w:left w:val="single" w:sz="4" w:space="0" w:color="auto"/>
              <w:bottom w:val="single" w:sz="4" w:space="0" w:color="auto"/>
              <w:right w:val="single" w:sz="4" w:space="0" w:color="auto"/>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Other</w:t>
            </w:r>
          </w:p>
        </w:tc>
        <w:tc>
          <w:tcPr>
            <w:tcW w:w="1088"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2,230 </w:t>
            </w:r>
          </w:p>
        </w:tc>
        <w:tc>
          <w:tcPr>
            <w:tcW w:w="1086"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145 </w:t>
            </w:r>
          </w:p>
        </w:tc>
        <w:tc>
          <w:tcPr>
            <w:tcW w:w="1091"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63 </w:t>
            </w:r>
          </w:p>
        </w:tc>
        <w:tc>
          <w:tcPr>
            <w:tcW w:w="1086"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10 </w:t>
            </w:r>
          </w:p>
        </w:tc>
        <w:tc>
          <w:tcPr>
            <w:tcW w:w="1083"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7,727 </w:t>
            </w:r>
          </w:p>
        </w:tc>
        <w:tc>
          <w:tcPr>
            <w:tcW w:w="1085"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7,563 </w:t>
            </w:r>
          </w:p>
        </w:tc>
        <w:tc>
          <w:tcPr>
            <w:tcW w:w="1084"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 -</w:t>
            </w:r>
          </w:p>
        </w:tc>
        <w:tc>
          <w:tcPr>
            <w:tcW w:w="1085"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 -</w:t>
            </w:r>
          </w:p>
        </w:tc>
        <w:tc>
          <w:tcPr>
            <w:tcW w:w="1082" w:type="dxa"/>
            <w:tcBorders>
              <w:top w:val="nil"/>
              <w:left w:val="single" w:sz="4" w:space="0" w:color="auto"/>
              <w:bottom w:val="nil"/>
              <w:right w:val="single" w:sz="4" w:space="0" w:color="auto"/>
            </w:tcBorders>
            <w:shd w:val="clear" w:color="000000" w:fill="D9D9D9"/>
            <w:noWrap/>
            <w:vAlign w:val="center"/>
            <w:hideMark/>
          </w:tcPr>
          <w:p w:rsidR="008835EB" w:rsidRDefault="008835EB" w:rsidP="007E3F2E">
            <w:pPr>
              <w:jc w:val="right"/>
              <w:rPr>
                <w:rFonts w:cs="Calibri"/>
                <w:b/>
                <w:bCs/>
                <w:szCs w:val="18"/>
              </w:rPr>
            </w:pPr>
            <w:r>
              <w:rPr>
                <w:rFonts w:cs="Calibri"/>
                <w:b/>
                <w:bCs/>
                <w:szCs w:val="18"/>
              </w:rPr>
              <w:t>10,020</w:t>
            </w:r>
          </w:p>
        </w:tc>
        <w:tc>
          <w:tcPr>
            <w:tcW w:w="1081" w:type="dxa"/>
            <w:tcBorders>
              <w:top w:val="nil"/>
              <w:left w:val="nil"/>
              <w:bottom w:val="nil"/>
              <w:right w:val="single" w:sz="4" w:space="0" w:color="auto"/>
            </w:tcBorders>
            <w:shd w:val="clear" w:color="000000" w:fill="D9D9D9"/>
            <w:noWrap/>
            <w:vAlign w:val="center"/>
            <w:hideMark/>
          </w:tcPr>
          <w:p w:rsidR="008835EB" w:rsidRDefault="008835EB" w:rsidP="007E3F2E">
            <w:pPr>
              <w:jc w:val="right"/>
              <w:rPr>
                <w:rFonts w:cs="Calibri"/>
                <w:szCs w:val="18"/>
              </w:rPr>
            </w:pPr>
            <w:r>
              <w:rPr>
                <w:rFonts w:cs="Calibri"/>
                <w:szCs w:val="18"/>
              </w:rPr>
              <w:t>7,718</w:t>
            </w:r>
          </w:p>
        </w:tc>
      </w:tr>
      <w:tr w:rsidR="008835EB" w:rsidTr="007E3F2E">
        <w:trPr>
          <w:trHeight w:val="240"/>
        </w:trPr>
        <w:tc>
          <w:tcPr>
            <w:tcW w:w="3140" w:type="dxa"/>
            <w:tcBorders>
              <w:top w:val="nil"/>
              <w:left w:val="single" w:sz="4" w:space="0" w:color="auto"/>
              <w:bottom w:val="single" w:sz="4" w:space="0" w:color="auto"/>
              <w:right w:val="single" w:sz="4" w:space="0" w:color="auto"/>
            </w:tcBorders>
            <w:shd w:val="clear" w:color="000000" w:fill="D9D9D9"/>
            <w:hideMark/>
          </w:tcPr>
          <w:p w:rsidR="008835EB" w:rsidRDefault="008835EB" w:rsidP="007E3F2E">
            <w:pPr>
              <w:rPr>
                <w:rFonts w:cs="Calibri"/>
                <w:b/>
                <w:bCs/>
                <w:i/>
                <w:iCs/>
                <w:szCs w:val="18"/>
              </w:rPr>
            </w:pPr>
            <w:r>
              <w:rPr>
                <w:rFonts w:cs="Calibri"/>
                <w:b/>
                <w:bCs/>
                <w:i/>
                <w:iCs/>
                <w:szCs w:val="18"/>
              </w:rPr>
              <w:t>Total expenses</w:t>
            </w:r>
          </w:p>
        </w:tc>
        <w:tc>
          <w:tcPr>
            <w:tcW w:w="1088" w:type="dxa"/>
            <w:tcBorders>
              <w:top w:val="single" w:sz="4" w:space="0" w:color="auto"/>
              <w:left w:val="nil"/>
              <w:bottom w:val="single" w:sz="4" w:space="0" w:color="auto"/>
              <w:right w:val="single" w:sz="4" w:space="0" w:color="auto"/>
            </w:tcBorders>
            <w:shd w:val="clear" w:color="000000" w:fill="D9D9D9"/>
            <w:noWrap/>
            <w:vAlign w:val="center"/>
            <w:hideMark/>
          </w:tcPr>
          <w:p w:rsidR="008835EB" w:rsidRDefault="008835EB" w:rsidP="007E3F2E">
            <w:pPr>
              <w:jc w:val="right"/>
              <w:rPr>
                <w:rFonts w:cs="Calibri"/>
                <w:b/>
                <w:bCs/>
                <w:szCs w:val="18"/>
              </w:rPr>
            </w:pPr>
            <w:r>
              <w:rPr>
                <w:rFonts w:cs="Calibri"/>
                <w:b/>
                <w:bCs/>
                <w:szCs w:val="18"/>
              </w:rPr>
              <w:t>1,070,872</w:t>
            </w:r>
          </w:p>
        </w:tc>
        <w:tc>
          <w:tcPr>
            <w:tcW w:w="1086" w:type="dxa"/>
            <w:tcBorders>
              <w:top w:val="single" w:sz="4" w:space="0" w:color="auto"/>
              <w:left w:val="nil"/>
              <w:bottom w:val="single" w:sz="4" w:space="0" w:color="auto"/>
              <w:right w:val="nil"/>
            </w:tcBorders>
            <w:shd w:val="clear" w:color="000000" w:fill="D9D9D9"/>
            <w:noWrap/>
            <w:vAlign w:val="center"/>
            <w:hideMark/>
          </w:tcPr>
          <w:p w:rsidR="008835EB" w:rsidRDefault="008835EB" w:rsidP="007E3F2E">
            <w:pPr>
              <w:jc w:val="right"/>
              <w:rPr>
                <w:rFonts w:cs="Calibri"/>
                <w:szCs w:val="18"/>
              </w:rPr>
            </w:pPr>
            <w:r>
              <w:rPr>
                <w:rFonts w:cs="Calibri"/>
                <w:szCs w:val="18"/>
              </w:rPr>
              <w:t>1,367,249</w:t>
            </w:r>
          </w:p>
        </w:tc>
        <w:tc>
          <w:tcPr>
            <w:tcW w:w="109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835EB" w:rsidRDefault="008835EB" w:rsidP="007E3F2E">
            <w:pPr>
              <w:jc w:val="right"/>
              <w:rPr>
                <w:rFonts w:cs="Calibri"/>
                <w:b/>
                <w:bCs/>
                <w:szCs w:val="18"/>
              </w:rPr>
            </w:pPr>
            <w:r>
              <w:rPr>
                <w:rFonts w:cs="Calibri"/>
                <w:b/>
                <w:bCs/>
                <w:szCs w:val="18"/>
              </w:rPr>
              <w:t>529,454</w:t>
            </w:r>
          </w:p>
        </w:tc>
        <w:tc>
          <w:tcPr>
            <w:tcW w:w="1086" w:type="dxa"/>
            <w:tcBorders>
              <w:top w:val="single" w:sz="4" w:space="0" w:color="auto"/>
              <w:left w:val="nil"/>
              <w:bottom w:val="single" w:sz="4" w:space="0" w:color="auto"/>
              <w:right w:val="single" w:sz="4" w:space="0" w:color="auto"/>
            </w:tcBorders>
            <w:shd w:val="clear" w:color="000000" w:fill="D9D9D9"/>
            <w:noWrap/>
            <w:vAlign w:val="center"/>
            <w:hideMark/>
          </w:tcPr>
          <w:p w:rsidR="008835EB" w:rsidRDefault="008835EB" w:rsidP="007E3F2E">
            <w:pPr>
              <w:jc w:val="right"/>
              <w:rPr>
                <w:rFonts w:cs="Calibri"/>
                <w:szCs w:val="18"/>
              </w:rPr>
            </w:pPr>
            <w:r>
              <w:rPr>
                <w:rFonts w:cs="Calibri"/>
                <w:szCs w:val="18"/>
              </w:rPr>
              <w:t>576,851</w:t>
            </w:r>
          </w:p>
        </w:tc>
        <w:tc>
          <w:tcPr>
            <w:tcW w:w="1083" w:type="dxa"/>
            <w:tcBorders>
              <w:top w:val="single" w:sz="4" w:space="0" w:color="auto"/>
              <w:left w:val="nil"/>
              <w:bottom w:val="single" w:sz="4" w:space="0" w:color="auto"/>
              <w:right w:val="single" w:sz="4" w:space="0" w:color="auto"/>
            </w:tcBorders>
            <w:shd w:val="clear" w:color="000000" w:fill="D9D9D9"/>
            <w:noWrap/>
            <w:vAlign w:val="center"/>
            <w:hideMark/>
          </w:tcPr>
          <w:p w:rsidR="008835EB" w:rsidRDefault="008835EB" w:rsidP="007E3F2E">
            <w:pPr>
              <w:jc w:val="right"/>
              <w:rPr>
                <w:rFonts w:cs="Calibri"/>
                <w:b/>
                <w:bCs/>
                <w:szCs w:val="18"/>
              </w:rPr>
            </w:pPr>
            <w:r>
              <w:rPr>
                <w:rFonts w:cs="Calibri"/>
                <w:b/>
                <w:bCs/>
                <w:szCs w:val="18"/>
              </w:rPr>
              <w:t>7,727</w:t>
            </w:r>
          </w:p>
        </w:tc>
        <w:tc>
          <w:tcPr>
            <w:tcW w:w="1085" w:type="dxa"/>
            <w:tcBorders>
              <w:top w:val="single" w:sz="4" w:space="0" w:color="auto"/>
              <w:left w:val="nil"/>
              <w:bottom w:val="single" w:sz="4" w:space="0" w:color="auto"/>
              <w:right w:val="single" w:sz="4" w:space="0" w:color="auto"/>
            </w:tcBorders>
            <w:shd w:val="clear" w:color="000000" w:fill="D9D9D9"/>
            <w:noWrap/>
            <w:vAlign w:val="center"/>
            <w:hideMark/>
          </w:tcPr>
          <w:p w:rsidR="008835EB" w:rsidRDefault="008835EB" w:rsidP="007E3F2E">
            <w:pPr>
              <w:jc w:val="right"/>
              <w:rPr>
                <w:rFonts w:cs="Calibri"/>
                <w:szCs w:val="18"/>
              </w:rPr>
            </w:pPr>
            <w:r>
              <w:rPr>
                <w:rFonts w:cs="Calibri"/>
                <w:szCs w:val="18"/>
              </w:rPr>
              <w:t>7,563</w:t>
            </w:r>
          </w:p>
        </w:tc>
        <w:tc>
          <w:tcPr>
            <w:tcW w:w="1084" w:type="dxa"/>
            <w:tcBorders>
              <w:top w:val="single" w:sz="4" w:space="0" w:color="auto"/>
              <w:left w:val="nil"/>
              <w:bottom w:val="single" w:sz="4" w:space="0" w:color="auto"/>
              <w:right w:val="single" w:sz="4" w:space="0" w:color="auto"/>
            </w:tcBorders>
            <w:shd w:val="clear" w:color="000000" w:fill="D9D9D9"/>
            <w:noWrap/>
            <w:vAlign w:val="center"/>
            <w:hideMark/>
          </w:tcPr>
          <w:p w:rsidR="008835EB" w:rsidRDefault="008835EB" w:rsidP="007E3F2E">
            <w:pPr>
              <w:jc w:val="right"/>
              <w:rPr>
                <w:rFonts w:cs="Calibri"/>
                <w:b/>
                <w:bCs/>
                <w:szCs w:val="18"/>
              </w:rPr>
            </w:pPr>
            <w:r>
              <w:rPr>
                <w:rFonts w:cs="Calibri"/>
                <w:b/>
                <w:bCs/>
                <w:szCs w:val="18"/>
              </w:rPr>
              <w:t>-</w:t>
            </w:r>
          </w:p>
        </w:tc>
        <w:tc>
          <w:tcPr>
            <w:tcW w:w="1085" w:type="dxa"/>
            <w:tcBorders>
              <w:top w:val="single" w:sz="4" w:space="0" w:color="auto"/>
              <w:left w:val="nil"/>
              <w:bottom w:val="single" w:sz="4" w:space="0" w:color="auto"/>
              <w:right w:val="single" w:sz="4" w:space="0" w:color="auto"/>
            </w:tcBorders>
            <w:shd w:val="clear" w:color="000000" w:fill="D9D9D9"/>
            <w:noWrap/>
            <w:vAlign w:val="center"/>
            <w:hideMark/>
          </w:tcPr>
          <w:p w:rsidR="008835EB" w:rsidRDefault="008835EB" w:rsidP="007E3F2E">
            <w:pPr>
              <w:jc w:val="right"/>
              <w:rPr>
                <w:rFonts w:cs="Calibri"/>
                <w:szCs w:val="18"/>
              </w:rPr>
            </w:pPr>
            <w:r>
              <w:rPr>
                <w:rFonts w:cs="Calibri"/>
                <w:szCs w:val="18"/>
              </w:rPr>
              <w:t>-</w:t>
            </w:r>
          </w:p>
        </w:tc>
        <w:tc>
          <w:tcPr>
            <w:tcW w:w="1082" w:type="dxa"/>
            <w:tcBorders>
              <w:top w:val="single" w:sz="4" w:space="0" w:color="auto"/>
              <w:left w:val="nil"/>
              <w:bottom w:val="single" w:sz="4" w:space="0" w:color="auto"/>
              <w:right w:val="nil"/>
            </w:tcBorders>
            <w:shd w:val="clear" w:color="000000" w:fill="D9D9D9"/>
            <w:noWrap/>
            <w:vAlign w:val="center"/>
            <w:hideMark/>
          </w:tcPr>
          <w:p w:rsidR="008835EB" w:rsidRDefault="008835EB" w:rsidP="007E3F2E">
            <w:pPr>
              <w:jc w:val="right"/>
              <w:rPr>
                <w:rFonts w:cs="Calibri"/>
                <w:b/>
                <w:bCs/>
                <w:szCs w:val="18"/>
              </w:rPr>
            </w:pPr>
            <w:r>
              <w:rPr>
                <w:rFonts w:cs="Calibri"/>
                <w:b/>
                <w:bCs/>
                <w:szCs w:val="18"/>
              </w:rPr>
              <w:t>1,608,053</w:t>
            </w:r>
          </w:p>
        </w:tc>
        <w:tc>
          <w:tcPr>
            <w:tcW w:w="108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835EB" w:rsidRDefault="008835EB" w:rsidP="007E3F2E">
            <w:pPr>
              <w:jc w:val="right"/>
              <w:rPr>
                <w:rFonts w:cs="Calibri"/>
                <w:szCs w:val="18"/>
              </w:rPr>
            </w:pPr>
            <w:r>
              <w:rPr>
                <w:rFonts w:cs="Calibri"/>
                <w:szCs w:val="18"/>
              </w:rPr>
              <w:t>1,951,663</w:t>
            </w:r>
          </w:p>
        </w:tc>
      </w:tr>
      <w:tr w:rsidR="008835EB" w:rsidTr="007E3F2E">
        <w:trPr>
          <w:trHeight w:val="240"/>
        </w:trPr>
        <w:tc>
          <w:tcPr>
            <w:tcW w:w="3140" w:type="dxa"/>
            <w:tcBorders>
              <w:top w:val="nil"/>
              <w:left w:val="single" w:sz="4" w:space="0" w:color="auto"/>
              <w:bottom w:val="nil"/>
              <w:right w:val="single" w:sz="4" w:space="0" w:color="auto"/>
            </w:tcBorders>
            <w:shd w:val="clear" w:color="000000" w:fill="D9D9D9"/>
            <w:hideMark/>
          </w:tcPr>
          <w:p w:rsidR="008835EB" w:rsidRDefault="008835EB" w:rsidP="007E3F2E">
            <w:pPr>
              <w:rPr>
                <w:rFonts w:cs="Calibri"/>
                <w:b/>
                <w:bCs/>
                <w:szCs w:val="18"/>
              </w:rPr>
            </w:pPr>
            <w:r>
              <w:rPr>
                <w:rFonts w:cs="Calibri"/>
                <w:b/>
                <w:bCs/>
                <w:szCs w:val="18"/>
              </w:rPr>
              <w:t>Income</w:t>
            </w:r>
          </w:p>
        </w:tc>
        <w:tc>
          <w:tcPr>
            <w:tcW w:w="1088" w:type="dxa"/>
            <w:tcBorders>
              <w:top w:val="nil"/>
              <w:left w:val="nil"/>
              <w:bottom w:val="nil"/>
              <w:right w:val="single" w:sz="4" w:space="0" w:color="auto"/>
            </w:tcBorders>
            <w:shd w:val="clear" w:color="000000" w:fill="D9D9D9"/>
            <w:noWrap/>
            <w:vAlign w:val="center"/>
            <w:hideMark/>
          </w:tcPr>
          <w:p w:rsidR="008835EB" w:rsidRDefault="008835EB" w:rsidP="007E3F2E">
            <w:pPr>
              <w:rPr>
                <w:rFonts w:ascii="Arial" w:hAnsi="Arial" w:cs="Arial"/>
                <w:sz w:val="16"/>
                <w:szCs w:val="16"/>
              </w:rPr>
            </w:pPr>
            <w:r>
              <w:rPr>
                <w:rFonts w:ascii="Arial" w:hAnsi="Arial" w:cs="Arial"/>
                <w:sz w:val="16"/>
                <w:szCs w:val="16"/>
              </w:rPr>
              <w:t> </w:t>
            </w:r>
          </w:p>
        </w:tc>
        <w:tc>
          <w:tcPr>
            <w:tcW w:w="1086" w:type="dxa"/>
            <w:tcBorders>
              <w:top w:val="nil"/>
              <w:left w:val="nil"/>
              <w:bottom w:val="nil"/>
              <w:right w:val="single" w:sz="4" w:space="0" w:color="auto"/>
            </w:tcBorders>
            <w:shd w:val="clear" w:color="000000" w:fill="D9D9D9"/>
            <w:noWrap/>
            <w:vAlign w:val="center"/>
            <w:hideMark/>
          </w:tcPr>
          <w:p w:rsidR="008835EB" w:rsidRDefault="008835EB" w:rsidP="007E3F2E">
            <w:pPr>
              <w:rPr>
                <w:rFonts w:ascii="Arial" w:hAnsi="Arial" w:cs="Arial"/>
                <w:sz w:val="16"/>
                <w:szCs w:val="16"/>
              </w:rPr>
            </w:pPr>
            <w:r>
              <w:rPr>
                <w:rFonts w:ascii="Arial" w:hAnsi="Arial" w:cs="Arial"/>
                <w:sz w:val="16"/>
                <w:szCs w:val="16"/>
              </w:rPr>
              <w:t> </w:t>
            </w:r>
          </w:p>
        </w:tc>
        <w:tc>
          <w:tcPr>
            <w:tcW w:w="1091" w:type="dxa"/>
            <w:tcBorders>
              <w:top w:val="nil"/>
              <w:left w:val="nil"/>
              <w:bottom w:val="nil"/>
              <w:right w:val="single" w:sz="4" w:space="0" w:color="auto"/>
            </w:tcBorders>
            <w:shd w:val="clear" w:color="000000" w:fill="D9D9D9"/>
            <w:noWrap/>
            <w:vAlign w:val="center"/>
            <w:hideMark/>
          </w:tcPr>
          <w:p w:rsidR="008835EB" w:rsidRDefault="008835EB" w:rsidP="007E3F2E">
            <w:pPr>
              <w:rPr>
                <w:rFonts w:ascii="Arial" w:hAnsi="Arial" w:cs="Arial"/>
                <w:sz w:val="16"/>
                <w:szCs w:val="16"/>
              </w:rPr>
            </w:pPr>
            <w:r>
              <w:rPr>
                <w:rFonts w:ascii="Arial" w:hAnsi="Arial" w:cs="Arial"/>
                <w:sz w:val="16"/>
                <w:szCs w:val="16"/>
              </w:rPr>
              <w:t> </w:t>
            </w:r>
          </w:p>
        </w:tc>
        <w:tc>
          <w:tcPr>
            <w:tcW w:w="1086" w:type="dxa"/>
            <w:tcBorders>
              <w:top w:val="nil"/>
              <w:left w:val="nil"/>
              <w:bottom w:val="nil"/>
              <w:right w:val="single" w:sz="4" w:space="0" w:color="auto"/>
            </w:tcBorders>
            <w:shd w:val="clear" w:color="000000" w:fill="D9D9D9"/>
            <w:noWrap/>
            <w:vAlign w:val="center"/>
            <w:hideMark/>
          </w:tcPr>
          <w:p w:rsidR="008835EB" w:rsidRDefault="008835EB" w:rsidP="007E3F2E">
            <w:pPr>
              <w:rPr>
                <w:rFonts w:ascii="Arial" w:hAnsi="Arial" w:cs="Arial"/>
                <w:sz w:val="16"/>
                <w:szCs w:val="16"/>
              </w:rPr>
            </w:pPr>
            <w:r>
              <w:rPr>
                <w:rFonts w:ascii="Arial" w:hAnsi="Arial" w:cs="Arial"/>
                <w:sz w:val="16"/>
                <w:szCs w:val="16"/>
              </w:rPr>
              <w:t> </w:t>
            </w:r>
          </w:p>
        </w:tc>
        <w:tc>
          <w:tcPr>
            <w:tcW w:w="1083" w:type="dxa"/>
            <w:tcBorders>
              <w:top w:val="nil"/>
              <w:left w:val="nil"/>
              <w:bottom w:val="nil"/>
              <w:right w:val="single" w:sz="4" w:space="0" w:color="auto"/>
            </w:tcBorders>
            <w:shd w:val="clear" w:color="000000" w:fill="D9D9D9"/>
            <w:noWrap/>
            <w:vAlign w:val="center"/>
            <w:hideMark/>
          </w:tcPr>
          <w:p w:rsidR="008835EB" w:rsidRDefault="008835EB" w:rsidP="007E3F2E">
            <w:pPr>
              <w:rPr>
                <w:rFonts w:ascii="Arial" w:hAnsi="Arial" w:cs="Arial"/>
                <w:sz w:val="16"/>
                <w:szCs w:val="16"/>
              </w:rPr>
            </w:pPr>
            <w:r>
              <w:rPr>
                <w:rFonts w:ascii="Arial" w:hAnsi="Arial" w:cs="Arial"/>
                <w:sz w:val="16"/>
                <w:szCs w:val="16"/>
              </w:rPr>
              <w:t> </w:t>
            </w:r>
          </w:p>
        </w:tc>
        <w:tc>
          <w:tcPr>
            <w:tcW w:w="1085" w:type="dxa"/>
            <w:tcBorders>
              <w:top w:val="nil"/>
              <w:left w:val="nil"/>
              <w:bottom w:val="nil"/>
              <w:right w:val="single" w:sz="4" w:space="0" w:color="auto"/>
            </w:tcBorders>
            <w:shd w:val="clear" w:color="000000" w:fill="D9D9D9"/>
            <w:noWrap/>
            <w:vAlign w:val="center"/>
            <w:hideMark/>
          </w:tcPr>
          <w:p w:rsidR="008835EB" w:rsidRDefault="008835EB" w:rsidP="007E3F2E">
            <w:pPr>
              <w:rPr>
                <w:rFonts w:ascii="Arial" w:hAnsi="Arial" w:cs="Arial"/>
                <w:sz w:val="16"/>
                <w:szCs w:val="16"/>
              </w:rPr>
            </w:pPr>
            <w:r>
              <w:rPr>
                <w:rFonts w:ascii="Arial" w:hAnsi="Arial" w:cs="Arial"/>
                <w:sz w:val="16"/>
                <w:szCs w:val="16"/>
              </w:rPr>
              <w:t> </w:t>
            </w:r>
          </w:p>
        </w:tc>
        <w:tc>
          <w:tcPr>
            <w:tcW w:w="1084" w:type="dxa"/>
            <w:tcBorders>
              <w:top w:val="nil"/>
              <w:left w:val="nil"/>
              <w:bottom w:val="nil"/>
              <w:right w:val="single" w:sz="4" w:space="0" w:color="auto"/>
            </w:tcBorders>
            <w:shd w:val="clear" w:color="000000" w:fill="D9D9D9"/>
            <w:noWrap/>
            <w:vAlign w:val="center"/>
            <w:hideMark/>
          </w:tcPr>
          <w:p w:rsidR="008835EB" w:rsidRDefault="008835EB" w:rsidP="007E3F2E">
            <w:pPr>
              <w:rPr>
                <w:rFonts w:ascii="Arial" w:hAnsi="Arial" w:cs="Arial"/>
                <w:sz w:val="16"/>
                <w:szCs w:val="16"/>
              </w:rPr>
            </w:pPr>
            <w:r>
              <w:rPr>
                <w:rFonts w:ascii="Arial" w:hAnsi="Arial" w:cs="Arial"/>
                <w:sz w:val="16"/>
                <w:szCs w:val="16"/>
              </w:rPr>
              <w:t> </w:t>
            </w:r>
          </w:p>
        </w:tc>
        <w:tc>
          <w:tcPr>
            <w:tcW w:w="1085" w:type="dxa"/>
            <w:tcBorders>
              <w:top w:val="nil"/>
              <w:left w:val="nil"/>
              <w:bottom w:val="nil"/>
              <w:right w:val="single" w:sz="4" w:space="0" w:color="auto"/>
            </w:tcBorders>
            <w:shd w:val="clear" w:color="000000" w:fill="D9D9D9"/>
            <w:noWrap/>
            <w:vAlign w:val="center"/>
            <w:hideMark/>
          </w:tcPr>
          <w:p w:rsidR="008835EB" w:rsidRDefault="008835EB" w:rsidP="007E3F2E">
            <w:pPr>
              <w:rPr>
                <w:rFonts w:ascii="Arial" w:hAnsi="Arial" w:cs="Arial"/>
                <w:sz w:val="16"/>
                <w:szCs w:val="16"/>
              </w:rPr>
            </w:pPr>
            <w:r>
              <w:rPr>
                <w:rFonts w:ascii="Arial" w:hAnsi="Arial" w:cs="Arial"/>
                <w:sz w:val="16"/>
                <w:szCs w:val="16"/>
              </w:rPr>
              <w:t> </w:t>
            </w:r>
          </w:p>
        </w:tc>
        <w:tc>
          <w:tcPr>
            <w:tcW w:w="1082" w:type="dxa"/>
            <w:tcBorders>
              <w:top w:val="nil"/>
              <w:left w:val="nil"/>
              <w:bottom w:val="nil"/>
              <w:right w:val="single" w:sz="4" w:space="0" w:color="auto"/>
            </w:tcBorders>
            <w:shd w:val="clear" w:color="000000" w:fill="D9D9D9"/>
            <w:noWrap/>
            <w:vAlign w:val="center"/>
            <w:hideMark/>
          </w:tcPr>
          <w:p w:rsidR="008835EB" w:rsidRDefault="008835EB" w:rsidP="007E3F2E">
            <w:pPr>
              <w:rPr>
                <w:rFonts w:ascii="Arial" w:hAnsi="Arial" w:cs="Arial"/>
                <w:b/>
                <w:bCs/>
                <w:sz w:val="16"/>
                <w:szCs w:val="16"/>
              </w:rPr>
            </w:pPr>
            <w:r>
              <w:rPr>
                <w:rFonts w:ascii="Arial" w:hAnsi="Arial" w:cs="Arial"/>
                <w:b/>
                <w:bCs/>
                <w:sz w:val="16"/>
                <w:szCs w:val="16"/>
              </w:rPr>
              <w:t> </w:t>
            </w:r>
          </w:p>
        </w:tc>
        <w:tc>
          <w:tcPr>
            <w:tcW w:w="1081" w:type="dxa"/>
            <w:tcBorders>
              <w:top w:val="nil"/>
              <w:left w:val="nil"/>
              <w:bottom w:val="nil"/>
              <w:right w:val="single" w:sz="4" w:space="0" w:color="auto"/>
            </w:tcBorders>
            <w:shd w:val="clear" w:color="000000" w:fill="D9D9D9"/>
            <w:noWrap/>
            <w:vAlign w:val="center"/>
            <w:hideMark/>
          </w:tcPr>
          <w:p w:rsidR="008835EB" w:rsidRDefault="008835EB" w:rsidP="007E3F2E">
            <w:pPr>
              <w:rPr>
                <w:rFonts w:ascii="Arial" w:hAnsi="Arial" w:cs="Arial"/>
                <w:sz w:val="16"/>
                <w:szCs w:val="16"/>
              </w:rPr>
            </w:pPr>
            <w:r>
              <w:rPr>
                <w:rFonts w:ascii="Arial" w:hAnsi="Arial" w:cs="Arial"/>
                <w:sz w:val="16"/>
                <w:szCs w:val="16"/>
              </w:rPr>
              <w:t> </w:t>
            </w:r>
          </w:p>
        </w:tc>
      </w:tr>
      <w:tr w:rsidR="008835EB" w:rsidTr="007E3F2E">
        <w:trPr>
          <w:trHeight w:val="240"/>
        </w:trPr>
        <w:tc>
          <w:tcPr>
            <w:tcW w:w="3140" w:type="dxa"/>
            <w:tcBorders>
              <w:top w:val="nil"/>
              <w:left w:val="single" w:sz="4" w:space="0" w:color="auto"/>
              <w:bottom w:val="nil"/>
              <w:right w:val="single" w:sz="4" w:space="0" w:color="auto"/>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Taxation</w:t>
            </w:r>
          </w:p>
        </w:tc>
        <w:tc>
          <w:tcPr>
            <w:tcW w:w="1088"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 -</w:t>
            </w:r>
          </w:p>
        </w:tc>
        <w:tc>
          <w:tcPr>
            <w:tcW w:w="1086"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 -</w:t>
            </w:r>
          </w:p>
        </w:tc>
        <w:tc>
          <w:tcPr>
            <w:tcW w:w="1091"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144,931 </w:t>
            </w:r>
          </w:p>
        </w:tc>
        <w:tc>
          <w:tcPr>
            <w:tcW w:w="1086"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159,401 </w:t>
            </w:r>
          </w:p>
        </w:tc>
        <w:tc>
          <w:tcPr>
            <w:tcW w:w="1083"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 -</w:t>
            </w:r>
          </w:p>
        </w:tc>
        <w:tc>
          <w:tcPr>
            <w:tcW w:w="1085"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 -</w:t>
            </w:r>
          </w:p>
        </w:tc>
        <w:tc>
          <w:tcPr>
            <w:tcW w:w="1084"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 -</w:t>
            </w:r>
          </w:p>
        </w:tc>
        <w:tc>
          <w:tcPr>
            <w:tcW w:w="1085"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 -</w:t>
            </w:r>
          </w:p>
        </w:tc>
        <w:tc>
          <w:tcPr>
            <w:tcW w:w="1082" w:type="dxa"/>
            <w:tcBorders>
              <w:top w:val="nil"/>
              <w:left w:val="single" w:sz="4" w:space="0" w:color="auto"/>
              <w:bottom w:val="nil"/>
              <w:right w:val="single" w:sz="4" w:space="0" w:color="auto"/>
            </w:tcBorders>
            <w:shd w:val="clear" w:color="000000" w:fill="D9D9D9"/>
            <w:noWrap/>
            <w:vAlign w:val="center"/>
            <w:hideMark/>
          </w:tcPr>
          <w:p w:rsidR="008835EB" w:rsidRDefault="008835EB" w:rsidP="007E3F2E">
            <w:pPr>
              <w:jc w:val="right"/>
              <w:rPr>
                <w:rFonts w:cs="Calibri"/>
                <w:b/>
                <w:bCs/>
                <w:szCs w:val="18"/>
              </w:rPr>
            </w:pPr>
            <w:r>
              <w:rPr>
                <w:rFonts w:cs="Calibri"/>
                <w:b/>
                <w:bCs/>
                <w:szCs w:val="18"/>
              </w:rPr>
              <w:t>144,931</w:t>
            </w:r>
          </w:p>
        </w:tc>
        <w:tc>
          <w:tcPr>
            <w:tcW w:w="1081" w:type="dxa"/>
            <w:tcBorders>
              <w:top w:val="nil"/>
              <w:left w:val="nil"/>
              <w:bottom w:val="nil"/>
              <w:right w:val="single" w:sz="4" w:space="0" w:color="auto"/>
            </w:tcBorders>
            <w:shd w:val="clear" w:color="000000" w:fill="D9D9D9"/>
            <w:noWrap/>
            <w:vAlign w:val="center"/>
            <w:hideMark/>
          </w:tcPr>
          <w:p w:rsidR="008835EB" w:rsidRDefault="008835EB" w:rsidP="007E3F2E">
            <w:pPr>
              <w:jc w:val="right"/>
              <w:rPr>
                <w:rFonts w:cs="Calibri"/>
                <w:szCs w:val="18"/>
              </w:rPr>
            </w:pPr>
            <w:r>
              <w:rPr>
                <w:rFonts w:cs="Calibri"/>
                <w:szCs w:val="18"/>
              </w:rPr>
              <w:t>159,401</w:t>
            </w:r>
          </w:p>
        </w:tc>
      </w:tr>
      <w:tr w:rsidR="008835EB" w:rsidTr="007E3F2E">
        <w:trPr>
          <w:trHeight w:val="240"/>
        </w:trPr>
        <w:tc>
          <w:tcPr>
            <w:tcW w:w="3140" w:type="dxa"/>
            <w:tcBorders>
              <w:top w:val="nil"/>
              <w:left w:val="single" w:sz="4" w:space="0" w:color="auto"/>
              <w:bottom w:val="nil"/>
              <w:right w:val="single" w:sz="4" w:space="0" w:color="auto"/>
            </w:tcBorders>
            <w:shd w:val="clear" w:color="000000" w:fill="D9D9D9"/>
            <w:noWrap/>
            <w:vAlign w:val="bottom"/>
            <w:hideMark/>
          </w:tcPr>
          <w:p w:rsidR="008835EB" w:rsidRDefault="008835EB" w:rsidP="008835EB">
            <w:pPr>
              <w:ind w:firstLineChars="100" w:firstLine="180"/>
              <w:rPr>
                <w:rFonts w:cs="Calibri"/>
                <w:szCs w:val="18"/>
              </w:rPr>
            </w:pPr>
            <w:r>
              <w:rPr>
                <w:rFonts w:cs="Calibri"/>
                <w:szCs w:val="18"/>
              </w:rPr>
              <w:t>Non-taxation revenue</w:t>
            </w:r>
          </w:p>
        </w:tc>
        <w:tc>
          <w:tcPr>
            <w:tcW w:w="1088" w:type="dxa"/>
            <w:tcBorders>
              <w:top w:val="nil"/>
              <w:left w:val="nil"/>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18,369 </w:t>
            </w:r>
          </w:p>
        </w:tc>
        <w:tc>
          <w:tcPr>
            <w:tcW w:w="1086"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276 </w:t>
            </w:r>
          </w:p>
        </w:tc>
        <w:tc>
          <w:tcPr>
            <w:tcW w:w="1091"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77,426 </w:t>
            </w:r>
          </w:p>
        </w:tc>
        <w:tc>
          <w:tcPr>
            <w:tcW w:w="1086"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28,665 </w:t>
            </w:r>
          </w:p>
        </w:tc>
        <w:tc>
          <w:tcPr>
            <w:tcW w:w="1083"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 -</w:t>
            </w:r>
          </w:p>
        </w:tc>
        <w:tc>
          <w:tcPr>
            <w:tcW w:w="1085"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 -</w:t>
            </w:r>
          </w:p>
        </w:tc>
        <w:tc>
          <w:tcPr>
            <w:tcW w:w="1084"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b/>
                <w:bCs/>
                <w:szCs w:val="18"/>
              </w:rPr>
            </w:pPr>
            <w:r>
              <w:rPr>
                <w:rFonts w:cs="Calibri"/>
                <w:b/>
                <w:bCs/>
                <w:szCs w:val="18"/>
              </w:rPr>
              <w:t xml:space="preserve"> -</w:t>
            </w:r>
          </w:p>
        </w:tc>
        <w:tc>
          <w:tcPr>
            <w:tcW w:w="1085" w:type="dxa"/>
            <w:tcBorders>
              <w:top w:val="nil"/>
              <w:left w:val="single" w:sz="4" w:space="0" w:color="auto"/>
              <w:bottom w:val="nil"/>
              <w:right w:val="nil"/>
            </w:tcBorders>
            <w:shd w:val="clear" w:color="000000" w:fill="D9D9D9"/>
            <w:noWrap/>
            <w:vAlign w:val="bottom"/>
            <w:hideMark/>
          </w:tcPr>
          <w:p w:rsidR="008835EB" w:rsidRDefault="008835EB" w:rsidP="007E3F2E">
            <w:pPr>
              <w:jc w:val="right"/>
              <w:rPr>
                <w:rFonts w:cs="Calibri"/>
                <w:szCs w:val="18"/>
              </w:rPr>
            </w:pPr>
            <w:r>
              <w:rPr>
                <w:rFonts w:cs="Calibri"/>
                <w:szCs w:val="18"/>
              </w:rPr>
              <w:t xml:space="preserve"> -</w:t>
            </w:r>
          </w:p>
        </w:tc>
        <w:tc>
          <w:tcPr>
            <w:tcW w:w="1082" w:type="dxa"/>
            <w:tcBorders>
              <w:top w:val="nil"/>
              <w:left w:val="single" w:sz="4" w:space="0" w:color="auto"/>
              <w:bottom w:val="nil"/>
              <w:right w:val="single" w:sz="4" w:space="0" w:color="auto"/>
            </w:tcBorders>
            <w:shd w:val="clear" w:color="000000" w:fill="D9D9D9"/>
            <w:noWrap/>
            <w:vAlign w:val="center"/>
            <w:hideMark/>
          </w:tcPr>
          <w:p w:rsidR="008835EB" w:rsidRDefault="008835EB" w:rsidP="007E3F2E">
            <w:pPr>
              <w:jc w:val="right"/>
              <w:rPr>
                <w:rFonts w:cs="Calibri"/>
                <w:b/>
                <w:bCs/>
                <w:szCs w:val="18"/>
              </w:rPr>
            </w:pPr>
            <w:r>
              <w:rPr>
                <w:rFonts w:cs="Calibri"/>
                <w:b/>
                <w:bCs/>
                <w:szCs w:val="18"/>
              </w:rPr>
              <w:t>95,795</w:t>
            </w:r>
          </w:p>
        </w:tc>
        <w:tc>
          <w:tcPr>
            <w:tcW w:w="1081" w:type="dxa"/>
            <w:tcBorders>
              <w:top w:val="nil"/>
              <w:left w:val="nil"/>
              <w:bottom w:val="nil"/>
              <w:right w:val="single" w:sz="4" w:space="0" w:color="auto"/>
            </w:tcBorders>
            <w:shd w:val="clear" w:color="000000" w:fill="D9D9D9"/>
            <w:noWrap/>
            <w:vAlign w:val="center"/>
            <w:hideMark/>
          </w:tcPr>
          <w:p w:rsidR="008835EB" w:rsidRDefault="008835EB" w:rsidP="007E3F2E">
            <w:pPr>
              <w:jc w:val="right"/>
              <w:rPr>
                <w:rFonts w:cs="Calibri"/>
                <w:szCs w:val="18"/>
              </w:rPr>
            </w:pPr>
            <w:r>
              <w:rPr>
                <w:rFonts w:cs="Calibri"/>
                <w:szCs w:val="18"/>
              </w:rPr>
              <w:t>28,941</w:t>
            </w:r>
          </w:p>
        </w:tc>
      </w:tr>
      <w:tr w:rsidR="008835EB" w:rsidTr="007E3F2E">
        <w:trPr>
          <w:trHeight w:val="240"/>
        </w:trPr>
        <w:tc>
          <w:tcPr>
            <w:tcW w:w="3140" w:type="dxa"/>
            <w:tcBorders>
              <w:top w:val="single" w:sz="4" w:space="0" w:color="auto"/>
              <w:left w:val="single" w:sz="4" w:space="0" w:color="auto"/>
              <w:bottom w:val="single" w:sz="4" w:space="0" w:color="auto"/>
              <w:right w:val="single" w:sz="4" w:space="0" w:color="auto"/>
            </w:tcBorders>
            <w:shd w:val="clear" w:color="000000" w:fill="D9D9D9"/>
            <w:hideMark/>
          </w:tcPr>
          <w:p w:rsidR="008835EB" w:rsidRDefault="008835EB" w:rsidP="007E3F2E">
            <w:pPr>
              <w:rPr>
                <w:rFonts w:cs="Calibri"/>
                <w:b/>
                <w:bCs/>
                <w:i/>
                <w:iCs/>
                <w:szCs w:val="18"/>
              </w:rPr>
            </w:pPr>
            <w:r>
              <w:rPr>
                <w:rFonts w:cs="Calibri"/>
                <w:b/>
                <w:bCs/>
                <w:i/>
                <w:iCs/>
                <w:szCs w:val="18"/>
              </w:rPr>
              <w:t>Total income</w:t>
            </w:r>
          </w:p>
        </w:tc>
        <w:tc>
          <w:tcPr>
            <w:tcW w:w="1088" w:type="dxa"/>
            <w:tcBorders>
              <w:top w:val="single" w:sz="4" w:space="0" w:color="auto"/>
              <w:left w:val="nil"/>
              <w:bottom w:val="single" w:sz="4" w:space="0" w:color="auto"/>
              <w:right w:val="single" w:sz="4" w:space="0" w:color="auto"/>
            </w:tcBorders>
            <w:shd w:val="clear" w:color="000000" w:fill="D9D9D9"/>
            <w:noWrap/>
            <w:vAlign w:val="center"/>
            <w:hideMark/>
          </w:tcPr>
          <w:p w:rsidR="008835EB" w:rsidRDefault="008835EB" w:rsidP="007E3F2E">
            <w:pPr>
              <w:jc w:val="right"/>
              <w:rPr>
                <w:rFonts w:cs="Calibri"/>
                <w:b/>
                <w:bCs/>
                <w:szCs w:val="18"/>
              </w:rPr>
            </w:pPr>
            <w:r>
              <w:rPr>
                <w:rFonts w:cs="Calibri"/>
                <w:b/>
                <w:bCs/>
                <w:szCs w:val="18"/>
              </w:rPr>
              <w:t>18,369</w:t>
            </w:r>
          </w:p>
        </w:tc>
        <w:tc>
          <w:tcPr>
            <w:tcW w:w="1086" w:type="dxa"/>
            <w:tcBorders>
              <w:top w:val="single" w:sz="4" w:space="0" w:color="auto"/>
              <w:left w:val="nil"/>
              <w:bottom w:val="single" w:sz="4" w:space="0" w:color="auto"/>
              <w:right w:val="nil"/>
            </w:tcBorders>
            <w:shd w:val="clear" w:color="000000" w:fill="D9D9D9"/>
            <w:noWrap/>
            <w:vAlign w:val="center"/>
            <w:hideMark/>
          </w:tcPr>
          <w:p w:rsidR="008835EB" w:rsidRDefault="008835EB" w:rsidP="007E3F2E">
            <w:pPr>
              <w:jc w:val="right"/>
              <w:rPr>
                <w:rFonts w:cs="Calibri"/>
                <w:szCs w:val="18"/>
              </w:rPr>
            </w:pPr>
            <w:r>
              <w:rPr>
                <w:rFonts w:cs="Calibri"/>
                <w:szCs w:val="18"/>
              </w:rPr>
              <w:t>276</w:t>
            </w:r>
          </w:p>
        </w:tc>
        <w:tc>
          <w:tcPr>
            <w:tcW w:w="109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835EB" w:rsidRDefault="008835EB" w:rsidP="007E3F2E">
            <w:pPr>
              <w:jc w:val="right"/>
              <w:rPr>
                <w:rFonts w:cs="Calibri"/>
                <w:b/>
                <w:bCs/>
                <w:szCs w:val="18"/>
              </w:rPr>
            </w:pPr>
            <w:r>
              <w:rPr>
                <w:rFonts w:cs="Calibri"/>
                <w:b/>
                <w:bCs/>
                <w:szCs w:val="18"/>
              </w:rPr>
              <w:t>222,357</w:t>
            </w:r>
          </w:p>
        </w:tc>
        <w:tc>
          <w:tcPr>
            <w:tcW w:w="1086" w:type="dxa"/>
            <w:tcBorders>
              <w:top w:val="single" w:sz="4" w:space="0" w:color="auto"/>
              <w:left w:val="nil"/>
              <w:bottom w:val="single" w:sz="4" w:space="0" w:color="auto"/>
              <w:right w:val="single" w:sz="4" w:space="0" w:color="auto"/>
            </w:tcBorders>
            <w:shd w:val="clear" w:color="000000" w:fill="D9D9D9"/>
            <w:noWrap/>
            <w:vAlign w:val="center"/>
            <w:hideMark/>
          </w:tcPr>
          <w:p w:rsidR="008835EB" w:rsidRDefault="008835EB" w:rsidP="007E3F2E">
            <w:pPr>
              <w:jc w:val="right"/>
              <w:rPr>
                <w:rFonts w:cs="Calibri"/>
                <w:szCs w:val="18"/>
              </w:rPr>
            </w:pPr>
            <w:r>
              <w:rPr>
                <w:rFonts w:cs="Calibri"/>
                <w:szCs w:val="18"/>
              </w:rPr>
              <w:t>188,066</w:t>
            </w:r>
          </w:p>
        </w:tc>
        <w:tc>
          <w:tcPr>
            <w:tcW w:w="1083" w:type="dxa"/>
            <w:tcBorders>
              <w:top w:val="single" w:sz="4" w:space="0" w:color="auto"/>
              <w:left w:val="nil"/>
              <w:bottom w:val="single" w:sz="4" w:space="0" w:color="auto"/>
              <w:right w:val="single" w:sz="4" w:space="0" w:color="auto"/>
            </w:tcBorders>
            <w:shd w:val="clear" w:color="000000" w:fill="D9D9D9"/>
            <w:noWrap/>
            <w:vAlign w:val="center"/>
            <w:hideMark/>
          </w:tcPr>
          <w:p w:rsidR="008835EB" w:rsidRDefault="008835EB" w:rsidP="007E3F2E">
            <w:pPr>
              <w:jc w:val="right"/>
              <w:rPr>
                <w:rFonts w:cs="Calibri"/>
                <w:b/>
                <w:bCs/>
                <w:szCs w:val="18"/>
              </w:rPr>
            </w:pPr>
            <w:r>
              <w:rPr>
                <w:rFonts w:cs="Calibri"/>
                <w:b/>
                <w:bCs/>
                <w:szCs w:val="18"/>
              </w:rPr>
              <w:t>-</w:t>
            </w:r>
          </w:p>
        </w:tc>
        <w:tc>
          <w:tcPr>
            <w:tcW w:w="1085" w:type="dxa"/>
            <w:tcBorders>
              <w:top w:val="single" w:sz="4" w:space="0" w:color="auto"/>
              <w:left w:val="nil"/>
              <w:bottom w:val="single" w:sz="4" w:space="0" w:color="auto"/>
              <w:right w:val="single" w:sz="4" w:space="0" w:color="auto"/>
            </w:tcBorders>
            <w:shd w:val="clear" w:color="000000" w:fill="D9D9D9"/>
            <w:noWrap/>
            <w:vAlign w:val="center"/>
            <w:hideMark/>
          </w:tcPr>
          <w:p w:rsidR="008835EB" w:rsidRDefault="008835EB" w:rsidP="007E3F2E">
            <w:pPr>
              <w:jc w:val="right"/>
              <w:rPr>
                <w:rFonts w:cs="Calibri"/>
                <w:szCs w:val="18"/>
              </w:rPr>
            </w:pPr>
            <w:r>
              <w:rPr>
                <w:rFonts w:cs="Calibri"/>
                <w:szCs w:val="18"/>
              </w:rPr>
              <w:t>-</w:t>
            </w:r>
          </w:p>
        </w:tc>
        <w:tc>
          <w:tcPr>
            <w:tcW w:w="1084" w:type="dxa"/>
            <w:tcBorders>
              <w:top w:val="single" w:sz="4" w:space="0" w:color="auto"/>
              <w:left w:val="nil"/>
              <w:bottom w:val="single" w:sz="4" w:space="0" w:color="auto"/>
              <w:right w:val="single" w:sz="4" w:space="0" w:color="auto"/>
            </w:tcBorders>
            <w:shd w:val="clear" w:color="000000" w:fill="D9D9D9"/>
            <w:noWrap/>
            <w:vAlign w:val="center"/>
            <w:hideMark/>
          </w:tcPr>
          <w:p w:rsidR="008835EB" w:rsidRDefault="008835EB" w:rsidP="007E3F2E">
            <w:pPr>
              <w:jc w:val="right"/>
              <w:rPr>
                <w:rFonts w:cs="Calibri"/>
                <w:b/>
                <w:bCs/>
                <w:szCs w:val="18"/>
              </w:rPr>
            </w:pPr>
            <w:r>
              <w:rPr>
                <w:rFonts w:cs="Calibri"/>
                <w:b/>
                <w:bCs/>
                <w:szCs w:val="18"/>
              </w:rPr>
              <w:t>-</w:t>
            </w:r>
          </w:p>
        </w:tc>
        <w:tc>
          <w:tcPr>
            <w:tcW w:w="1085" w:type="dxa"/>
            <w:tcBorders>
              <w:top w:val="single" w:sz="4" w:space="0" w:color="auto"/>
              <w:left w:val="nil"/>
              <w:bottom w:val="single" w:sz="4" w:space="0" w:color="auto"/>
              <w:right w:val="single" w:sz="4" w:space="0" w:color="auto"/>
            </w:tcBorders>
            <w:shd w:val="clear" w:color="000000" w:fill="D9D9D9"/>
            <w:noWrap/>
            <w:vAlign w:val="center"/>
            <w:hideMark/>
          </w:tcPr>
          <w:p w:rsidR="008835EB" w:rsidRDefault="008835EB" w:rsidP="007E3F2E">
            <w:pPr>
              <w:jc w:val="right"/>
              <w:rPr>
                <w:rFonts w:cs="Calibri"/>
                <w:szCs w:val="18"/>
              </w:rPr>
            </w:pPr>
            <w:r>
              <w:rPr>
                <w:rFonts w:cs="Calibri"/>
                <w:szCs w:val="18"/>
              </w:rPr>
              <w:t>-</w:t>
            </w:r>
          </w:p>
        </w:tc>
        <w:tc>
          <w:tcPr>
            <w:tcW w:w="1082" w:type="dxa"/>
            <w:tcBorders>
              <w:top w:val="single" w:sz="4" w:space="0" w:color="auto"/>
              <w:left w:val="nil"/>
              <w:bottom w:val="single" w:sz="4" w:space="0" w:color="auto"/>
              <w:right w:val="nil"/>
            </w:tcBorders>
            <w:shd w:val="clear" w:color="000000" w:fill="D9D9D9"/>
            <w:noWrap/>
            <w:vAlign w:val="center"/>
            <w:hideMark/>
          </w:tcPr>
          <w:p w:rsidR="008835EB" w:rsidRDefault="008835EB" w:rsidP="007E3F2E">
            <w:pPr>
              <w:jc w:val="right"/>
              <w:rPr>
                <w:rFonts w:cs="Calibri"/>
                <w:b/>
                <w:bCs/>
                <w:szCs w:val="18"/>
              </w:rPr>
            </w:pPr>
            <w:r>
              <w:rPr>
                <w:rFonts w:cs="Calibri"/>
                <w:b/>
                <w:bCs/>
                <w:szCs w:val="18"/>
              </w:rPr>
              <w:t>240,726</w:t>
            </w:r>
          </w:p>
        </w:tc>
        <w:tc>
          <w:tcPr>
            <w:tcW w:w="108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835EB" w:rsidRDefault="008835EB" w:rsidP="007E3F2E">
            <w:pPr>
              <w:jc w:val="right"/>
              <w:rPr>
                <w:rFonts w:cs="Calibri"/>
                <w:szCs w:val="18"/>
              </w:rPr>
            </w:pPr>
            <w:r>
              <w:rPr>
                <w:rFonts w:cs="Calibri"/>
                <w:szCs w:val="18"/>
              </w:rPr>
              <w:t>188,342</w:t>
            </w:r>
          </w:p>
        </w:tc>
      </w:tr>
      <w:tr w:rsidR="008835EB" w:rsidTr="007E3F2E">
        <w:trPr>
          <w:trHeight w:val="255"/>
        </w:trPr>
        <w:tc>
          <w:tcPr>
            <w:tcW w:w="3140" w:type="dxa"/>
            <w:tcBorders>
              <w:top w:val="nil"/>
              <w:left w:val="single" w:sz="4" w:space="0" w:color="auto"/>
              <w:bottom w:val="single" w:sz="4" w:space="0" w:color="auto"/>
              <w:right w:val="single" w:sz="4" w:space="0" w:color="auto"/>
            </w:tcBorders>
            <w:shd w:val="clear" w:color="FFFFFF" w:fill="FFFFFF"/>
            <w:vAlign w:val="bottom"/>
            <w:hideMark/>
          </w:tcPr>
          <w:p w:rsidR="008835EB" w:rsidRDefault="008835EB" w:rsidP="007E3F2E">
            <w:pPr>
              <w:rPr>
                <w:rFonts w:cs="Calibri"/>
                <w:b/>
                <w:bCs/>
                <w:szCs w:val="18"/>
              </w:rPr>
            </w:pPr>
            <w:r>
              <w:rPr>
                <w:rFonts w:cs="Calibri"/>
                <w:b/>
                <w:bCs/>
                <w:szCs w:val="18"/>
              </w:rPr>
              <w:t>Net cost of outcome delivery</w:t>
            </w:r>
          </w:p>
        </w:tc>
        <w:tc>
          <w:tcPr>
            <w:tcW w:w="1088" w:type="dxa"/>
            <w:tcBorders>
              <w:top w:val="nil"/>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1,285,545</w:t>
            </w:r>
          </w:p>
        </w:tc>
        <w:tc>
          <w:tcPr>
            <w:tcW w:w="1086" w:type="dxa"/>
            <w:tcBorders>
              <w:top w:val="nil"/>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1,596,442</w:t>
            </w:r>
          </w:p>
        </w:tc>
        <w:tc>
          <w:tcPr>
            <w:tcW w:w="1091" w:type="dxa"/>
            <w:tcBorders>
              <w:top w:val="nil"/>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374,242</w:t>
            </w:r>
          </w:p>
        </w:tc>
        <w:tc>
          <w:tcPr>
            <w:tcW w:w="1086" w:type="dxa"/>
            <w:tcBorders>
              <w:top w:val="nil"/>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467,454</w:t>
            </w:r>
          </w:p>
        </w:tc>
        <w:tc>
          <w:tcPr>
            <w:tcW w:w="1083" w:type="dxa"/>
            <w:tcBorders>
              <w:top w:val="nil"/>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7,727</w:t>
            </w:r>
          </w:p>
        </w:tc>
        <w:tc>
          <w:tcPr>
            <w:tcW w:w="1085" w:type="dxa"/>
            <w:tcBorders>
              <w:top w:val="nil"/>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7,563</w:t>
            </w:r>
          </w:p>
        </w:tc>
        <w:tc>
          <w:tcPr>
            <w:tcW w:w="1084" w:type="dxa"/>
            <w:tcBorders>
              <w:top w:val="nil"/>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b/>
                <w:bCs/>
                <w:szCs w:val="18"/>
              </w:rPr>
            </w:pPr>
            <w:r>
              <w:rPr>
                <w:rFonts w:cs="Calibri"/>
                <w:b/>
                <w:bCs/>
                <w:szCs w:val="18"/>
              </w:rPr>
              <w:t>-</w:t>
            </w:r>
          </w:p>
        </w:tc>
        <w:tc>
          <w:tcPr>
            <w:tcW w:w="1085" w:type="dxa"/>
            <w:tcBorders>
              <w:top w:val="nil"/>
              <w:left w:val="nil"/>
              <w:bottom w:val="single" w:sz="4" w:space="0" w:color="auto"/>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w:t>
            </w:r>
          </w:p>
        </w:tc>
        <w:tc>
          <w:tcPr>
            <w:tcW w:w="1082" w:type="dxa"/>
            <w:tcBorders>
              <w:top w:val="nil"/>
              <w:left w:val="nil"/>
              <w:bottom w:val="single" w:sz="4" w:space="0" w:color="auto"/>
              <w:right w:val="nil"/>
            </w:tcBorders>
            <w:shd w:val="clear" w:color="FFFFFF" w:fill="FFFFFF"/>
            <w:noWrap/>
            <w:vAlign w:val="bottom"/>
            <w:hideMark/>
          </w:tcPr>
          <w:p w:rsidR="008835EB" w:rsidRDefault="008835EB" w:rsidP="007E3F2E">
            <w:pPr>
              <w:jc w:val="right"/>
              <w:rPr>
                <w:rFonts w:cs="Calibri"/>
                <w:b/>
                <w:bCs/>
                <w:szCs w:val="18"/>
              </w:rPr>
            </w:pPr>
            <w:r>
              <w:rPr>
                <w:rFonts w:cs="Calibri"/>
                <w:b/>
                <w:bCs/>
                <w:szCs w:val="18"/>
              </w:rPr>
              <w:t>1,667,514</w:t>
            </w:r>
          </w:p>
        </w:tc>
        <w:tc>
          <w:tcPr>
            <w:tcW w:w="1081" w:type="dxa"/>
            <w:tcBorders>
              <w:top w:val="nil"/>
              <w:left w:val="single" w:sz="4" w:space="0" w:color="auto"/>
              <w:bottom w:val="single" w:sz="4" w:space="0" w:color="auto"/>
              <w:right w:val="single" w:sz="4" w:space="0" w:color="auto"/>
            </w:tcBorders>
            <w:shd w:val="clear" w:color="FFFFFF" w:fill="FFFFFF"/>
            <w:noWrap/>
            <w:vAlign w:val="bottom"/>
            <w:hideMark/>
          </w:tcPr>
          <w:p w:rsidR="008835EB" w:rsidRDefault="008835EB" w:rsidP="007E3F2E">
            <w:pPr>
              <w:jc w:val="right"/>
              <w:rPr>
                <w:rFonts w:cs="Calibri"/>
                <w:szCs w:val="18"/>
              </w:rPr>
            </w:pPr>
            <w:r>
              <w:rPr>
                <w:rFonts w:cs="Calibri"/>
                <w:szCs w:val="18"/>
              </w:rPr>
              <w:t>2,071,459</w:t>
            </w:r>
          </w:p>
        </w:tc>
      </w:tr>
    </w:tbl>
    <w:p w:rsidR="008835EB" w:rsidRDefault="008835EB" w:rsidP="008835EB">
      <w:r>
        <w:br w:type="page"/>
      </w:r>
    </w:p>
    <w:tbl>
      <w:tblPr>
        <w:tblW w:w="13991" w:type="dxa"/>
        <w:tblInd w:w="80" w:type="dxa"/>
        <w:tblLayout w:type="fixed"/>
        <w:tblLook w:val="04A0" w:firstRow="1" w:lastRow="0" w:firstColumn="1" w:lastColumn="0" w:noHBand="0" w:noVBand="1"/>
      </w:tblPr>
      <w:tblGrid>
        <w:gridCol w:w="3140"/>
        <w:gridCol w:w="1088"/>
        <w:gridCol w:w="1086"/>
        <w:gridCol w:w="1091"/>
        <w:gridCol w:w="1086"/>
        <w:gridCol w:w="1083"/>
        <w:gridCol w:w="1085"/>
        <w:gridCol w:w="1084"/>
        <w:gridCol w:w="1085"/>
        <w:gridCol w:w="1082"/>
        <w:gridCol w:w="1081"/>
      </w:tblGrid>
      <w:tr w:rsidR="008835EB" w:rsidRPr="00D47E5B" w:rsidTr="007E3F2E">
        <w:trPr>
          <w:trHeight w:val="308"/>
        </w:trPr>
        <w:tc>
          <w:tcPr>
            <w:tcW w:w="3140" w:type="dxa"/>
            <w:tcBorders>
              <w:top w:val="single" w:sz="4" w:space="0" w:color="auto"/>
              <w:left w:val="single" w:sz="4" w:space="0" w:color="auto"/>
              <w:bottom w:val="nil"/>
              <w:right w:val="single" w:sz="4" w:space="0" w:color="auto"/>
            </w:tcBorders>
            <w:shd w:val="clear" w:color="FFFFFF" w:fill="FFFFFF"/>
            <w:noWrap/>
            <w:hideMark/>
          </w:tcPr>
          <w:p w:rsidR="008835EB" w:rsidRPr="00D47E5B" w:rsidRDefault="008835EB" w:rsidP="007E3F2E">
            <w:pPr>
              <w:spacing w:line="240" w:lineRule="atLeast"/>
              <w:rPr>
                <w:rFonts w:cs="Calibri"/>
                <w:sz w:val="17"/>
                <w:szCs w:val="17"/>
              </w:rPr>
            </w:pPr>
            <w:r w:rsidRPr="00D47E5B">
              <w:rPr>
                <w:rFonts w:cs="Calibri"/>
                <w:sz w:val="17"/>
                <w:szCs w:val="17"/>
              </w:rPr>
              <w:lastRenderedPageBreak/>
              <w:t> </w:t>
            </w:r>
          </w:p>
        </w:tc>
        <w:tc>
          <w:tcPr>
            <w:tcW w:w="2174" w:type="dxa"/>
            <w:gridSpan w:val="2"/>
            <w:tcBorders>
              <w:top w:val="single" w:sz="4" w:space="0" w:color="auto"/>
              <w:left w:val="nil"/>
              <w:bottom w:val="single" w:sz="4" w:space="0" w:color="auto"/>
              <w:right w:val="single" w:sz="4" w:space="0" w:color="auto"/>
            </w:tcBorders>
            <w:shd w:val="clear" w:color="FFFFFF" w:fill="FFFFFF"/>
            <w:vAlign w:val="bottom"/>
            <w:hideMark/>
          </w:tcPr>
          <w:p w:rsidR="008835EB" w:rsidRPr="00D47E5B" w:rsidRDefault="008835EB" w:rsidP="007E3F2E">
            <w:pPr>
              <w:spacing w:line="240" w:lineRule="atLeast"/>
              <w:jc w:val="center"/>
              <w:rPr>
                <w:rFonts w:cs="Calibri"/>
                <w:b/>
                <w:bCs/>
                <w:sz w:val="17"/>
                <w:szCs w:val="17"/>
              </w:rPr>
            </w:pPr>
            <w:r w:rsidRPr="00D47E5B">
              <w:rPr>
                <w:rFonts w:cs="Calibri"/>
                <w:b/>
                <w:bCs/>
                <w:sz w:val="17"/>
                <w:szCs w:val="17"/>
              </w:rPr>
              <w:t>Outcome 1</w:t>
            </w:r>
          </w:p>
        </w:tc>
        <w:tc>
          <w:tcPr>
            <w:tcW w:w="2177" w:type="dxa"/>
            <w:gridSpan w:val="2"/>
            <w:tcBorders>
              <w:top w:val="single" w:sz="4" w:space="0" w:color="auto"/>
              <w:left w:val="nil"/>
              <w:bottom w:val="single" w:sz="4" w:space="0" w:color="auto"/>
              <w:right w:val="single" w:sz="4" w:space="0" w:color="auto"/>
            </w:tcBorders>
            <w:shd w:val="clear" w:color="FFFFFF" w:fill="FFFFFF"/>
            <w:vAlign w:val="bottom"/>
            <w:hideMark/>
          </w:tcPr>
          <w:p w:rsidR="008835EB" w:rsidRPr="00D47E5B" w:rsidRDefault="008835EB" w:rsidP="007E3F2E">
            <w:pPr>
              <w:spacing w:line="240" w:lineRule="atLeast"/>
              <w:jc w:val="center"/>
              <w:rPr>
                <w:rFonts w:cs="Calibri"/>
                <w:b/>
                <w:bCs/>
                <w:sz w:val="17"/>
                <w:szCs w:val="17"/>
              </w:rPr>
            </w:pPr>
            <w:r w:rsidRPr="00D47E5B">
              <w:rPr>
                <w:rFonts w:cs="Calibri"/>
                <w:b/>
                <w:bCs/>
                <w:sz w:val="17"/>
                <w:szCs w:val="17"/>
              </w:rPr>
              <w:t>Outcome 2</w:t>
            </w:r>
          </w:p>
        </w:tc>
        <w:tc>
          <w:tcPr>
            <w:tcW w:w="2168" w:type="dxa"/>
            <w:gridSpan w:val="2"/>
            <w:tcBorders>
              <w:top w:val="single" w:sz="4" w:space="0" w:color="auto"/>
              <w:left w:val="nil"/>
              <w:bottom w:val="single" w:sz="4" w:space="0" w:color="auto"/>
              <w:right w:val="single" w:sz="4" w:space="0" w:color="auto"/>
            </w:tcBorders>
            <w:shd w:val="clear" w:color="FFFFFF" w:fill="FFFFFF"/>
            <w:vAlign w:val="bottom"/>
            <w:hideMark/>
          </w:tcPr>
          <w:p w:rsidR="008835EB" w:rsidRPr="00D47E5B" w:rsidRDefault="008835EB" w:rsidP="007E3F2E">
            <w:pPr>
              <w:spacing w:line="240" w:lineRule="atLeast"/>
              <w:jc w:val="center"/>
              <w:rPr>
                <w:rFonts w:cs="Calibri"/>
                <w:b/>
                <w:bCs/>
                <w:sz w:val="17"/>
                <w:szCs w:val="17"/>
              </w:rPr>
            </w:pPr>
            <w:r w:rsidRPr="00D47E5B">
              <w:rPr>
                <w:rFonts w:cs="Calibri"/>
                <w:b/>
                <w:bCs/>
                <w:sz w:val="17"/>
                <w:szCs w:val="17"/>
              </w:rPr>
              <w:t>Payments to corporate Commonwealth entities*</w:t>
            </w:r>
          </w:p>
        </w:tc>
        <w:tc>
          <w:tcPr>
            <w:tcW w:w="2169" w:type="dxa"/>
            <w:gridSpan w:val="2"/>
            <w:tcBorders>
              <w:top w:val="single" w:sz="4" w:space="0" w:color="auto"/>
              <w:left w:val="nil"/>
              <w:bottom w:val="single" w:sz="4" w:space="0" w:color="auto"/>
              <w:right w:val="single" w:sz="4" w:space="0" w:color="auto"/>
            </w:tcBorders>
            <w:shd w:val="clear" w:color="FFFFFF" w:fill="FFFFFF"/>
            <w:vAlign w:val="bottom"/>
            <w:hideMark/>
          </w:tcPr>
          <w:p w:rsidR="008835EB" w:rsidRPr="00D47E5B" w:rsidRDefault="008835EB" w:rsidP="007E3F2E">
            <w:pPr>
              <w:spacing w:line="240" w:lineRule="atLeast"/>
              <w:jc w:val="center"/>
              <w:rPr>
                <w:rFonts w:cs="Calibri"/>
                <w:b/>
                <w:bCs/>
                <w:sz w:val="17"/>
                <w:szCs w:val="17"/>
              </w:rPr>
            </w:pPr>
            <w:r w:rsidRPr="00D47E5B">
              <w:rPr>
                <w:rFonts w:cs="Calibri"/>
                <w:b/>
                <w:bCs/>
                <w:sz w:val="17"/>
                <w:szCs w:val="17"/>
              </w:rPr>
              <w:t>Not attributed</w:t>
            </w:r>
            <w:r w:rsidRPr="00D47E5B">
              <w:rPr>
                <w:rFonts w:cs="Calibri"/>
                <w:b/>
                <w:bCs/>
                <w:sz w:val="17"/>
                <w:szCs w:val="17"/>
                <w:vertAlign w:val="superscript"/>
              </w:rPr>
              <w:t>#</w:t>
            </w:r>
          </w:p>
        </w:tc>
        <w:tc>
          <w:tcPr>
            <w:tcW w:w="2163" w:type="dxa"/>
            <w:gridSpan w:val="2"/>
            <w:tcBorders>
              <w:top w:val="single" w:sz="4" w:space="0" w:color="auto"/>
              <w:left w:val="nil"/>
              <w:bottom w:val="single" w:sz="4" w:space="0" w:color="auto"/>
              <w:right w:val="single" w:sz="4" w:space="0" w:color="000000"/>
            </w:tcBorders>
            <w:shd w:val="clear" w:color="FFFFFF" w:fill="FFFFFF"/>
            <w:vAlign w:val="bottom"/>
            <w:hideMark/>
          </w:tcPr>
          <w:p w:rsidR="008835EB" w:rsidRPr="00D47E5B" w:rsidRDefault="008835EB" w:rsidP="007E3F2E">
            <w:pPr>
              <w:spacing w:line="240" w:lineRule="atLeast"/>
              <w:jc w:val="center"/>
              <w:rPr>
                <w:rFonts w:cs="Calibri"/>
                <w:b/>
                <w:bCs/>
                <w:sz w:val="17"/>
                <w:szCs w:val="17"/>
              </w:rPr>
            </w:pPr>
            <w:r w:rsidRPr="00D47E5B">
              <w:rPr>
                <w:rFonts w:cs="Calibri"/>
                <w:b/>
                <w:bCs/>
                <w:sz w:val="17"/>
                <w:szCs w:val="17"/>
              </w:rPr>
              <w:t>Total</w:t>
            </w:r>
          </w:p>
        </w:tc>
      </w:tr>
      <w:tr w:rsidR="008835EB" w:rsidRPr="00D47E5B" w:rsidTr="007E3F2E">
        <w:trPr>
          <w:trHeight w:val="240"/>
        </w:trPr>
        <w:tc>
          <w:tcPr>
            <w:tcW w:w="3140" w:type="dxa"/>
            <w:tcBorders>
              <w:top w:val="nil"/>
              <w:left w:val="single" w:sz="4" w:space="0" w:color="auto"/>
              <w:bottom w:val="nil"/>
              <w:right w:val="single" w:sz="4" w:space="0" w:color="auto"/>
            </w:tcBorders>
            <w:shd w:val="clear" w:color="FFFFFF" w:fill="FFFFFF"/>
            <w:noWrap/>
            <w:hideMark/>
          </w:tcPr>
          <w:p w:rsidR="008835EB" w:rsidRPr="00D47E5B" w:rsidRDefault="008835EB" w:rsidP="007E3F2E">
            <w:pPr>
              <w:spacing w:line="240" w:lineRule="atLeast"/>
              <w:rPr>
                <w:rFonts w:cs="Calibri"/>
                <w:sz w:val="17"/>
                <w:szCs w:val="17"/>
              </w:rPr>
            </w:pPr>
            <w:r w:rsidRPr="00D47E5B">
              <w:rPr>
                <w:rFonts w:cs="Calibri"/>
                <w:sz w:val="17"/>
                <w:szCs w:val="17"/>
              </w:rPr>
              <w:t> </w:t>
            </w:r>
          </w:p>
        </w:tc>
        <w:tc>
          <w:tcPr>
            <w:tcW w:w="1088" w:type="dxa"/>
            <w:tcBorders>
              <w:top w:val="nil"/>
              <w:left w:val="nil"/>
              <w:bottom w:val="nil"/>
              <w:right w:val="single" w:sz="4" w:space="0" w:color="auto"/>
            </w:tcBorders>
            <w:shd w:val="clear" w:color="FFFFFF" w:fill="FFFFFF"/>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2016</w:t>
            </w:r>
          </w:p>
        </w:tc>
        <w:tc>
          <w:tcPr>
            <w:tcW w:w="1086" w:type="dxa"/>
            <w:tcBorders>
              <w:top w:val="nil"/>
              <w:left w:val="nil"/>
              <w:bottom w:val="nil"/>
              <w:right w:val="single" w:sz="4" w:space="0" w:color="auto"/>
            </w:tcBorders>
            <w:shd w:val="clear" w:color="FFFFFF" w:fill="FFFFFF"/>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2015</w:t>
            </w:r>
          </w:p>
        </w:tc>
        <w:tc>
          <w:tcPr>
            <w:tcW w:w="1091" w:type="dxa"/>
            <w:tcBorders>
              <w:top w:val="nil"/>
              <w:left w:val="nil"/>
              <w:bottom w:val="nil"/>
              <w:right w:val="single" w:sz="4" w:space="0" w:color="auto"/>
            </w:tcBorders>
            <w:shd w:val="clear" w:color="FFFFFF" w:fill="FFFFFF"/>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2016</w:t>
            </w:r>
          </w:p>
        </w:tc>
        <w:tc>
          <w:tcPr>
            <w:tcW w:w="1086" w:type="dxa"/>
            <w:tcBorders>
              <w:top w:val="nil"/>
              <w:left w:val="nil"/>
              <w:bottom w:val="nil"/>
              <w:right w:val="single" w:sz="4" w:space="0" w:color="auto"/>
            </w:tcBorders>
            <w:shd w:val="clear" w:color="FFFFFF" w:fill="FFFFFF"/>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2015</w:t>
            </w:r>
          </w:p>
        </w:tc>
        <w:tc>
          <w:tcPr>
            <w:tcW w:w="1083" w:type="dxa"/>
            <w:tcBorders>
              <w:top w:val="nil"/>
              <w:left w:val="nil"/>
              <w:bottom w:val="nil"/>
              <w:right w:val="single" w:sz="4" w:space="0" w:color="auto"/>
            </w:tcBorders>
            <w:shd w:val="clear" w:color="FFFFFF" w:fill="FFFFFF"/>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2016</w:t>
            </w:r>
          </w:p>
        </w:tc>
        <w:tc>
          <w:tcPr>
            <w:tcW w:w="1085" w:type="dxa"/>
            <w:tcBorders>
              <w:top w:val="nil"/>
              <w:left w:val="nil"/>
              <w:bottom w:val="nil"/>
              <w:right w:val="single" w:sz="4" w:space="0" w:color="auto"/>
            </w:tcBorders>
            <w:shd w:val="clear" w:color="FFFFFF" w:fill="FFFFFF"/>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2015</w:t>
            </w:r>
          </w:p>
        </w:tc>
        <w:tc>
          <w:tcPr>
            <w:tcW w:w="1084" w:type="dxa"/>
            <w:tcBorders>
              <w:top w:val="nil"/>
              <w:left w:val="nil"/>
              <w:bottom w:val="nil"/>
              <w:right w:val="single" w:sz="4" w:space="0" w:color="auto"/>
            </w:tcBorders>
            <w:shd w:val="clear" w:color="FFFFFF" w:fill="FFFFFF"/>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2016</w:t>
            </w:r>
          </w:p>
        </w:tc>
        <w:tc>
          <w:tcPr>
            <w:tcW w:w="1085" w:type="dxa"/>
            <w:tcBorders>
              <w:top w:val="nil"/>
              <w:left w:val="nil"/>
              <w:bottom w:val="nil"/>
              <w:right w:val="single" w:sz="4" w:space="0" w:color="auto"/>
            </w:tcBorders>
            <w:shd w:val="clear" w:color="FFFFFF" w:fill="FFFFFF"/>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2015</w:t>
            </w:r>
          </w:p>
        </w:tc>
        <w:tc>
          <w:tcPr>
            <w:tcW w:w="1082" w:type="dxa"/>
            <w:tcBorders>
              <w:top w:val="nil"/>
              <w:left w:val="nil"/>
              <w:bottom w:val="nil"/>
              <w:right w:val="single" w:sz="4" w:space="0" w:color="auto"/>
            </w:tcBorders>
            <w:shd w:val="clear" w:color="FFFFFF" w:fill="FFFFFF"/>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2016</w:t>
            </w:r>
          </w:p>
        </w:tc>
        <w:tc>
          <w:tcPr>
            <w:tcW w:w="1081" w:type="dxa"/>
            <w:tcBorders>
              <w:top w:val="nil"/>
              <w:left w:val="nil"/>
              <w:bottom w:val="nil"/>
              <w:right w:val="single" w:sz="4" w:space="0" w:color="auto"/>
            </w:tcBorders>
            <w:shd w:val="clear" w:color="FFFFFF" w:fill="FFFFFF"/>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2015</w:t>
            </w:r>
          </w:p>
        </w:tc>
      </w:tr>
      <w:tr w:rsidR="008835EB" w:rsidRPr="00D47E5B" w:rsidTr="007E3F2E">
        <w:trPr>
          <w:trHeight w:val="240"/>
        </w:trPr>
        <w:tc>
          <w:tcPr>
            <w:tcW w:w="3140" w:type="dxa"/>
            <w:tcBorders>
              <w:top w:val="nil"/>
              <w:left w:val="single" w:sz="4" w:space="0" w:color="auto"/>
              <w:bottom w:val="single" w:sz="4" w:space="0" w:color="auto"/>
              <w:right w:val="single" w:sz="4" w:space="0" w:color="auto"/>
            </w:tcBorders>
            <w:shd w:val="clear" w:color="FFFFFF" w:fill="FFFFFF"/>
            <w:noWrap/>
            <w:hideMark/>
          </w:tcPr>
          <w:p w:rsidR="008835EB" w:rsidRPr="00D47E5B" w:rsidRDefault="008835EB" w:rsidP="007E3F2E">
            <w:pPr>
              <w:spacing w:line="240" w:lineRule="atLeast"/>
              <w:rPr>
                <w:rFonts w:cs="Calibri"/>
                <w:sz w:val="17"/>
                <w:szCs w:val="17"/>
              </w:rPr>
            </w:pPr>
            <w:r w:rsidRPr="00D47E5B">
              <w:rPr>
                <w:rFonts w:cs="Calibri"/>
                <w:sz w:val="17"/>
                <w:szCs w:val="17"/>
              </w:rPr>
              <w:t> </w:t>
            </w:r>
          </w:p>
        </w:tc>
        <w:tc>
          <w:tcPr>
            <w:tcW w:w="1088" w:type="dxa"/>
            <w:tcBorders>
              <w:top w:val="nil"/>
              <w:left w:val="nil"/>
              <w:bottom w:val="single" w:sz="4" w:space="0" w:color="auto"/>
              <w:right w:val="single" w:sz="4" w:space="0" w:color="auto"/>
            </w:tcBorders>
            <w:shd w:val="clear" w:color="FFFFFF" w:fill="FFFFFF"/>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$'000</w:t>
            </w:r>
          </w:p>
        </w:tc>
        <w:tc>
          <w:tcPr>
            <w:tcW w:w="1086" w:type="dxa"/>
            <w:tcBorders>
              <w:top w:val="nil"/>
              <w:left w:val="nil"/>
              <w:bottom w:val="single" w:sz="4" w:space="0" w:color="auto"/>
              <w:right w:val="single" w:sz="4" w:space="0" w:color="auto"/>
            </w:tcBorders>
            <w:shd w:val="clear" w:color="FFFFFF" w:fill="FFFFFF"/>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$'000</w:t>
            </w:r>
          </w:p>
        </w:tc>
        <w:tc>
          <w:tcPr>
            <w:tcW w:w="1091" w:type="dxa"/>
            <w:tcBorders>
              <w:top w:val="nil"/>
              <w:left w:val="nil"/>
              <w:bottom w:val="single" w:sz="4" w:space="0" w:color="auto"/>
              <w:right w:val="single" w:sz="4" w:space="0" w:color="auto"/>
            </w:tcBorders>
            <w:shd w:val="clear" w:color="FFFFFF" w:fill="FFFFFF"/>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$'000</w:t>
            </w:r>
          </w:p>
        </w:tc>
        <w:tc>
          <w:tcPr>
            <w:tcW w:w="1086" w:type="dxa"/>
            <w:tcBorders>
              <w:top w:val="nil"/>
              <w:left w:val="nil"/>
              <w:bottom w:val="single" w:sz="4" w:space="0" w:color="auto"/>
              <w:right w:val="single" w:sz="4" w:space="0" w:color="auto"/>
            </w:tcBorders>
            <w:shd w:val="clear" w:color="FFFFFF" w:fill="FFFFFF"/>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$'000</w:t>
            </w:r>
          </w:p>
        </w:tc>
        <w:tc>
          <w:tcPr>
            <w:tcW w:w="1083" w:type="dxa"/>
            <w:tcBorders>
              <w:top w:val="nil"/>
              <w:left w:val="nil"/>
              <w:bottom w:val="single" w:sz="4" w:space="0" w:color="auto"/>
              <w:right w:val="single" w:sz="4" w:space="0" w:color="auto"/>
            </w:tcBorders>
            <w:shd w:val="clear" w:color="FFFFFF" w:fill="FFFFFF"/>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$'000</w:t>
            </w:r>
          </w:p>
        </w:tc>
        <w:tc>
          <w:tcPr>
            <w:tcW w:w="1085" w:type="dxa"/>
            <w:tcBorders>
              <w:top w:val="nil"/>
              <w:left w:val="nil"/>
              <w:bottom w:val="single" w:sz="4" w:space="0" w:color="auto"/>
              <w:right w:val="single" w:sz="4" w:space="0" w:color="auto"/>
            </w:tcBorders>
            <w:shd w:val="clear" w:color="FFFFFF" w:fill="FFFFFF"/>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$'000</w:t>
            </w:r>
          </w:p>
        </w:tc>
        <w:tc>
          <w:tcPr>
            <w:tcW w:w="1084" w:type="dxa"/>
            <w:tcBorders>
              <w:top w:val="nil"/>
              <w:left w:val="nil"/>
              <w:bottom w:val="single" w:sz="4" w:space="0" w:color="auto"/>
              <w:right w:val="single" w:sz="4" w:space="0" w:color="auto"/>
            </w:tcBorders>
            <w:shd w:val="clear" w:color="FFFFFF" w:fill="FFFFFF"/>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$'000</w:t>
            </w:r>
          </w:p>
        </w:tc>
        <w:tc>
          <w:tcPr>
            <w:tcW w:w="1085" w:type="dxa"/>
            <w:tcBorders>
              <w:top w:val="nil"/>
              <w:left w:val="nil"/>
              <w:bottom w:val="single" w:sz="4" w:space="0" w:color="auto"/>
              <w:right w:val="single" w:sz="4" w:space="0" w:color="auto"/>
            </w:tcBorders>
            <w:shd w:val="clear" w:color="FFFFFF" w:fill="FFFFFF"/>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$'000</w:t>
            </w:r>
          </w:p>
        </w:tc>
        <w:tc>
          <w:tcPr>
            <w:tcW w:w="1082" w:type="dxa"/>
            <w:tcBorders>
              <w:top w:val="nil"/>
              <w:left w:val="nil"/>
              <w:bottom w:val="single" w:sz="4" w:space="0" w:color="auto"/>
              <w:right w:val="single" w:sz="4" w:space="0" w:color="auto"/>
            </w:tcBorders>
            <w:shd w:val="clear" w:color="FFFFFF" w:fill="FFFFFF"/>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$'000</w:t>
            </w:r>
          </w:p>
        </w:tc>
        <w:tc>
          <w:tcPr>
            <w:tcW w:w="1081" w:type="dxa"/>
            <w:tcBorders>
              <w:top w:val="nil"/>
              <w:left w:val="nil"/>
              <w:bottom w:val="single" w:sz="4" w:space="0" w:color="auto"/>
              <w:right w:val="single" w:sz="4" w:space="0" w:color="auto"/>
            </w:tcBorders>
            <w:shd w:val="clear" w:color="FFFFFF" w:fill="FFFFFF"/>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$'000</w:t>
            </w:r>
          </w:p>
        </w:tc>
      </w:tr>
      <w:tr w:rsidR="008835EB" w:rsidRPr="00D47E5B" w:rsidTr="007E3F2E">
        <w:trPr>
          <w:trHeight w:val="229"/>
        </w:trPr>
        <w:tc>
          <w:tcPr>
            <w:tcW w:w="3140" w:type="dxa"/>
            <w:tcBorders>
              <w:top w:val="nil"/>
              <w:left w:val="single" w:sz="4" w:space="0" w:color="auto"/>
              <w:bottom w:val="nil"/>
              <w:right w:val="single" w:sz="4" w:space="0" w:color="auto"/>
            </w:tcBorders>
            <w:shd w:val="clear" w:color="FFFFFF" w:fill="FFFFFF"/>
            <w:vAlign w:val="bottom"/>
            <w:hideMark/>
          </w:tcPr>
          <w:p w:rsidR="008835EB" w:rsidRPr="00D47E5B" w:rsidRDefault="008835EB" w:rsidP="007E3F2E">
            <w:pPr>
              <w:spacing w:line="240" w:lineRule="atLeast"/>
              <w:rPr>
                <w:rFonts w:cs="Calibri"/>
                <w:b/>
                <w:bCs/>
                <w:sz w:val="17"/>
                <w:szCs w:val="17"/>
              </w:rPr>
            </w:pPr>
            <w:r w:rsidRPr="00D47E5B">
              <w:rPr>
                <w:rFonts w:cs="Calibri"/>
                <w:b/>
                <w:bCs/>
                <w:sz w:val="17"/>
                <w:szCs w:val="17"/>
              </w:rPr>
              <w:t>Assets</w:t>
            </w:r>
          </w:p>
        </w:tc>
        <w:tc>
          <w:tcPr>
            <w:tcW w:w="1088"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rPr>
                <w:rFonts w:cs="Calibri"/>
                <w:sz w:val="17"/>
                <w:szCs w:val="17"/>
              </w:rPr>
            </w:pPr>
            <w:r w:rsidRPr="00D47E5B">
              <w:rPr>
                <w:rFonts w:cs="Calibri"/>
                <w:sz w:val="17"/>
                <w:szCs w:val="17"/>
              </w:rPr>
              <w:t> </w:t>
            </w:r>
          </w:p>
        </w:tc>
        <w:tc>
          <w:tcPr>
            <w:tcW w:w="1086"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rPr>
                <w:rFonts w:cs="Calibri"/>
                <w:sz w:val="17"/>
                <w:szCs w:val="17"/>
              </w:rPr>
            </w:pPr>
            <w:r w:rsidRPr="00D47E5B">
              <w:rPr>
                <w:rFonts w:cs="Calibri"/>
                <w:sz w:val="17"/>
                <w:szCs w:val="17"/>
              </w:rPr>
              <w:t> </w:t>
            </w:r>
          </w:p>
        </w:tc>
        <w:tc>
          <w:tcPr>
            <w:tcW w:w="1091"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rPr>
                <w:rFonts w:cs="Calibri"/>
                <w:sz w:val="17"/>
                <w:szCs w:val="17"/>
              </w:rPr>
            </w:pPr>
            <w:r w:rsidRPr="00D47E5B">
              <w:rPr>
                <w:rFonts w:cs="Calibri"/>
                <w:sz w:val="17"/>
                <w:szCs w:val="17"/>
              </w:rPr>
              <w:t> </w:t>
            </w:r>
          </w:p>
        </w:tc>
        <w:tc>
          <w:tcPr>
            <w:tcW w:w="1086"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rPr>
                <w:rFonts w:cs="Calibri"/>
                <w:sz w:val="17"/>
                <w:szCs w:val="17"/>
              </w:rPr>
            </w:pPr>
            <w:r w:rsidRPr="00D47E5B">
              <w:rPr>
                <w:rFonts w:cs="Calibri"/>
                <w:sz w:val="17"/>
                <w:szCs w:val="17"/>
              </w:rPr>
              <w:t> </w:t>
            </w:r>
          </w:p>
        </w:tc>
        <w:tc>
          <w:tcPr>
            <w:tcW w:w="1083"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rPr>
                <w:rFonts w:cs="Calibri"/>
                <w:sz w:val="17"/>
                <w:szCs w:val="17"/>
              </w:rPr>
            </w:pPr>
            <w:r w:rsidRPr="00D47E5B">
              <w:rPr>
                <w:rFonts w:cs="Calibri"/>
                <w:sz w:val="17"/>
                <w:szCs w:val="17"/>
              </w:rPr>
              <w:t> </w:t>
            </w:r>
          </w:p>
        </w:tc>
        <w:tc>
          <w:tcPr>
            <w:tcW w:w="1085"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rPr>
                <w:rFonts w:cs="Calibri"/>
                <w:sz w:val="17"/>
                <w:szCs w:val="17"/>
              </w:rPr>
            </w:pPr>
            <w:r w:rsidRPr="00D47E5B">
              <w:rPr>
                <w:rFonts w:cs="Calibri"/>
                <w:sz w:val="17"/>
                <w:szCs w:val="17"/>
              </w:rPr>
              <w:t> </w:t>
            </w:r>
          </w:p>
        </w:tc>
        <w:tc>
          <w:tcPr>
            <w:tcW w:w="1084"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rPr>
                <w:rFonts w:cs="Calibri"/>
                <w:sz w:val="17"/>
                <w:szCs w:val="17"/>
              </w:rPr>
            </w:pPr>
            <w:r w:rsidRPr="00D47E5B">
              <w:rPr>
                <w:rFonts w:cs="Calibri"/>
                <w:sz w:val="17"/>
                <w:szCs w:val="17"/>
              </w:rPr>
              <w:t> </w:t>
            </w:r>
          </w:p>
        </w:tc>
        <w:tc>
          <w:tcPr>
            <w:tcW w:w="1085"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rPr>
                <w:rFonts w:cs="Calibri"/>
                <w:sz w:val="17"/>
                <w:szCs w:val="17"/>
              </w:rPr>
            </w:pPr>
            <w:r w:rsidRPr="00D47E5B">
              <w:rPr>
                <w:rFonts w:cs="Calibri"/>
                <w:sz w:val="17"/>
                <w:szCs w:val="17"/>
              </w:rPr>
              <w:t> </w:t>
            </w:r>
          </w:p>
        </w:tc>
        <w:tc>
          <w:tcPr>
            <w:tcW w:w="1082"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rPr>
                <w:rFonts w:cs="Calibri"/>
                <w:sz w:val="17"/>
                <w:szCs w:val="17"/>
              </w:rPr>
            </w:pPr>
            <w:r w:rsidRPr="00D47E5B">
              <w:rPr>
                <w:rFonts w:cs="Calibri"/>
                <w:sz w:val="17"/>
                <w:szCs w:val="17"/>
              </w:rPr>
              <w:t> </w:t>
            </w:r>
          </w:p>
        </w:tc>
        <w:tc>
          <w:tcPr>
            <w:tcW w:w="1081"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rPr>
                <w:rFonts w:cs="Calibri"/>
                <w:sz w:val="17"/>
                <w:szCs w:val="17"/>
              </w:rPr>
            </w:pPr>
            <w:r w:rsidRPr="00D47E5B">
              <w:rPr>
                <w:rFonts w:cs="Calibri"/>
                <w:sz w:val="17"/>
                <w:szCs w:val="17"/>
              </w:rPr>
              <w:t> </w:t>
            </w:r>
          </w:p>
        </w:tc>
      </w:tr>
      <w:tr w:rsidR="008835EB" w:rsidRPr="00D47E5B" w:rsidTr="007E3F2E">
        <w:trPr>
          <w:trHeight w:val="229"/>
        </w:trPr>
        <w:tc>
          <w:tcPr>
            <w:tcW w:w="3140" w:type="dxa"/>
            <w:tcBorders>
              <w:top w:val="nil"/>
              <w:left w:val="single" w:sz="4" w:space="0" w:color="auto"/>
              <w:bottom w:val="nil"/>
              <w:right w:val="single" w:sz="4" w:space="0" w:color="auto"/>
            </w:tcBorders>
            <w:shd w:val="clear" w:color="FFFFFF" w:fill="FFFFFF"/>
            <w:noWrap/>
            <w:vAlign w:val="bottom"/>
            <w:hideMark/>
          </w:tcPr>
          <w:p w:rsidR="008835EB" w:rsidRPr="00D47E5B" w:rsidRDefault="008835EB" w:rsidP="007E3F2E">
            <w:pPr>
              <w:spacing w:line="240" w:lineRule="atLeast"/>
              <w:ind w:firstLineChars="100" w:firstLine="170"/>
              <w:rPr>
                <w:rFonts w:cs="Calibri"/>
                <w:sz w:val="17"/>
                <w:szCs w:val="17"/>
              </w:rPr>
            </w:pPr>
            <w:r w:rsidRPr="00D47E5B">
              <w:rPr>
                <w:rFonts w:cs="Calibri"/>
                <w:sz w:val="17"/>
                <w:szCs w:val="17"/>
              </w:rPr>
              <w:t>Cash and cash equivalents</w:t>
            </w:r>
          </w:p>
        </w:tc>
        <w:tc>
          <w:tcPr>
            <w:tcW w:w="1088"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6"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91"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6"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3"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4"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3,876 </w:t>
            </w:r>
          </w:p>
        </w:tc>
        <w:tc>
          <w:tcPr>
            <w:tcW w:w="1085"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6,321 </w:t>
            </w:r>
          </w:p>
        </w:tc>
        <w:tc>
          <w:tcPr>
            <w:tcW w:w="1082" w:type="dxa"/>
            <w:tcBorders>
              <w:top w:val="nil"/>
              <w:left w:val="nil"/>
              <w:bottom w:val="nil"/>
              <w:right w:val="nil"/>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3,876</w:t>
            </w:r>
          </w:p>
        </w:tc>
        <w:tc>
          <w:tcPr>
            <w:tcW w:w="1081" w:type="dxa"/>
            <w:tcBorders>
              <w:top w:val="nil"/>
              <w:left w:val="single" w:sz="4" w:space="0" w:color="auto"/>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6,321</w:t>
            </w:r>
          </w:p>
        </w:tc>
      </w:tr>
      <w:tr w:rsidR="008835EB" w:rsidRPr="00D47E5B" w:rsidTr="007E3F2E">
        <w:trPr>
          <w:trHeight w:val="229"/>
        </w:trPr>
        <w:tc>
          <w:tcPr>
            <w:tcW w:w="3140" w:type="dxa"/>
            <w:tcBorders>
              <w:top w:val="nil"/>
              <w:left w:val="single" w:sz="4" w:space="0" w:color="auto"/>
              <w:bottom w:val="nil"/>
              <w:right w:val="single" w:sz="4" w:space="0" w:color="auto"/>
            </w:tcBorders>
            <w:shd w:val="clear" w:color="FFFFFF" w:fill="FFFFFF"/>
            <w:noWrap/>
            <w:vAlign w:val="bottom"/>
            <w:hideMark/>
          </w:tcPr>
          <w:p w:rsidR="008835EB" w:rsidRPr="00D47E5B" w:rsidRDefault="008835EB" w:rsidP="007E3F2E">
            <w:pPr>
              <w:spacing w:line="240" w:lineRule="atLeast"/>
              <w:ind w:firstLineChars="100" w:firstLine="170"/>
              <w:rPr>
                <w:rFonts w:cs="Calibri"/>
                <w:sz w:val="17"/>
                <w:szCs w:val="17"/>
              </w:rPr>
            </w:pPr>
            <w:r w:rsidRPr="00D47E5B">
              <w:rPr>
                <w:rFonts w:cs="Calibri"/>
                <w:sz w:val="17"/>
                <w:szCs w:val="17"/>
              </w:rPr>
              <w:t>Trade and other receivables</w:t>
            </w:r>
          </w:p>
        </w:tc>
        <w:tc>
          <w:tcPr>
            <w:tcW w:w="1088"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10,665 </w:t>
            </w:r>
          </w:p>
        </w:tc>
        <w:tc>
          <w:tcPr>
            <w:tcW w:w="1086"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5,206 </w:t>
            </w:r>
          </w:p>
        </w:tc>
        <w:tc>
          <w:tcPr>
            <w:tcW w:w="1091"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3,066 </w:t>
            </w:r>
          </w:p>
        </w:tc>
        <w:tc>
          <w:tcPr>
            <w:tcW w:w="1086"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1,718 </w:t>
            </w:r>
          </w:p>
        </w:tc>
        <w:tc>
          <w:tcPr>
            <w:tcW w:w="1083"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4"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113,140 </w:t>
            </w:r>
          </w:p>
        </w:tc>
        <w:tc>
          <w:tcPr>
            <w:tcW w:w="1085"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109,207 </w:t>
            </w:r>
          </w:p>
        </w:tc>
        <w:tc>
          <w:tcPr>
            <w:tcW w:w="1082" w:type="dxa"/>
            <w:tcBorders>
              <w:top w:val="nil"/>
              <w:left w:val="nil"/>
              <w:bottom w:val="nil"/>
              <w:right w:val="nil"/>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126,871</w:t>
            </w:r>
          </w:p>
        </w:tc>
        <w:tc>
          <w:tcPr>
            <w:tcW w:w="1081" w:type="dxa"/>
            <w:tcBorders>
              <w:top w:val="nil"/>
              <w:left w:val="single" w:sz="4" w:space="0" w:color="auto"/>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116,131</w:t>
            </w:r>
          </w:p>
        </w:tc>
      </w:tr>
      <w:tr w:rsidR="008835EB" w:rsidRPr="00D47E5B" w:rsidTr="007E3F2E">
        <w:trPr>
          <w:trHeight w:val="229"/>
        </w:trPr>
        <w:tc>
          <w:tcPr>
            <w:tcW w:w="3140" w:type="dxa"/>
            <w:tcBorders>
              <w:top w:val="nil"/>
              <w:left w:val="single" w:sz="4" w:space="0" w:color="auto"/>
              <w:bottom w:val="nil"/>
              <w:right w:val="single" w:sz="4" w:space="0" w:color="auto"/>
            </w:tcBorders>
            <w:shd w:val="clear" w:color="FFFFFF" w:fill="FFFFFF"/>
            <w:noWrap/>
            <w:vAlign w:val="bottom"/>
            <w:hideMark/>
          </w:tcPr>
          <w:p w:rsidR="008835EB" w:rsidRPr="00D47E5B" w:rsidRDefault="008835EB" w:rsidP="007E3F2E">
            <w:pPr>
              <w:spacing w:line="240" w:lineRule="atLeast"/>
              <w:ind w:firstLineChars="100" w:firstLine="170"/>
              <w:rPr>
                <w:rFonts w:cs="Calibri"/>
                <w:sz w:val="17"/>
                <w:szCs w:val="17"/>
              </w:rPr>
            </w:pPr>
            <w:r w:rsidRPr="00D47E5B">
              <w:rPr>
                <w:rFonts w:cs="Calibri"/>
                <w:sz w:val="17"/>
                <w:szCs w:val="17"/>
              </w:rPr>
              <w:t>Other financial assets</w:t>
            </w:r>
          </w:p>
        </w:tc>
        <w:tc>
          <w:tcPr>
            <w:tcW w:w="1088"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1,370 </w:t>
            </w:r>
          </w:p>
        </w:tc>
        <w:tc>
          <w:tcPr>
            <w:tcW w:w="1086"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2,808 </w:t>
            </w:r>
          </w:p>
        </w:tc>
        <w:tc>
          <w:tcPr>
            <w:tcW w:w="1091"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394 </w:t>
            </w:r>
          </w:p>
        </w:tc>
        <w:tc>
          <w:tcPr>
            <w:tcW w:w="1086"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1,286 </w:t>
            </w:r>
          </w:p>
        </w:tc>
        <w:tc>
          <w:tcPr>
            <w:tcW w:w="1083"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4"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2" w:type="dxa"/>
            <w:tcBorders>
              <w:top w:val="nil"/>
              <w:left w:val="nil"/>
              <w:bottom w:val="nil"/>
              <w:right w:val="nil"/>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1,764</w:t>
            </w:r>
          </w:p>
        </w:tc>
        <w:tc>
          <w:tcPr>
            <w:tcW w:w="1081" w:type="dxa"/>
            <w:tcBorders>
              <w:top w:val="nil"/>
              <w:left w:val="single" w:sz="4" w:space="0" w:color="auto"/>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4,094</w:t>
            </w:r>
          </w:p>
        </w:tc>
      </w:tr>
      <w:tr w:rsidR="008835EB" w:rsidRPr="00D47E5B" w:rsidTr="007E3F2E">
        <w:trPr>
          <w:trHeight w:val="229"/>
        </w:trPr>
        <w:tc>
          <w:tcPr>
            <w:tcW w:w="3140" w:type="dxa"/>
            <w:tcBorders>
              <w:top w:val="nil"/>
              <w:left w:val="single" w:sz="4" w:space="0" w:color="auto"/>
              <w:bottom w:val="nil"/>
              <w:right w:val="single" w:sz="4" w:space="0" w:color="auto"/>
            </w:tcBorders>
            <w:shd w:val="clear" w:color="FFFFFF" w:fill="FFFFFF"/>
            <w:noWrap/>
            <w:vAlign w:val="bottom"/>
            <w:hideMark/>
          </w:tcPr>
          <w:p w:rsidR="008835EB" w:rsidRPr="00D47E5B" w:rsidRDefault="008835EB" w:rsidP="007E3F2E">
            <w:pPr>
              <w:spacing w:line="240" w:lineRule="atLeast"/>
              <w:ind w:firstLineChars="100" w:firstLine="170"/>
              <w:rPr>
                <w:rFonts w:cs="Calibri"/>
                <w:sz w:val="17"/>
                <w:szCs w:val="17"/>
              </w:rPr>
            </w:pPr>
            <w:r w:rsidRPr="00D47E5B">
              <w:rPr>
                <w:rFonts w:cs="Calibri"/>
                <w:sz w:val="17"/>
                <w:szCs w:val="17"/>
              </w:rPr>
              <w:t>Leaseholds</w:t>
            </w:r>
          </w:p>
        </w:tc>
        <w:tc>
          <w:tcPr>
            <w:tcW w:w="1088"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17,834 </w:t>
            </w:r>
          </w:p>
        </w:tc>
        <w:tc>
          <w:tcPr>
            <w:tcW w:w="1086"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15,977 </w:t>
            </w:r>
          </w:p>
        </w:tc>
        <w:tc>
          <w:tcPr>
            <w:tcW w:w="1091"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5,440 </w:t>
            </w:r>
          </w:p>
        </w:tc>
        <w:tc>
          <w:tcPr>
            <w:tcW w:w="1086"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4,283 </w:t>
            </w:r>
          </w:p>
        </w:tc>
        <w:tc>
          <w:tcPr>
            <w:tcW w:w="1083"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4"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2" w:type="dxa"/>
            <w:tcBorders>
              <w:top w:val="nil"/>
              <w:left w:val="nil"/>
              <w:bottom w:val="nil"/>
              <w:right w:val="nil"/>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23,274</w:t>
            </w:r>
          </w:p>
        </w:tc>
        <w:tc>
          <w:tcPr>
            <w:tcW w:w="1081" w:type="dxa"/>
            <w:tcBorders>
              <w:top w:val="nil"/>
              <w:left w:val="single" w:sz="4" w:space="0" w:color="auto"/>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20,260</w:t>
            </w:r>
          </w:p>
        </w:tc>
      </w:tr>
      <w:tr w:rsidR="008835EB" w:rsidRPr="00D47E5B" w:rsidTr="007E3F2E">
        <w:trPr>
          <w:trHeight w:val="229"/>
        </w:trPr>
        <w:tc>
          <w:tcPr>
            <w:tcW w:w="3140" w:type="dxa"/>
            <w:tcBorders>
              <w:top w:val="nil"/>
              <w:left w:val="single" w:sz="4" w:space="0" w:color="auto"/>
              <w:bottom w:val="nil"/>
              <w:right w:val="single" w:sz="4" w:space="0" w:color="auto"/>
            </w:tcBorders>
            <w:shd w:val="clear" w:color="FFFFFF" w:fill="FFFFFF"/>
            <w:noWrap/>
            <w:vAlign w:val="bottom"/>
            <w:hideMark/>
          </w:tcPr>
          <w:p w:rsidR="008835EB" w:rsidRPr="00D47E5B" w:rsidRDefault="008835EB" w:rsidP="007E3F2E">
            <w:pPr>
              <w:spacing w:line="240" w:lineRule="atLeast"/>
              <w:ind w:firstLineChars="100" w:firstLine="170"/>
              <w:rPr>
                <w:rFonts w:cs="Calibri"/>
                <w:sz w:val="17"/>
                <w:szCs w:val="17"/>
              </w:rPr>
            </w:pPr>
            <w:r w:rsidRPr="00D47E5B">
              <w:rPr>
                <w:rFonts w:cs="Calibri"/>
                <w:sz w:val="17"/>
                <w:szCs w:val="17"/>
              </w:rPr>
              <w:t>Infrastructure, plant and equipment</w:t>
            </w:r>
          </w:p>
        </w:tc>
        <w:tc>
          <w:tcPr>
            <w:tcW w:w="1088"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10,342 </w:t>
            </w:r>
          </w:p>
        </w:tc>
        <w:tc>
          <w:tcPr>
            <w:tcW w:w="1086"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9,928 </w:t>
            </w:r>
          </w:p>
        </w:tc>
        <w:tc>
          <w:tcPr>
            <w:tcW w:w="1091"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3,372 </w:t>
            </w:r>
          </w:p>
        </w:tc>
        <w:tc>
          <w:tcPr>
            <w:tcW w:w="1086"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3,311 </w:t>
            </w:r>
          </w:p>
        </w:tc>
        <w:tc>
          <w:tcPr>
            <w:tcW w:w="1083"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4"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2" w:type="dxa"/>
            <w:tcBorders>
              <w:top w:val="nil"/>
              <w:left w:val="nil"/>
              <w:bottom w:val="nil"/>
              <w:right w:val="nil"/>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13,714</w:t>
            </w:r>
          </w:p>
        </w:tc>
        <w:tc>
          <w:tcPr>
            <w:tcW w:w="1081" w:type="dxa"/>
            <w:tcBorders>
              <w:top w:val="nil"/>
              <w:left w:val="single" w:sz="4" w:space="0" w:color="auto"/>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13,239</w:t>
            </w:r>
          </w:p>
        </w:tc>
      </w:tr>
      <w:tr w:rsidR="008835EB" w:rsidRPr="00D47E5B" w:rsidTr="007E3F2E">
        <w:trPr>
          <w:trHeight w:val="229"/>
        </w:trPr>
        <w:tc>
          <w:tcPr>
            <w:tcW w:w="3140" w:type="dxa"/>
            <w:tcBorders>
              <w:top w:val="nil"/>
              <w:left w:val="single" w:sz="4" w:space="0" w:color="auto"/>
              <w:bottom w:val="nil"/>
              <w:right w:val="single" w:sz="4" w:space="0" w:color="auto"/>
            </w:tcBorders>
            <w:shd w:val="clear" w:color="FFFFFF" w:fill="FFFFFF"/>
            <w:noWrap/>
            <w:vAlign w:val="bottom"/>
            <w:hideMark/>
          </w:tcPr>
          <w:p w:rsidR="008835EB" w:rsidRPr="00D47E5B" w:rsidRDefault="008835EB" w:rsidP="007E3F2E">
            <w:pPr>
              <w:spacing w:line="240" w:lineRule="atLeast"/>
              <w:ind w:firstLineChars="100" w:firstLine="170"/>
              <w:rPr>
                <w:rFonts w:cs="Calibri"/>
                <w:sz w:val="17"/>
                <w:szCs w:val="17"/>
              </w:rPr>
            </w:pPr>
            <w:r w:rsidRPr="00D47E5B">
              <w:rPr>
                <w:rFonts w:cs="Calibri"/>
                <w:sz w:val="17"/>
                <w:szCs w:val="17"/>
              </w:rPr>
              <w:t>Intangibles</w:t>
            </w:r>
          </w:p>
        </w:tc>
        <w:tc>
          <w:tcPr>
            <w:tcW w:w="1088"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75,158 </w:t>
            </w:r>
          </w:p>
        </w:tc>
        <w:tc>
          <w:tcPr>
            <w:tcW w:w="1086"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55,897 </w:t>
            </w:r>
          </w:p>
        </w:tc>
        <w:tc>
          <w:tcPr>
            <w:tcW w:w="1091"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13,353 </w:t>
            </w:r>
          </w:p>
        </w:tc>
        <w:tc>
          <w:tcPr>
            <w:tcW w:w="1086"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9,864 </w:t>
            </w:r>
          </w:p>
        </w:tc>
        <w:tc>
          <w:tcPr>
            <w:tcW w:w="1083"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4"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2" w:type="dxa"/>
            <w:tcBorders>
              <w:top w:val="nil"/>
              <w:left w:val="nil"/>
              <w:bottom w:val="nil"/>
              <w:right w:val="nil"/>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88,511</w:t>
            </w:r>
          </w:p>
        </w:tc>
        <w:tc>
          <w:tcPr>
            <w:tcW w:w="1081" w:type="dxa"/>
            <w:tcBorders>
              <w:top w:val="nil"/>
              <w:left w:val="single" w:sz="4" w:space="0" w:color="auto"/>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65,761</w:t>
            </w:r>
          </w:p>
        </w:tc>
      </w:tr>
      <w:tr w:rsidR="008835EB" w:rsidRPr="00D47E5B" w:rsidTr="007E3F2E">
        <w:trPr>
          <w:trHeight w:val="229"/>
        </w:trPr>
        <w:tc>
          <w:tcPr>
            <w:tcW w:w="3140" w:type="dxa"/>
            <w:tcBorders>
              <w:top w:val="nil"/>
              <w:left w:val="single" w:sz="4" w:space="0" w:color="auto"/>
              <w:bottom w:val="nil"/>
              <w:right w:val="single" w:sz="4" w:space="0" w:color="auto"/>
            </w:tcBorders>
            <w:shd w:val="clear" w:color="FFFFFF" w:fill="FFFFFF"/>
            <w:noWrap/>
            <w:vAlign w:val="bottom"/>
            <w:hideMark/>
          </w:tcPr>
          <w:p w:rsidR="008835EB" w:rsidRPr="00D47E5B" w:rsidRDefault="008835EB" w:rsidP="007E3F2E">
            <w:pPr>
              <w:spacing w:line="240" w:lineRule="atLeast"/>
              <w:ind w:firstLineChars="100" w:firstLine="170"/>
              <w:rPr>
                <w:rFonts w:cs="Calibri"/>
                <w:sz w:val="17"/>
                <w:szCs w:val="17"/>
              </w:rPr>
            </w:pPr>
            <w:r w:rsidRPr="00D47E5B">
              <w:rPr>
                <w:rFonts w:cs="Calibri"/>
                <w:sz w:val="17"/>
                <w:szCs w:val="17"/>
              </w:rPr>
              <w:t>Other non-financial assets</w:t>
            </w:r>
          </w:p>
        </w:tc>
        <w:tc>
          <w:tcPr>
            <w:tcW w:w="1088"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7,484 </w:t>
            </w:r>
          </w:p>
        </w:tc>
        <w:tc>
          <w:tcPr>
            <w:tcW w:w="1086"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9,031 </w:t>
            </w:r>
          </w:p>
        </w:tc>
        <w:tc>
          <w:tcPr>
            <w:tcW w:w="1091"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2,151 </w:t>
            </w:r>
          </w:p>
        </w:tc>
        <w:tc>
          <w:tcPr>
            <w:tcW w:w="1086"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2,980 </w:t>
            </w:r>
          </w:p>
        </w:tc>
        <w:tc>
          <w:tcPr>
            <w:tcW w:w="1083"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4"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2" w:type="dxa"/>
            <w:tcBorders>
              <w:top w:val="nil"/>
              <w:left w:val="nil"/>
              <w:bottom w:val="nil"/>
              <w:right w:val="nil"/>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9,635</w:t>
            </w:r>
          </w:p>
        </w:tc>
        <w:tc>
          <w:tcPr>
            <w:tcW w:w="1081" w:type="dxa"/>
            <w:tcBorders>
              <w:top w:val="nil"/>
              <w:left w:val="single" w:sz="4" w:space="0" w:color="auto"/>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12,011</w:t>
            </w:r>
          </w:p>
        </w:tc>
      </w:tr>
      <w:tr w:rsidR="008835EB" w:rsidRPr="00D47E5B" w:rsidTr="007E3F2E">
        <w:trPr>
          <w:trHeight w:val="229"/>
        </w:trPr>
        <w:tc>
          <w:tcPr>
            <w:tcW w:w="3140"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8835EB" w:rsidRPr="00D47E5B" w:rsidRDefault="008835EB" w:rsidP="007E3F2E">
            <w:pPr>
              <w:spacing w:line="240" w:lineRule="atLeast"/>
              <w:rPr>
                <w:rFonts w:cs="Calibri"/>
                <w:b/>
                <w:bCs/>
                <w:sz w:val="17"/>
                <w:szCs w:val="17"/>
              </w:rPr>
            </w:pPr>
            <w:r w:rsidRPr="00D47E5B">
              <w:rPr>
                <w:rFonts w:cs="Calibri"/>
                <w:b/>
                <w:bCs/>
                <w:sz w:val="17"/>
                <w:szCs w:val="17"/>
              </w:rPr>
              <w:t>Total assets</w:t>
            </w:r>
          </w:p>
        </w:tc>
        <w:tc>
          <w:tcPr>
            <w:tcW w:w="1088" w:type="dxa"/>
            <w:tcBorders>
              <w:top w:val="single" w:sz="4" w:space="0" w:color="auto"/>
              <w:left w:val="nil"/>
              <w:bottom w:val="single" w:sz="4" w:space="0" w:color="auto"/>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122,853</w:t>
            </w:r>
          </w:p>
        </w:tc>
        <w:tc>
          <w:tcPr>
            <w:tcW w:w="1086" w:type="dxa"/>
            <w:tcBorders>
              <w:top w:val="single" w:sz="4" w:space="0" w:color="auto"/>
              <w:left w:val="nil"/>
              <w:bottom w:val="single" w:sz="4" w:space="0" w:color="auto"/>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98,847</w:t>
            </w:r>
          </w:p>
        </w:tc>
        <w:tc>
          <w:tcPr>
            <w:tcW w:w="1091" w:type="dxa"/>
            <w:tcBorders>
              <w:top w:val="single" w:sz="4" w:space="0" w:color="auto"/>
              <w:left w:val="nil"/>
              <w:bottom w:val="single" w:sz="4" w:space="0" w:color="auto"/>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27,776</w:t>
            </w:r>
          </w:p>
        </w:tc>
        <w:tc>
          <w:tcPr>
            <w:tcW w:w="1086" w:type="dxa"/>
            <w:tcBorders>
              <w:top w:val="single" w:sz="4" w:space="0" w:color="auto"/>
              <w:left w:val="nil"/>
              <w:bottom w:val="single" w:sz="4" w:space="0" w:color="auto"/>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23,442</w:t>
            </w:r>
          </w:p>
        </w:tc>
        <w:tc>
          <w:tcPr>
            <w:tcW w:w="1083" w:type="dxa"/>
            <w:tcBorders>
              <w:top w:val="single" w:sz="4" w:space="0" w:color="auto"/>
              <w:left w:val="nil"/>
              <w:bottom w:val="single" w:sz="4" w:space="0" w:color="auto"/>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w:t>
            </w:r>
          </w:p>
        </w:tc>
        <w:tc>
          <w:tcPr>
            <w:tcW w:w="1085" w:type="dxa"/>
            <w:tcBorders>
              <w:top w:val="single" w:sz="4" w:space="0" w:color="auto"/>
              <w:left w:val="nil"/>
              <w:bottom w:val="single" w:sz="4" w:space="0" w:color="auto"/>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w:t>
            </w:r>
          </w:p>
        </w:tc>
        <w:tc>
          <w:tcPr>
            <w:tcW w:w="1084" w:type="dxa"/>
            <w:tcBorders>
              <w:top w:val="single" w:sz="4" w:space="0" w:color="auto"/>
              <w:left w:val="nil"/>
              <w:bottom w:val="single" w:sz="4" w:space="0" w:color="auto"/>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117,016</w:t>
            </w:r>
          </w:p>
        </w:tc>
        <w:tc>
          <w:tcPr>
            <w:tcW w:w="1085" w:type="dxa"/>
            <w:tcBorders>
              <w:top w:val="single" w:sz="4" w:space="0" w:color="auto"/>
              <w:left w:val="nil"/>
              <w:bottom w:val="single" w:sz="4" w:space="0" w:color="auto"/>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115,528</w:t>
            </w:r>
          </w:p>
        </w:tc>
        <w:tc>
          <w:tcPr>
            <w:tcW w:w="1082" w:type="dxa"/>
            <w:tcBorders>
              <w:top w:val="single" w:sz="4" w:space="0" w:color="auto"/>
              <w:left w:val="nil"/>
              <w:bottom w:val="single" w:sz="4" w:space="0" w:color="auto"/>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267,645</w:t>
            </w:r>
          </w:p>
        </w:tc>
        <w:tc>
          <w:tcPr>
            <w:tcW w:w="1081" w:type="dxa"/>
            <w:tcBorders>
              <w:top w:val="single" w:sz="4" w:space="0" w:color="auto"/>
              <w:left w:val="nil"/>
              <w:bottom w:val="single" w:sz="4" w:space="0" w:color="auto"/>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237,817</w:t>
            </w:r>
          </w:p>
        </w:tc>
      </w:tr>
      <w:tr w:rsidR="008835EB" w:rsidRPr="00D47E5B" w:rsidTr="007E3F2E">
        <w:trPr>
          <w:trHeight w:val="229"/>
        </w:trPr>
        <w:tc>
          <w:tcPr>
            <w:tcW w:w="3140" w:type="dxa"/>
            <w:tcBorders>
              <w:top w:val="nil"/>
              <w:left w:val="single" w:sz="4" w:space="0" w:color="auto"/>
              <w:bottom w:val="nil"/>
              <w:right w:val="single" w:sz="4" w:space="0" w:color="auto"/>
            </w:tcBorders>
            <w:shd w:val="clear" w:color="FFFFFF" w:fill="FFFFFF"/>
            <w:vAlign w:val="bottom"/>
            <w:hideMark/>
          </w:tcPr>
          <w:p w:rsidR="008835EB" w:rsidRPr="00D47E5B" w:rsidRDefault="008835EB" w:rsidP="007E3F2E">
            <w:pPr>
              <w:spacing w:line="240" w:lineRule="atLeast"/>
              <w:rPr>
                <w:rFonts w:cs="Calibri"/>
                <w:b/>
                <w:bCs/>
                <w:sz w:val="17"/>
                <w:szCs w:val="17"/>
              </w:rPr>
            </w:pPr>
            <w:r w:rsidRPr="00D47E5B">
              <w:rPr>
                <w:rFonts w:cs="Calibri"/>
                <w:b/>
                <w:bCs/>
                <w:sz w:val="17"/>
                <w:szCs w:val="17"/>
              </w:rPr>
              <w:t>Liabilities</w:t>
            </w:r>
          </w:p>
        </w:tc>
        <w:tc>
          <w:tcPr>
            <w:tcW w:w="1088"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rPr>
                <w:rFonts w:cs="Calibri"/>
                <w:sz w:val="17"/>
                <w:szCs w:val="17"/>
              </w:rPr>
            </w:pPr>
            <w:r w:rsidRPr="00D47E5B">
              <w:rPr>
                <w:rFonts w:cs="Calibri"/>
                <w:sz w:val="17"/>
                <w:szCs w:val="17"/>
              </w:rPr>
              <w:t> </w:t>
            </w:r>
          </w:p>
        </w:tc>
        <w:tc>
          <w:tcPr>
            <w:tcW w:w="1086"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rPr>
                <w:rFonts w:cs="Calibri"/>
                <w:sz w:val="17"/>
                <w:szCs w:val="17"/>
              </w:rPr>
            </w:pPr>
            <w:r w:rsidRPr="00D47E5B">
              <w:rPr>
                <w:rFonts w:cs="Calibri"/>
                <w:sz w:val="17"/>
                <w:szCs w:val="17"/>
              </w:rPr>
              <w:t> </w:t>
            </w:r>
          </w:p>
        </w:tc>
        <w:tc>
          <w:tcPr>
            <w:tcW w:w="1091"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rPr>
                <w:rFonts w:cs="Calibri"/>
                <w:sz w:val="17"/>
                <w:szCs w:val="17"/>
              </w:rPr>
            </w:pPr>
            <w:r w:rsidRPr="00D47E5B">
              <w:rPr>
                <w:rFonts w:cs="Calibri"/>
                <w:sz w:val="17"/>
                <w:szCs w:val="17"/>
              </w:rPr>
              <w:t> </w:t>
            </w:r>
          </w:p>
        </w:tc>
        <w:tc>
          <w:tcPr>
            <w:tcW w:w="1086"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rPr>
                <w:rFonts w:cs="Calibri"/>
                <w:sz w:val="17"/>
                <w:szCs w:val="17"/>
              </w:rPr>
            </w:pPr>
            <w:r w:rsidRPr="00D47E5B">
              <w:rPr>
                <w:rFonts w:cs="Calibri"/>
                <w:sz w:val="17"/>
                <w:szCs w:val="17"/>
              </w:rPr>
              <w:t> </w:t>
            </w:r>
          </w:p>
        </w:tc>
        <w:tc>
          <w:tcPr>
            <w:tcW w:w="1083"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rPr>
                <w:rFonts w:cs="Calibri"/>
                <w:sz w:val="17"/>
                <w:szCs w:val="17"/>
              </w:rPr>
            </w:pPr>
            <w:r w:rsidRPr="00D47E5B">
              <w:rPr>
                <w:rFonts w:cs="Calibri"/>
                <w:sz w:val="17"/>
                <w:szCs w:val="17"/>
              </w:rPr>
              <w:t> </w:t>
            </w:r>
          </w:p>
        </w:tc>
        <w:tc>
          <w:tcPr>
            <w:tcW w:w="1085"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rPr>
                <w:rFonts w:cs="Calibri"/>
                <w:sz w:val="17"/>
                <w:szCs w:val="17"/>
              </w:rPr>
            </w:pPr>
            <w:r w:rsidRPr="00D47E5B">
              <w:rPr>
                <w:rFonts w:cs="Calibri"/>
                <w:sz w:val="17"/>
                <w:szCs w:val="17"/>
              </w:rPr>
              <w:t> </w:t>
            </w:r>
          </w:p>
        </w:tc>
        <w:tc>
          <w:tcPr>
            <w:tcW w:w="1084"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rPr>
                <w:rFonts w:cs="Calibri"/>
                <w:sz w:val="17"/>
                <w:szCs w:val="17"/>
              </w:rPr>
            </w:pPr>
            <w:r w:rsidRPr="00D47E5B">
              <w:rPr>
                <w:rFonts w:cs="Calibri"/>
                <w:sz w:val="17"/>
                <w:szCs w:val="17"/>
              </w:rPr>
              <w:t> </w:t>
            </w:r>
          </w:p>
        </w:tc>
        <w:tc>
          <w:tcPr>
            <w:tcW w:w="1085"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rPr>
                <w:rFonts w:cs="Calibri"/>
                <w:sz w:val="17"/>
                <w:szCs w:val="17"/>
              </w:rPr>
            </w:pPr>
            <w:r w:rsidRPr="00D47E5B">
              <w:rPr>
                <w:rFonts w:cs="Calibri"/>
                <w:sz w:val="17"/>
                <w:szCs w:val="17"/>
              </w:rPr>
              <w:t> </w:t>
            </w:r>
          </w:p>
        </w:tc>
        <w:tc>
          <w:tcPr>
            <w:tcW w:w="1082"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rPr>
                <w:rFonts w:cs="Calibri"/>
                <w:sz w:val="17"/>
                <w:szCs w:val="17"/>
              </w:rPr>
            </w:pPr>
            <w:r w:rsidRPr="00D47E5B">
              <w:rPr>
                <w:rFonts w:cs="Calibri"/>
                <w:sz w:val="17"/>
                <w:szCs w:val="17"/>
              </w:rPr>
              <w:t> </w:t>
            </w:r>
          </w:p>
        </w:tc>
        <w:tc>
          <w:tcPr>
            <w:tcW w:w="1081"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rPr>
                <w:rFonts w:cs="Calibri"/>
                <w:sz w:val="17"/>
                <w:szCs w:val="17"/>
              </w:rPr>
            </w:pPr>
            <w:r w:rsidRPr="00D47E5B">
              <w:rPr>
                <w:rFonts w:cs="Calibri"/>
                <w:sz w:val="17"/>
                <w:szCs w:val="17"/>
              </w:rPr>
              <w:t> </w:t>
            </w:r>
          </w:p>
        </w:tc>
      </w:tr>
      <w:tr w:rsidR="008835EB" w:rsidRPr="00D47E5B" w:rsidTr="007E3F2E">
        <w:trPr>
          <w:trHeight w:val="229"/>
        </w:trPr>
        <w:tc>
          <w:tcPr>
            <w:tcW w:w="3140" w:type="dxa"/>
            <w:tcBorders>
              <w:top w:val="nil"/>
              <w:left w:val="single" w:sz="4" w:space="0" w:color="auto"/>
              <w:bottom w:val="nil"/>
              <w:right w:val="single" w:sz="4" w:space="0" w:color="auto"/>
            </w:tcBorders>
            <w:shd w:val="clear" w:color="FFFFFF" w:fill="FFFFFF"/>
            <w:noWrap/>
            <w:vAlign w:val="bottom"/>
            <w:hideMark/>
          </w:tcPr>
          <w:p w:rsidR="008835EB" w:rsidRPr="00D47E5B" w:rsidRDefault="008835EB" w:rsidP="007E3F2E">
            <w:pPr>
              <w:spacing w:line="240" w:lineRule="atLeast"/>
              <w:ind w:firstLineChars="100" w:firstLine="170"/>
              <w:rPr>
                <w:rFonts w:cs="Calibri"/>
                <w:sz w:val="17"/>
                <w:szCs w:val="17"/>
              </w:rPr>
            </w:pPr>
            <w:r w:rsidRPr="00D47E5B">
              <w:rPr>
                <w:rFonts w:cs="Calibri"/>
                <w:sz w:val="17"/>
                <w:szCs w:val="17"/>
              </w:rPr>
              <w:t>Suppliers</w:t>
            </w:r>
          </w:p>
        </w:tc>
        <w:tc>
          <w:tcPr>
            <w:tcW w:w="1088"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13,700 </w:t>
            </w:r>
          </w:p>
        </w:tc>
        <w:tc>
          <w:tcPr>
            <w:tcW w:w="1086"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13,130 </w:t>
            </w:r>
          </w:p>
        </w:tc>
        <w:tc>
          <w:tcPr>
            <w:tcW w:w="1091"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4,1</w:t>
            </w:r>
            <w:r>
              <w:rPr>
                <w:rFonts w:cs="Calibri"/>
                <w:b/>
                <w:bCs/>
                <w:sz w:val="17"/>
                <w:szCs w:val="17"/>
              </w:rPr>
              <w:t>79</w:t>
            </w:r>
            <w:r w:rsidRPr="00D47E5B">
              <w:rPr>
                <w:rFonts w:cs="Calibri"/>
                <w:b/>
                <w:bCs/>
                <w:sz w:val="17"/>
                <w:szCs w:val="17"/>
              </w:rPr>
              <w:t xml:space="preserve"> </w:t>
            </w:r>
          </w:p>
        </w:tc>
        <w:tc>
          <w:tcPr>
            <w:tcW w:w="1086"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3,590 </w:t>
            </w:r>
          </w:p>
        </w:tc>
        <w:tc>
          <w:tcPr>
            <w:tcW w:w="1083"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4"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2" w:type="dxa"/>
            <w:tcBorders>
              <w:top w:val="nil"/>
              <w:left w:val="nil"/>
              <w:bottom w:val="nil"/>
              <w:right w:val="nil"/>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17,8</w:t>
            </w:r>
            <w:r>
              <w:rPr>
                <w:rFonts w:cs="Calibri"/>
                <w:b/>
                <w:bCs/>
                <w:sz w:val="17"/>
                <w:szCs w:val="17"/>
              </w:rPr>
              <w:t>79</w:t>
            </w:r>
          </w:p>
        </w:tc>
        <w:tc>
          <w:tcPr>
            <w:tcW w:w="1081" w:type="dxa"/>
            <w:tcBorders>
              <w:top w:val="nil"/>
              <w:left w:val="single" w:sz="4" w:space="0" w:color="auto"/>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16,720</w:t>
            </w:r>
          </w:p>
        </w:tc>
      </w:tr>
      <w:tr w:rsidR="008835EB" w:rsidRPr="00D47E5B" w:rsidTr="007E3F2E">
        <w:trPr>
          <w:trHeight w:val="229"/>
        </w:trPr>
        <w:tc>
          <w:tcPr>
            <w:tcW w:w="3140" w:type="dxa"/>
            <w:tcBorders>
              <w:top w:val="nil"/>
              <w:left w:val="single" w:sz="4" w:space="0" w:color="auto"/>
              <w:bottom w:val="nil"/>
              <w:right w:val="single" w:sz="4" w:space="0" w:color="auto"/>
            </w:tcBorders>
            <w:shd w:val="clear" w:color="FFFFFF" w:fill="FFFFFF"/>
            <w:noWrap/>
            <w:vAlign w:val="bottom"/>
            <w:hideMark/>
          </w:tcPr>
          <w:p w:rsidR="008835EB" w:rsidRPr="00D47E5B" w:rsidRDefault="008835EB" w:rsidP="007E3F2E">
            <w:pPr>
              <w:spacing w:line="240" w:lineRule="atLeast"/>
              <w:ind w:firstLineChars="100" w:firstLine="170"/>
              <w:rPr>
                <w:rFonts w:cs="Calibri"/>
                <w:sz w:val="17"/>
                <w:szCs w:val="17"/>
              </w:rPr>
            </w:pPr>
            <w:r w:rsidRPr="00D47E5B">
              <w:rPr>
                <w:rFonts w:cs="Calibri"/>
                <w:sz w:val="17"/>
                <w:szCs w:val="17"/>
              </w:rPr>
              <w:t>Other payables</w:t>
            </w:r>
          </w:p>
        </w:tc>
        <w:tc>
          <w:tcPr>
            <w:tcW w:w="1088"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25,254 </w:t>
            </w:r>
          </w:p>
        </w:tc>
        <w:tc>
          <w:tcPr>
            <w:tcW w:w="1086"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27,436 </w:t>
            </w:r>
          </w:p>
        </w:tc>
        <w:tc>
          <w:tcPr>
            <w:tcW w:w="1091"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7,705 </w:t>
            </w:r>
          </w:p>
        </w:tc>
        <w:tc>
          <w:tcPr>
            <w:tcW w:w="1086"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7,500 </w:t>
            </w:r>
          </w:p>
        </w:tc>
        <w:tc>
          <w:tcPr>
            <w:tcW w:w="1083"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4"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2" w:type="dxa"/>
            <w:tcBorders>
              <w:top w:val="nil"/>
              <w:left w:val="nil"/>
              <w:bottom w:val="nil"/>
              <w:right w:val="nil"/>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32,959</w:t>
            </w:r>
          </w:p>
        </w:tc>
        <w:tc>
          <w:tcPr>
            <w:tcW w:w="1081" w:type="dxa"/>
            <w:tcBorders>
              <w:top w:val="nil"/>
              <w:left w:val="single" w:sz="4" w:space="0" w:color="auto"/>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34,936</w:t>
            </w:r>
          </w:p>
        </w:tc>
      </w:tr>
      <w:tr w:rsidR="008835EB" w:rsidRPr="00D47E5B" w:rsidTr="007E3F2E">
        <w:trPr>
          <w:trHeight w:val="229"/>
        </w:trPr>
        <w:tc>
          <w:tcPr>
            <w:tcW w:w="3140" w:type="dxa"/>
            <w:tcBorders>
              <w:top w:val="nil"/>
              <w:left w:val="single" w:sz="4" w:space="0" w:color="auto"/>
              <w:bottom w:val="nil"/>
              <w:right w:val="single" w:sz="4" w:space="0" w:color="auto"/>
            </w:tcBorders>
            <w:shd w:val="clear" w:color="FFFFFF" w:fill="FFFFFF"/>
            <w:noWrap/>
            <w:vAlign w:val="bottom"/>
            <w:hideMark/>
          </w:tcPr>
          <w:p w:rsidR="008835EB" w:rsidRPr="00D47E5B" w:rsidRDefault="008835EB" w:rsidP="007E3F2E">
            <w:pPr>
              <w:spacing w:line="240" w:lineRule="atLeast"/>
              <w:ind w:firstLineChars="100" w:firstLine="170"/>
              <w:rPr>
                <w:rFonts w:cs="Calibri"/>
                <w:sz w:val="17"/>
                <w:szCs w:val="17"/>
              </w:rPr>
            </w:pPr>
            <w:r w:rsidRPr="00D47E5B">
              <w:rPr>
                <w:rFonts w:cs="Calibri"/>
                <w:sz w:val="17"/>
                <w:szCs w:val="17"/>
              </w:rPr>
              <w:t>Employee provisions</w:t>
            </w:r>
          </w:p>
        </w:tc>
        <w:tc>
          <w:tcPr>
            <w:tcW w:w="1088"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51,588 </w:t>
            </w:r>
          </w:p>
        </w:tc>
        <w:tc>
          <w:tcPr>
            <w:tcW w:w="1086"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49,157 </w:t>
            </w:r>
          </w:p>
        </w:tc>
        <w:tc>
          <w:tcPr>
            <w:tcW w:w="1091"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Pr>
                <w:rFonts w:cs="Calibri"/>
                <w:b/>
                <w:bCs/>
                <w:sz w:val="17"/>
                <w:szCs w:val="17"/>
              </w:rPr>
              <w:t>15,741</w:t>
            </w:r>
            <w:r w:rsidRPr="00D47E5B">
              <w:rPr>
                <w:rFonts w:cs="Calibri"/>
                <w:b/>
                <w:bCs/>
                <w:sz w:val="17"/>
                <w:szCs w:val="17"/>
              </w:rPr>
              <w:t xml:space="preserve"> </w:t>
            </w:r>
          </w:p>
        </w:tc>
        <w:tc>
          <w:tcPr>
            <w:tcW w:w="1086"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13,439 </w:t>
            </w:r>
          </w:p>
        </w:tc>
        <w:tc>
          <w:tcPr>
            <w:tcW w:w="1083"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4" w:type="dxa"/>
            <w:tcBorders>
              <w:top w:val="nil"/>
              <w:left w:val="nil"/>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2" w:type="dxa"/>
            <w:tcBorders>
              <w:top w:val="nil"/>
              <w:left w:val="nil"/>
              <w:bottom w:val="nil"/>
              <w:right w:val="nil"/>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Pr>
                <w:rFonts w:cs="Calibri"/>
                <w:b/>
                <w:bCs/>
                <w:sz w:val="17"/>
                <w:szCs w:val="17"/>
              </w:rPr>
              <w:t>67,329</w:t>
            </w:r>
          </w:p>
        </w:tc>
        <w:tc>
          <w:tcPr>
            <w:tcW w:w="1081" w:type="dxa"/>
            <w:tcBorders>
              <w:top w:val="nil"/>
              <w:left w:val="single" w:sz="4" w:space="0" w:color="auto"/>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62,596</w:t>
            </w:r>
          </w:p>
        </w:tc>
      </w:tr>
      <w:tr w:rsidR="008835EB" w:rsidRPr="00D47E5B" w:rsidTr="007E3F2E">
        <w:trPr>
          <w:trHeight w:val="229"/>
        </w:trPr>
        <w:tc>
          <w:tcPr>
            <w:tcW w:w="3140" w:type="dxa"/>
            <w:tcBorders>
              <w:top w:val="nil"/>
              <w:left w:val="single" w:sz="4" w:space="0" w:color="auto"/>
              <w:bottom w:val="nil"/>
              <w:right w:val="single" w:sz="4" w:space="0" w:color="auto"/>
            </w:tcBorders>
            <w:shd w:val="clear" w:color="FFFFFF" w:fill="FFFFFF"/>
            <w:noWrap/>
            <w:vAlign w:val="bottom"/>
            <w:hideMark/>
          </w:tcPr>
          <w:p w:rsidR="008835EB" w:rsidRPr="00D47E5B" w:rsidRDefault="008835EB" w:rsidP="007E3F2E">
            <w:pPr>
              <w:spacing w:line="240" w:lineRule="atLeast"/>
              <w:ind w:firstLineChars="100" w:firstLine="170"/>
              <w:rPr>
                <w:rFonts w:cs="Calibri"/>
                <w:sz w:val="17"/>
                <w:szCs w:val="17"/>
              </w:rPr>
            </w:pPr>
            <w:r w:rsidRPr="00D47E5B">
              <w:rPr>
                <w:rFonts w:cs="Calibri"/>
                <w:sz w:val="17"/>
                <w:szCs w:val="17"/>
              </w:rPr>
              <w:t>Other provisions</w:t>
            </w:r>
          </w:p>
        </w:tc>
        <w:tc>
          <w:tcPr>
            <w:tcW w:w="1088"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1,837 </w:t>
            </w:r>
          </w:p>
        </w:tc>
        <w:tc>
          <w:tcPr>
            <w:tcW w:w="1086"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4,919 </w:t>
            </w:r>
          </w:p>
        </w:tc>
        <w:tc>
          <w:tcPr>
            <w:tcW w:w="1091"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560 </w:t>
            </w:r>
          </w:p>
        </w:tc>
        <w:tc>
          <w:tcPr>
            <w:tcW w:w="1086"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1,345 </w:t>
            </w:r>
          </w:p>
        </w:tc>
        <w:tc>
          <w:tcPr>
            <w:tcW w:w="1083"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4"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nil"/>
              <w:bottom w:val="nil"/>
              <w:right w:val="single" w:sz="4" w:space="0" w:color="auto"/>
            </w:tcBorders>
            <w:shd w:val="clear" w:color="FFFFFF" w:fill="FFFFFF"/>
            <w:noWrap/>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2" w:type="dxa"/>
            <w:tcBorders>
              <w:top w:val="nil"/>
              <w:left w:val="nil"/>
              <w:bottom w:val="nil"/>
              <w:right w:val="nil"/>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2,397</w:t>
            </w:r>
          </w:p>
        </w:tc>
        <w:tc>
          <w:tcPr>
            <w:tcW w:w="1081" w:type="dxa"/>
            <w:tcBorders>
              <w:top w:val="nil"/>
              <w:left w:val="single" w:sz="4" w:space="0" w:color="auto"/>
              <w:bottom w:val="nil"/>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6,264</w:t>
            </w:r>
          </w:p>
        </w:tc>
      </w:tr>
      <w:tr w:rsidR="008835EB" w:rsidRPr="00D47E5B" w:rsidTr="007E3F2E">
        <w:trPr>
          <w:trHeight w:val="229"/>
        </w:trPr>
        <w:tc>
          <w:tcPr>
            <w:tcW w:w="3140"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8835EB" w:rsidRPr="00D47E5B" w:rsidRDefault="008835EB" w:rsidP="007E3F2E">
            <w:pPr>
              <w:spacing w:line="240" w:lineRule="atLeast"/>
              <w:rPr>
                <w:rFonts w:cs="Calibri"/>
                <w:b/>
                <w:bCs/>
                <w:sz w:val="17"/>
                <w:szCs w:val="17"/>
              </w:rPr>
            </w:pPr>
            <w:r w:rsidRPr="00D47E5B">
              <w:rPr>
                <w:rFonts w:cs="Calibri"/>
                <w:b/>
                <w:bCs/>
                <w:sz w:val="17"/>
                <w:szCs w:val="17"/>
              </w:rPr>
              <w:t>Total liabilities</w:t>
            </w:r>
          </w:p>
        </w:tc>
        <w:tc>
          <w:tcPr>
            <w:tcW w:w="1088" w:type="dxa"/>
            <w:tcBorders>
              <w:top w:val="single" w:sz="4" w:space="0" w:color="auto"/>
              <w:left w:val="nil"/>
              <w:bottom w:val="single" w:sz="4" w:space="0" w:color="auto"/>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92,379</w:t>
            </w:r>
          </w:p>
        </w:tc>
        <w:tc>
          <w:tcPr>
            <w:tcW w:w="1086" w:type="dxa"/>
            <w:tcBorders>
              <w:top w:val="single" w:sz="4" w:space="0" w:color="auto"/>
              <w:left w:val="nil"/>
              <w:bottom w:val="single" w:sz="4" w:space="0" w:color="auto"/>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94,642</w:t>
            </w:r>
          </w:p>
        </w:tc>
        <w:tc>
          <w:tcPr>
            <w:tcW w:w="1091" w:type="dxa"/>
            <w:tcBorders>
              <w:top w:val="single" w:sz="4" w:space="0" w:color="auto"/>
              <w:left w:val="nil"/>
              <w:bottom w:val="single" w:sz="4" w:space="0" w:color="auto"/>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28,185</w:t>
            </w:r>
          </w:p>
        </w:tc>
        <w:tc>
          <w:tcPr>
            <w:tcW w:w="1086" w:type="dxa"/>
            <w:tcBorders>
              <w:top w:val="single" w:sz="4" w:space="0" w:color="auto"/>
              <w:left w:val="nil"/>
              <w:bottom w:val="single" w:sz="4" w:space="0" w:color="auto"/>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25,874</w:t>
            </w:r>
          </w:p>
        </w:tc>
        <w:tc>
          <w:tcPr>
            <w:tcW w:w="1083" w:type="dxa"/>
            <w:tcBorders>
              <w:top w:val="single" w:sz="4" w:space="0" w:color="auto"/>
              <w:left w:val="nil"/>
              <w:bottom w:val="single" w:sz="4" w:space="0" w:color="auto"/>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w:t>
            </w:r>
          </w:p>
        </w:tc>
        <w:tc>
          <w:tcPr>
            <w:tcW w:w="1085" w:type="dxa"/>
            <w:tcBorders>
              <w:top w:val="single" w:sz="4" w:space="0" w:color="auto"/>
              <w:left w:val="nil"/>
              <w:bottom w:val="single" w:sz="4" w:space="0" w:color="auto"/>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w:t>
            </w:r>
          </w:p>
        </w:tc>
        <w:tc>
          <w:tcPr>
            <w:tcW w:w="1084" w:type="dxa"/>
            <w:tcBorders>
              <w:top w:val="single" w:sz="4" w:space="0" w:color="auto"/>
              <w:left w:val="nil"/>
              <w:bottom w:val="single" w:sz="4" w:space="0" w:color="auto"/>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w:t>
            </w:r>
          </w:p>
        </w:tc>
        <w:tc>
          <w:tcPr>
            <w:tcW w:w="1085" w:type="dxa"/>
            <w:tcBorders>
              <w:top w:val="single" w:sz="4" w:space="0" w:color="auto"/>
              <w:left w:val="nil"/>
              <w:bottom w:val="single" w:sz="4" w:space="0" w:color="auto"/>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w:t>
            </w:r>
          </w:p>
        </w:tc>
        <w:tc>
          <w:tcPr>
            <w:tcW w:w="1082" w:type="dxa"/>
            <w:tcBorders>
              <w:top w:val="single" w:sz="4" w:space="0" w:color="auto"/>
              <w:left w:val="nil"/>
              <w:bottom w:val="single" w:sz="4" w:space="0" w:color="auto"/>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120,564</w:t>
            </w:r>
          </w:p>
        </w:tc>
        <w:tc>
          <w:tcPr>
            <w:tcW w:w="1081" w:type="dxa"/>
            <w:tcBorders>
              <w:top w:val="single" w:sz="4" w:space="0" w:color="auto"/>
              <w:left w:val="nil"/>
              <w:bottom w:val="single" w:sz="4" w:space="0" w:color="auto"/>
              <w:right w:val="single" w:sz="4" w:space="0" w:color="auto"/>
            </w:tcBorders>
            <w:shd w:val="clear" w:color="FFFFFF" w:fill="FFFFFF"/>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120,516</w:t>
            </w:r>
          </w:p>
        </w:tc>
      </w:tr>
      <w:tr w:rsidR="008835EB" w:rsidRPr="00D47E5B" w:rsidTr="007E3F2E">
        <w:trPr>
          <w:trHeight w:val="240"/>
        </w:trPr>
        <w:tc>
          <w:tcPr>
            <w:tcW w:w="3140" w:type="dxa"/>
            <w:tcBorders>
              <w:top w:val="nil"/>
              <w:left w:val="single" w:sz="4" w:space="0" w:color="auto"/>
              <w:bottom w:val="nil"/>
              <w:right w:val="single" w:sz="4" w:space="0" w:color="auto"/>
            </w:tcBorders>
            <w:shd w:val="clear" w:color="000000" w:fill="D9D9D9"/>
            <w:hideMark/>
          </w:tcPr>
          <w:p w:rsidR="008835EB" w:rsidRPr="00D47E5B" w:rsidRDefault="008835EB" w:rsidP="007E3F2E">
            <w:pPr>
              <w:spacing w:line="240" w:lineRule="atLeast"/>
              <w:rPr>
                <w:rFonts w:cs="Calibri"/>
                <w:b/>
                <w:bCs/>
                <w:sz w:val="17"/>
                <w:szCs w:val="17"/>
              </w:rPr>
            </w:pPr>
            <w:r w:rsidRPr="00D47E5B">
              <w:rPr>
                <w:rFonts w:cs="Calibri"/>
                <w:b/>
                <w:bCs/>
                <w:sz w:val="17"/>
                <w:szCs w:val="17"/>
              </w:rPr>
              <w:t>Assets</w:t>
            </w:r>
          </w:p>
        </w:tc>
        <w:tc>
          <w:tcPr>
            <w:tcW w:w="1088" w:type="dxa"/>
            <w:tcBorders>
              <w:top w:val="nil"/>
              <w:left w:val="nil"/>
              <w:bottom w:val="nil"/>
              <w:right w:val="single" w:sz="4" w:space="0" w:color="auto"/>
            </w:tcBorders>
            <w:shd w:val="clear" w:color="000000" w:fill="D9D9D9"/>
            <w:noWrap/>
            <w:vAlign w:val="center"/>
            <w:hideMark/>
          </w:tcPr>
          <w:p w:rsidR="008835EB" w:rsidRPr="00D47E5B" w:rsidRDefault="008835EB" w:rsidP="007E3F2E">
            <w:pPr>
              <w:spacing w:line="240" w:lineRule="atLeast"/>
              <w:rPr>
                <w:rFonts w:ascii="Arial" w:hAnsi="Arial" w:cs="Arial"/>
                <w:sz w:val="17"/>
                <w:szCs w:val="17"/>
              </w:rPr>
            </w:pPr>
            <w:r w:rsidRPr="00D47E5B">
              <w:rPr>
                <w:rFonts w:ascii="Arial" w:hAnsi="Arial" w:cs="Arial"/>
                <w:sz w:val="17"/>
                <w:szCs w:val="17"/>
              </w:rPr>
              <w:t> </w:t>
            </w:r>
          </w:p>
        </w:tc>
        <w:tc>
          <w:tcPr>
            <w:tcW w:w="1086" w:type="dxa"/>
            <w:tcBorders>
              <w:top w:val="nil"/>
              <w:left w:val="nil"/>
              <w:bottom w:val="nil"/>
              <w:right w:val="single" w:sz="4" w:space="0" w:color="auto"/>
            </w:tcBorders>
            <w:shd w:val="clear" w:color="000000" w:fill="D9D9D9"/>
            <w:noWrap/>
            <w:vAlign w:val="center"/>
            <w:hideMark/>
          </w:tcPr>
          <w:p w:rsidR="008835EB" w:rsidRPr="00D47E5B" w:rsidRDefault="008835EB" w:rsidP="007E3F2E">
            <w:pPr>
              <w:spacing w:line="240" w:lineRule="atLeast"/>
              <w:rPr>
                <w:rFonts w:ascii="Arial" w:hAnsi="Arial" w:cs="Arial"/>
                <w:sz w:val="17"/>
                <w:szCs w:val="17"/>
              </w:rPr>
            </w:pPr>
            <w:r w:rsidRPr="00D47E5B">
              <w:rPr>
                <w:rFonts w:ascii="Arial" w:hAnsi="Arial" w:cs="Arial"/>
                <w:sz w:val="17"/>
                <w:szCs w:val="17"/>
              </w:rPr>
              <w:t> </w:t>
            </w:r>
          </w:p>
        </w:tc>
        <w:tc>
          <w:tcPr>
            <w:tcW w:w="1091" w:type="dxa"/>
            <w:tcBorders>
              <w:top w:val="nil"/>
              <w:left w:val="nil"/>
              <w:bottom w:val="nil"/>
              <w:right w:val="single" w:sz="4" w:space="0" w:color="auto"/>
            </w:tcBorders>
            <w:shd w:val="clear" w:color="000000" w:fill="D9D9D9"/>
            <w:noWrap/>
            <w:vAlign w:val="center"/>
            <w:hideMark/>
          </w:tcPr>
          <w:p w:rsidR="008835EB" w:rsidRPr="00D47E5B" w:rsidRDefault="008835EB" w:rsidP="007E3F2E">
            <w:pPr>
              <w:spacing w:line="240" w:lineRule="atLeast"/>
              <w:rPr>
                <w:rFonts w:ascii="Arial" w:hAnsi="Arial" w:cs="Arial"/>
                <w:sz w:val="17"/>
                <w:szCs w:val="17"/>
              </w:rPr>
            </w:pPr>
            <w:r w:rsidRPr="00D47E5B">
              <w:rPr>
                <w:rFonts w:ascii="Arial" w:hAnsi="Arial" w:cs="Arial"/>
                <w:sz w:val="17"/>
                <w:szCs w:val="17"/>
              </w:rPr>
              <w:t> </w:t>
            </w:r>
          </w:p>
        </w:tc>
        <w:tc>
          <w:tcPr>
            <w:tcW w:w="1086" w:type="dxa"/>
            <w:tcBorders>
              <w:top w:val="nil"/>
              <w:left w:val="nil"/>
              <w:bottom w:val="nil"/>
              <w:right w:val="single" w:sz="4" w:space="0" w:color="auto"/>
            </w:tcBorders>
            <w:shd w:val="clear" w:color="000000" w:fill="D9D9D9"/>
            <w:noWrap/>
            <w:vAlign w:val="center"/>
            <w:hideMark/>
          </w:tcPr>
          <w:p w:rsidR="008835EB" w:rsidRPr="00D47E5B" w:rsidRDefault="008835EB" w:rsidP="007E3F2E">
            <w:pPr>
              <w:spacing w:line="240" w:lineRule="atLeast"/>
              <w:rPr>
                <w:rFonts w:ascii="Arial" w:hAnsi="Arial" w:cs="Arial"/>
                <w:sz w:val="17"/>
                <w:szCs w:val="17"/>
              </w:rPr>
            </w:pPr>
            <w:r w:rsidRPr="00D47E5B">
              <w:rPr>
                <w:rFonts w:ascii="Arial" w:hAnsi="Arial" w:cs="Arial"/>
                <w:sz w:val="17"/>
                <w:szCs w:val="17"/>
              </w:rPr>
              <w:t> </w:t>
            </w:r>
          </w:p>
        </w:tc>
        <w:tc>
          <w:tcPr>
            <w:tcW w:w="1083" w:type="dxa"/>
            <w:tcBorders>
              <w:top w:val="nil"/>
              <w:left w:val="nil"/>
              <w:bottom w:val="nil"/>
              <w:right w:val="single" w:sz="4" w:space="0" w:color="auto"/>
            </w:tcBorders>
            <w:shd w:val="clear" w:color="000000" w:fill="D9D9D9"/>
            <w:noWrap/>
            <w:vAlign w:val="center"/>
            <w:hideMark/>
          </w:tcPr>
          <w:p w:rsidR="008835EB" w:rsidRPr="00D47E5B" w:rsidRDefault="008835EB" w:rsidP="007E3F2E">
            <w:pPr>
              <w:spacing w:line="240" w:lineRule="atLeast"/>
              <w:rPr>
                <w:rFonts w:ascii="Arial" w:hAnsi="Arial" w:cs="Arial"/>
                <w:sz w:val="17"/>
                <w:szCs w:val="17"/>
              </w:rPr>
            </w:pPr>
            <w:r w:rsidRPr="00D47E5B">
              <w:rPr>
                <w:rFonts w:ascii="Arial" w:hAnsi="Arial" w:cs="Arial"/>
                <w:sz w:val="17"/>
                <w:szCs w:val="17"/>
              </w:rPr>
              <w:t> </w:t>
            </w:r>
          </w:p>
        </w:tc>
        <w:tc>
          <w:tcPr>
            <w:tcW w:w="1085" w:type="dxa"/>
            <w:tcBorders>
              <w:top w:val="nil"/>
              <w:left w:val="nil"/>
              <w:bottom w:val="nil"/>
              <w:right w:val="single" w:sz="4" w:space="0" w:color="auto"/>
            </w:tcBorders>
            <w:shd w:val="clear" w:color="000000" w:fill="D9D9D9"/>
            <w:noWrap/>
            <w:vAlign w:val="center"/>
            <w:hideMark/>
          </w:tcPr>
          <w:p w:rsidR="008835EB" w:rsidRPr="00D47E5B" w:rsidRDefault="008835EB" w:rsidP="007E3F2E">
            <w:pPr>
              <w:spacing w:line="240" w:lineRule="atLeast"/>
              <w:rPr>
                <w:rFonts w:ascii="Arial" w:hAnsi="Arial" w:cs="Arial"/>
                <w:sz w:val="17"/>
                <w:szCs w:val="17"/>
              </w:rPr>
            </w:pPr>
            <w:r w:rsidRPr="00D47E5B">
              <w:rPr>
                <w:rFonts w:ascii="Arial" w:hAnsi="Arial" w:cs="Arial"/>
                <w:sz w:val="17"/>
                <w:szCs w:val="17"/>
              </w:rPr>
              <w:t> </w:t>
            </w:r>
          </w:p>
        </w:tc>
        <w:tc>
          <w:tcPr>
            <w:tcW w:w="1084" w:type="dxa"/>
            <w:tcBorders>
              <w:top w:val="nil"/>
              <w:left w:val="nil"/>
              <w:bottom w:val="nil"/>
              <w:right w:val="single" w:sz="4" w:space="0" w:color="auto"/>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w:t>
            </w:r>
          </w:p>
        </w:tc>
        <w:tc>
          <w:tcPr>
            <w:tcW w:w="1085" w:type="dxa"/>
            <w:tcBorders>
              <w:top w:val="nil"/>
              <w:left w:val="nil"/>
              <w:bottom w:val="nil"/>
              <w:right w:val="single" w:sz="4" w:space="0" w:color="auto"/>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w:t>
            </w:r>
          </w:p>
        </w:tc>
        <w:tc>
          <w:tcPr>
            <w:tcW w:w="1082" w:type="dxa"/>
            <w:tcBorders>
              <w:top w:val="nil"/>
              <w:left w:val="nil"/>
              <w:bottom w:val="nil"/>
              <w:right w:val="single" w:sz="4" w:space="0" w:color="auto"/>
            </w:tcBorders>
            <w:shd w:val="clear" w:color="000000" w:fill="D9D9D9"/>
            <w:noWrap/>
            <w:vAlign w:val="center"/>
            <w:hideMark/>
          </w:tcPr>
          <w:p w:rsidR="008835EB" w:rsidRPr="00D47E5B" w:rsidRDefault="008835EB" w:rsidP="007E3F2E">
            <w:pPr>
              <w:spacing w:line="240" w:lineRule="atLeast"/>
              <w:rPr>
                <w:rFonts w:ascii="Arial" w:hAnsi="Arial" w:cs="Arial"/>
                <w:b/>
                <w:bCs/>
                <w:sz w:val="17"/>
                <w:szCs w:val="17"/>
              </w:rPr>
            </w:pPr>
            <w:r w:rsidRPr="00D47E5B">
              <w:rPr>
                <w:rFonts w:ascii="Arial" w:hAnsi="Arial" w:cs="Arial"/>
                <w:b/>
                <w:bCs/>
                <w:sz w:val="17"/>
                <w:szCs w:val="17"/>
              </w:rPr>
              <w:t> </w:t>
            </w:r>
          </w:p>
        </w:tc>
        <w:tc>
          <w:tcPr>
            <w:tcW w:w="1081" w:type="dxa"/>
            <w:tcBorders>
              <w:top w:val="nil"/>
              <w:left w:val="nil"/>
              <w:bottom w:val="nil"/>
              <w:right w:val="single" w:sz="4" w:space="0" w:color="auto"/>
            </w:tcBorders>
            <w:shd w:val="clear" w:color="000000" w:fill="D9D9D9"/>
            <w:noWrap/>
            <w:vAlign w:val="center"/>
            <w:hideMark/>
          </w:tcPr>
          <w:p w:rsidR="008835EB" w:rsidRPr="00D47E5B" w:rsidRDefault="008835EB" w:rsidP="007E3F2E">
            <w:pPr>
              <w:spacing w:line="240" w:lineRule="atLeast"/>
              <w:rPr>
                <w:rFonts w:ascii="Arial" w:hAnsi="Arial" w:cs="Arial"/>
                <w:sz w:val="17"/>
                <w:szCs w:val="17"/>
              </w:rPr>
            </w:pPr>
            <w:r w:rsidRPr="00D47E5B">
              <w:rPr>
                <w:rFonts w:ascii="Arial" w:hAnsi="Arial" w:cs="Arial"/>
                <w:sz w:val="17"/>
                <w:szCs w:val="17"/>
              </w:rPr>
              <w:t> </w:t>
            </w:r>
          </w:p>
        </w:tc>
      </w:tr>
      <w:tr w:rsidR="008835EB" w:rsidRPr="00D47E5B" w:rsidTr="007E3F2E">
        <w:trPr>
          <w:trHeight w:val="240"/>
        </w:trPr>
        <w:tc>
          <w:tcPr>
            <w:tcW w:w="3140" w:type="dxa"/>
            <w:tcBorders>
              <w:top w:val="nil"/>
              <w:left w:val="single" w:sz="4" w:space="0" w:color="auto"/>
              <w:bottom w:val="nil"/>
              <w:right w:val="single" w:sz="4" w:space="0" w:color="auto"/>
            </w:tcBorders>
            <w:shd w:val="clear" w:color="000000" w:fill="D9D9D9"/>
            <w:noWrap/>
            <w:vAlign w:val="bottom"/>
            <w:hideMark/>
          </w:tcPr>
          <w:p w:rsidR="008835EB" w:rsidRPr="00D47E5B" w:rsidRDefault="008835EB" w:rsidP="007E3F2E">
            <w:pPr>
              <w:spacing w:line="240" w:lineRule="atLeast"/>
              <w:ind w:firstLineChars="100" w:firstLine="170"/>
              <w:rPr>
                <w:rFonts w:cs="Calibri"/>
                <w:sz w:val="17"/>
                <w:szCs w:val="17"/>
              </w:rPr>
            </w:pPr>
            <w:r w:rsidRPr="00D47E5B">
              <w:rPr>
                <w:rFonts w:cs="Calibri"/>
                <w:sz w:val="17"/>
                <w:szCs w:val="17"/>
              </w:rPr>
              <w:t>Cash and cash equivalents</w:t>
            </w:r>
          </w:p>
        </w:tc>
        <w:tc>
          <w:tcPr>
            <w:tcW w:w="1088" w:type="dxa"/>
            <w:tcBorders>
              <w:top w:val="nil"/>
              <w:left w:val="nil"/>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4 </w:t>
            </w:r>
          </w:p>
        </w:tc>
        <w:tc>
          <w:tcPr>
            <w:tcW w:w="1086"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86 </w:t>
            </w:r>
          </w:p>
        </w:tc>
        <w:tc>
          <w:tcPr>
            <w:tcW w:w="1091"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6"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18 </w:t>
            </w:r>
          </w:p>
        </w:tc>
        <w:tc>
          <w:tcPr>
            <w:tcW w:w="1083"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4"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2" w:type="dxa"/>
            <w:tcBorders>
              <w:top w:val="nil"/>
              <w:left w:val="single" w:sz="4" w:space="0" w:color="auto"/>
              <w:bottom w:val="nil"/>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4</w:t>
            </w:r>
          </w:p>
        </w:tc>
        <w:tc>
          <w:tcPr>
            <w:tcW w:w="1081" w:type="dxa"/>
            <w:tcBorders>
              <w:top w:val="nil"/>
              <w:left w:val="nil"/>
              <w:bottom w:val="nil"/>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sz w:val="17"/>
                <w:szCs w:val="17"/>
              </w:rPr>
            </w:pPr>
            <w:r w:rsidRPr="00D47E5B">
              <w:rPr>
                <w:rFonts w:cs="Calibri"/>
                <w:sz w:val="17"/>
                <w:szCs w:val="17"/>
              </w:rPr>
              <w:t>104</w:t>
            </w:r>
          </w:p>
        </w:tc>
      </w:tr>
      <w:tr w:rsidR="008835EB" w:rsidRPr="00D47E5B" w:rsidTr="007E3F2E">
        <w:trPr>
          <w:trHeight w:val="240"/>
        </w:trPr>
        <w:tc>
          <w:tcPr>
            <w:tcW w:w="3140" w:type="dxa"/>
            <w:tcBorders>
              <w:top w:val="nil"/>
              <w:left w:val="single" w:sz="4" w:space="0" w:color="auto"/>
              <w:bottom w:val="nil"/>
              <w:right w:val="single" w:sz="4" w:space="0" w:color="auto"/>
            </w:tcBorders>
            <w:shd w:val="clear" w:color="000000" w:fill="D9D9D9"/>
            <w:noWrap/>
            <w:vAlign w:val="bottom"/>
            <w:hideMark/>
          </w:tcPr>
          <w:p w:rsidR="008835EB" w:rsidRPr="00D47E5B" w:rsidRDefault="008835EB" w:rsidP="007E3F2E">
            <w:pPr>
              <w:spacing w:line="240" w:lineRule="atLeast"/>
              <w:ind w:firstLineChars="100" w:firstLine="170"/>
              <w:rPr>
                <w:rFonts w:cs="Calibri"/>
                <w:sz w:val="17"/>
                <w:szCs w:val="17"/>
              </w:rPr>
            </w:pPr>
            <w:r w:rsidRPr="00D47E5B">
              <w:rPr>
                <w:rFonts w:cs="Calibri"/>
                <w:sz w:val="17"/>
                <w:szCs w:val="17"/>
              </w:rPr>
              <w:t>Receivables</w:t>
            </w:r>
          </w:p>
        </w:tc>
        <w:tc>
          <w:tcPr>
            <w:tcW w:w="1088" w:type="dxa"/>
            <w:tcBorders>
              <w:top w:val="nil"/>
              <w:left w:val="nil"/>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13,520 </w:t>
            </w:r>
          </w:p>
        </w:tc>
        <w:tc>
          <w:tcPr>
            <w:tcW w:w="1086"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17,754 </w:t>
            </w:r>
          </w:p>
        </w:tc>
        <w:tc>
          <w:tcPr>
            <w:tcW w:w="1091"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28,858 </w:t>
            </w:r>
          </w:p>
        </w:tc>
        <w:tc>
          <w:tcPr>
            <w:tcW w:w="1086"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14,411 </w:t>
            </w:r>
          </w:p>
        </w:tc>
        <w:tc>
          <w:tcPr>
            <w:tcW w:w="1083"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4"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2" w:type="dxa"/>
            <w:tcBorders>
              <w:top w:val="nil"/>
              <w:left w:val="single" w:sz="4" w:space="0" w:color="auto"/>
              <w:bottom w:val="nil"/>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42,378</w:t>
            </w:r>
          </w:p>
        </w:tc>
        <w:tc>
          <w:tcPr>
            <w:tcW w:w="1081" w:type="dxa"/>
            <w:tcBorders>
              <w:top w:val="nil"/>
              <w:left w:val="nil"/>
              <w:bottom w:val="nil"/>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sz w:val="17"/>
                <w:szCs w:val="17"/>
              </w:rPr>
            </w:pPr>
            <w:r w:rsidRPr="00D47E5B">
              <w:rPr>
                <w:rFonts w:cs="Calibri"/>
                <w:sz w:val="17"/>
                <w:szCs w:val="17"/>
              </w:rPr>
              <w:t>32,165</w:t>
            </w:r>
          </w:p>
        </w:tc>
      </w:tr>
      <w:tr w:rsidR="008835EB" w:rsidRPr="00D47E5B" w:rsidTr="007E3F2E">
        <w:trPr>
          <w:trHeight w:val="240"/>
        </w:trPr>
        <w:tc>
          <w:tcPr>
            <w:tcW w:w="3140" w:type="dxa"/>
            <w:tcBorders>
              <w:top w:val="nil"/>
              <w:left w:val="single" w:sz="4" w:space="0" w:color="auto"/>
              <w:bottom w:val="nil"/>
              <w:right w:val="single" w:sz="4" w:space="0" w:color="auto"/>
            </w:tcBorders>
            <w:shd w:val="clear" w:color="000000" w:fill="D9D9D9"/>
            <w:noWrap/>
            <w:vAlign w:val="bottom"/>
            <w:hideMark/>
          </w:tcPr>
          <w:p w:rsidR="008835EB" w:rsidRPr="00D47E5B" w:rsidRDefault="008835EB" w:rsidP="007E3F2E">
            <w:pPr>
              <w:spacing w:line="240" w:lineRule="atLeast"/>
              <w:ind w:firstLineChars="100" w:firstLine="170"/>
              <w:rPr>
                <w:rFonts w:cs="Calibri"/>
                <w:sz w:val="17"/>
                <w:szCs w:val="17"/>
              </w:rPr>
            </w:pPr>
            <w:r w:rsidRPr="00D47E5B">
              <w:rPr>
                <w:rFonts w:cs="Calibri"/>
                <w:sz w:val="17"/>
                <w:szCs w:val="17"/>
              </w:rPr>
              <w:t>Investments</w:t>
            </w:r>
          </w:p>
        </w:tc>
        <w:tc>
          <w:tcPr>
            <w:tcW w:w="1088" w:type="dxa"/>
            <w:tcBorders>
              <w:top w:val="nil"/>
              <w:left w:val="nil"/>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6"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91"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240,897 </w:t>
            </w:r>
          </w:p>
        </w:tc>
        <w:tc>
          <w:tcPr>
            <w:tcW w:w="1086"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224,658 </w:t>
            </w:r>
          </w:p>
        </w:tc>
        <w:tc>
          <w:tcPr>
            <w:tcW w:w="1083"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4"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2" w:type="dxa"/>
            <w:tcBorders>
              <w:top w:val="nil"/>
              <w:left w:val="single" w:sz="4" w:space="0" w:color="auto"/>
              <w:bottom w:val="nil"/>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240,897</w:t>
            </w:r>
          </w:p>
        </w:tc>
        <w:tc>
          <w:tcPr>
            <w:tcW w:w="1081" w:type="dxa"/>
            <w:tcBorders>
              <w:top w:val="nil"/>
              <w:left w:val="nil"/>
              <w:bottom w:val="nil"/>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sz w:val="17"/>
                <w:szCs w:val="17"/>
              </w:rPr>
            </w:pPr>
            <w:r w:rsidRPr="00D47E5B">
              <w:rPr>
                <w:rFonts w:cs="Calibri"/>
                <w:sz w:val="17"/>
                <w:szCs w:val="17"/>
              </w:rPr>
              <w:t>224,658</w:t>
            </w:r>
          </w:p>
        </w:tc>
      </w:tr>
      <w:tr w:rsidR="008835EB" w:rsidRPr="00D47E5B" w:rsidTr="007E3F2E">
        <w:trPr>
          <w:trHeight w:val="240"/>
        </w:trPr>
        <w:tc>
          <w:tcPr>
            <w:tcW w:w="3140" w:type="dxa"/>
            <w:tcBorders>
              <w:top w:val="nil"/>
              <w:left w:val="single" w:sz="4" w:space="0" w:color="auto"/>
              <w:bottom w:val="nil"/>
              <w:right w:val="single" w:sz="4" w:space="0" w:color="auto"/>
            </w:tcBorders>
            <w:shd w:val="clear" w:color="000000" w:fill="D9D9D9"/>
            <w:noWrap/>
            <w:vAlign w:val="bottom"/>
            <w:hideMark/>
          </w:tcPr>
          <w:p w:rsidR="008835EB" w:rsidRPr="00D47E5B" w:rsidRDefault="008835EB" w:rsidP="007E3F2E">
            <w:pPr>
              <w:spacing w:line="240" w:lineRule="atLeast"/>
              <w:ind w:firstLineChars="100" w:firstLine="170"/>
              <w:rPr>
                <w:rFonts w:cs="Calibri"/>
                <w:sz w:val="17"/>
                <w:szCs w:val="17"/>
              </w:rPr>
            </w:pPr>
            <w:r w:rsidRPr="00D47E5B">
              <w:rPr>
                <w:rFonts w:cs="Calibri"/>
                <w:sz w:val="17"/>
                <w:szCs w:val="17"/>
              </w:rPr>
              <w:t>Other non-financial assets</w:t>
            </w:r>
          </w:p>
        </w:tc>
        <w:tc>
          <w:tcPr>
            <w:tcW w:w="1088" w:type="dxa"/>
            <w:tcBorders>
              <w:top w:val="nil"/>
              <w:left w:val="nil"/>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6"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34 </w:t>
            </w:r>
          </w:p>
        </w:tc>
        <w:tc>
          <w:tcPr>
            <w:tcW w:w="1091"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5,321 </w:t>
            </w:r>
          </w:p>
        </w:tc>
        <w:tc>
          <w:tcPr>
            <w:tcW w:w="1086"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4,980 </w:t>
            </w:r>
          </w:p>
        </w:tc>
        <w:tc>
          <w:tcPr>
            <w:tcW w:w="1083"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4"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2" w:type="dxa"/>
            <w:tcBorders>
              <w:top w:val="nil"/>
              <w:left w:val="single" w:sz="4" w:space="0" w:color="auto"/>
              <w:bottom w:val="nil"/>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5,321</w:t>
            </w:r>
          </w:p>
        </w:tc>
        <w:tc>
          <w:tcPr>
            <w:tcW w:w="1081" w:type="dxa"/>
            <w:tcBorders>
              <w:top w:val="nil"/>
              <w:left w:val="nil"/>
              <w:bottom w:val="nil"/>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sz w:val="17"/>
                <w:szCs w:val="17"/>
              </w:rPr>
            </w:pPr>
            <w:r w:rsidRPr="00D47E5B">
              <w:rPr>
                <w:rFonts w:cs="Calibri"/>
                <w:sz w:val="17"/>
                <w:szCs w:val="17"/>
              </w:rPr>
              <w:t>5,014</w:t>
            </w:r>
          </w:p>
        </w:tc>
      </w:tr>
      <w:tr w:rsidR="008835EB" w:rsidRPr="00D47E5B" w:rsidTr="007E3F2E">
        <w:trPr>
          <w:trHeight w:val="240"/>
        </w:trPr>
        <w:tc>
          <w:tcPr>
            <w:tcW w:w="3140" w:type="dxa"/>
            <w:tcBorders>
              <w:top w:val="single" w:sz="4" w:space="0" w:color="auto"/>
              <w:left w:val="single" w:sz="4" w:space="0" w:color="auto"/>
              <w:bottom w:val="single" w:sz="4" w:space="0" w:color="auto"/>
              <w:right w:val="single" w:sz="4" w:space="0" w:color="auto"/>
            </w:tcBorders>
            <w:shd w:val="clear" w:color="000000" w:fill="D9D9D9"/>
            <w:hideMark/>
          </w:tcPr>
          <w:p w:rsidR="008835EB" w:rsidRPr="00D47E5B" w:rsidRDefault="008835EB" w:rsidP="007E3F2E">
            <w:pPr>
              <w:spacing w:line="240" w:lineRule="atLeast"/>
              <w:rPr>
                <w:rFonts w:cs="Calibri"/>
                <w:b/>
                <w:bCs/>
                <w:i/>
                <w:iCs/>
                <w:sz w:val="17"/>
                <w:szCs w:val="17"/>
              </w:rPr>
            </w:pPr>
            <w:r w:rsidRPr="00D47E5B">
              <w:rPr>
                <w:rFonts w:cs="Calibri"/>
                <w:b/>
                <w:bCs/>
                <w:i/>
                <w:iCs/>
                <w:sz w:val="17"/>
                <w:szCs w:val="17"/>
              </w:rPr>
              <w:t>Total assets</w:t>
            </w:r>
          </w:p>
        </w:tc>
        <w:tc>
          <w:tcPr>
            <w:tcW w:w="1088" w:type="dxa"/>
            <w:tcBorders>
              <w:top w:val="single" w:sz="4" w:space="0" w:color="auto"/>
              <w:left w:val="nil"/>
              <w:bottom w:val="single" w:sz="4" w:space="0" w:color="auto"/>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13,524</w:t>
            </w:r>
          </w:p>
        </w:tc>
        <w:tc>
          <w:tcPr>
            <w:tcW w:w="1086" w:type="dxa"/>
            <w:tcBorders>
              <w:top w:val="single" w:sz="4" w:space="0" w:color="auto"/>
              <w:left w:val="nil"/>
              <w:bottom w:val="single" w:sz="4" w:space="0" w:color="auto"/>
              <w:right w:val="nil"/>
            </w:tcBorders>
            <w:shd w:val="clear" w:color="000000" w:fill="D9D9D9"/>
            <w:noWrap/>
            <w:vAlign w:val="center"/>
            <w:hideMark/>
          </w:tcPr>
          <w:p w:rsidR="008835EB" w:rsidRPr="00D47E5B" w:rsidRDefault="008835EB" w:rsidP="007E3F2E">
            <w:pPr>
              <w:spacing w:line="240" w:lineRule="atLeast"/>
              <w:jc w:val="right"/>
              <w:rPr>
                <w:rFonts w:cs="Calibri"/>
                <w:sz w:val="17"/>
                <w:szCs w:val="17"/>
              </w:rPr>
            </w:pPr>
            <w:r w:rsidRPr="00D47E5B">
              <w:rPr>
                <w:rFonts w:cs="Calibri"/>
                <w:sz w:val="17"/>
                <w:szCs w:val="17"/>
              </w:rPr>
              <w:t>17,874</w:t>
            </w:r>
          </w:p>
        </w:tc>
        <w:tc>
          <w:tcPr>
            <w:tcW w:w="109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275,076</w:t>
            </w:r>
          </w:p>
        </w:tc>
        <w:tc>
          <w:tcPr>
            <w:tcW w:w="1086" w:type="dxa"/>
            <w:tcBorders>
              <w:top w:val="single" w:sz="4" w:space="0" w:color="auto"/>
              <w:left w:val="nil"/>
              <w:bottom w:val="single" w:sz="4" w:space="0" w:color="auto"/>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sz w:val="17"/>
                <w:szCs w:val="17"/>
              </w:rPr>
            </w:pPr>
            <w:r w:rsidRPr="00D47E5B">
              <w:rPr>
                <w:rFonts w:cs="Calibri"/>
                <w:sz w:val="17"/>
                <w:szCs w:val="17"/>
              </w:rPr>
              <w:t>244,067</w:t>
            </w:r>
          </w:p>
        </w:tc>
        <w:tc>
          <w:tcPr>
            <w:tcW w:w="1083" w:type="dxa"/>
            <w:tcBorders>
              <w:top w:val="single" w:sz="4" w:space="0" w:color="auto"/>
              <w:left w:val="nil"/>
              <w:bottom w:val="single" w:sz="4" w:space="0" w:color="auto"/>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w:t>
            </w:r>
          </w:p>
        </w:tc>
        <w:tc>
          <w:tcPr>
            <w:tcW w:w="1085" w:type="dxa"/>
            <w:tcBorders>
              <w:top w:val="single" w:sz="4" w:space="0" w:color="auto"/>
              <w:left w:val="nil"/>
              <w:bottom w:val="single" w:sz="4" w:space="0" w:color="auto"/>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sz w:val="17"/>
                <w:szCs w:val="17"/>
              </w:rPr>
            </w:pPr>
            <w:r w:rsidRPr="00D47E5B">
              <w:rPr>
                <w:rFonts w:cs="Calibri"/>
                <w:sz w:val="17"/>
                <w:szCs w:val="17"/>
              </w:rPr>
              <w:t>-</w:t>
            </w:r>
          </w:p>
        </w:tc>
        <w:tc>
          <w:tcPr>
            <w:tcW w:w="1084" w:type="dxa"/>
            <w:tcBorders>
              <w:top w:val="single" w:sz="4" w:space="0" w:color="auto"/>
              <w:left w:val="nil"/>
              <w:bottom w:val="single" w:sz="4" w:space="0" w:color="auto"/>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w:t>
            </w:r>
          </w:p>
        </w:tc>
        <w:tc>
          <w:tcPr>
            <w:tcW w:w="1085" w:type="dxa"/>
            <w:tcBorders>
              <w:top w:val="single" w:sz="4" w:space="0" w:color="auto"/>
              <w:left w:val="nil"/>
              <w:bottom w:val="single" w:sz="4" w:space="0" w:color="auto"/>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sz w:val="17"/>
                <w:szCs w:val="17"/>
              </w:rPr>
            </w:pPr>
            <w:r w:rsidRPr="00D47E5B">
              <w:rPr>
                <w:rFonts w:cs="Calibri"/>
                <w:sz w:val="17"/>
                <w:szCs w:val="17"/>
              </w:rPr>
              <w:t>-</w:t>
            </w:r>
          </w:p>
        </w:tc>
        <w:tc>
          <w:tcPr>
            <w:tcW w:w="1082" w:type="dxa"/>
            <w:tcBorders>
              <w:top w:val="single" w:sz="4" w:space="0" w:color="auto"/>
              <w:left w:val="nil"/>
              <w:bottom w:val="single" w:sz="4" w:space="0" w:color="auto"/>
              <w:right w:val="nil"/>
            </w:tcBorders>
            <w:shd w:val="clear" w:color="000000" w:fill="D9D9D9"/>
            <w:noWrap/>
            <w:vAlign w:val="center"/>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288,600</w:t>
            </w:r>
          </w:p>
        </w:tc>
        <w:tc>
          <w:tcPr>
            <w:tcW w:w="108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sz w:val="17"/>
                <w:szCs w:val="17"/>
              </w:rPr>
            </w:pPr>
            <w:r w:rsidRPr="00D47E5B">
              <w:rPr>
                <w:rFonts w:cs="Calibri"/>
                <w:sz w:val="17"/>
                <w:szCs w:val="17"/>
              </w:rPr>
              <w:t>261,941</w:t>
            </w:r>
          </w:p>
        </w:tc>
      </w:tr>
      <w:tr w:rsidR="008835EB" w:rsidRPr="00D47E5B" w:rsidTr="007E3F2E">
        <w:trPr>
          <w:trHeight w:val="240"/>
        </w:trPr>
        <w:tc>
          <w:tcPr>
            <w:tcW w:w="3140" w:type="dxa"/>
            <w:tcBorders>
              <w:top w:val="nil"/>
              <w:left w:val="single" w:sz="4" w:space="0" w:color="auto"/>
              <w:bottom w:val="nil"/>
              <w:right w:val="single" w:sz="4" w:space="0" w:color="auto"/>
            </w:tcBorders>
            <w:shd w:val="clear" w:color="000000" w:fill="D9D9D9"/>
            <w:hideMark/>
          </w:tcPr>
          <w:p w:rsidR="008835EB" w:rsidRPr="00D47E5B" w:rsidRDefault="008835EB" w:rsidP="007E3F2E">
            <w:pPr>
              <w:spacing w:line="240" w:lineRule="atLeast"/>
              <w:rPr>
                <w:rFonts w:cs="Calibri"/>
                <w:b/>
                <w:bCs/>
                <w:sz w:val="17"/>
                <w:szCs w:val="17"/>
              </w:rPr>
            </w:pPr>
            <w:r w:rsidRPr="00D47E5B">
              <w:rPr>
                <w:rFonts w:cs="Calibri"/>
                <w:b/>
                <w:bCs/>
                <w:sz w:val="17"/>
                <w:szCs w:val="17"/>
              </w:rPr>
              <w:t>Liabilities</w:t>
            </w:r>
          </w:p>
        </w:tc>
        <w:tc>
          <w:tcPr>
            <w:tcW w:w="1088" w:type="dxa"/>
            <w:tcBorders>
              <w:top w:val="nil"/>
              <w:left w:val="nil"/>
              <w:bottom w:val="nil"/>
              <w:right w:val="single" w:sz="4" w:space="0" w:color="auto"/>
            </w:tcBorders>
            <w:shd w:val="clear" w:color="000000" w:fill="D9D9D9"/>
            <w:noWrap/>
            <w:vAlign w:val="center"/>
            <w:hideMark/>
          </w:tcPr>
          <w:p w:rsidR="008835EB" w:rsidRPr="00D47E5B" w:rsidRDefault="008835EB" w:rsidP="007E3F2E">
            <w:pPr>
              <w:spacing w:line="240" w:lineRule="atLeast"/>
              <w:rPr>
                <w:rFonts w:ascii="Arial" w:hAnsi="Arial" w:cs="Arial"/>
                <w:sz w:val="17"/>
                <w:szCs w:val="17"/>
              </w:rPr>
            </w:pPr>
            <w:r w:rsidRPr="00D47E5B">
              <w:rPr>
                <w:rFonts w:ascii="Arial" w:hAnsi="Arial" w:cs="Arial"/>
                <w:sz w:val="17"/>
                <w:szCs w:val="17"/>
              </w:rPr>
              <w:t> </w:t>
            </w:r>
          </w:p>
        </w:tc>
        <w:tc>
          <w:tcPr>
            <w:tcW w:w="1086" w:type="dxa"/>
            <w:tcBorders>
              <w:top w:val="nil"/>
              <w:left w:val="nil"/>
              <w:bottom w:val="nil"/>
              <w:right w:val="single" w:sz="4" w:space="0" w:color="auto"/>
            </w:tcBorders>
            <w:shd w:val="clear" w:color="000000" w:fill="D9D9D9"/>
            <w:noWrap/>
            <w:vAlign w:val="center"/>
            <w:hideMark/>
          </w:tcPr>
          <w:p w:rsidR="008835EB" w:rsidRPr="00D47E5B" w:rsidRDefault="008835EB" w:rsidP="007E3F2E">
            <w:pPr>
              <w:spacing w:line="240" w:lineRule="atLeast"/>
              <w:rPr>
                <w:rFonts w:ascii="Arial" w:hAnsi="Arial" w:cs="Arial"/>
                <w:sz w:val="17"/>
                <w:szCs w:val="17"/>
              </w:rPr>
            </w:pPr>
            <w:r w:rsidRPr="00D47E5B">
              <w:rPr>
                <w:rFonts w:ascii="Arial" w:hAnsi="Arial" w:cs="Arial"/>
                <w:sz w:val="17"/>
                <w:szCs w:val="17"/>
              </w:rPr>
              <w:t> </w:t>
            </w:r>
          </w:p>
        </w:tc>
        <w:tc>
          <w:tcPr>
            <w:tcW w:w="1091" w:type="dxa"/>
            <w:tcBorders>
              <w:top w:val="nil"/>
              <w:left w:val="nil"/>
              <w:bottom w:val="nil"/>
              <w:right w:val="single" w:sz="4" w:space="0" w:color="auto"/>
            </w:tcBorders>
            <w:shd w:val="clear" w:color="000000" w:fill="D9D9D9"/>
            <w:noWrap/>
            <w:vAlign w:val="center"/>
            <w:hideMark/>
          </w:tcPr>
          <w:p w:rsidR="008835EB" w:rsidRPr="00D47E5B" w:rsidRDefault="008835EB" w:rsidP="007E3F2E">
            <w:pPr>
              <w:spacing w:line="240" w:lineRule="atLeast"/>
              <w:rPr>
                <w:rFonts w:ascii="Arial" w:hAnsi="Arial" w:cs="Arial"/>
                <w:sz w:val="17"/>
                <w:szCs w:val="17"/>
              </w:rPr>
            </w:pPr>
            <w:r w:rsidRPr="00D47E5B">
              <w:rPr>
                <w:rFonts w:ascii="Arial" w:hAnsi="Arial" w:cs="Arial"/>
                <w:sz w:val="17"/>
                <w:szCs w:val="17"/>
              </w:rPr>
              <w:t> </w:t>
            </w:r>
          </w:p>
        </w:tc>
        <w:tc>
          <w:tcPr>
            <w:tcW w:w="1086" w:type="dxa"/>
            <w:tcBorders>
              <w:top w:val="nil"/>
              <w:left w:val="nil"/>
              <w:bottom w:val="nil"/>
              <w:right w:val="single" w:sz="4" w:space="0" w:color="auto"/>
            </w:tcBorders>
            <w:shd w:val="clear" w:color="000000" w:fill="D9D9D9"/>
            <w:noWrap/>
            <w:vAlign w:val="center"/>
            <w:hideMark/>
          </w:tcPr>
          <w:p w:rsidR="008835EB" w:rsidRPr="00D47E5B" w:rsidRDefault="008835EB" w:rsidP="007E3F2E">
            <w:pPr>
              <w:spacing w:line="240" w:lineRule="atLeast"/>
              <w:rPr>
                <w:rFonts w:ascii="Arial" w:hAnsi="Arial" w:cs="Arial"/>
                <w:sz w:val="17"/>
                <w:szCs w:val="17"/>
              </w:rPr>
            </w:pPr>
            <w:r w:rsidRPr="00D47E5B">
              <w:rPr>
                <w:rFonts w:ascii="Arial" w:hAnsi="Arial" w:cs="Arial"/>
                <w:sz w:val="17"/>
                <w:szCs w:val="17"/>
              </w:rPr>
              <w:t> </w:t>
            </w:r>
          </w:p>
        </w:tc>
        <w:tc>
          <w:tcPr>
            <w:tcW w:w="1083" w:type="dxa"/>
            <w:tcBorders>
              <w:top w:val="nil"/>
              <w:left w:val="nil"/>
              <w:bottom w:val="nil"/>
              <w:right w:val="single" w:sz="4" w:space="0" w:color="auto"/>
            </w:tcBorders>
            <w:shd w:val="clear" w:color="000000" w:fill="D9D9D9"/>
            <w:noWrap/>
            <w:vAlign w:val="center"/>
            <w:hideMark/>
          </w:tcPr>
          <w:p w:rsidR="008835EB" w:rsidRPr="00D47E5B" w:rsidRDefault="008835EB" w:rsidP="007E3F2E">
            <w:pPr>
              <w:spacing w:line="240" w:lineRule="atLeast"/>
              <w:rPr>
                <w:rFonts w:ascii="Arial" w:hAnsi="Arial" w:cs="Arial"/>
                <w:sz w:val="17"/>
                <w:szCs w:val="17"/>
              </w:rPr>
            </w:pPr>
            <w:r w:rsidRPr="00D47E5B">
              <w:rPr>
                <w:rFonts w:ascii="Arial" w:hAnsi="Arial" w:cs="Arial"/>
                <w:sz w:val="17"/>
                <w:szCs w:val="17"/>
              </w:rPr>
              <w:t> </w:t>
            </w:r>
          </w:p>
        </w:tc>
        <w:tc>
          <w:tcPr>
            <w:tcW w:w="1085" w:type="dxa"/>
            <w:tcBorders>
              <w:top w:val="nil"/>
              <w:left w:val="nil"/>
              <w:bottom w:val="nil"/>
              <w:right w:val="single" w:sz="4" w:space="0" w:color="auto"/>
            </w:tcBorders>
            <w:shd w:val="clear" w:color="000000" w:fill="D9D9D9"/>
            <w:noWrap/>
            <w:vAlign w:val="center"/>
            <w:hideMark/>
          </w:tcPr>
          <w:p w:rsidR="008835EB" w:rsidRPr="00D47E5B" w:rsidRDefault="008835EB" w:rsidP="007E3F2E">
            <w:pPr>
              <w:spacing w:line="240" w:lineRule="atLeast"/>
              <w:rPr>
                <w:rFonts w:ascii="Arial" w:hAnsi="Arial" w:cs="Arial"/>
                <w:sz w:val="17"/>
                <w:szCs w:val="17"/>
              </w:rPr>
            </w:pPr>
            <w:r w:rsidRPr="00D47E5B">
              <w:rPr>
                <w:rFonts w:ascii="Arial" w:hAnsi="Arial" w:cs="Arial"/>
                <w:sz w:val="17"/>
                <w:szCs w:val="17"/>
              </w:rPr>
              <w:t> </w:t>
            </w:r>
          </w:p>
        </w:tc>
        <w:tc>
          <w:tcPr>
            <w:tcW w:w="1084" w:type="dxa"/>
            <w:tcBorders>
              <w:top w:val="nil"/>
              <w:left w:val="nil"/>
              <w:bottom w:val="nil"/>
              <w:right w:val="single" w:sz="4" w:space="0" w:color="auto"/>
            </w:tcBorders>
            <w:shd w:val="clear" w:color="000000" w:fill="D9D9D9"/>
            <w:noWrap/>
            <w:vAlign w:val="center"/>
            <w:hideMark/>
          </w:tcPr>
          <w:p w:rsidR="008835EB" w:rsidRPr="00D47E5B" w:rsidRDefault="008835EB" w:rsidP="007E3F2E">
            <w:pPr>
              <w:spacing w:line="240" w:lineRule="atLeast"/>
              <w:rPr>
                <w:rFonts w:ascii="Arial" w:hAnsi="Arial" w:cs="Arial"/>
                <w:sz w:val="17"/>
                <w:szCs w:val="17"/>
              </w:rPr>
            </w:pPr>
            <w:r w:rsidRPr="00D47E5B">
              <w:rPr>
                <w:rFonts w:ascii="Arial" w:hAnsi="Arial" w:cs="Arial"/>
                <w:sz w:val="17"/>
                <w:szCs w:val="17"/>
              </w:rPr>
              <w:t> </w:t>
            </w:r>
          </w:p>
        </w:tc>
        <w:tc>
          <w:tcPr>
            <w:tcW w:w="1085" w:type="dxa"/>
            <w:tcBorders>
              <w:top w:val="nil"/>
              <w:left w:val="nil"/>
              <w:bottom w:val="nil"/>
              <w:right w:val="single" w:sz="4" w:space="0" w:color="auto"/>
            </w:tcBorders>
            <w:shd w:val="clear" w:color="000000" w:fill="D9D9D9"/>
            <w:noWrap/>
            <w:vAlign w:val="center"/>
            <w:hideMark/>
          </w:tcPr>
          <w:p w:rsidR="008835EB" w:rsidRPr="00D47E5B" w:rsidRDefault="008835EB" w:rsidP="007E3F2E">
            <w:pPr>
              <w:spacing w:line="240" w:lineRule="atLeast"/>
              <w:rPr>
                <w:rFonts w:ascii="Arial" w:hAnsi="Arial" w:cs="Arial"/>
                <w:sz w:val="17"/>
                <w:szCs w:val="17"/>
              </w:rPr>
            </w:pPr>
            <w:r w:rsidRPr="00D47E5B">
              <w:rPr>
                <w:rFonts w:ascii="Arial" w:hAnsi="Arial" w:cs="Arial"/>
                <w:sz w:val="17"/>
                <w:szCs w:val="17"/>
              </w:rPr>
              <w:t> </w:t>
            </w:r>
          </w:p>
        </w:tc>
        <w:tc>
          <w:tcPr>
            <w:tcW w:w="1082" w:type="dxa"/>
            <w:tcBorders>
              <w:top w:val="nil"/>
              <w:left w:val="nil"/>
              <w:bottom w:val="nil"/>
              <w:right w:val="single" w:sz="4" w:space="0" w:color="auto"/>
            </w:tcBorders>
            <w:shd w:val="clear" w:color="000000" w:fill="D9D9D9"/>
            <w:noWrap/>
            <w:vAlign w:val="center"/>
            <w:hideMark/>
          </w:tcPr>
          <w:p w:rsidR="008835EB" w:rsidRPr="00D47E5B" w:rsidRDefault="008835EB" w:rsidP="007E3F2E">
            <w:pPr>
              <w:spacing w:line="240" w:lineRule="atLeast"/>
              <w:rPr>
                <w:rFonts w:ascii="Arial" w:hAnsi="Arial" w:cs="Arial"/>
                <w:b/>
                <w:bCs/>
                <w:sz w:val="17"/>
                <w:szCs w:val="17"/>
              </w:rPr>
            </w:pPr>
            <w:r w:rsidRPr="00D47E5B">
              <w:rPr>
                <w:rFonts w:ascii="Arial" w:hAnsi="Arial" w:cs="Arial"/>
                <w:b/>
                <w:bCs/>
                <w:sz w:val="17"/>
                <w:szCs w:val="17"/>
              </w:rPr>
              <w:t> </w:t>
            </w:r>
          </w:p>
        </w:tc>
        <w:tc>
          <w:tcPr>
            <w:tcW w:w="1081" w:type="dxa"/>
            <w:tcBorders>
              <w:top w:val="nil"/>
              <w:left w:val="nil"/>
              <w:bottom w:val="nil"/>
              <w:right w:val="single" w:sz="4" w:space="0" w:color="auto"/>
            </w:tcBorders>
            <w:shd w:val="clear" w:color="000000" w:fill="D9D9D9"/>
            <w:noWrap/>
            <w:vAlign w:val="center"/>
            <w:hideMark/>
          </w:tcPr>
          <w:p w:rsidR="008835EB" w:rsidRPr="00D47E5B" w:rsidRDefault="008835EB" w:rsidP="007E3F2E">
            <w:pPr>
              <w:spacing w:line="240" w:lineRule="atLeast"/>
              <w:rPr>
                <w:rFonts w:ascii="Arial" w:hAnsi="Arial" w:cs="Arial"/>
                <w:sz w:val="17"/>
                <w:szCs w:val="17"/>
              </w:rPr>
            </w:pPr>
            <w:r w:rsidRPr="00D47E5B">
              <w:rPr>
                <w:rFonts w:ascii="Arial" w:hAnsi="Arial" w:cs="Arial"/>
                <w:sz w:val="17"/>
                <w:szCs w:val="17"/>
              </w:rPr>
              <w:t> </w:t>
            </w:r>
          </w:p>
        </w:tc>
      </w:tr>
      <w:tr w:rsidR="008835EB" w:rsidRPr="00D47E5B" w:rsidTr="007E3F2E">
        <w:trPr>
          <w:trHeight w:val="240"/>
        </w:trPr>
        <w:tc>
          <w:tcPr>
            <w:tcW w:w="3140" w:type="dxa"/>
            <w:tcBorders>
              <w:top w:val="nil"/>
              <w:left w:val="single" w:sz="4" w:space="0" w:color="auto"/>
              <w:bottom w:val="nil"/>
              <w:right w:val="single" w:sz="4" w:space="0" w:color="auto"/>
            </w:tcBorders>
            <w:shd w:val="clear" w:color="000000" w:fill="D9D9D9"/>
            <w:noWrap/>
            <w:vAlign w:val="bottom"/>
            <w:hideMark/>
          </w:tcPr>
          <w:p w:rsidR="008835EB" w:rsidRPr="00D47E5B" w:rsidRDefault="008835EB" w:rsidP="007E3F2E">
            <w:pPr>
              <w:spacing w:line="240" w:lineRule="atLeast"/>
              <w:ind w:firstLineChars="100" w:firstLine="170"/>
              <w:rPr>
                <w:rFonts w:cs="Calibri"/>
                <w:sz w:val="17"/>
                <w:szCs w:val="17"/>
              </w:rPr>
            </w:pPr>
            <w:r w:rsidRPr="00D47E5B">
              <w:rPr>
                <w:rFonts w:cs="Calibri"/>
                <w:sz w:val="17"/>
                <w:szCs w:val="17"/>
              </w:rPr>
              <w:t>Suppliers</w:t>
            </w:r>
          </w:p>
        </w:tc>
        <w:tc>
          <w:tcPr>
            <w:tcW w:w="1088" w:type="dxa"/>
            <w:tcBorders>
              <w:top w:val="nil"/>
              <w:left w:val="nil"/>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59,837 </w:t>
            </w:r>
          </w:p>
        </w:tc>
        <w:tc>
          <w:tcPr>
            <w:tcW w:w="1086"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126,153 </w:t>
            </w:r>
          </w:p>
        </w:tc>
        <w:tc>
          <w:tcPr>
            <w:tcW w:w="1091"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1,143 </w:t>
            </w:r>
          </w:p>
        </w:tc>
        <w:tc>
          <w:tcPr>
            <w:tcW w:w="1086"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Pr>
                <w:rFonts w:cs="Calibri"/>
                <w:sz w:val="17"/>
                <w:szCs w:val="17"/>
              </w:rPr>
              <w:t>647</w:t>
            </w:r>
            <w:r w:rsidRPr="00D47E5B">
              <w:rPr>
                <w:rFonts w:cs="Calibri"/>
                <w:sz w:val="17"/>
                <w:szCs w:val="17"/>
              </w:rPr>
              <w:t xml:space="preserve"> </w:t>
            </w:r>
          </w:p>
        </w:tc>
        <w:tc>
          <w:tcPr>
            <w:tcW w:w="1083"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4"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2" w:type="dxa"/>
            <w:tcBorders>
              <w:top w:val="nil"/>
              <w:left w:val="single" w:sz="4" w:space="0" w:color="auto"/>
              <w:bottom w:val="nil"/>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60,980</w:t>
            </w:r>
          </w:p>
        </w:tc>
        <w:tc>
          <w:tcPr>
            <w:tcW w:w="1081" w:type="dxa"/>
            <w:tcBorders>
              <w:top w:val="nil"/>
              <w:left w:val="nil"/>
              <w:bottom w:val="nil"/>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sz w:val="17"/>
                <w:szCs w:val="17"/>
              </w:rPr>
            </w:pPr>
            <w:r>
              <w:rPr>
                <w:rFonts w:cs="Calibri"/>
                <w:sz w:val="17"/>
                <w:szCs w:val="17"/>
              </w:rPr>
              <w:t>99,476</w:t>
            </w:r>
          </w:p>
        </w:tc>
      </w:tr>
      <w:tr w:rsidR="008835EB" w:rsidRPr="00D47E5B" w:rsidTr="007E3F2E">
        <w:trPr>
          <w:trHeight w:val="240"/>
        </w:trPr>
        <w:tc>
          <w:tcPr>
            <w:tcW w:w="3140" w:type="dxa"/>
            <w:tcBorders>
              <w:top w:val="nil"/>
              <w:left w:val="single" w:sz="4" w:space="0" w:color="auto"/>
              <w:bottom w:val="nil"/>
              <w:right w:val="single" w:sz="4" w:space="0" w:color="auto"/>
            </w:tcBorders>
            <w:shd w:val="clear" w:color="000000" w:fill="D9D9D9"/>
            <w:noWrap/>
            <w:vAlign w:val="bottom"/>
            <w:hideMark/>
          </w:tcPr>
          <w:p w:rsidR="008835EB" w:rsidRPr="00D47E5B" w:rsidRDefault="008835EB" w:rsidP="007E3F2E">
            <w:pPr>
              <w:spacing w:line="240" w:lineRule="atLeast"/>
              <w:ind w:firstLineChars="100" w:firstLine="170"/>
              <w:rPr>
                <w:rFonts w:cs="Calibri"/>
                <w:sz w:val="17"/>
                <w:szCs w:val="17"/>
              </w:rPr>
            </w:pPr>
            <w:r w:rsidRPr="00D47E5B">
              <w:rPr>
                <w:rFonts w:cs="Calibri"/>
                <w:sz w:val="17"/>
                <w:szCs w:val="17"/>
              </w:rPr>
              <w:t>Subsidies</w:t>
            </w:r>
          </w:p>
        </w:tc>
        <w:tc>
          <w:tcPr>
            <w:tcW w:w="1088" w:type="dxa"/>
            <w:tcBorders>
              <w:top w:val="nil"/>
              <w:left w:val="nil"/>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12,172 </w:t>
            </w:r>
          </w:p>
        </w:tc>
        <w:tc>
          <w:tcPr>
            <w:tcW w:w="1086"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10,971 </w:t>
            </w:r>
          </w:p>
        </w:tc>
        <w:tc>
          <w:tcPr>
            <w:tcW w:w="1091"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11,963 </w:t>
            </w:r>
          </w:p>
        </w:tc>
        <w:tc>
          <w:tcPr>
            <w:tcW w:w="1086"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Pr>
                <w:rFonts w:cs="Calibri"/>
                <w:sz w:val="17"/>
                <w:szCs w:val="17"/>
              </w:rPr>
              <w:t>14,278</w:t>
            </w:r>
            <w:r w:rsidRPr="00D47E5B">
              <w:rPr>
                <w:rFonts w:cs="Calibri"/>
                <w:sz w:val="17"/>
                <w:szCs w:val="17"/>
              </w:rPr>
              <w:t xml:space="preserve"> </w:t>
            </w:r>
          </w:p>
        </w:tc>
        <w:tc>
          <w:tcPr>
            <w:tcW w:w="1083"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4"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2" w:type="dxa"/>
            <w:tcBorders>
              <w:top w:val="nil"/>
              <w:left w:val="single" w:sz="4" w:space="0" w:color="auto"/>
              <w:bottom w:val="nil"/>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24,135</w:t>
            </w:r>
          </w:p>
        </w:tc>
        <w:tc>
          <w:tcPr>
            <w:tcW w:w="1081" w:type="dxa"/>
            <w:tcBorders>
              <w:top w:val="nil"/>
              <w:left w:val="nil"/>
              <w:bottom w:val="nil"/>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sz w:val="17"/>
                <w:szCs w:val="17"/>
              </w:rPr>
            </w:pPr>
            <w:r>
              <w:rPr>
                <w:rFonts w:cs="Calibri"/>
                <w:sz w:val="17"/>
                <w:szCs w:val="17"/>
              </w:rPr>
              <w:t>52,573</w:t>
            </w:r>
          </w:p>
        </w:tc>
      </w:tr>
      <w:tr w:rsidR="008835EB" w:rsidRPr="00D47E5B" w:rsidTr="007E3F2E">
        <w:trPr>
          <w:trHeight w:val="240"/>
        </w:trPr>
        <w:tc>
          <w:tcPr>
            <w:tcW w:w="3140" w:type="dxa"/>
            <w:tcBorders>
              <w:top w:val="nil"/>
              <w:left w:val="single" w:sz="4" w:space="0" w:color="auto"/>
              <w:bottom w:val="nil"/>
              <w:right w:val="single" w:sz="4" w:space="0" w:color="auto"/>
            </w:tcBorders>
            <w:shd w:val="clear" w:color="000000" w:fill="D9D9D9"/>
            <w:noWrap/>
            <w:vAlign w:val="bottom"/>
            <w:hideMark/>
          </w:tcPr>
          <w:p w:rsidR="008835EB" w:rsidRPr="00D47E5B" w:rsidRDefault="008835EB" w:rsidP="007E3F2E">
            <w:pPr>
              <w:spacing w:line="240" w:lineRule="atLeast"/>
              <w:ind w:firstLineChars="100" w:firstLine="170"/>
              <w:rPr>
                <w:rFonts w:cs="Calibri"/>
                <w:sz w:val="17"/>
                <w:szCs w:val="17"/>
              </w:rPr>
            </w:pPr>
            <w:r w:rsidRPr="00D47E5B">
              <w:rPr>
                <w:rFonts w:cs="Calibri"/>
                <w:sz w:val="17"/>
                <w:szCs w:val="17"/>
              </w:rPr>
              <w:t>Personal benefits</w:t>
            </w:r>
          </w:p>
        </w:tc>
        <w:tc>
          <w:tcPr>
            <w:tcW w:w="1088" w:type="dxa"/>
            <w:tcBorders>
              <w:top w:val="nil"/>
              <w:left w:val="nil"/>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2,753 </w:t>
            </w:r>
          </w:p>
        </w:tc>
        <w:tc>
          <w:tcPr>
            <w:tcW w:w="1086"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2,221 </w:t>
            </w:r>
          </w:p>
        </w:tc>
        <w:tc>
          <w:tcPr>
            <w:tcW w:w="1091"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6"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4,471 </w:t>
            </w:r>
          </w:p>
        </w:tc>
        <w:tc>
          <w:tcPr>
            <w:tcW w:w="1083"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4"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2" w:type="dxa"/>
            <w:tcBorders>
              <w:top w:val="nil"/>
              <w:left w:val="single" w:sz="4" w:space="0" w:color="auto"/>
              <w:bottom w:val="nil"/>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2,753</w:t>
            </w:r>
          </w:p>
        </w:tc>
        <w:tc>
          <w:tcPr>
            <w:tcW w:w="1081" w:type="dxa"/>
            <w:tcBorders>
              <w:top w:val="nil"/>
              <w:left w:val="nil"/>
              <w:bottom w:val="nil"/>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sz w:val="17"/>
                <w:szCs w:val="17"/>
              </w:rPr>
            </w:pPr>
            <w:r w:rsidRPr="00D47E5B">
              <w:rPr>
                <w:rFonts w:cs="Calibri"/>
                <w:sz w:val="17"/>
                <w:szCs w:val="17"/>
              </w:rPr>
              <w:t>6,692</w:t>
            </w:r>
          </w:p>
        </w:tc>
      </w:tr>
      <w:tr w:rsidR="008835EB" w:rsidRPr="00D47E5B" w:rsidTr="007E3F2E">
        <w:trPr>
          <w:trHeight w:val="240"/>
        </w:trPr>
        <w:tc>
          <w:tcPr>
            <w:tcW w:w="3140" w:type="dxa"/>
            <w:tcBorders>
              <w:top w:val="nil"/>
              <w:left w:val="single" w:sz="4" w:space="0" w:color="auto"/>
              <w:bottom w:val="nil"/>
              <w:right w:val="single" w:sz="4" w:space="0" w:color="auto"/>
            </w:tcBorders>
            <w:shd w:val="clear" w:color="000000" w:fill="D9D9D9"/>
            <w:noWrap/>
            <w:vAlign w:val="bottom"/>
            <w:hideMark/>
          </w:tcPr>
          <w:p w:rsidR="008835EB" w:rsidRPr="00D47E5B" w:rsidRDefault="008835EB" w:rsidP="007E3F2E">
            <w:pPr>
              <w:spacing w:line="240" w:lineRule="atLeast"/>
              <w:ind w:firstLineChars="100" w:firstLine="170"/>
              <w:rPr>
                <w:rFonts w:cs="Calibri"/>
                <w:sz w:val="17"/>
                <w:szCs w:val="17"/>
              </w:rPr>
            </w:pPr>
            <w:r w:rsidRPr="00D47E5B">
              <w:rPr>
                <w:rFonts w:cs="Calibri"/>
                <w:sz w:val="17"/>
                <w:szCs w:val="17"/>
              </w:rPr>
              <w:t>Grants</w:t>
            </w:r>
          </w:p>
        </w:tc>
        <w:tc>
          <w:tcPr>
            <w:tcW w:w="1088" w:type="dxa"/>
            <w:tcBorders>
              <w:top w:val="nil"/>
              <w:left w:val="nil"/>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1,986 </w:t>
            </w:r>
          </w:p>
        </w:tc>
        <w:tc>
          <w:tcPr>
            <w:tcW w:w="1086"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91"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182 </w:t>
            </w:r>
          </w:p>
        </w:tc>
        <w:tc>
          <w:tcPr>
            <w:tcW w:w="1086"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3"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4"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2" w:type="dxa"/>
            <w:tcBorders>
              <w:top w:val="nil"/>
              <w:left w:val="single" w:sz="4" w:space="0" w:color="auto"/>
              <w:bottom w:val="nil"/>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2,168</w:t>
            </w:r>
          </w:p>
        </w:tc>
        <w:tc>
          <w:tcPr>
            <w:tcW w:w="1081" w:type="dxa"/>
            <w:tcBorders>
              <w:top w:val="nil"/>
              <w:left w:val="nil"/>
              <w:bottom w:val="nil"/>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sz w:val="17"/>
                <w:szCs w:val="17"/>
              </w:rPr>
            </w:pPr>
            <w:r w:rsidRPr="00D47E5B">
              <w:rPr>
                <w:rFonts w:cs="Calibri"/>
                <w:sz w:val="17"/>
                <w:szCs w:val="17"/>
              </w:rPr>
              <w:t>-</w:t>
            </w:r>
          </w:p>
        </w:tc>
      </w:tr>
      <w:tr w:rsidR="008835EB" w:rsidRPr="00D47E5B" w:rsidTr="007E3F2E">
        <w:trPr>
          <w:trHeight w:val="240"/>
        </w:trPr>
        <w:tc>
          <w:tcPr>
            <w:tcW w:w="3140" w:type="dxa"/>
            <w:tcBorders>
              <w:top w:val="nil"/>
              <w:left w:val="single" w:sz="4" w:space="0" w:color="auto"/>
              <w:bottom w:val="nil"/>
              <w:right w:val="single" w:sz="4" w:space="0" w:color="auto"/>
            </w:tcBorders>
            <w:shd w:val="clear" w:color="000000" w:fill="D9D9D9"/>
            <w:noWrap/>
            <w:vAlign w:val="bottom"/>
            <w:hideMark/>
          </w:tcPr>
          <w:p w:rsidR="008835EB" w:rsidRPr="00D47E5B" w:rsidRDefault="008835EB" w:rsidP="007E3F2E">
            <w:pPr>
              <w:spacing w:line="240" w:lineRule="atLeast"/>
              <w:ind w:firstLineChars="100" w:firstLine="170"/>
              <w:rPr>
                <w:rFonts w:cs="Calibri"/>
                <w:sz w:val="17"/>
                <w:szCs w:val="17"/>
              </w:rPr>
            </w:pPr>
            <w:r w:rsidRPr="00D47E5B">
              <w:rPr>
                <w:rFonts w:cs="Calibri"/>
                <w:sz w:val="17"/>
                <w:szCs w:val="17"/>
              </w:rPr>
              <w:t>Other payables</w:t>
            </w:r>
          </w:p>
        </w:tc>
        <w:tc>
          <w:tcPr>
            <w:tcW w:w="1088" w:type="dxa"/>
            <w:tcBorders>
              <w:top w:val="nil"/>
              <w:left w:val="nil"/>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7,341 </w:t>
            </w:r>
          </w:p>
        </w:tc>
        <w:tc>
          <w:tcPr>
            <w:tcW w:w="1086"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7,541 </w:t>
            </w:r>
          </w:p>
        </w:tc>
        <w:tc>
          <w:tcPr>
            <w:tcW w:w="1091"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2,802,948 </w:t>
            </w:r>
          </w:p>
        </w:tc>
        <w:tc>
          <w:tcPr>
            <w:tcW w:w="1086"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2,786,905 </w:t>
            </w:r>
          </w:p>
        </w:tc>
        <w:tc>
          <w:tcPr>
            <w:tcW w:w="1083"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4"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 xml:space="preserve"> -</w:t>
            </w:r>
          </w:p>
        </w:tc>
        <w:tc>
          <w:tcPr>
            <w:tcW w:w="1085" w:type="dxa"/>
            <w:tcBorders>
              <w:top w:val="nil"/>
              <w:left w:val="single" w:sz="4" w:space="0" w:color="auto"/>
              <w:bottom w:val="nil"/>
              <w:right w:val="nil"/>
            </w:tcBorders>
            <w:shd w:val="clear" w:color="000000" w:fill="D9D9D9"/>
            <w:noWrap/>
            <w:vAlign w:val="bottom"/>
            <w:hideMark/>
          </w:tcPr>
          <w:p w:rsidR="008835EB" w:rsidRPr="00D47E5B" w:rsidRDefault="008835EB" w:rsidP="007E3F2E">
            <w:pPr>
              <w:spacing w:line="240" w:lineRule="atLeast"/>
              <w:jc w:val="right"/>
              <w:rPr>
                <w:rFonts w:cs="Calibri"/>
                <w:sz w:val="17"/>
                <w:szCs w:val="17"/>
              </w:rPr>
            </w:pPr>
            <w:r w:rsidRPr="00D47E5B">
              <w:rPr>
                <w:rFonts w:cs="Calibri"/>
                <w:sz w:val="17"/>
                <w:szCs w:val="17"/>
              </w:rPr>
              <w:t xml:space="preserve"> -</w:t>
            </w:r>
          </w:p>
        </w:tc>
        <w:tc>
          <w:tcPr>
            <w:tcW w:w="1082" w:type="dxa"/>
            <w:tcBorders>
              <w:top w:val="nil"/>
              <w:left w:val="single" w:sz="4" w:space="0" w:color="auto"/>
              <w:bottom w:val="nil"/>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2,810,289</w:t>
            </w:r>
          </w:p>
        </w:tc>
        <w:tc>
          <w:tcPr>
            <w:tcW w:w="1081" w:type="dxa"/>
            <w:tcBorders>
              <w:top w:val="nil"/>
              <w:left w:val="nil"/>
              <w:bottom w:val="nil"/>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sz w:val="17"/>
                <w:szCs w:val="17"/>
              </w:rPr>
            </w:pPr>
            <w:r w:rsidRPr="00D47E5B">
              <w:rPr>
                <w:rFonts w:cs="Calibri"/>
                <w:sz w:val="17"/>
                <w:szCs w:val="17"/>
              </w:rPr>
              <w:t>2,794,446</w:t>
            </w:r>
          </w:p>
        </w:tc>
      </w:tr>
      <w:tr w:rsidR="008835EB" w:rsidRPr="00D47E5B" w:rsidTr="007E3F2E">
        <w:trPr>
          <w:trHeight w:val="240"/>
        </w:trPr>
        <w:tc>
          <w:tcPr>
            <w:tcW w:w="3140" w:type="dxa"/>
            <w:tcBorders>
              <w:top w:val="single" w:sz="4" w:space="0" w:color="auto"/>
              <w:left w:val="single" w:sz="4" w:space="0" w:color="auto"/>
              <w:bottom w:val="single" w:sz="4" w:space="0" w:color="auto"/>
              <w:right w:val="single" w:sz="4" w:space="0" w:color="auto"/>
            </w:tcBorders>
            <w:shd w:val="clear" w:color="000000" w:fill="D9D9D9"/>
            <w:hideMark/>
          </w:tcPr>
          <w:p w:rsidR="008835EB" w:rsidRPr="00D47E5B" w:rsidRDefault="008835EB" w:rsidP="007E3F2E">
            <w:pPr>
              <w:spacing w:line="240" w:lineRule="atLeast"/>
              <w:rPr>
                <w:rFonts w:cs="Calibri"/>
                <w:b/>
                <w:bCs/>
                <w:i/>
                <w:iCs/>
                <w:sz w:val="17"/>
                <w:szCs w:val="17"/>
              </w:rPr>
            </w:pPr>
            <w:r w:rsidRPr="00D47E5B">
              <w:rPr>
                <w:rFonts w:cs="Calibri"/>
                <w:b/>
                <w:bCs/>
                <w:i/>
                <w:iCs/>
                <w:sz w:val="17"/>
                <w:szCs w:val="17"/>
              </w:rPr>
              <w:t>Total liabilities</w:t>
            </w:r>
          </w:p>
        </w:tc>
        <w:tc>
          <w:tcPr>
            <w:tcW w:w="1088" w:type="dxa"/>
            <w:tcBorders>
              <w:top w:val="single" w:sz="4" w:space="0" w:color="auto"/>
              <w:left w:val="nil"/>
              <w:bottom w:val="single" w:sz="4" w:space="0" w:color="auto"/>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84,089</w:t>
            </w:r>
          </w:p>
        </w:tc>
        <w:tc>
          <w:tcPr>
            <w:tcW w:w="1086" w:type="dxa"/>
            <w:tcBorders>
              <w:top w:val="single" w:sz="4" w:space="0" w:color="auto"/>
              <w:left w:val="nil"/>
              <w:bottom w:val="single" w:sz="4" w:space="0" w:color="auto"/>
              <w:right w:val="nil"/>
            </w:tcBorders>
            <w:shd w:val="clear" w:color="000000" w:fill="D9D9D9"/>
            <w:noWrap/>
            <w:vAlign w:val="center"/>
            <w:hideMark/>
          </w:tcPr>
          <w:p w:rsidR="008835EB" w:rsidRPr="00D47E5B" w:rsidRDefault="008835EB" w:rsidP="007E3F2E">
            <w:pPr>
              <w:spacing w:line="240" w:lineRule="atLeast"/>
              <w:jc w:val="right"/>
              <w:rPr>
                <w:rFonts w:cs="Calibri"/>
                <w:sz w:val="17"/>
                <w:szCs w:val="17"/>
              </w:rPr>
            </w:pPr>
            <w:r w:rsidRPr="00D47E5B">
              <w:rPr>
                <w:rFonts w:cs="Calibri"/>
                <w:sz w:val="17"/>
                <w:szCs w:val="17"/>
              </w:rPr>
              <w:t>146,886</w:t>
            </w:r>
          </w:p>
        </w:tc>
        <w:tc>
          <w:tcPr>
            <w:tcW w:w="109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2,816,236</w:t>
            </w:r>
          </w:p>
        </w:tc>
        <w:tc>
          <w:tcPr>
            <w:tcW w:w="1086" w:type="dxa"/>
            <w:tcBorders>
              <w:top w:val="single" w:sz="4" w:space="0" w:color="auto"/>
              <w:left w:val="nil"/>
              <w:bottom w:val="single" w:sz="4" w:space="0" w:color="auto"/>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sz w:val="17"/>
                <w:szCs w:val="17"/>
              </w:rPr>
            </w:pPr>
            <w:r w:rsidRPr="00D47E5B">
              <w:rPr>
                <w:rFonts w:cs="Calibri"/>
                <w:sz w:val="17"/>
                <w:szCs w:val="17"/>
              </w:rPr>
              <w:t>2,806,301</w:t>
            </w:r>
          </w:p>
        </w:tc>
        <w:tc>
          <w:tcPr>
            <w:tcW w:w="1083" w:type="dxa"/>
            <w:tcBorders>
              <w:top w:val="single" w:sz="4" w:space="0" w:color="auto"/>
              <w:left w:val="nil"/>
              <w:bottom w:val="single" w:sz="4" w:space="0" w:color="auto"/>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w:t>
            </w:r>
          </w:p>
        </w:tc>
        <w:tc>
          <w:tcPr>
            <w:tcW w:w="1085" w:type="dxa"/>
            <w:tcBorders>
              <w:top w:val="single" w:sz="4" w:space="0" w:color="auto"/>
              <w:left w:val="nil"/>
              <w:bottom w:val="single" w:sz="4" w:space="0" w:color="auto"/>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sz w:val="17"/>
                <w:szCs w:val="17"/>
              </w:rPr>
            </w:pPr>
            <w:r w:rsidRPr="00D47E5B">
              <w:rPr>
                <w:rFonts w:cs="Calibri"/>
                <w:sz w:val="17"/>
                <w:szCs w:val="17"/>
              </w:rPr>
              <w:t>-</w:t>
            </w:r>
          </w:p>
        </w:tc>
        <w:tc>
          <w:tcPr>
            <w:tcW w:w="1084" w:type="dxa"/>
            <w:tcBorders>
              <w:top w:val="single" w:sz="4" w:space="0" w:color="auto"/>
              <w:left w:val="nil"/>
              <w:bottom w:val="single" w:sz="4" w:space="0" w:color="auto"/>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w:t>
            </w:r>
          </w:p>
        </w:tc>
        <w:tc>
          <w:tcPr>
            <w:tcW w:w="1085" w:type="dxa"/>
            <w:tcBorders>
              <w:top w:val="single" w:sz="4" w:space="0" w:color="auto"/>
              <w:left w:val="nil"/>
              <w:bottom w:val="single" w:sz="4" w:space="0" w:color="auto"/>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sz w:val="17"/>
                <w:szCs w:val="17"/>
              </w:rPr>
            </w:pPr>
            <w:r w:rsidRPr="00D47E5B">
              <w:rPr>
                <w:rFonts w:cs="Calibri"/>
                <w:sz w:val="17"/>
                <w:szCs w:val="17"/>
              </w:rPr>
              <w:t>-</w:t>
            </w:r>
          </w:p>
        </w:tc>
        <w:tc>
          <w:tcPr>
            <w:tcW w:w="1082" w:type="dxa"/>
            <w:tcBorders>
              <w:top w:val="single" w:sz="4" w:space="0" w:color="auto"/>
              <w:left w:val="nil"/>
              <w:bottom w:val="single" w:sz="4" w:space="0" w:color="auto"/>
              <w:right w:val="nil"/>
            </w:tcBorders>
            <w:shd w:val="clear" w:color="000000" w:fill="D9D9D9"/>
            <w:noWrap/>
            <w:vAlign w:val="center"/>
            <w:hideMark/>
          </w:tcPr>
          <w:p w:rsidR="008835EB" w:rsidRPr="00D47E5B" w:rsidRDefault="008835EB" w:rsidP="007E3F2E">
            <w:pPr>
              <w:spacing w:line="240" w:lineRule="atLeast"/>
              <w:jc w:val="right"/>
              <w:rPr>
                <w:rFonts w:cs="Calibri"/>
                <w:b/>
                <w:bCs/>
                <w:sz w:val="17"/>
                <w:szCs w:val="17"/>
              </w:rPr>
            </w:pPr>
            <w:r w:rsidRPr="00D47E5B">
              <w:rPr>
                <w:rFonts w:cs="Calibri"/>
                <w:b/>
                <w:bCs/>
                <w:sz w:val="17"/>
                <w:szCs w:val="17"/>
              </w:rPr>
              <w:t>2,900,325</w:t>
            </w:r>
          </w:p>
        </w:tc>
        <w:tc>
          <w:tcPr>
            <w:tcW w:w="108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835EB" w:rsidRPr="00D47E5B" w:rsidRDefault="008835EB" w:rsidP="007E3F2E">
            <w:pPr>
              <w:spacing w:line="240" w:lineRule="atLeast"/>
              <w:jc w:val="right"/>
              <w:rPr>
                <w:rFonts w:cs="Calibri"/>
                <w:sz w:val="17"/>
                <w:szCs w:val="17"/>
              </w:rPr>
            </w:pPr>
            <w:r w:rsidRPr="00D47E5B">
              <w:rPr>
                <w:rFonts w:cs="Calibri"/>
                <w:sz w:val="17"/>
                <w:szCs w:val="17"/>
              </w:rPr>
              <w:t>2,953,187</w:t>
            </w:r>
          </w:p>
        </w:tc>
      </w:tr>
    </w:tbl>
    <w:p w:rsidR="008835EB" w:rsidRPr="00D47E5B" w:rsidRDefault="008835EB" w:rsidP="008835EB">
      <w:pPr>
        <w:pStyle w:val="ReportText"/>
        <w:rPr>
          <w:sz w:val="17"/>
          <w:szCs w:val="17"/>
        </w:rPr>
      </w:pPr>
      <w:bookmarkStart w:id="596" w:name="RANGE!D34:N94"/>
      <w:bookmarkStart w:id="597" w:name="RANGE!D34:N91"/>
      <w:bookmarkStart w:id="598" w:name="RANGE!D34:O91"/>
      <w:bookmarkStart w:id="599" w:name="RANGE!D34:M64"/>
      <w:bookmarkStart w:id="600" w:name="RANGE!D34:N64"/>
      <w:bookmarkStart w:id="601" w:name="RANGE!D34:N66"/>
      <w:bookmarkStart w:id="602" w:name="RANGE!D34:N103"/>
      <w:bookmarkStart w:id="603" w:name="RANGE!D34:N102"/>
      <w:bookmarkStart w:id="604" w:name="RANGE!D34:N105"/>
      <w:bookmarkStart w:id="605" w:name="RANGE!D34:J105"/>
      <w:bookmarkStart w:id="606" w:name="RANGE!D34:L105"/>
      <w:bookmarkStart w:id="607" w:name="RANGE!D34:L101"/>
      <w:bookmarkStart w:id="608" w:name="RANGE!D34:L104"/>
      <w:bookmarkStart w:id="609" w:name="RANGE!D34:L103"/>
      <w:bookmarkStart w:id="610" w:name="RANGE!D34:L102"/>
      <w:bookmarkStart w:id="611" w:name="RANGE!D44:L76"/>
      <w:bookmarkStart w:id="612" w:name="RANGE!D33:L101"/>
      <w:bookmarkStart w:id="613" w:name="RANGE!D33:L102"/>
      <w:bookmarkStart w:id="614" w:name="RANGE!D33:L103"/>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r w:rsidRPr="00D47E5B">
        <w:rPr>
          <w:sz w:val="17"/>
          <w:szCs w:val="17"/>
        </w:rPr>
        <w:t>* Payments to corporate Commonwealth entities are not related to outcomes. They are included here so the total agrees to the resourcing table. The Department has two outcomes and details of each outcome are provided in the Overview. The Department uses a cost allocation model to determine the attribution of its shared items.</w:t>
      </w:r>
      <w:bookmarkStart w:id="615" w:name="RANGE!D7:M29"/>
      <w:bookmarkStart w:id="616" w:name="RANGE!D7:N29"/>
      <w:bookmarkStart w:id="617" w:name="RANGE!D7:J29"/>
      <w:bookmarkStart w:id="618" w:name="RANGE!D7:L29"/>
      <w:bookmarkStart w:id="619" w:name="RANGE!D6:L39"/>
      <w:bookmarkStart w:id="620" w:name="RANGE!D6:L40"/>
      <w:bookmarkStart w:id="621" w:name="RANGE!D6:L41"/>
      <w:bookmarkStart w:id="622" w:name="RANGE!D6:L32"/>
      <w:bookmarkStart w:id="623" w:name="RANGE!D6:L33"/>
      <w:bookmarkStart w:id="624" w:name="RANGE!D22:L32"/>
      <w:bookmarkStart w:id="625" w:name="RANGE!D37:L62"/>
      <w:bookmarkEnd w:id="615"/>
      <w:bookmarkEnd w:id="616"/>
      <w:bookmarkEnd w:id="617"/>
      <w:bookmarkEnd w:id="618"/>
      <w:bookmarkEnd w:id="619"/>
      <w:bookmarkEnd w:id="620"/>
      <w:bookmarkEnd w:id="621"/>
      <w:bookmarkEnd w:id="622"/>
      <w:bookmarkEnd w:id="623"/>
      <w:bookmarkEnd w:id="624"/>
      <w:bookmarkEnd w:id="625"/>
      <w:r w:rsidRPr="00D47E5B">
        <w:rPr>
          <w:sz w:val="17"/>
          <w:szCs w:val="17"/>
        </w:rPr>
        <w:t xml:space="preserve"> Net costs shown include intra-government costs that are eliminated in calculating the actual Budget Outcome. Refer to Appendix 3 of this annual report for Agency resource statements and resources.  </w:t>
      </w:r>
    </w:p>
    <w:p w:rsidR="008835EB" w:rsidRPr="00D47E5B" w:rsidRDefault="008835EB" w:rsidP="008835EB">
      <w:pPr>
        <w:pStyle w:val="ReportText"/>
        <w:rPr>
          <w:sz w:val="17"/>
          <w:szCs w:val="17"/>
        </w:rPr>
      </w:pPr>
      <w:proofErr w:type="gramStart"/>
      <w:r w:rsidRPr="00D47E5B">
        <w:rPr>
          <w:sz w:val="17"/>
          <w:szCs w:val="17"/>
        </w:rPr>
        <w:t># Assets and liabilities that could not be reliably attributed to outcomes.</w:t>
      </w:r>
      <w:proofErr w:type="gramEnd"/>
    </w:p>
    <w:sectPr w:rsidR="008835EB" w:rsidRPr="00D47E5B" w:rsidSect="00D47E5B">
      <w:headerReference w:type="even" r:id="rId49"/>
      <w:headerReference w:type="first" r:id="rId50"/>
      <w:pgSz w:w="16838" w:h="11906" w:orient="landscape"/>
      <w:pgMar w:top="1134" w:right="1134" w:bottom="709" w:left="1134" w:header="958"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5EB" w:rsidRDefault="008835EB" w:rsidP="008835EB">
      <w:pPr>
        <w:spacing w:line="240" w:lineRule="auto"/>
      </w:pPr>
      <w:r>
        <w:separator/>
      </w:r>
    </w:p>
  </w:endnote>
  <w:endnote w:type="continuationSeparator" w:id="0">
    <w:p w:rsidR="008835EB" w:rsidRDefault="008835EB" w:rsidP="008835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Bold">
    <w:altName w:val="Times New Roman"/>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55C" w:rsidRDefault="00FA45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55C" w:rsidRDefault="00FA45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55C" w:rsidRDefault="00FA455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Default="008835EB">
    <w:pPr>
      <w:pStyle w:val="Footer"/>
      <w:jc w:val="right"/>
      <w:rPr>
        <w:rFonts w:asciiTheme="minorHAnsi" w:hAnsiTheme="minorHAnsi" w:cstheme="minorHAnsi"/>
      </w:rPr>
    </w:pPr>
  </w:p>
  <w:p w:rsidR="008835EB" w:rsidRDefault="008835EB">
    <w:pPr>
      <w:pStyle w:val="Footer"/>
      <w:rPr>
        <w:rFonts w:asciiTheme="minorHAnsi" w:hAnsiTheme="minorHAnsi" w:cstheme="minorHAnsi"/>
      </w:rPr>
    </w:pPr>
    <w:r>
      <w:rPr>
        <w:rFonts w:asciiTheme="minorHAnsi" w:hAnsiTheme="minorHAnsi" w:cstheme="minorHAnsi"/>
      </w:rPr>
      <w:t>The above statement should be read in conjunction with the accompanying notes.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Default="008835EB">
    <w:pPr>
      <w:pStyle w:val="Footer"/>
      <w:jc w:val="right"/>
      <w:rPr>
        <w:rFonts w:asciiTheme="minorHAnsi" w:hAnsiTheme="minorHAnsi" w:cstheme="minorHAnsi"/>
      </w:rPr>
    </w:pPr>
  </w:p>
  <w:p w:rsidR="008835EB" w:rsidRDefault="008835EB">
    <w:pPr>
      <w:pStyle w:val="Footer"/>
      <w:rPr>
        <w:rFonts w:asciiTheme="minorHAnsi" w:hAnsiTheme="minorHAnsi" w:cstheme="minorHAnsi"/>
      </w:rPr>
    </w:pPr>
    <w:r>
      <w:rPr>
        <w:rFonts w:asciiTheme="minorHAnsi" w:hAnsiTheme="minorHAnsi" w:cstheme="minorHAnsi"/>
      </w:rPr>
      <w:t>The above schedule should be read in conjunction with the accompanying notes.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Default="008835EB">
    <w:pPr>
      <w:pStyle w:val="Footer"/>
      <w:jc w:val="right"/>
      <w:rPr>
        <w:rFonts w:asciiTheme="minorHAnsi" w:hAnsiTheme="minorHAnsi" w:cstheme="minorHAnsi"/>
      </w:rPr>
    </w:pPr>
  </w:p>
  <w:p w:rsidR="008835EB" w:rsidRDefault="008835E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Default="008835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5EB" w:rsidRDefault="008835EB" w:rsidP="008835EB">
      <w:pPr>
        <w:spacing w:line="240" w:lineRule="auto"/>
      </w:pPr>
      <w:r>
        <w:separator/>
      </w:r>
    </w:p>
  </w:footnote>
  <w:footnote w:type="continuationSeparator" w:id="0">
    <w:p w:rsidR="008835EB" w:rsidRDefault="008835EB" w:rsidP="008835EB">
      <w:pPr>
        <w:spacing w:line="240" w:lineRule="auto"/>
      </w:pPr>
      <w:r>
        <w:continuationSeparator/>
      </w:r>
    </w:p>
  </w:footnote>
  <w:footnote w:id="1">
    <w:p w:rsidR="008835EB" w:rsidRPr="00461522" w:rsidRDefault="008835EB" w:rsidP="008835EB">
      <w:pPr>
        <w:pStyle w:val="FootnoteText"/>
        <w:rPr>
          <w:sz w:val="18"/>
          <w:szCs w:val="18"/>
        </w:rPr>
      </w:pPr>
      <w:r>
        <w:rPr>
          <w:rStyle w:val="FootnoteReference"/>
        </w:rPr>
        <w:footnoteRef/>
      </w:r>
      <w:r>
        <w:t xml:space="preserve"> </w:t>
      </w:r>
      <w:r w:rsidRPr="00461522">
        <w:rPr>
          <w:sz w:val="18"/>
          <w:szCs w:val="18"/>
        </w:rPr>
        <w:t>No non-financial assets were measured at fair value on a non-recurring basis at 30 June 2016 (</w:t>
      </w:r>
      <w:proofErr w:type="spellStart"/>
      <w:r w:rsidRPr="00461522">
        <w:rPr>
          <w:sz w:val="18"/>
          <w:szCs w:val="18"/>
        </w:rPr>
        <w:t>2015:Nil</w:t>
      </w:r>
      <w:proofErr w:type="spellEnd"/>
      <w:r w:rsidRPr="00461522">
        <w:rPr>
          <w:sz w:val="18"/>
          <w:szCs w:val="18"/>
        </w:rPr>
        <w:t>)</w:t>
      </w:r>
    </w:p>
  </w:footnote>
  <w:footnote w:id="2">
    <w:p w:rsidR="008835EB" w:rsidRPr="00461522" w:rsidRDefault="008835EB" w:rsidP="008835EB">
      <w:pPr>
        <w:pStyle w:val="FootnoteText"/>
        <w:rPr>
          <w:sz w:val="18"/>
          <w:szCs w:val="18"/>
        </w:rPr>
      </w:pPr>
      <w:r w:rsidRPr="00461522">
        <w:rPr>
          <w:rStyle w:val="FootnoteReference"/>
          <w:sz w:val="18"/>
          <w:szCs w:val="18"/>
        </w:rPr>
        <w:footnoteRef/>
      </w:r>
      <w:r w:rsidRPr="00461522">
        <w:rPr>
          <w:sz w:val="18"/>
          <w:szCs w:val="18"/>
        </w:rPr>
        <w:t xml:space="preserve"> The Department’s assets are held for operational purposes and not held for the purpose of deriving a profit. The current use of all non-financial assets is considered their highest and best use.</w:t>
      </w:r>
    </w:p>
  </w:footnote>
  <w:footnote w:id="3">
    <w:p w:rsidR="008835EB" w:rsidRPr="00461522" w:rsidRDefault="008835EB" w:rsidP="008835EB">
      <w:pPr>
        <w:pStyle w:val="FootnoteText"/>
        <w:rPr>
          <w:sz w:val="18"/>
          <w:szCs w:val="18"/>
        </w:rPr>
      </w:pPr>
      <w:r w:rsidRPr="00461522">
        <w:rPr>
          <w:rStyle w:val="FootnoteReference"/>
          <w:sz w:val="18"/>
          <w:szCs w:val="18"/>
        </w:rPr>
        <w:footnoteRef/>
      </w:r>
      <w:r w:rsidRPr="00461522">
        <w:rPr>
          <w:sz w:val="18"/>
          <w:szCs w:val="18"/>
        </w:rPr>
        <w:t xml:space="preserve"> There were no transfers between levels 1 and 2 for recurring fair value measurements during the year.</w:t>
      </w:r>
    </w:p>
  </w:footnote>
  <w:footnote w:id="4">
    <w:p w:rsidR="008835EB" w:rsidRPr="00461522" w:rsidRDefault="008835EB" w:rsidP="008835EB">
      <w:pPr>
        <w:pStyle w:val="FootnoteText"/>
        <w:rPr>
          <w:sz w:val="18"/>
          <w:szCs w:val="18"/>
        </w:rPr>
      </w:pPr>
      <w:r w:rsidRPr="00461522">
        <w:rPr>
          <w:rStyle w:val="FootnoteReference"/>
          <w:sz w:val="18"/>
          <w:szCs w:val="18"/>
        </w:rPr>
        <w:footnoteRef/>
      </w:r>
      <w:r w:rsidRPr="00461522">
        <w:rPr>
          <w:sz w:val="18"/>
          <w:szCs w:val="18"/>
        </w:rPr>
        <w:t xml:space="preserve"> The remaining assets and liabilities reported by the Department are not measured at fair value in the Statement of Financial Position.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55C" w:rsidRPr="00FA455C" w:rsidRDefault="00FA455C" w:rsidP="00FA455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Pr="00FA455C" w:rsidRDefault="008835EB" w:rsidP="00FA455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Pr="00FA455C" w:rsidRDefault="008835EB" w:rsidP="00FA455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Pr="00FA455C" w:rsidRDefault="008835EB" w:rsidP="00FA455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Pr="00FA455C" w:rsidRDefault="008835EB" w:rsidP="00FA455C">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Pr="00FA455C" w:rsidRDefault="008835EB" w:rsidP="00FA455C">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Pr="00FA455C" w:rsidRDefault="008835EB" w:rsidP="00FA455C">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Pr="00FA455C" w:rsidRDefault="008835EB" w:rsidP="00FA455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Pr="00FA455C" w:rsidRDefault="008835EB" w:rsidP="00FA455C">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Pr="00FA455C" w:rsidRDefault="008835EB" w:rsidP="00FA455C">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Pr="00FA455C" w:rsidRDefault="008835EB" w:rsidP="00FA45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Pr="00FA455C" w:rsidRDefault="008835EB" w:rsidP="00FA455C">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Pr="00FA455C" w:rsidRDefault="008835EB" w:rsidP="00FA455C">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Pr="00FA455C" w:rsidRDefault="008835EB" w:rsidP="00FA455C">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Pr="00FA455C" w:rsidRDefault="008835EB" w:rsidP="00FA455C">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Pr="00FA455C" w:rsidRDefault="008835EB" w:rsidP="00FA455C">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Pr="00FA455C" w:rsidRDefault="008835EB" w:rsidP="00FA455C">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Pr="00FA455C" w:rsidRDefault="008835EB" w:rsidP="00FA455C">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Pr="00FA455C" w:rsidRDefault="008835EB" w:rsidP="00FA455C">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Pr="00FA455C" w:rsidRDefault="008835EB" w:rsidP="00FA455C">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Pr="00FA455C" w:rsidRDefault="008835EB" w:rsidP="00FA455C">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Pr="00FA455C" w:rsidRDefault="008835EB" w:rsidP="00FA45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55C" w:rsidRPr="00FA455C" w:rsidRDefault="00FA455C" w:rsidP="00FA455C">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Pr="00FA455C" w:rsidRDefault="008835EB" w:rsidP="00FA455C">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Pr="00FA455C" w:rsidRDefault="008835EB" w:rsidP="00FA455C">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Pr="00FA455C" w:rsidRDefault="008835EB" w:rsidP="00FA455C">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Pr="00FA455C" w:rsidRDefault="008835EB" w:rsidP="00FA455C">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Pr="00FA455C" w:rsidRDefault="008835EB" w:rsidP="00FA455C">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073" w:rsidRPr="00FA455C" w:rsidRDefault="00F4745F" w:rsidP="00FA455C">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073" w:rsidRPr="00FA455C" w:rsidRDefault="00F4745F" w:rsidP="00FA45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Pr="00FA455C" w:rsidRDefault="008835EB" w:rsidP="00FA455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Pr="00FA455C" w:rsidRDefault="008835EB" w:rsidP="00FA455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Pr="00FA455C" w:rsidRDefault="008835EB" w:rsidP="00FA455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Pr="00FA455C" w:rsidRDefault="008835EB" w:rsidP="00FA455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Pr="00FA455C" w:rsidRDefault="008835EB" w:rsidP="00FA455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B" w:rsidRPr="00FA455C" w:rsidRDefault="008835EB" w:rsidP="00FA45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B84"/>
    <w:multiLevelType w:val="singleLevel"/>
    <w:tmpl w:val="AE3A64A8"/>
    <w:lvl w:ilvl="0">
      <w:start w:val="1"/>
      <w:numFmt w:val="bullet"/>
      <w:lvlText w:val=""/>
      <w:lvlJc w:val="left"/>
      <w:pPr>
        <w:tabs>
          <w:tab w:val="num" w:pos="340"/>
        </w:tabs>
        <w:ind w:left="340" w:hanging="340"/>
      </w:pPr>
      <w:rPr>
        <w:rFonts w:ascii="Symbol" w:hAnsi="Symbol" w:hint="default"/>
        <w:color w:val="auto"/>
        <w:sz w:val="22"/>
      </w:rPr>
    </w:lvl>
  </w:abstractNum>
  <w:abstractNum w:abstractNumId="1">
    <w:nsid w:val="01AF4F85"/>
    <w:multiLevelType w:val="multilevel"/>
    <w:tmpl w:val="4A2C09A0"/>
    <w:styleLink w:val="CurrentList2"/>
    <w:lvl w:ilvl="0">
      <w:start w:val="2"/>
      <w:numFmt w:val="decimal"/>
      <w:lvlText w:val="Note %1: "/>
      <w:lvlJc w:val="left"/>
      <w:pPr>
        <w:tabs>
          <w:tab w:val="num" w:pos="1352"/>
        </w:tabs>
        <w:ind w:left="1352" w:hanging="99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upperLetter"/>
      <w:lvlText w:val="Note %1%2: "/>
      <w:lvlJc w:val="left"/>
      <w:pPr>
        <w:tabs>
          <w:tab w:val="num" w:pos="1532"/>
        </w:tabs>
        <w:ind w:left="1532" w:hanging="992"/>
      </w:pPr>
      <w:rPr>
        <w:rFonts w:ascii="Times New Roman" w:hAnsi="Times New Roman" w:cs="Times New Roman" w:hint="default"/>
        <w:b/>
        <w:i w:val="0"/>
        <w:strike w:val="0"/>
        <w:dstrike w:val="0"/>
        <w:color w:val="auto"/>
        <w:sz w:val="20"/>
        <w:szCs w:val="20"/>
        <w:u w:val="none"/>
        <w:effect w:val="none"/>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33E009C"/>
    <w:multiLevelType w:val="hybridMultilevel"/>
    <w:tmpl w:val="D9F66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3B72C3A"/>
    <w:multiLevelType w:val="singleLevel"/>
    <w:tmpl w:val="BF5000B8"/>
    <w:lvl w:ilvl="0">
      <w:start w:val="1"/>
      <w:numFmt w:val="bullet"/>
      <w:lvlText w:val=""/>
      <w:lvlJc w:val="left"/>
      <w:pPr>
        <w:tabs>
          <w:tab w:val="num" w:pos="340"/>
        </w:tabs>
        <w:ind w:left="340" w:hanging="340"/>
      </w:pPr>
      <w:rPr>
        <w:rFonts w:ascii="Symbol" w:hAnsi="Symbol" w:hint="default"/>
        <w:color w:val="auto"/>
        <w:sz w:val="22"/>
      </w:rPr>
    </w:lvl>
  </w:abstractNum>
  <w:abstractNum w:abstractNumId="4">
    <w:nsid w:val="08E2080B"/>
    <w:multiLevelType w:val="hybridMultilevel"/>
    <w:tmpl w:val="F7B202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A5B741E"/>
    <w:multiLevelType w:val="hybridMultilevel"/>
    <w:tmpl w:val="EE1EA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B0E42AA"/>
    <w:multiLevelType w:val="hybridMultilevel"/>
    <w:tmpl w:val="84D438BC"/>
    <w:lvl w:ilvl="0" w:tplc="958A6A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CA559EC"/>
    <w:multiLevelType w:val="singleLevel"/>
    <w:tmpl w:val="9BC8F01C"/>
    <w:lvl w:ilvl="0">
      <w:start w:val="1"/>
      <w:numFmt w:val="bullet"/>
      <w:lvlText w:val=""/>
      <w:lvlJc w:val="left"/>
      <w:pPr>
        <w:tabs>
          <w:tab w:val="num" w:pos="340"/>
        </w:tabs>
        <w:ind w:left="340" w:hanging="340"/>
      </w:pPr>
      <w:rPr>
        <w:rFonts w:ascii="Symbol" w:hAnsi="Symbol" w:hint="default"/>
        <w:color w:val="auto"/>
        <w:sz w:val="22"/>
      </w:rPr>
    </w:lvl>
  </w:abstractNum>
  <w:abstractNum w:abstractNumId="8">
    <w:nsid w:val="0FC36CF2"/>
    <w:multiLevelType w:val="hybridMultilevel"/>
    <w:tmpl w:val="90664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71407EA"/>
    <w:multiLevelType w:val="singleLevel"/>
    <w:tmpl w:val="828CD28E"/>
    <w:lvl w:ilvl="0">
      <w:start w:val="1"/>
      <w:numFmt w:val="bullet"/>
      <w:lvlText w:val=""/>
      <w:lvlJc w:val="left"/>
      <w:pPr>
        <w:tabs>
          <w:tab w:val="num" w:pos="340"/>
        </w:tabs>
        <w:ind w:left="340" w:hanging="340"/>
      </w:pPr>
      <w:rPr>
        <w:rFonts w:ascii="Symbol" w:hAnsi="Symbol" w:hint="default"/>
        <w:color w:val="auto"/>
        <w:sz w:val="22"/>
      </w:rPr>
    </w:lvl>
  </w:abstractNum>
  <w:abstractNum w:abstractNumId="10">
    <w:nsid w:val="18120F6D"/>
    <w:multiLevelType w:val="hybridMultilevel"/>
    <w:tmpl w:val="F4AC1F96"/>
    <w:lvl w:ilvl="0" w:tplc="1C5C4B74">
      <w:start w:val="1"/>
      <w:numFmt w:val="bullet"/>
      <w:lvlText w:val="-"/>
      <w:lvlJc w:val="left"/>
      <w:pPr>
        <w:ind w:left="720" w:hanging="360"/>
      </w:pPr>
      <w:rPr>
        <w:rFonts w:ascii="Calibri" w:eastAsia="Times New Roman" w:hAnsi="Calibri" w:cs="Calibri" w:hint="default"/>
        <w:color w:val="D9D9D9" w:themeColor="background1" w:themeShade="D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87617C0"/>
    <w:multiLevelType w:val="hybridMultilevel"/>
    <w:tmpl w:val="622800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CD95887"/>
    <w:multiLevelType w:val="multilevel"/>
    <w:tmpl w:val="4A2C09A0"/>
    <w:styleLink w:val="Style2"/>
    <w:lvl w:ilvl="0">
      <w:start w:val="1"/>
      <w:numFmt w:val="decimal"/>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upperLetter"/>
      <w:lvlText w:val="Note %1%2: "/>
      <w:lvlJc w:val="left"/>
      <w:pPr>
        <w:tabs>
          <w:tab w:val="num" w:pos="1532"/>
        </w:tabs>
        <w:ind w:left="1532" w:hanging="992"/>
      </w:pPr>
      <w:rPr>
        <w:rFonts w:ascii="Times New Roman" w:hAnsi="Times New Roman" w:cs="Times New Roman" w:hint="default"/>
        <w:b/>
        <w:i w:val="0"/>
        <w:strike w:val="0"/>
        <w:dstrike w:val="0"/>
        <w:color w:val="auto"/>
        <w:sz w:val="20"/>
        <w:szCs w:val="20"/>
        <w:u w:val="none"/>
        <w:effect w:val="none"/>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0E22A60"/>
    <w:multiLevelType w:val="hybridMultilevel"/>
    <w:tmpl w:val="8FA058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7DF3D2A"/>
    <w:multiLevelType w:val="hybridMultilevel"/>
    <w:tmpl w:val="D9F66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ACF6FF9"/>
    <w:multiLevelType w:val="hybridMultilevel"/>
    <w:tmpl w:val="D9F66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D9B44CB"/>
    <w:multiLevelType w:val="hybridMultilevel"/>
    <w:tmpl w:val="D9F66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1D73CB6"/>
    <w:multiLevelType w:val="singleLevel"/>
    <w:tmpl w:val="F9E42C42"/>
    <w:lvl w:ilvl="0">
      <w:start w:val="1"/>
      <w:numFmt w:val="bullet"/>
      <w:lvlText w:val=""/>
      <w:lvlJc w:val="left"/>
      <w:pPr>
        <w:tabs>
          <w:tab w:val="num" w:pos="340"/>
        </w:tabs>
        <w:ind w:left="340" w:hanging="340"/>
      </w:pPr>
      <w:rPr>
        <w:rFonts w:ascii="Symbol" w:hAnsi="Symbol" w:hint="default"/>
        <w:color w:val="auto"/>
        <w:sz w:val="22"/>
      </w:rPr>
    </w:lvl>
  </w:abstractNum>
  <w:abstractNum w:abstractNumId="18">
    <w:nsid w:val="33D77141"/>
    <w:multiLevelType w:val="singleLevel"/>
    <w:tmpl w:val="7C80CE86"/>
    <w:lvl w:ilvl="0">
      <w:start w:val="1"/>
      <w:numFmt w:val="bullet"/>
      <w:lvlText w:val=""/>
      <w:lvlJc w:val="left"/>
      <w:pPr>
        <w:tabs>
          <w:tab w:val="num" w:pos="340"/>
        </w:tabs>
        <w:ind w:left="340" w:hanging="340"/>
      </w:pPr>
      <w:rPr>
        <w:rFonts w:ascii="Symbol" w:hAnsi="Symbol" w:hint="default"/>
        <w:color w:val="auto"/>
        <w:sz w:val="22"/>
      </w:rPr>
    </w:lvl>
  </w:abstractNum>
  <w:abstractNum w:abstractNumId="19">
    <w:nsid w:val="3F7D631F"/>
    <w:multiLevelType w:val="singleLevel"/>
    <w:tmpl w:val="B7C6D352"/>
    <w:lvl w:ilvl="0">
      <w:start w:val="1"/>
      <w:numFmt w:val="bullet"/>
      <w:lvlText w:val=""/>
      <w:lvlJc w:val="left"/>
      <w:pPr>
        <w:tabs>
          <w:tab w:val="num" w:pos="340"/>
        </w:tabs>
        <w:ind w:left="340" w:hanging="340"/>
      </w:pPr>
      <w:rPr>
        <w:rFonts w:ascii="Symbol" w:hAnsi="Symbol" w:hint="default"/>
        <w:color w:val="auto"/>
        <w:sz w:val="22"/>
      </w:rPr>
    </w:lvl>
  </w:abstractNum>
  <w:abstractNum w:abstractNumId="20">
    <w:nsid w:val="4AED3320"/>
    <w:multiLevelType w:val="hybridMultilevel"/>
    <w:tmpl w:val="EF647D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B0E1940"/>
    <w:multiLevelType w:val="hybridMultilevel"/>
    <w:tmpl w:val="9E406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3134884"/>
    <w:multiLevelType w:val="multilevel"/>
    <w:tmpl w:val="DDDCE604"/>
    <w:lvl w:ilvl="0">
      <w:start w:val="1"/>
      <w:numFmt w:val="decimal"/>
      <w:pStyle w:val="SectionHeading"/>
      <w:suff w:val="space"/>
      <w:lvlText w:val="%1."/>
      <w:lvlJc w:val="left"/>
      <w:pPr>
        <w:ind w:left="36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SubHeading"/>
      <w:lvlText w:val="%1.%2."/>
      <w:lvlJc w:val="left"/>
      <w:pPr>
        <w:ind w:left="792" w:hanging="432"/>
      </w:pPr>
      <w:rPr>
        <w:rFonts w:ascii="Arial" w:hAnsi="Arial" w:cs="Arial"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85F6A5F"/>
    <w:multiLevelType w:val="multilevel"/>
    <w:tmpl w:val="4A2C09A0"/>
    <w:styleLink w:val="CurrentList1"/>
    <w:lvl w:ilvl="0">
      <w:start w:val="1"/>
      <w:numFmt w:val="decimal"/>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upperLetter"/>
      <w:lvlText w:val="Note %1%2: "/>
      <w:lvlJc w:val="left"/>
      <w:pPr>
        <w:tabs>
          <w:tab w:val="num" w:pos="1532"/>
        </w:tabs>
        <w:ind w:left="1532" w:hanging="992"/>
      </w:pPr>
      <w:rPr>
        <w:rFonts w:ascii="Times New Roman" w:hAnsi="Times New Roman" w:cs="Times New Roman" w:hint="default"/>
        <w:b/>
        <w:i w:val="0"/>
        <w:strike w:val="0"/>
        <w:dstrike w:val="0"/>
        <w:color w:val="auto"/>
        <w:sz w:val="20"/>
        <w:szCs w:val="20"/>
        <w:u w:val="none"/>
        <w:effect w:val="none"/>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5E6C25A9"/>
    <w:multiLevelType w:val="singleLevel"/>
    <w:tmpl w:val="2B7486A4"/>
    <w:lvl w:ilvl="0">
      <w:start w:val="1"/>
      <w:numFmt w:val="bullet"/>
      <w:lvlText w:val=""/>
      <w:lvlJc w:val="left"/>
      <w:pPr>
        <w:tabs>
          <w:tab w:val="num" w:pos="340"/>
        </w:tabs>
        <w:ind w:left="340" w:hanging="340"/>
      </w:pPr>
      <w:rPr>
        <w:rFonts w:ascii="Symbol" w:hAnsi="Symbol" w:hint="default"/>
        <w:color w:val="auto"/>
        <w:sz w:val="22"/>
      </w:rPr>
    </w:lvl>
  </w:abstractNum>
  <w:abstractNum w:abstractNumId="25">
    <w:nsid w:val="60142E24"/>
    <w:multiLevelType w:val="hybridMultilevel"/>
    <w:tmpl w:val="C516664E"/>
    <w:lvl w:ilvl="0" w:tplc="958A6A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0670E23"/>
    <w:multiLevelType w:val="singleLevel"/>
    <w:tmpl w:val="FC8C2572"/>
    <w:lvl w:ilvl="0">
      <w:start w:val="1"/>
      <w:numFmt w:val="bullet"/>
      <w:lvlText w:val=""/>
      <w:lvlJc w:val="left"/>
      <w:pPr>
        <w:tabs>
          <w:tab w:val="num" w:pos="360"/>
        </w:tabs>
        <w:ind w:left="357" w:hanging="357"/>
      </w:pPr>
      <w:rPr>
        <w:rFonts w:ascii="Symbol" w:hAnsi="Symbol" w:hint="default"/>
      </w:rPr>
    </w:lvl>
  </w:abstractNum>
  <w:abstractNum w:abstractNumId="27">
    <w:nsid w:val="619F60BE"/>
    <w:multiLevelType w:val="hybridMultilevel"/>
    <w:tmpl w:val="D9F66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2E11A3E"/>
    <w:multiLevelType w:val="hybridMultilevel"/>
    <w:tmpl w:val="EF647D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A38338E"/>
    <w:multiLevelType w:val="singleLevel"/>
    <w:tmpl w:val="2922866A"/>
    <w:lvl w:ilvl="0">
      <w:start w:val="1"/>
      <w:numFmt w:val="bullet"/>
      <w:pStyle w:val="NotesHeading-Level1GreyShade"/>
      <w:lvlText w:val=""/>
      <w:lvlJc w:val="left"/>
      <w:pPr>
        <w:tabs>
          <w:tab w:val="num" w:pos="360"/>
        </w:tabs>
        <w:ind w:left="360" w:hanging="360"/>
      </w:pPr>
      <w:rPr>
        <w:rFonts w:ascii="Symbol" w:hAnsi="Symbol" w:cs="Times New Roman" w:hint="default"/>
      </w:rPr>
    </w:lvl>
  </w:abstractNum>
  <w:abstractNum w:abstractNumId="30">
    <w:nsid w:val="72C71143"/>
    <w:multiLevelType w:val="hybridMultilevel"/>
    <w:tmpl w:val="D9F66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2E921FA"/>
    <w:multiLevelType w:val="multilevel"/>
    <w:tmpl w:val="FD30ADAE"/>
    <w:lvl w:ilvl="0">
      <w:start w:val="1"/>
      <w:numFmt w:val="decimal"/>
      <w:lvlText w:val="Note %1: "/>
      <w:lvlJc w:val="left"/>
      <w:pPr>
        <w:tabs>
          <w:tab w:val="num" w:pos="851"/>
        </w:tabs>
        <w:ind w:left="1134" w:hanging="1134"/>
      </w:pPr>
      <w:rPr>
        <w:rFonts w:asciiTheme="minorHAnsi" w:hAnsiTheme="minorHAnsi" w:cstheme="minorHAnsi" w:hint="default"/>
        <w:b/>
        <w:bCs w:val="0"/>
        <w:i w:val="0"/>
        <w:iCs w:val="0"/>
        <w:caps w:val="0"/>
        <w:smallCaps w:val="0"/>
        <w:strike w:val="0"/>
        <w:dstrike w:val="0"/>
        <w:noProof w:val="0"/>
        <w:vanish w:val="0"/>
        <w:webHidden w:val="0"/>
        <w:color w:val="auto"/>
        <w:spacing w:val="0"/>
        <w:kern w:val="0"/>
        <w:position w:val="0"/>
        <w:sz w:val="20"/>
        <w:szCs w:val="20"/>
        <w:u w:val="none"/>
        <w:effect w:val="none"/>
        <w:vertAlign w:val="baseline"/>
        <w:em w:val="none"/>
        <w:specVanish w:val="0"/>
      </w:rPr>
    </w:lvl>
    <w:lvl w:ilvl="1">
      <w:start w:val="1"/>
      <w:numFmt w:val="upperLetter"/>
      <w:lvlText w:val="Note %1%2: "/>
      <w:lvlJc w:val="left"/>
      <w:pPr>
        <w:tabs>
          <w:tab w:val="num" w:pos="851"/>
        </w:tabs>
        <w:ind w:left="1532" w:hanging="1532"/>
      </w:pPr>
      <w:rPr>
        <w:rFonts w:ascii="Times New Roman" w:hAnsi="Times New Roman" w:cs="Times New Roman" w:hint="default"/>
        <w:b/>
        <w:i w:val="0"/>
        <w:color w:val="auto"/>
        <w:sz w:val="20"/>
        <w:szCs w:val="20"/>
        <w:u w:val="singl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7C4B133B"/>
    <w:multiLevelType w:val="hybridMultilevel"/>
    <w:tmpl w:val="8F4A8EDC"/>
    <w:lvl w:ilvl="0" w:tplc="B2BEBDB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E9F6991"/>
    <w:multiLevelType w:val="singleLevel"/>
    <w:tmpl w:val="201AD1BE"/>
    <w:lvl w:ilvl="0">
      <w:start w:val="1"/>
      <w:numFmt w:val="bullet"/>
      <w:lvlText w:val=""/>
      <w:lvlJc w:val="left"/>
      <w:pPr>
        <w:tabs>
          <w:tab w:val="num" w:pos="340"/>
        </w:tabs>
        <w:ind w:left="340" w:hanging="340"/>
      </w:pPr>
      <w:rPr>
        <w:rFonts w:ascii="Symbol" w:hAnsi="Symbol" w:hint="default"/>
        <w:color w:val="auto"/>
        <w:sz w:val="22"/>
      </w:rPr>
    </w:lvl>
  </w:abstractNum>
  <w:num w:numId="1">
    <w:abstractNumId w:val="31"/>
  </w:num>
  <w:num w:numId="2">
    <w:abstractNumId w:val="29"/>
  </w:num>
  <w:num w:numId="3">
    <w:abstractNumId w:val="1"/>
  </w:num>
  <w:num w:numId="4">
    <w:abstractNumId w:val="12"/>
  </w:num>
  <w:num w:numId="5">
    <w:abstractNumId w:val="23"/>
  </w:num>
  <w:num w:numId="6">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7"/>
  </w:num>
  <w:num w:numId="10">
    <w:abstractNumId w:val="10"/>
  </w:num>
  <w:num w:numId="11">
    <w:abstractNumId w:val="0"/>
  </w:num>
  <w:num w:numId="12">
    <w:abstractNumId w:val="9"/>
  </w:num>
  <w:num w:numId="13">
    <w:abstractNumId w:val="33"/>
  </w:num>
  <w:num w:numId="14">
    <w:abstractNumId w:val="19"/>
  </w:num>
  <w:num w:numId="15">
    <w:abstractNumId w:val="18"/>
  </w:num>
  <w:num w:numId="16">
    <w:abstractNumId w:val="6"/>
  </w:num>
  <w:num w:numId="17">
    <w:abstractNumId w:val="25"/>
  </w:num>
  <w:num w:numId="18">
    <w:abstractNumId w:val="24"/>
  </w:num>
  <w:num w:numId="19">
    <w:abstractNumId w:val="3"/>
  </w:num>
  <w:num w:numId="20">
    <w:abstractNumId w:val="16"/>
  </w:num>
  <w:num w:numId="21">
    <w:abstractNumId w:val="30"/>
  </w:num>
  <w:num w:numId="22">
    <w:abstractNumId w:val="27"/>
  </w:num>
  <w:num w:numId="23">
    <w:abstractNumId w:val="14"/>
  </w:num>
  <w:num w:numId="24">
    <w:abstractNumId w:val="28"/>
  </w:num>
  <w:num w:numId="25">
    <w:abstractNumId w:val="15"/>
  </w:num>
  <w:num w:numId="26">
    <w:abstractNumId w:val="2"/>
  </w:num>
  <w:num w:numId="27">
    <w:abstractNumId w:val="20"/>
  </w:num>
  <w:num w:numId="28">
    <w:abstractNumId w:val="5"/>
  </w:num>
  <w:num w:numId="29">
    <w:abstractNumId w:val="8"/>
  </w:num>
  <w:num w:numId="30">
    <w:abstractNumId w:val="13"/>
  </w:num>
  <w:num w:numId="31">
    <w:abstractNumId w:val="32"/>
  </w:num>
  <w:num w:numId="32">
    <w:abstractNumId w:val="11"/>
  </w:num>
  <w:num w:numId="33">
    <w:abstractNumId w:val="4"/>
  </w:num>
  <w:num w:numId="34">
    <w:abstractNumId w:val="2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5EB"/>
    <w:rsid w:val="001D7A85"/>
    <w:rsid w:val="003A13F7"/>
    <w:rsid w:val="008835EB"/>
    <w:rsid w:val="00C30F1E"/>
    <w:rsid w:val="00F4745F"/>
    <w:rsid w:val="00FA45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table of figures" w:uiPriority="0"/>
    <w:lsdException w:name="macro"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5EB"/>
    <w:pPr>
      <w:spacing w:after="0" w:line="260" w:lineRule="atLeast"/>
    </w:pPr>
    <w:rPr>
      <w:rFonts w:ascii="Calibri" w:eastAsia="Times New Roman" w:hAnsi="Calibri" w:cs="Times New Roman"/>
      <w:sz w:val="18"/>
      <w:szCs w:val="20"/>
    </w:rPr>
  </w:style>
  <w:style w:type="paragraph" w:styleId="Heading1">
    <w:name w:val="heading 1"/>
    <w:aliases w:val="Heading 1 do not use,Section heading 1,Front Page Title,1.,Para 1,Para 11"/>
    <w:basedOn w:val="Normal"/>
    <w:next w:val="Normal"/>
    <w:link w:val="Heading1Char"/>
    <w:qFormat/>
    <w:rsid w:val="008835EB"/>
    <w:pPr>
      <w:keepNext/>
      <w:spacing w:before="240" w:after="60"/>
      <w:outlineLvl w:val="0"/>
    </w:pPr>
    <w:rPr>
      <w:rFonts w:ascii="Arial" w:eastAsiaTheme="minorEastAsia" w:hAnsi="Arial" w:cs="Arial"/>
      <w:kern w:val="32"/>
      <w:sz w:val="32"/>
      <w:szCs w:val="32"/>
    </w:rPr>
  </w:style>
  <w:style w:type="paragraph" w:styleId="Heading2">
    <w:name w:val="heading 2"/>
    <w:aliases w:val="Heading 2 do not use,Front Page List of Sections"/>
    <w:basedOn w:val="Normal"/>
    <w:next w:val="Normal"/>
    <w:link w:val="Heading2Char"/>
    <w:qFormat/>
    <w:rsid w:val="008835EB"/>
    <w:pPr>
      <w:keepNext/>
      <w:spacing w:before="240" w:after="60"/>
      <w:outlineLvl w:val="1"/>
    </w:pPr>
    <w:rPr>
      <w:rFonts w:ascii="Arial" w:eastAsiaTheme="minorEastAsia" w:hAnsi="Arial" w:cs="Arial"/>
      <w:i/>
      <w:iCs/>
      <w:sz w:val="28"/>
      <w:szCs w:val="28"/>
    </w:rPr>
  </w:style>
  <w:style w:type="paragraph" w:styleId="Heading3">
    <w:name w:val="heading 3"/>
    <w:aliases w:val="Heading 3 do not use"/>
    <w:basedOn w:val="Normal"/>
    <w:next w:val="Normal"/>
    <w:link w:val="Heading3Char"/>
    <w:qFormat/>
    <w:rsid w:val="008835EB"/>
    <w:pPr>
      <w:keepNext/>
      <w:spacing w:before="240" w:after="60"/>
      <w:outlineLvl w:val="2"/>
    </w:pPr>
    <w:rPr>
      <w:rFonts w:ascii="Arial" w:eastAsiaTheme="minorEastAsia" w:hAnsi="Arial" w:cs="Arial"/>
      <w:sz w:val="26"/>
      <w:szCs w:val="26"/>
    </w:rPr>
  </w:style>
  <w:style w:type="paragraph" w:styleId="Heading4">
    <w:name w:val="heading 4"/>
    <w:basedOn w:val="Normal"/>
    <w:link w:val="Heading4Char"/>
    <w:qFormat/>
    <w:rsid w:val="008835EB"/>
    <w:pPr>
      <w:spacing w:before="130" w:after="130"/>
      <w:outlineLvl w:val="3"/>
    </w:pPr>
    <w:rPr>
      <w:rFonts w:eastAsiaTheme="minorEastAsia"/>
    </w:rPr>
  </w:style>
  <w:style w:type="paragraph" w:styleId="Heading5">
    <w:name w:val="heading 5"/>
    <w:basedOn w:val="Normal"/>
    <w:next w:val="Normal"/>
    <w:link w:val="Heading5Char"/>
    <w:qFormat/>
    <w:rsid w:val="008835EB"/>
    <w:pPr>
      <w:outlineLvl w:val="4"/>
    </w:pPr>
    <w:rPr>
      <w:rFonts w:eastAsiaTheme="minorEastAsia"/>
    </w:rPr>
  </w:style>
  <w:style w:type="paragraph" w:styleId="Heading6">
    <w:name w:val="heading 6"/>
    <w:basedOn w:val="Normal"/>
    <w:next w:val="Normal"/>
    <w:link w:val="Heading6Char"/>
    <w:qFormat/>
    <w:rsid w:val="008835EB"/>
    <w:pPr>
      <w:outlineLvl w:val="5"/>
    </w:pPr>
    <w:rPr>
      <w:rFonts w:eastAsiaTheme="minorEastAsia"/>
    </w:rPr>
  </w:style>
  <w:style w:type="paragraph" w:styleId="Heading7">
    <w:name w:val="heading 7"/>
    <w:aliases w:val="Section Sub-Heading 4"/>
    <w:basedOn w:val="Normal"/>
    <w:next w:val="Normal"/>
    <w:link w:val="Heading7Char"/>
    <w:qFormat/>
    <w:rsid w:val="008835EB"/>
    <w:pPr>
      <w:outlineLvl w:val="6"/>
    </w:pPr>
  </w:style>
  <w:style w:type="paragraph" w:styleId="Heading8">
    <w:name w:val="heading 8"/>
    <w:basedOn w:val="Normal"/>
    <w:next w:val="Normal"/>
    <w:link w:val="Heading8Char"/>
    <w:qFormat/>
    <w:rsid w:val="008835EB"/>
    <w:pPr>
      <w:outlineLvl w:val="7"/>
    </w:pPr>
  </w:style>
  <w:style w:type="paragraph" w:styleId="Heading9">
    <w:name w:val="heading 9"/>
    <w:basedOn w:val="Normal"/>
    <w:next w:val="Normal"/>
    <w:link w:val="Heading9Char"/>
    <w:qFormat/>
    <w:rsid w:val="008835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do not use Char,Section heading 1 Char,Front Page Title Char,1. Char,Para 1 Char,Para 11 Char"/>
    <w:basedOn w:val="DefaultParagraphFont"/>
    <w:link w:val="Heading1"/>
    <w:rsid w:val="008835EB"/>
    <w:rPr>
      <w:rFonts w:ascii="Arial" w:eastAsiaTheme="minorEastAsia" w:hAnsi="Arial" w:cs="Arial"/>
      <w:kern w:val="32"/>
      <w:sz w:val="32"/>
      <w:szCs w:val="32"/>
    </w:rPr>
  </w:style>
  <w:style w:type="character" w:customStyle="1" w:styleId="Heading2Char">
    <w:name w:val="Heading 2 Char"/>
    <w:aliases w:val="Heading 2 do not use Char,Front Page List of Sections Char"/>
    <w:basedOn w:val="DefaultParagraphFont"/>
    <w:link w:val="Heading2"/>
    <w:rsid w:val="008835EB"/>
    <w:rPr>
      <w:rFonts w:ascii="Arial" w:eastAsiaTheme="minorEastAsia" w:hAnsi="Arial" w:cs="Arial"/>
      <w:i/>
      <w:iCs/>
      <w:sz w:val="28"/>
      <w:szCs w:val="28"/>
    </w:rPr>
  </w:style>
  <w:style w:type="character" w:customStyle="1" w:styleId="Heading3Char">
    <w:name w:val="Heading 3 Char"/>
    <w:aliases w:val="Heading 3 do not use Char"/>
    <w:basedOn w:val="DefaultParagraphFont"/>
    <w:link w:val="Heading3"/>
    <w:rsid w:val="008835EB"/>
    <w:rPr>
      <w:rFonts w:ascii="Arial" w:eastAsiaTheme="minorEastAsia" w:hAnsi="Arial" w:cs="Arial"/>
      <w:sz w:val="26"/>
      <w:szCs w:val="26"/>
    </w:rPr>
  </w:style>
  <w:style w:type="character" w:customStyle="1" w:styleId="Heading4Char">
    <w:name w:val="Heading 4 Char"/>
    <w:basedOn w:val="DefaultParagraphFont"/>
    <w:link w:val="Heading4"/>
    <w:rsid w:val="008835EB"/>
    <w:rPr>
      <w:rFonts w:ascii="Calibri" w:eastAsiaTheme="minorEastAsia" w:hAnsi="Calibri" w:cs="Times New Roman"/>
      <w:sz w:val="18"/>
      <w:szCs w:val="20"/>
    </w:rPr>
  </w:style>
  <w:style w:type="character" w:customStyle="1" w:styleId="Heading5Char">
    <w:name w:val="Heading 5 Char"/>
    <w:basedOn w:val="DefaultParagraphFont"/>
    <w:link w:val="Heading5"/>
    <w:rsid w:val="008835EB"/>
    <w:rPr>
      <w:rFonts w:ascii="Calibri" w:eastAsiaTheme="minorEastAsia" w:hAnsi="Calibri" w:cs="Times New Roman"/>
      <w:sz w:val="18"/>
      <w:szCs w:val="20"/>
    </w:rPr>
  </w:style>
  <w:style w:type="character" w:customStyle="1" w:styleId="Heading6Char">
    <w:name w:val="Heading 6 Char"/>
    <w:basedOn w:val="DefaultParagraphFont"/>
    <w:link w:val="Heading6"/>
    <w:rsid w:val="008835EB"/>
    <w:rPr>
      <w:rFonts w:ascii="Calibri" w:eastAsiaTheme="minorEastAsia" w:hAnsi="Calibri" w:cs="Times New Roman"/>
      <w:sz w:val="18"/>
      <w:szCs w:val="20"/>
    </w:rPr>
  </w:style>
  <w:style w:type="character" w:customStyle="1" w:styleId="Heading7Char">
    <w:name w:val="Heading 7 Char"/>
    <w:aliases w:val="Section Sub-Heading 4 Char"/>
    <w:basedOn w:val="DefaultParagraphFont"/>
    <w:link w:val="Heading7"/>
    <w:rsid w:val="008835EB"/>
    <w:rPr>
      <w:rFonts w:ascii="Calibri" w:eastAsia="Times New Roman" w:hAnsi="Calibri" w:cs="Times New Roman"/>
      <w:sz w:val="18"/>
      <w:szCs w:val="20"/>
    </w:rPr>
  </w:style>
  <w:style w:type="character" w:customStyle="1" w:styleId="Heading8Char">
    <w:name w:val="Heading 8 Char"/>
    <w:basedOn w:val="DefaultParagraphFont"/>
    <w:link w:val="Heading8"/>
    <w:rsid w:val="008835EB"/>
    <w:rPr>
      <w:rFonts w:ascii="Calibri" w:eastAsia="Times New Roman" w:hAnsi="Calibri" w:cs="Times New Roman"/>
      <w:sz w:val="18"/>
      <w:szCs w:val="20"/>
    </w:rPr>
  </w:style>
  <w:style w:type="character" w:customStyle="1" w:styleId="Heading9Char">
    <w:name w:val="Heading 9 Char"/>
    <w:basedOn w:val="DefaultParagraphFont"/>
    <w:link w:val="Heading9"/>
    <w:rsid w:val="008835EB"/>
    <w:rPr>
      <w:rFonts w:ascii="Calibri" w:eastAsia="Times New Roman" w:hAnsi="Calibri" w:cs="Times New Roman"/>
      <w:sz w:val="18"/>
      <w:szCs w:val="20"/>
    </w:rPr>
  </w:style>
  <w:style w:type="character" w:styleId="Hyperlink">
    <w:name w:val="Hyperlink"/>
    <w:basedOn w:val="DefaultParagraphFont"/>
    <w:uiPriority w:val="99"/>
    <w:rsid w:val="008835EB"/>
    <w:rPr>
      <w:color w:val="0000FF" w:themeColor="hyperlink"/>
      <w:u w:val="single"/>
    </w:rPr>
  </w:style>
  <w:style w:type="character" w:styleId="FollowedHyperlink">
    <w:name w:val="FollowedHyperlink"/>
    <w:basedOn w:val="DefaultParagraphFont"/>
    <w:uiPriority w:val="99"/>
    <w:rsid w:val="008835EB"/>
    <w:rPr>
      <w:color w:val="800080" w:themeColor="followedHyperlink"/>
      <w:u w:val="single"/>
    </w:rPr>
  </w:style>
  <w:style w:type="paragraph" w:styleId="TOC1">
    <w:name w:val="toc 1"/>
    <w:basedOn w:val="Normal"/>
    <w:next w:val="Normal"/>
    <w:autoRedefine/>
    <w:uiPriority w:val="39"/>
    <w:rsid w:val="008835EB"/>
    <w:pPr>
      <w:tabs>
        <w:tab w:val="left" w:pos="851"/>
        <w:tab w:val="right" w:leader="dot" w:pos="9628"/>
      </w:tabs>
      <w:spacing w:before="120" w:after="120"/>
    </w:pPr>
    <w:rPr>
      <w:rFonts w:asciiTheme="minorHAnsi" w:eastAsiaTheme="majorEastAsia" w:hAnsiTheme="minorHAnsi"/>
      <w:noProof/>
      <w:sz w:val="20"/>
    </w:rPr>
  </w:style>
  <w:style w:type="paragraph" w:styleId="TOC2">
    <w:name w:val="toc 2"/>
    <w:basedOn w:val="Normal"/>
    <w:next w:val="Normal"/>
    <w:autoRedefine/>
    <w:uiPriority w:val="39"/>
    <w:rsid w:val="008835EB"/>
    <w:pPr>
      <w:tabs>
        <w:tab w:val="left" w:pos="993"/>
        <w:tab w:val="right" w:leader="dot" w:pos="9639"/>
      </w:tabs>
      <w:spacing w:before="120"/>
      <w:ind w:left="220"/>
    </w:pPr>
    <w:rPr>
      <w:rFonts w:eastAsiaTheme="majorEastAsia"/>
      <w:iCs/>
      <w:noProof/>
      <w:sz w:val="20"/>
    </w:rPr>
  </w:style>
  <w:style w:type="paragraph" w:styleId="TOC3">
    <w:name w:val="toc 3"/>
    <w:basedOn w:val="Normal"/>
    <w:next w:val="Normal"/>
    <w:autoRedefine/>
    <w:uiPriority w:val="39"/>
    <w:rsid w:val="008835EB"/>
    <w:pPr>
      <w:ind w:left="440"/>
    </w:pPr>
    <w:rPr>
      <w:sz w:val="20"/>
    </w:rPr>
  </w:style>
  <w:style w:type="paragraph" w:styleId="TOC4">
    <w:name w:val="toc 4"/>
    <w:basedOn w:val="Normal"/>
    <w:next w:val="Normal"/>
    <w:autoRedefine/>
    <w:semiHidden/>
    <w:rsid w:val="008835EB"/>
    <w:pPr>
      <w:ind w:left="660"/>
    </w:pPr>
    <w:rPr>
      <w:sz w:val="20"/>
    </w:rPr>
  </w:style>
  <w:style w:type="paragraph" w:styleId="TOC5">
    <w:name w:val="toc 5"/>
    <w:basedOn w:val="Normal"/>
    <w:next w:val="Normal"/>
    <w:autoRedefine/>
    <w:semiHidden/>
    <w:rsid w:val="008835EB"/>
    <w:pPr>
      <w:ind w:left="880"/>
    </w:pPr>
    <w:rPr>
      <w:sz w:val="20"/>
    </w:rPr>
  </w:style>
  <w:style w:type="paragraph" w:styleId="TOC6">
    <w:name w:val="toc 6"/>
    <w:basedOn w:val="Normal"/>
    <w:next w:val="Normal"/>
    <w:autoRedefine/>
    <w:semiHidden/>
    <w:rsid w:val="008835EB"/>
    <w:pPr>
      <w:ind w:left="1100"/>
    </w:pPr>
    <w:rPr>
      <w:sz w:val="20"/>
    </w:rPr>
  </w:style>
  <w:style w:type="paragraph" w:styleId="TOC7">
    <w:name w:val="toc 7"/>
    <w:basedOn w:val="Normal"/>
    <w:next w:val="Normal"/>
    <w:autoRedefine/>
    <w:semiHidden/>
    <w:rsid w:val="008835EB"/>
    <w:pPr>
      <w:ind w:left="1320"/>
    </w:pPr>
    <w:rPr>
      <w:sz w:val="20"/>
    </w:rPr>
  </w:style>
  <w:style w:type="paragraph" w:styleId="TOC8">
    <w:name w:val="toc 8"/>
    <w:basedOn w:val="Normal"/>
    <w:next w:val="Normal"/>
    <w:autoRedefine/>
    <w:semiHidden/>
    <w:rsid w:val="008835EB"/>
    <w:pPr>
      <w:ind w:left="1540"/>
    </w:pPr>
    <w:rPr>
      <w:sz w:val="20"/>
    </w:rPr>
  </w:style>
  <w:style w:type="paragraph" w:styleId="TOC9">
    <w:name w:val="toc 9"/>
    <w:basedOn w:val="Normal"/>
    <w:next w:val="Normal"/>
    <w:autoRedefine/>
    <w:semiHidden/>
    <w:rsid w:val="008835EB"/>
    <w:pPr>
      <w:ind w:left="1760"/>
    </w:pPr>
    <w:rPr>
      <w:sz w:val="20"/>
    </w:rPr>
  </w:style>
  <w:style w:type="paragraph" w:styleId="FootnoteText">
    <w:name w:val="footnote text"/>
    <w:basedOn w:val="Normal"/>
    <w:link w:val="FootnoteTextChar"/>
    <w:semiHidden/>
    <w:rsid w:val="008835EB"/>
    <w:rPr>
      <w:sz w:val="20"/>
    </w:rPr>
  </w:style>
  <w:style w:type="character" w:customStyle="1" w:styleId="FootnoteTextChar">
    <w:name w:val="Footnote Text Char"/>
    <w:basedOn w:val="DefaultParagraphFont"/>
    <w:link w:val="FootnoteText"/>
    <w:semiHidden/>
    <w:rsid w:val="008835EB"/>
    <w:rPr>
      <w:rFonts w:ascii="Calibri" w:eastAsia="Times New Roman" w:hAnsi="Calibri" w:cs="Times New Roman"/>
      <w:sz w:val="20"/>
      <w:szCs w:val="20"/>
    </w:rPr>
  </w:style>
  <w:style w:type="paragraph" w:styleId="CommentText">
    <w:name w:val="annotation text"/>
    <w:basedOn w:val="Normal"/>
    <w:link w:val="CommentTextChar"/>
    <w:uiPriority w:val="99"/>
    <w:semiHidden/>
    <w:rsid w:val="008835EB"/>
    <w:rPr>
      <w:sz w:val="20"/>
    </w:rPr>
  </w:style>
  <w:style w:type="character" w:customStyle="1" w:styleId="CommentTextChar">
    <w:name w:val="Comment Text Char"/>
    <w:basedOn w:val="DefaultParagraphFont"/>
    <w:link w:val="CommentText"/>
    <w:uiPriority w:val="99"/>
    <w:semiHidden/>
    <w:rsid w:val="008835EB"/>
    <w:rPr>
      <w:rFonts w:ascii="Calibri" w:eastAsia="Times New Roman" w:hAnsi="Calibri" w:cs="Times New Roman"/>
      <w:sz w:val="20"/>
      <w:szCs w:val="20"/>
    </w:rPr>
  </w:style>
  <w:style w:type="paragraph" w:styleId="Header">
    <w:name w:val="header"/>
    <w:basedOn w:val="Normal"/>
    <w:link w:val="HeaderChar"/>
    <w:uiPriority w:val="99"/>
    <w:rsid w:val="008835EB"/>
    <w:pPr>
      <w:tabs>
        <w:tab w:val="center" w:pos="4513"/>
        <w:tab w:val="right" w:pos="9026"/>
      </w:tabs>
      <w:spacing w:line="240" w:lineRule="auto"/>
    </w:pPr>
  </w:style>
  <w:style w:type="character" w:customStyle="1" w:styleId="HeaderChar">
    <w:name w:val="Header Char"/>
    <w:basedOn w:val="DefaultParagraphFont"/>
    <w:link w:val="Header"/>
    <w:uiPriority w:val="99"/>
    <w:rsid w:val="008835EB"/>
    <w:rPr>
      <w:rFonts w:ascii="Calibri" w:eastAsia="Times New Roman" w:hAnsi="Calibri" w:cs="Times New Roman"/>
      <w:sz w:val="18"/>
      <w:szCs w:val="20"/>
    </w:rPr>
  </w:style>
  <w:style w:type="paragraph" w:styleId="Footer">
    <w:name w:val="footer"/>
    <w:basedOn w:val="Normal"/>
    <w:link w:val="FooterChar"/>
    <w:uiPriority w:val="99"/>
    <w:rsid w:val="008835EB"/>
    <w:pPr>
      <w:tabs>
        <w:tab w:val="center" w:pos="4513"/>
        <w:tab w:val="right" w:pos="9026"/>
      </w:tabs>
      <w:spacing w:line="240" w:lineRule="auto"/>
    </w:pPr>
  </w:style>
  <w:style w:type="character" w:customStyle="1" w:styleId="FooterChar">
    <w:name w:val="Footer Char"/>
    <w:basedOn w:val="DefaultParagraphFont"/>
    <w:link w:val="Footer"/>
    <w:uiPriority w:val="99"/>
    <w:rsid w:val="008835EB"/>
    <w:rPr>
      <w:rFonts w:ascii="Calibri" w:eastAsia="Times New Roman" w:hAnsi="Calibri" w:cs="Times New Roman"/>
      <w:sz w:val="18"/>
      <w:szCs w:val="20"/>
    </w:rPr>
  </w:style>
  <w:style w:type="paragraph" w:styleId="Caption">
    <w:name w:val="caption"/>
    <w:basedOn w:val="Normal"/>
    <w:next w:val="Normal"/>
    <w:qFormat/>
    <w:rsid w:val="008835EB"/>
    <w:pPr>
      <w:spacing w:after="200" w:line="240" w:lineRule="auto"/>
    </w:pPr>
    <w:rPr>
      <w:b/>
      <w:bCs/>
      <w:color w:val="4F81BD" w:themeColor="accent1"/>
      <w:szCs w:val="18"/>
    </w:rPr>
  </w:style>
  <w:style w:type="paragraph" w:styleId="TableofFigures">
    <w:name w:val="table of figures"/>
    <w:basedOn w:val="Normal"/>
    <w:next w:val="Normal"/>
    <w:semiHidden/>
    <w:rsid w:val="008835EB"/>
  </w:style>
  <w:style w:type="paragraph" w:styleId="MacroText">
    <w:name w:val="macro"/>
    <w:link w:val="MacroTextChar"/>
    <w:semiHidden/>
    <w:rsid w:val="008835EB"/>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urier New" w:eastAsia="Times New Roman" w:hAnsi="Courier New" w:cs="Courier New"/>
      <w:sz w:val="18"/>
      <w:szCs w:val="20"/>
      <w:lang w:val="en-GB"/>
    </w:rPr>
  </w:style>
  <w:style w:type="character" w:customStyle="1" w:styleId="MacroTextChar">
    <w:name w:val="Macro Text Char"/>
    <w:basedOn w:val="DefaultParagraphFont"/>
    <w:link w:val="MacroText"/>
    <w:semiHidden/>
    <w:rsid w:val="008835EB"/>
    <w:rPr>
      <w:rFonts w:ascii="Courier New" w:eastAsia="Times New Roman" w:hAnsi="Courier New" w:cs="Courier New"/>
      <w:sz w:val="18"/>
      <w:szCs w:val="20"/>
      <w:lang w:val="en-GB"/>
    </w:rPr>
  </w:style>
  <w:style w:type="paragraph" w:styleId="Signature">
    <w:name w:val="Signature"/>
    <w:basedOn w:val="Normal"/>
    <w:link w:val="SignatureChar"/>
    <w:rsid w:val="008835EB"/>
    <w:pPr>
      <w:spacing w:line="240" w:lineRule="auto"/>
    </w:pPr>
  </w:style>
  <w:style w:type="character" w:customStyle="1" w:styleId="SignatureChar">
    <w:name w:val="Signature Char"/>
    <w:basedOn w:val="DefaultParagraphFont"/>
    <w:link w:val="Signature"/>
    <w:rsid w:val="008835EB"/>
    <w:rPr>
      <w:rFonts w:ascii="Calibri" w:eastAsia="Times New Roman" w:hAnsi="Calibri" w:cs="Times New Roman"/>
      <w:sz w:val="18"/>
      <w:szCs w:val="20"/>
    </w:rPr>
  </w:style>
  <w:style w:type="paragraph" w:styleId="DocumentMap">
    <w:name w:val="Document Map"/>
    <w:basedOn w:val="Normal"/>
    <w:link w:val="DocumentMapChar"/>
    <w:semiHidden/>
    <w:rsid w:val="008835EB"/>
    <w:pPr>
      <w:shd w:val="clear" w:color="auto" w:fill="000080"/>
      <w:spacing w:line="240" w:lineRule="auto"/>
    </w:pPr>
    <w:rPr>
      <w:rFonts w:ascii="Tahoma" w:hAnsi="Tahoma"/>
      <w:sz w:val="20"/>
      <w:lang w:eastAsia="en-AU"/>
    </w:rPr>
  </w:style>
  <w:style w:type="character" w:customStyle="1" w:styleId="DocumentMapChar">
    <w:name w:val="Document Map Char"/>
    <w:basedOn w:val="DefaultParagraphFont"/>
    <w:link w:val="DocumentMap"/>
    <w:semiHidden/>
    <w:rsid w:val="008835EB"/>
    <w:rPr>
      <w:rFonts w:ascii="Tahoma" w:eastAsia="Times New Roman" w:hAnsi="Tahoma" w:cs="Times New Roman"/>
      <w:sz w:val="20"/>
      <w:szCs w:val="20"/>
      <w:shd w:val="clear" w:color="auto" w:fill="000080"/>
      <w:lang w:eastAsia="en-AU"/>
    </w:rPr>
  </w:style>
  <w:style w:type="paragraph" w:styleId="CommentSubject">
    <w:name w:val="annotation subject"/>
    <w:basedOn w:val="CommentText"/>
    <w:next w:val="CommentText"/>
    <w:link w:val="CommentSubjectChar"/>
    <w:semiHidden/>
    <w:rsid w:val="008835EB"/>
    <w:rPr>
      <w:b/>
      <w:bCs/>
    </w:rPr>
  </w:style>
  <w:style w:type="character" w:customStyle="1" w:styleId="CommentSubjectChar">
    <w:name w:val="Comment Subject Char"/>
    <w:basedOn w:val="CommentTextChar"/>
    <w:link w:val="CommentSubject"/>
    <w:semiHidden/>
    <w:rsid w:val="008835EB"/>
    <w:rPr>
      <w:rFonts w:ascii="Calibri" w:eastAsia="Times New Roman" w:hAnsi="Calibri" w:cs="Times New Roman"/>
      <w:b/>
      <w:bCs/>
      <w:sz w:val="20"/>
      <w:szCs w:val="20"/>
    </w:rPr>
  </w:style>
  <w:style w:type="paragraph" w:styleId="BalloonText">
    <w:name w:val="Balloon Text"/>
    <w:basedOn w:val="Normal"/>
    <w:link w:val="BalloonTextChar"/>
    <w:semiHidden/>
    <w:rsid w:val="008835EB"/>
    <w:rPr>
      <w:rFonts w:ascii="Tahoma" w:hAnsi="Tahoma" w:cs="Tahoma"/>
      <w:sz w:val="16"/>
      <w:szCs w:val="16"/>
    </w:rPr>
  </w:style>
  <w:style w:type="character" w:customStyle="1" w:styleId="BalloonTextChar">
    <w:name w:val="Balloon Text Char"/>
    <w:basedOn w:val="DefaultParagraphFont"/>
    <w:link w:val="BalloonText"/>
    <w:semiHidden/>
    <w:rsid w:val="008835EB"/>
    <w:rPr>
      <w:rFonts w:ascii="Tahoma" w:eastAsia="Times New Roman" w:hAnsi="Tahoma" w:cs="Tahoma"/>
      <w:sz w:val="16"/>
      <w:szCs w:val="16"/>
    </w:rPr>
  </w:style>
  <w:style w:type="paragraph" w:styleId="Revision">
    <w:name w:val="Revision"/>
    <w:uiPriority w:val="99"/>
    <w:semiHidden/>
    <w:rsid w:val="008835EB"/>
    <w:pPr>
      <w:spacing w:after="0" w:line="240" w:lineRule="auto"/>
    </w:pPr>
    <w:rPr>
      <w:rFonts w:ascii="Calibri" w:eastAsia="Times New Roman" w:hAnsi="Calibri" w:cs="Times New Roman"/>
      <w:sz w:val="18"/>
      <w:szCs w:val="20"/>
    </w:rPr>
  </w:style>
  <w:style w:type="paragraph" w:styleId="ListParagraph">
    <w:name w:val="List Paragraph"/>
    <w:basedOn w:val="Normal"/>
    <w:uiPriority w:val="34"/>
    <w:qFormat/>
    <w:rsid w:val="008835EB"/>
    <w:pPr>
      <w:ind w:left="720"/>
      <w:contextualSpacing/>
    </w:pPr>
  </w:style>
  <w:style w:type="character" w:customStyle="1" w:styleId="StatementNameChar">
    <w:name w:val="Statement Name Char"/>
    <w:basedOn w:val="DefaultParagraphFont"/>
    <w:link w:val="StatementName"/>
    <w:locked/>
    <w:rsid w:val="008835EB"/>
    <w:rPr>
      <w:rFonts w:ascii="Arial" w:hAnsi="Arial" w:cs="Arial"/>
      <w:b/>
      <w:sz w:val="24"/>
      <w:szCs w:val="24"/>
    </w:rPr>
  </w:style>
  <w:style w:type="paragraph" w:customStyle="1" w:styleId="StatementName">
    <w:name w:val="Statement Name"/>
    <w:basedOn w:val="Normal"/>
    <w:next w:val="Normal"/>
    <w:link w:val="StatementNameChar"/>
    <w:autoRedefine/>
    <w:rsid w:val="008835EB"/>
    <w:pPr>
      <w:pBdr>
        <w:bottom w:val="single" w:sz="4" w:space="1" w:color="auto"/>
      </w:pBdr>
    </w:pPr>
    <w:rPr>
      <w:rFonts w:ascii="Arial" w:eastAsiaTheme="minorHAnsi" w:hAnsi="Arial" w:cs="Arial"/>
      <w:b/>
      <w:sz w:val="24"/>
      <w:szCs w:val="24"/>
    </w:rPr>
  </w:style>
  <w:style w:type="paragraph" w:customStyle="1" w:styleId="StatementDateHeader">
    <w:name w:val="Statement Date Header"/>
    <w:basedOn w:val="Normal"/>
    <w:next w:val="Normal"/>
    <w:rsid w:val="008835EB"/>
    <w:pPr>
      <w:pBdr>
        <w:bottom w:val="single" w:sz="4" w:space="1" w:color="auto"/>
      </w:pBdr>
    </w:pPr>
    <w:rPr>
      <w:rFonts w:ascii="Arial" w:hAnsi="Arial"/>
      <w:i/>
      <w:sz w:val="24"/>
    </w:rPr>
  </w:style>
  <w:style w:type="paragraph" w:customStyle="1" w:styleId="StatementTextLevel3">
    <w:name w:val="Statement Text Level 3"/>
    <w:basedOn w:val="Normal"/>
    <w:next w:val="Normal"/>
    <w:rsid w:val="008835EB"/>
    <w:rPr>
      <w:rFonts w:ascii="Arial" w:hAnsi="Arial"/>
    </w:rPr>
  </w:style>
  <w:style w:type="paragraph" w:customStyle="1" w:styleId="TableHeaderLevel1">
    <w:name w:val="Table Header Level 1"/>
    <w:basedOn w:val="Normal"/>
    <w:semiHidden/>
    <w:rsid w:val="008835EB"/>
    <w:pPr>
      <w:jc w:val="center"/>
    </w:pPr>
    <w:rPr>
      <w:rFonts w:ascii="Arial" w:hAnsi="Arial"/>
      <w:b/>
      <w:szCs w:val="18"/>
    </w:rPr>
  </w:style>
  <w:style w:type="paragraph" w:customStyle="1" w:styleId="StatementTextLevel1bItalic">
    <w:name w:val="Statement Text Level 1(b) + Italic"/>
    <w:basedOn w:val="Normal"/>
    <w:rsid w:val="008835EB"/>
    <w:rPr>
      <w:rFonts w:ascii="Arial" w:hAnsi="Arial"/>
      <w:b/>
      <w:bCs/>
      <w:i/>
      <w:iCs/>
      <w:szCs w:val="18"/>
    </w:rPr>
  </w:style>
  <w:style w:type="paragraph" w:customStyle="1" w:styleId="Graphic">
    <w:name w:val="Graphic"/>
    <w:basedOn w:val="Signature"/>
    <w:rsid w:val="008835EB"/>
    <w:pPr>
      <w:pBdr>
        <w:top w:val="single" w:sz="4" w:space="1" w:color="auto"/>
        <w:left w:val="single" w:sz="4" w:space="1" w:color="auto"/>
        <w:bottom w:val="single" w:sz="4" w:space="1" w:color="auto"/>
        <w:right w:val="single" w:sz="4" w:space="1" w:color="auto"/>
      </w:pBdr>
      <w:jc w:val="center"/>
    </w:pPr>
  </w:style>
  <w:style w:type="paragraph" w:customStyle="1" w:styleId="NotesTotal">
    <w:name w:val="Notes Total"/>
    <w:basedOn w:val="Normal"/>
    <w:autoRedefine/>
    <w:rsid w:val="008835EB"/>
    <w:pPr>
      <w:ind w:left="139" w:right="57"/>
    </w:pPr>
    <w:rPr>
      <w:b/>
      <w:iCs/>
      <w:sz w:val="20"/>
    </w:rPr>
  </w:style>
  <w:style w:type="paragraph" w:customStyle="1" w:styleId="TitlePage">
    <w:name w:val="Title Page"/>
    <w:basedOn w:val="Normal"/>
    <w:autoRedefine/>
    <w:rsid w:val="008835EB"/>
    <w:pPr>
      <w:spacing w:before="1200" w:after="1200"/>
      <w:ind w:left="57" w:right="57"/>
      <w:jc w:val="right"/>
    </w:pPr>
    <w:rPr>
      <w:b/>
      <w:bCs/>
      <w:sz w:val="48"/>
    </w:rPr>
  </w:style>
  <w:style w:type="paragraph" w:customStyle="1" w:styleId="zcontents">
    <w:name w:val="zcontents"/>
    <w:basedOn w:val="Normal"/>
    <w:semiHidden/>
    <w:rsid w:val="008835EB"/>
    <w:pPr>
      <w:spacing w:after="260" w:line="240" w:lineRule="auto"/>
    </w:pPr>
    <w:rPr>
      <w:b/>
      <w:sz w:val="32"/>
    </w:rPr>
  </w:style>
  <w:style w:type="paragraph" w:customStyle="1" w:styleId="Normal10pt">
    <w:name w:val="Normal + 10 pt"/>
    <w:aliases w:val="Line spacing:  single"/>
    <w:basedOn w:val="Normal"/>
    <w:rsid w:val="008835EB"/>
    <w:pPr>
      <w:spacing w:before="130" w:after="130"/>
    </w:pPr>
    <w:rPr>
      <w:b/>
      <w:sz w:val="20"/>
    </w:rPr>
  </w:style>
  <w:style w:type="paragraph" w:customStyle="1" w:styleId="Normal8pt">
    <w:name w:val="Normal + 8 pt"/>
    <w:basedOn w:val="Normal"/>
    <w:rsid w:val="008835EB"/>
    <w:pPr>
      <w:widowControl w:val="0"/>
      <w:autoSpaceDE w:val="0"/>
      <w:autoSpaceDN w:val="0"/>
      <w:spacing w:line="240" w:lineRule="auto"/>
    </w:pPr>
    <w:rPr>
      <w:bCs/>
      <w:iCs/>
      <w:spacing w:val="-6"/>
      <w:sz w:val="16"/>
      <w:szCs w:val="16"/>
      <w:lang w:val="en-US"/>
    </w:rPr>
  </w:style>
  <w:style w:type="paragraph" w:customStyle="1" w:styleId="NormalCalistoMT">
    <w:name w:val="Normal + Calisto MT"/>
    <w:aliases w:val="8 pt,Right"/>
    <w:basedOn w:val="Normal"/>
    <w:rsid w:val="008835EB"/>
    <w:pPr>
      <w:framePr w:hSpace="180" w:wrap="around" w:vAnchor="text" w:hAnchor="margin" w:y="1"/>
      <w:ind w:right="212"/>
      <w:jc w:val="right"/>
    </w:pPr>
    <w:rPr>
      <w:rFonts w:ascii="Calisto MT" w:hAnsi="Calisto MT"/>
      <w:sz w:val="16"/>
    </w:rPr>
  </w:style>
  <w:style w:type="character" w:customStyle="1" w:styleId="ReferenceTextChar">
    <w:name w:val="Reference Text Char"/>
    <w:basedOn w:val="DefaultParagraphFont"/>
    <w:link w:val="ReferenceText"/>
    <w:locked/>
    <w:rsid w:val="008835EB"/>
    <w:rPr>
      <w:rFonts w:cstheme="minorHAnsi"/>
      <w:sz w:val="18"/>
    </w:rPr>
  </w:style>
  <w:style w:type="paragraph" w:customStyle="1" w:styleId="ReferenceText">
    <w:name w:val="Reference Text"/>
    <w:basedOn w:val="Normal"/>
    <w:link w:val="ReferenceTextChar"/>
    <w:autoRedefine/>
    <w:qFormat/>
    <w:rsid w:val="008835EB"/>
    <w:pPr>
      <w:spacing w:before="120"/>
    </w:pPr>
    <w:rPr>
      <w:rFonts w:asciiTheme="minorHAnsi" w:eastAsiaTheme="minorHAnsi" w:hAnsiTheme="minorHAnsi" w:cstheme="minorHAnsi"/>
      <w:szCs w:val="22"/>
    </w:rPr>
  </w:style>
  <w:style w:type="character" w:customStyle="1" w:styleId="NotesHeading-Level1Char">
    <w:name w:val="Notes Heading - Level 1 Char"/>
    <w:basedOn w:val="DefaultParagraphFont"/>
    <w:link w:val="NotesHeading-Level1"/>
    <w:locked/>
    <w:rsid w:val="008835EB"/>
    <w:rPr>
      <w:b/>
      <w:u w:val="single"/>
    </w:rPr>
  </w:style>
  <w:style w:type="paragraph" w:customStyle="1" w:styleId="NotesHeading-Level1">
    <w:name w:val="Notes Heading - Level 1"/>
    <w:basedOn w:val="Normal"/>
    <w:link w:val="NotesHeading-Level1Char"/>
    <w:qFormat/>
    <w:rsid w:val="008835EB"/>
    <w:pPr>
      <w:ind w:right="607"/>
      <w:outlineLvl w:val="0"/>
    </w:pPr>
    <w:rPr>
      <w:rFonts w:asciiTheme="minorHAnsi" w:eastAsiaTheme="minorHAnsi" w:hAnsiTheme="minorHAnsi" w:cstheme="minorBidi"/>
      <w:b/>
      <w:sz w:val="22"/>
      <w:szCs w:val="22"/>
      <w:u w:val="single"/>
    </w:rPr>
  </w:style>
  <w:style w:type="paragraph" w:customStyle="1" w:styleId="NotesHeading-Level2">
    <w:name w:val="Notes Heading - Level 2"/>
    <w:basedOn w:val="NotesHeading-Level1"/>
    <w:rsid w:val="008835EB"/>
    <w:pPr>
      <w:framePr w:hSpace="180" w:wrap="around" w:vAnchor="text" w:hAnchor="margin" w:y="1"/>
      <w:numPr>
        <w:ilvl w:val="1"/>
      </w:numPr>
    </w:pPr>
    <w:rPr>
      <w:sz w:val="18"/>
    </w:rPr>
  </w:style>
  <w:style w:type="paragraph" w:customStyle="1" w:styleId="StatementHeading">
    <w:name w:val="Statement Heading"/>
    <w:basedOn w:val="Normal"/>
    <w:rsid w:val="008835EB"/>
    <w:rPr>
      <w:rFonts w:ascii="Arial" w:hAnsi="Arial"/>
      <w:b/>
      <w:sz w:val="24"/>
    </w:rPr>
  </w:style>
  <w:style w:type="paragraph" w:customStyle="1" w:styleId="GreyShadeTableBreak">
    <w:name w:val="Grey Shade Table Break"/>
    <w:basedOn w:val="Normal"/>
    <w:qFormat/>
    <w:rsid w:val="008835EB"/>
    <w:pPr>
      <w:shd w:val="clear" w:color="auto" w:fill="D9D9D9" w:themeFill="background1" w:themeFillShade="D9"/>
      <w:tabs>
        <w:tab w:val="left" w:pos="9214"/>
      </w:tabs>
      <w:ind w:right="607"/>
    </w:pPr>
  </w:style>
  <w:style w:type="paragraph" w:customStyle="1" w:styleId="GreyShadeTableBreaknon-Standard">
    <w:name w:val="Grey Shade Table Break non-Standard"/>
    <w:qFormat/>
    <w:rsid w:val="008835EB"/>
    <w:pPr>
      <w:shd w:val="clear" w:color="auto" w:fill="D9D9D9" w:themeFill="background1" w:themeFillShade="D9"/>
      <w:spacing w:after="0" w:line="240" w:lineRule="auto"/>
      <w:ind w:right="57"/>
    </w:pPr>
    <w:rPr>
      <w:rFonts w:eastAsia="Times New Roman" w:cs="Times New Roman"/>
      <w:sz w:val="20"/>
      <w:szCs w:val="20"/>
      <w:lang w:eastAsia="en-AU"/>
    </w:rPr>
  </w:style>
  <w:style w:type="paragraph" w:customStyle="1" w:styleId="ReferenceTextLetter">
    <w:name w:val="Reference Text Letter"/>
    <w:basedOn w:val="ReferenceText"/>
    <w:qFormat/>
    <w:rsid w:val="008835EB"/>
    <w:pPr>
      <w:spacing w:line="240" w:lineRule="auto"/>
      <w:ind w:left="567" w:right="567"/>
    </w:pPr>
    <w:rPr>
      <w:rFonts w:cs="Arial"/>
      <w:szCs w:val="18"/>
    </w:rPr>
  </w:style>
  <w:style w:type="paragraph" w:customStyle="1" w:styleId="NotesHeader">
    <w:name w:val="Notes Header"/>
    <w:basedOn w:val="Normal"/>
    <w:next w:val="Normal"/>
    <w:rsid w:val="008835EB"/>
    <w:pPr>
      <w:jc w:val="center"/>
    </w:pPr>
    <w:rPr>
      <w:rFonts w:ascii="Arial" w:hAnsi="Arial"/>
      <w:b/>
    </w:rPr>
  </w:style>
  <w:style w:type="paragraph" w:customStyle="1" w:styleId="NotesReferences">
    <w:name w:val="Notes References"/>
    <w:basedOn w:val="Normal"/>
    <w:next w:val="Normal"/>
    <w:rsid w:val="008835EB"/>
    <w:pPr>
      <w:jc w:val="center"/>
    </w:pPr>
    <w:rPr>
      <w:rFonts w:ascii="Arial" w:hAnsi="Arial"/>
    </w:rPr>
  </w:style>
  <w:style w:type="paragraph" w:customStyle="1" w:styleId="NotesData">
    <w:name w:val="Notes Data"/>
    <w:basedOn w:val="Normal"/>
    <w:rsid w:val="008835EB"/>
    <w:pPr>
      <w:framePr w:hSpace="180" w:wrap="around" w:vAnchor="text" w:hAnchor="margin" w:y="1"/>
      <w:jc w:val="center"/>
    </w:pPr>
    <w:rPr>
      <w:sz w:val="20"/>
    </w:rPr>
  </w:style>
  <w:style w:type="paragraph" w:customStyle="1" w:styleId="NotesTextLevel1">
    <w:name w:val="Notes Text Level 1"/>
    <w:basedOn w:val="Normal"/>
    <w:next w:val="Normal"/>
    <w:rsid w:val="008835EB"/>
    <w:rPr>
      <w:rFonts w:ascii="Arial" w:hAnsi="Arial"/>
      <w:b/>
      <w:i/>
      <w:u w:val="single"/>
    </w:rPr>
  </w:style>
  <w:style w:type="character" w:customStyle="1" w:styleId="NotesTextLevel3aboldItalicChar">
    <w:name w:val="Notes Text Level 3(a) bold + Italic Char"/>
    <w:basedOn w:val="DefaultParagraphFont"/>
    <w:link w:val="NotesTextLevel3aboldItalic"/>
    <w:locked/>
    <w:rsid w:val="008835EB"/>
    <w:rPr>
      <w:rFonts w:ascii="Arial" w:hAnsi="Arial" w:cs="Arial"/>
      <w:b/>
      <w:bCs/>
      <w:i/>
      <w:iCs/>
      <w:sz w:val="18"/>
    </w:rPr>
  </w:style>
  <w:style w:type="paragraph" w:customStyle="1" w:styleId="NotesTextLevel3aboldItalic">
    <w:name w:val="Notes Text Level 3(a) bold + Italic"/>
    <w:basedOn w:val="Normal"/>
    <w:link w:val="NotesTextLevel3aboldItalicChar"/>
    <w:rsid w:val="008835EB"/>
    <w:rPr>
      <w:rFonts w:ascii="Arial" w:eastAsiaTheme="minorHAnsi" w:hAnsi="Arial" w:cs="Arial"/>
      <w:b/>
      <w:bCs/>
      <w:i/>
      <w:iCs/>
      <w:szCs w:val="22"/>
    </w:rPr>
  </w:style>
  <w:style w:type="paragraph" w:customStyle="1" w:styleId="NotesHeading3">
    <w:name w:val="Notes Heading 3"/>
    <w:basedOn w:val="Normal"/>
    <w:autoRedefine/>
    <w:rsid w:val="008835EB"/>
    <w:pPr>
      <w:spacing w:before="80" w:after="40"/>
      <w:ind w:left="113" w:right="113"/>
    </w:pPr>
    <w:rPr>
      <w:u w:val="single"/>
      <w:lang w:val="en-US"/>
    </w:rPr>
  </w:style>
  <w:style w:type="paragraph" w:customStyle="1" w:styleId="NotesHeading3a">
    <w:name w:val="Notes Heading 3a"/>
    <w:basedOn w:val="Normal"/>
    <w:autoRedefine/>
    <w:rsid w:val="008835EB"/>
    <w:pPr>
      <w:tabs>
        <w:tab w:val="num" w:pos="473"/>
      </w:tabs>
      <w:spacing w:after="120"/>
      <w:ind w:left="113" w:right="113"/>
      <w:jc w:val="both"/>
    </w:pPr>
    <w:rPr>
      <w:u w:val="single"/>
      <w:lang w:val="en-US"/>
    </w:rPr>
  </w:style>
  <w:style w:type="paragraph" w:customStyle="1" w:styleId="Notessub-lineitem">
    <w:name w:val="Notes sub-line item"/>
    <w:basedOn w:val="Normal"/>
    <w:autoRedefine/>
    <w:rsid w:val="008835EB"/>
    <w:pPr>
      <w:framePr w:hSpace="180" w:wrap="around" w:vAnchor="page" w:hAnchor="margin" w:y="1985"/>
      <w:tabs>
        <w:tab w:val="left" w:pos="593"/>
        <w:tab w:val="left" w:pos="1443"/>
      </w:tabs>
      <w:ind w:left="567" w:right="113"/>
    </w:pPr>
    <w:rPr>
      <w:sz w:val="20"/>
    </w:rPr>
  </w:style>
  <w:style w:type="paragraph" w:customStyle="1" w:styleId="NotesLineItem">
    <w:name w:val="Notes Line Item"/>
    <w:basedOn w:val="Normal"/>
    <w:autoRedefine/>
    <w:rsid w:val="008835EB"/>
    <w:pPr>
      <w:ind w:left="34"/>
    </w:pPr>
    <w:rPr>
      <w:iCs/>
      <w:sz w:val="16"/>
      <w:szCs w:val="16"/>
      <w:lang w:eastAsia="en-AU"/>
    </w:rPr>
  </w:style>
  <w:style w:type="paragraph" w:customStyle="1" w:styleId="NoteText">
    <w:name w:val="Note Text"/>
    <w:basedOn w:val="Normal"/>
    <w:autoRedefine/>
    <w:rsid w:val="008835EB"/>
    <w:pPr>
      <w:tabs>
        <w:tab w:val="left" w:pos="284"/>
      </w:tabs>
      <w:spacing w:after="120"/>
      <w:ind w:left="567"/>
    </w:pPr>
    <w:rPr>
      <w:sz w:val="20"/>
    </w:rPr>
  </w:style>
  <w:style w:type="paragraph" w:customStyle="1" w:styleId="NotesHeading">
    <w:name w:val="'Notes' Heading"/>
    <w:basedOn w:val="Normal"/>
    <w:autoRedefine/>
    <w:rsid w:val="008835EB"/>
    <w:pPr>
      <w:ind w:left="57" w:right="57"/>
      <w:jc w:val="center"/>
    </w:pPr>
    <w:rPr>
      <w:b/>
      <w:sz w:val="20"/>
    </w:rPr>
  </w:style>
  <w:style w:type="paragraph" w:customStyle="1" w:styleId="NotesReference">
    <w:name w:val="'Notes' Reference"/>
    <w:basedOn w:val="Normal"/>
    <w:autoRedefine/>
    <w:rsid w:val="008835EB"/>
    <w:pPr>
      <w:ind w:left="57" w:right="57"/>
      <w:jc w:val="center"/>
    </w:pPr>
    <w:rPr>
      <w:sz w:val="20"/>
    </w:rPr>
  </w:style>
  <w:style w:type="paragraph" w:customStyle="1" w:styleId="NotesHeading4">
    <w:name w:val="Notes Heading 4"/>
    <w:basedOn w:val="NoteText"/>
    <w:autoRedefine/>
    <w:rsid w:val="008835EB"/>
    <w:pPr>
      <w:keepNext/>
      <w:spacing w:before="200" w:after="80"/>
      <w:ind w:right="57"/>
    </w:pPr>
  </w:style>
  <w:style w:type="paragraph" w:customStyle="1" w:styleId="NotesHeading3NumberingOff">
    <w:name w:val="Notes Heading 3 Numbering Off"/>
    <w:basedOn w:val="NotesHeading3"/>
    <w:autoRedefine/>
    <w:rsid w:val="008835EB"/>
    <w:pPr>
      <w:tabs>
        <w:tab w:val="left" w:pos="1132"/>
      </w:tabs>
    </w:pPr>
  </w:style>
  <w:style w:type="paragraph" w:customStyle="1" w:styleId="NotesHeadingPlain">
    <w:name w:val="'Notes' Heading Plain"/>
    <w:basedOn w:val="NotesHeading"/>
    <w:autoRedefine/>
    <w:rsid w:val="008835EB"/>
    <w:rPr>
      <w:b w:val="0"/>
    </w:rPr>
  </w:style>
  <w:style w:type="paragraph" w:customStyle="1" w:styleId="NotesHeading5">
    <w:name w:val="Notes Heading 5"/>
    <w:basedOn w:val="Normal"/>
    <w:autoRedefine/>
    <w:rsid w:val="008835EB"/>
    <w:pPr>
      <w:spacing w:before="120" w:after="40"/>
      <w:ind w:left="113" w:right="113"/>
      <w:jc w:val="both"/>
    </w:pPr>
    <w:rPr>
      <w:b/>
      <w:sz w:val="20"/>
    </w:rPr>
  </w:style>
  <w:style w:type="paragraph" w:customStyle="1" w:styleId="NoteTextBEFOREDotPoint">
    <w:name w:val="Note Text BEFORE Dot Point"/>
    <w:basedOn w:val="NoteText"/>
    <w:rsid w:val="008835EB"/>
    <w:pPr>
      <w:spacing w:after="0"/>
      <w:ind w:left="178" w:right="57"/>
    </w:pPr>
  </w:style>
  <w:style w:type="paragraph" w:customStyle="1" w:styleId="ItalicLineItem">
    <w:name w:val="Italic Line Item"/>
    <w:basedOn w:val="Normal"/>
    <w:rsid w:val="008835EB"/>
    <w:pPr>
      <w:tabs>
        <w:tab w:val="left" w:pos="566"/>
      </w:tabs>
      <w:ind w:left="284" w:right="113"/>
      <w:jc w:val="both"/>
    </w:pPr>
    <w:rPr>
      <w:i/>
      <w:sz w:val="20"/>
      <w:lang w:val="en-US"/>
    </w:rPr>
  </w:style>
  <w:style w:type="paragraph" w:customStyle="1" w:styleId="ItalicHeading">
    <w:name w:val="Italic Heading"/>
    <w:basedOn w:val="ItalicLineItem"/>
    <w:rsid w:val="008835EB"/>
    <w:pPr>
      <w:ind w:left="57" w:right="0"/>
    </w:pPr>
  </w:style>
  <w:style w:type="paragraph" w:customStyle="1" w:styleId="Notes">
    <w:name w:val="'Notes'"/>
    <w:basedOn w:val="Normal"/>
    <w:rsid w:val="008835EB"/>
    <w:pPr>
      <w:jc w:val="center"/>
    </w:pPr>
    <w:rPr>
      <w:b/>
    </w:rPr>
  </w:style>
  <w:style w:type="character" w:customStyle="1" w:styleId="LineitemsChar">
    <w:name w:val="Line items Char"/>
    <w:basedOn w:val="DefaultParagraphFont"/>
    <w:link w:val="Lineitems"/>
    <w:uiPriority w:val="99"/>
    <w:locked/>
    <w:rsid w:val="008835EB"/>
  </w:style>
  <w:style w:type="paragraph" w:customStyle="1" w:styleId="Lineitems">
    <w:name w:val="Line items"/>
    <w:basedOn w:val="Normal"/>
    <w:link w:val="LineitemsChar"/>
    <w:autoRedefine/>
    <w:uiPriority w:val="99"/>
    <w:rsid w:val="008835EB"/>
    <w:rPr>
      <w:rFonts w:asciiTheme="minorHAnsi" w:eastAsiaTheme="minorHAnsi" w:hAnsiTheme="minorHAnsi" w:cstheme="minorBidi"/>
      <w:sz w:val="22"/>
      <w:szCs w:val="22"/>
    </w:rPr>
  </w:style>
  <w:style w:type="paragraph" w:customStyle="1" w:styleId="Notestext">
    <w:name w:val="Notes text"/>
    <w:basedOn w:val="Notes"/>
    <w:rsid w:val="008835EB"/>
    <w:rPr>
      <w:b w:val="0"/>
    </w:rPr>
  </w:style>
  <w:style w:type="paragraph" w:customStyle="1" w:styleId="Lineitemtable">
    <w:name w:val="Line item table"/>
    <w:basedOn w:val="Lineitems"/>
    <w:rsid w:val="008835EB"/>
  </w:style>
  <w:style w:type="paragraph" w:customStyle="1" w:styleId="12line">
    <w:name w:val="1/2 line"/>
    <w:basedOn w:val="Normal"/>
    <w:rsid w:val="008835EB"/>
    <w:pPr>
      <w:spacing w:before="10" w:after="10" w:line="240" w:lineRule="auto"/>
    </w:pPr>
    <w:rPr>
      <w:sz w:val="20"/>
    </w:rPr>
  </w:style>
  <w:style w:type="paragraph" w:customStyle="1" w:styleId="lineitemitalic">
    <w:name w:val="line item italic"/>
    <w:basedOn w:val="Normal"/>
    <w:rsid w:val="008835EB"/>
    <w:rPr>
      <w:i/>
    </w:rPr>
  </w:style>
  <w:style w:type="paragraph" w:customStyle="1" w:styleId="lineitembold">
    <w:name w:val="line item bold"/>
    <w:basedOn w:val="Normal"/>
    <w:rsid w:val="008835EB"/>
    <w:rPr>
      <w:b/>
      <w:sz w:val="20"/>
    </w:rPr>
  </w:style>
  <w:style w:type="paragraph" w:customStyle="1" w:styleId="Notesheading0">
    <w:name w:val="Notes heading"/>
    <w:basedOn w:val="Normal"/>
    <w:rsid w:val="008835EB"/>
    <w:pPr>
      <w:spacing w:line="240" w:lineRule="auto"/>
    </w:pPr>
    <w:rPr>
      <w:rFonts w:ascii="Calisto MT" w:hAnsi="Calisto MT"/>
      <w:b/>
      <w:sz w:val="14"/>
      <w:lang w:eastAsia="en-AU"/>
    </w:rPr>
  </w:style>
  <w:style w:type="paragraph" w:customStyle="1" w:styleId="Notestothefinancialstatements">
    <w:name w:val="Notes to the financial statements"/>
    <w:aliases w:val="Heading"/>
    <w:basedOn w:val="Normal"/>
    <w:rsid w:val="008835EB"/>
    <w:pPr>
      <w:tabs>
        <w:tab w:val="left" w:pos="567"/>
        <w:tab w:val="left" w:pos="1134"/>
        <w:tab w:val="left" w:pos="1701"/>
      </w:tabs>
      <w:spacing w:before="60" w:after="60" w:line="240" w:lineRule="auto"/>
    </w:pPr>
    <w:rPr>
      <w:rFonts w:ascii="Tahoma" w:hAnsi="Tahoma"/>
      <w:b/>
      <w:color w:val="000000"/>
      <w:sz w:val="16"/>
      <w:lang w:eastAsia="en-AU"/>
    </w:rPr>
  </w:style>
  <w:style w:type="paragraph" w:customStyle="1" w:styleId="NotesBulletPoint">
    <w:name w:val="Notes Bullet Point"/>
    <w:basedOn w:val="Normal"/>
    <w:autoRedefine/>
    <w:rsid w:val="008835EB"/>
    <w:pPr>
      <w:tabs>
        <w:tab w:val="left" w:pos="413"/>
        <w:tab w:val="num" w:pos="927"/>
      </w:tabs>
      <w:snapToGrid w:val="0"/>
      <w:spacing w:line="240" w:lineRule="auto"/>
      <w:ind w:left="414" w:right="113" w:hanging="301"/>
      <w:jc w:val="both"/>
    </w:pPr>
    <w:rPr>
      <w:sz w:val="20"/>
      <w:lang w:val="en-US" w:eastAsia="en-AU"/>
    </w:rPr>
  </w:style>
  <w:style w:type="paragraph" w:customStyle="1" w:styleId="Headinga">
    <w:name w:val="Heading a"/>
    <w:basedOn w:val="Normal"/>
    <w:rsid w:val="008835EB"/>
    <w:pPr>
      <w:spacing w:line="240" w:lineRule="auto"/>
    </w:pPr>
    <w:rPr>
      <w:b/>
      <w:bCs/>
      <w:szCs w:val="18"/>
    </w:rPr>
  </w:style>
  <w:style w:type="character" w:customStyle="1" w:styleId="LineitemsTotalChar">
    <w:name w:val="Line items Total Char"/>
    <w:basedOn w:val="LineitemsChar"/>
    <w:link w:val="LineitemsTotal"/>
    <w:uiPriority w:val="99"/>
    <w:locked/>
    <w:rsid w:val="008835EB"/>
    <w:rPr>
      <w:b/>
      <w:i/>
    </w:rPr>
  </w:style>
  <w:style w:type="paragraph" w:customStyle="1" w:styleId="LineitemsTotal">
    <w:name w:val="Line items Total"/>
    <w:basedOn w:val="Lineitems"/>
    <w:link w:val="LineitemsTotalChar"/>
    <w:uiPriority w:val="99"/>
    <w:rsid w:val="008835EB"/>
    <w:pPr>
      <w:framePr w:hSpace="180" w:wrap="around" w:vAnchor="text" w:hAnchor="margin" w:y="1"/>
    </w:pPr>
    <w:rPr>
      <w:b/>
      <w:i/>
    </w:rPr>
  </w:style>
  <w:style w:type="paragraph" w:customStyle="1" w:styleId="SAPHeading-Level1">
    <w:name w:val="SAP Heading - Level 1"/>
    <w:basedOn w:val="NotesHeading-Level1"/>
    <w:rsid w:val="008835EB"/>
    <w:pPr>
      <w:tabs>
        <w:tab w:val="num" w:pos="851"/>
      </w:tabs>
      <w:ind w:left="851" w:hanging="851"/>
    </w:pPr>
    <w:rPr>
      <w:rFonts w:cstheme="minorHAnsi"/>
    </w:rPr>
  </w:style>
  <w:style w:type="paragraph" w:customStyle="1" w:styleId="SAPHeading-Level2">
    <w:name w:val="SAP Heading - Level 2"/>
    <w:basedOn w:val="SAPHeading-Level1"/>
    <w:rsid w:val="008835EB"/>
    <w:pPr>
      <w:spacing w:before="100" w:after="100" w:line="240" w:lineRule="auto"/>
      <w:outlineLvl w:val="9"/>
    </w:pPr>
  </w:style>
  <w:style w:type="paragraph" w:customStyle="1" w:styleId="SAPHeading-Level3">
    <w:name w:val="SAP Heading - Level 3"/>
    <w:basedOn w:val="SAPHeading-Level2"/>
    <w:rsid w:val="008835EB"/>
  </w:style>
  <w:style w:type="character" w:customStyle="1" w:styleId="NotesTextChar">
    <w:name w:val="Notes Text Char"/>
    <w:basedOn w:val="ReferenceTextChar"/>
    <w:link w:val="NotesText0"/>
    <w:uiPriority w:val="99"/>
    <w:locked/>
    <w:rsid w:val="008835EB"/>
    <w:rPr>
      <w:rFonts w:cs="Arial"/>
      <w:sz w:val="18"/>
      <w:szCs w:val="18"/>
    </w:rPr>
  </w:style>
  <w:style w:type="paragraph" w:customStyle="1" w:styleId="NotesText0">
    <w:name w:val="Notes Text"/>
    <w:basedOn w:val="ReferenceText"/>
    <w:link w:val="NotesTextChar"/>
    <w:uiPriority w:val="99"/>
    <w:rsid w:val="008835EB"/>
    <w:pPr>
      <w:spacing w:before="100" w:after="100" w:line="240" w:lineRule="auto"/>
    </w:pPr>
    <w:rPr>
      <w:rFonts w:cs="Arial"/>
      <w:szCs w:val="18"/>
    </w:rPr>
  </w:style>
  <w:style w:type="paragraph" w:customStyle="1" w:styleId="NotesTextHeading">
    <w:name w:val="Notes Text Heading"/>
    <w:basedOn w:val="NotesText0"/>
    <w:uiPriority w:val="99"/>
    <w:rsid w:val="008835EB"/>
    <w:rPr>
      <w:b/>
      <w:i/>
    </w:rPr>
  </w:style>
  <w:style w:type="paragraph" w:customStyle="1" w:styleId="NoteHeading-Level1">
    <w:name w:val="Note Heading - Level 1"/>
    <w:basedOn w:val="Normal"/>
    <w:rsid w:val="008835EB"/>
  </w:style>
  <w:style w:type="paragraph" w:customStyle="1" w:styleId="NoteHeading-Level2">
    <w:name w:val="Note Heading - Level 2"/>
    <w:basedOn w:val="Normal"/>
    <w:rsid w:val="008835EB"/>
  </w:style>
  <w:style w:type="paragraph" w:customStyle="1" w:styleId="Notesreferencetext">
    <w:name w:val="Notes reference text"/>
    <w:basedOn w:val="Normal"/>
    <w:next w:val="Normal"/>
    <w:rsid w:val="008835EB"/>
    <w:pPr>
      <w:jc w:val="center"/>
    </w:pPr>
  </w:style>
  <w:style w:type="character" w:customStyle="1" w:styleId="StyleReferenceTextItalicChar">
    <w:name w:val="Style Reference Text + Italic Char"/>
    <w:basedOn w:val="ReferenceTextChar"/>
    <w:link w:val="StyleReferenceTextItalic"/>
    <w:uiPriority w:val="99"/>
    <w:locked/>
    <w:rsid w:val="008835EB"/>
    <w:rPr>
      <w:rFonts w:ascii="Calibri" w:hAnsi="Calibri" w:cs="Arial"/>
      <w:i/>
      <w:iCs/>
      <w:sz w:val="18"/>
    </w:rPr>
  </w:style>
  <w:style w:type="paragraph" w:customStyle="1" w:styleId="StyleReferenceTextItalic">
    <w:name w:val="Style Reference Text + Italic"/>
    <w:basedOn w:val="ReferenceText"/>
    <w:link w:val="StyleReferenceTextItalicChar"/>
    <w:uiPriority w:val="99"/>
    <w:rsid w:val="008835EB"/>
    <w:pPr>
      <w:spacing w:line="240" w:lineRule="atLeast"/>
    </w:pPr>
    <w:rPr>
      <w:rFonts w:ascii="Calibri" w:hAnsi="Calibri" w:cs="Arial"/>
      <w:i/>
      <w:iCs/>
    </w:rPr>
  </w:style>
  <w:style w:type="character" w:customStyle="1" w:styleId="StyleNotesTextItalicChar">
    <w:name w:val="Style Notes Text + Italic Char"/>
    <w:basedOn w:val="NotesTextChar"/>
    <w:link w:val="StyleNotesTextItalic"/>
    <w:uiPriority w:val="99"/>
    <w:locked/>
    <w:rsid w:val="008835EB"/>
    <w:rPr>
      <w:rFonts w:cs="Arial"/>
      <w:i/>
      <w:iCs/>
      <w:sz w:val="18"/>
      <w:szCs w:val="18"/>
      <w:u w:val="single"/>
    </w:rPr>
  </w:style>
  <w:style w:type="paragraph" w:customStyle="1" w:styleId="StyleNotesTextItalic">
    <w:name w:val="Style Notes Text + Italic"/>
    <w:basedOn w:val="NotesText0"/>
    <w:link w:val="StyleNotesTextItalicChar"/>
    <w:uiPriority w:val="99"/>
    <w:rsid w:val="008835EB"/>
    <w:pPr>
      <w:ind w:right="-54"/>
    </w:pPr>
    <w:rPr>
      <w:i/>
      <w:iCs/>
      <w:u w:val="single"/>
    </w:rPr>
  </w:style>
  <w:style w:type="paragraph" w:customStyle="1" w:styleId="StyleNotesTextPatternClearGray-25">
    <w:name w:val="Style Notes Text + Pattern: Clear (Gray-25%)"/>
    <w:basedOn w:val="NotesText0"/>
    <w:autoRedefine/>
    <w:uiPriority w:val="99"/>
    <w:rsid w:val="008835EB"/>
    <w:pPr>
      <w:shd w:val="clear" w:color="auto" w:fill="CCCCCC"/>
      <w:ind w:right="-54"/>
    </w:pPr>
    <w:rPr>
      <w:rFonts w:ascii="Calibri" w:hAnsi="Calibri"/>
      <w:sz w:val="20"/>
      <w:szCs w:val="20"/>
    </w:rPr>
  </w:style>
  <w:style w:type="paragraph" w:customStyle="1" w:styleId="BulletKPMG">
    <w:name w:val="Bullet KPMG"/>
    <w:basedOn w:val="Normal"/>
    <w:uiPriority w:val="99"/>
    <w:rsid w:val="008835EB"/>
    <w:pPr>
      <w:tabs>
        <w:tab w:val="num" w:pos="473"/>
      </w:tabs>
      <w:spacing w:before="100" w:after="100" w:line="240" w:lineRule="auto"/>
      <w:ind w:left="357" w:hanging="357"/>
    </w:pPr>
    <w:rPr>
      <w:sz w:val="20"/>
      <w:lang w:val="en-US" w:eastAsia="en-AU"/>
    </w:rPr>
  </w:style>
  <w:style w:type="character" w:customStyle="1" w:styleId="StyleNotesTextBoldChar">
    <w:name w:val="Style Notes Text + Bold Char"/>
    <w:basedOn w:val="NotesTextChar"/>
    <w:link w:val="StyleNotesTextBold"/>
    <w:uiPriority w:val="99"/>
    <w:locked/>
    <w:rsid w:val="008835EB"/>
    <w:rPr>
      <w:rFonts w:ascii="Calibri" w:hAnsi="Calibri" w:cs="Arial"/>
      <w:bCs/>
      <w:sz w:val="18"/>
      <w:szCs w:val="18"/>
    </w:rPr>
  </w:style>
  <w:style w:type="paragraph" w:customStyle="1" w:styleId="StyleNotesTextBold">
    <w:name w:val="Style Notes Text + Bold"/>
    <w:basedOn w:val="NotesText0"/>
    <w:link w:val="StyleNotesTextBoldChar"/>
    <w:uiPriority w:val="99"/>
    <w:rsid w:val="008835EB"/>
    <w:pPr>
      <w:ind w:right="-54"/>
    </w:pPr>
    <w:rPr>
      <w:rFonts w:ascii="Calibri" w:hAnsi="Calibri"/>
      <w:bCs/>
    </w:rPr>
  </w:style>
  <w:style w:type="character" w:customStyle="1" w:styleId="StyleNotesTextBold1Char">
    <w:name w:val="Style Notes Text + Bold1 Char"/>
    <w:basedOn w:val="NotesTextChar"/>
    <w:link w:val="StyleNotesTextBold1"/>
    <w:uiPriority w:val="99"/>
    <w:locked/>
    <w:rsid w:val="008835EB"/>
    <w:rPr>
      <w:rFonts w:ascii="Calibri" w:hAnsi="Calibri" w:cs="Arial"/>
      <w:bCs/>
      <w:sz w:val="18"/>
      <w:szCs w:val="18"/>
    </w:rPr>
  </w:style>
  <w:style w:type="paragraph" w:customStyle="1" w:styleId="StyleNotesTextBold1">
    <w:name w:val="Style Notes Text + Bold1"/>
    <w:basedOn w:val="NotesText0"/>
    <w:link w:val="StyleNotesTextBold1Char"/>
    <w:uiPriority w:val="99"/>
    <w:rsid w:val="008835EB"/>
    <w:pPr>
      <w:ind w:right="-54"/>
    </w:pPr>
    <w:rPr>
      <w:rFonts w:ascii="Calibri" w:hAnsi="Calibri"/>
      <w:bCs/>
    </w:rPr>
  </w:style>
  <w:style w:type="character" w:customStyle="1" w:styleId="StatementTextLevel1bChar">
    <w:name w:val="Statement Text Level 1(b) Char"/>
    <w:basedOn w:val="DefaultParagraphFont"/>
    <w:link w:val="StatementTextLevel1b"/>
    <w:uiPriority w:val="99"/>
    <w:locked/>
    <w:rsid w:val="008835EB"/>
    <w:rPr>
      <w:rFonts w:ascii="Arial" w:hAnsi="Arial" w:cs="Arial"/>
      <w:b/>
      <w:sz w:val="18"/>
      <w:szCs w:val="18"/>
    </w:rPr>
  </w:style>
  <w:style w:type="paragraph" w:customStyle="1" w:styleId="StatementTextLevel1b">
    <w:name w:val="Statement Text Level 1(b)"/>
    <w:basedOn w:val="Normal"/>
    <w:link w:val="StatementTextLevel1bChar"/>
    <w:uiPriority w:val="99"/>
    <w:rsid w:val="008835EB"/>
    <w:rPr>
      <w:rFonts w:ascii="Arial" w:eastAsiaTheme="minorHAnsi" w:hAnsi="Arial" w:cs="Arial"/>
      <w:b/>
      <w:szCs w:val="18"/>
    </w:rPr>
  </w:style>
  <w:style w:type="paragraph" w:customStyle="1" w:styleId="PrimaryStatementsHeading">
    <w:name w:val="Primary Statements Heading"/>
    <w:basedOn w:val="Normal"/>
    <w:autoRedefine/>
    <w:uiPriority w:val="99"/>
    <w:rsid w:val="008835EB"/>
    <w:pPr>
      <w:spacing w:line="300" w:lineRule="exact"/>
    </w:pPr>
    <w:rPr>
      <w:b/>
      <w:sz w:val="24"/>
      <w:lang w:val="en-US"/>
    </w:rPr>
  </w:style>
  <w:style w:type="paragraph" w:customStyle="1" w:styleId="PeriodHeading">
    <w:name w:val="Period Heading"/>
    <w:basedOn w:val="PrimaryStatementsHeading"/>
    <w:uiPriority w:val="99"/>
    <w:rsid w:val="008835EB"/>
    <w:rPr>
      <w:i/>
      <w:sz w:val="22"/>
    </w:rPr>
  </w:style>
  <w:style w:type="paragraph" w:customStyle="1" w:styleId="CurrentYearDataTotalLevel1">
    <w:name w:val="Current Year Data Total Level 1"/>
    <w:basedOn w:val="Normal"/>
    <w:next w:val="Normal"/>
    <w:autoRedefine/>
    <w:uiPriority w:val="99"/>
    <w:rsid w:val="008835EB"/>
    <w:pPr>
      <w:pBdr>
        <w:top w:val="single" w:sz="4" w:space="1" w:color="auto"/>
        <w:bottom w:val="double" w:sz="6" w:space="1" w:color="auto"/>
      </w:pBdr>
      <w:jc w:val="right"/>
    </w:pPr>
    <w:rPr>
      <w:b/>
      <w:szCs w:val="16"/>
    </w:rPr>
  </w:style>
  <w:style w:type="character" w:customStyle="1" w:styleId="LineitemsHeadingChar">
    <w:name w:val="Line items Heading Char"/>
    <w:basedOn w:val="LineitemsChar"/>
    <w:link w:val="LineitemsHeading"/>
    <w:uiPriority w:val="99"/>
    <w:locked/>
    <w:rsid w:val="008835EB"/>
    <w:rPr>
      <w:rFonts w:ascii="Calibri" w:hAnsi="Calibri" w:cs="Calibri"/>
      <w:b/>
      <w:sz w:val="18"/>
    </w:rPr>
  </w:style>
  <w:style w:type="paragraph" w:customStyle="1" w:styleId="LineitemsHeading">
    <w:name w:val="Line items Heading"/>
    <w:basedOn w:val="Lineitems"/>
    <w:link w:val="LineitemsHeadingChar"/>
    <w:uiPriority w:val="99"/>
    <w:rsid w:val="008835EB"/>
    <w:pPr>
      <w:framePr w:hSpace="180" w:wrap="around" w:vAnchor="text" w:hAnchor="margin" w:y="1"/>
    </w:pPr>
    <w:rPr>
      <w:rFonts w:ascii="Calibri" w:hAnsi="Calibri" w:cs="Calibri"/>
      <w:b/>
      <w:sz w:val="18"/>
    </w:rPr>
  </w:style>
  <w:style w:type="paragraph" w:customStyle="1" w:styleId="PreviousYearDataTotalLevel3">
    <w:name w:val="Previous Year Data Total Level 3"/>
    <w:basedOn w:val="Normal"/>
    <w:autoRedefine/>
    <w:uiPriority w:val="99"/>
    <w:rsid w:val="008835EB"/>
    <w:pPr>
      <w:pBdr>
        <w:top w:val="single" w:sz="4" w:space="1" w:color="auto"/>
        <w:bottom w:val="double" w:sz="6" w:space="1" w:color="auto"/>
      </w:pBdr>
      <w:jc w:val="right"/>
    </w:pPr>
  </w:style>
  <w:style w:type="paragraph" w:customStyle="1" w:styleId="StyleNotesTextItalic1">
    <w:name w:val="Style Notes Text + Italic1"/>
    <w:basedOn w:val="NotesText0"/>
    <w:uiPriority w:val="99"/>
    <w:rsid w:val="008835EB"/>
    <w:pPr>
      <w:ind w:right="-54"/>
    </w:pPr>
    <w:rPr>
      <w:rFonts w:ascii="Calibri" w:hAnsi="Calibri" w:cs="Times New Roman"/>
      <w:i/>
      <w:iCs/>
      <w:sz w:val="20"/>
      <w:szCs w:val="20"/>
    </w:rPr>
  </w:style>
  <w:style w:type="paragraph" w:customStyle="1" w:styleId="StyleNotesTextPatternClearGray-20">
    <w:name w:val="Style Notes Text + Pattern: Clear (Gray-20%)"/>
    <w:basedOn w:val="NotesText0"/>
    <w:uiPriority w:val="99"/>
    <w:rsid w:val="008835EB"/>
    <w:pPr>
      <w:ind w:right="-54"/>
    </w:pPr>
    <w:rPr>
      <w:rFonts w:ascii="Calibri" w:hAnsi="Calibri" w:cs="Times New Roman"/>
      <w:sz w:val="20"/>
      <w:szCs w:val="20"/>
    </w:rPr>
  </w:style>
  <w:style w:type="character" w:customStyle="1" w:styleId="PreviousYearDataTotalLevel2Char">
    <w:name w:val="Previous Year Data Total Level 2 Char"/>
    <w:basedOn w:val="DefaultParagraphFont"/>
    <w:link w:val="PreviousYearDataTotalLevel2"/>
    <w:uiPriority w:val="99"/>
    <w:locked/>
    <w:rsid w:val="008835EB"/>
    <w:rPr>
      <w:rFonts w:ascii="Calibri" w:hAnsi="Calibri" w:cs="Calibri"/>
      <w:sz w:val="18"/>
    </w:rPr>
  </w:style>
  <w:style w:type="paragraph" w:customStyle="1" w:styleId="PreviousYearDataTotalLevel2">
    <w:name w:val="Previous Year Data Total Level 2"/>
    <w:basedOn w:val="Normal"/>
    <w:next w:val="Normal"/>
    <w:link w:val="PreviousYearDataTotalLevel2Char"/>
    <w:uiPriority w:val="99"/>
    <w:rsid w:val="008835EB"/>
    <w:pPr>
      <w:pBdr>
        <w:top w:val="single" w:sz="4" w:space="1" w:color="auto"/>
        <w:bottom w:val="single" w:sz="4" w:space="1" w:color="auto"/>
      </w:pBdr>
      <w:jc w:val="right"/>
    </w:pPr>
    <w:rPr>
      <w:rFonts w:eastAsiaTheme="minorHAnsi" w:cs="Calibri"/>
      <w:szCs w:val="22"/>
    </w:rPr>
  </w:style>
  <w:style w:type="character" w:customStyle="1" w:styleId="CurrentYearDataTotalLevel2Char">
    <w:name w:val="Current Year Data Total Level 2 Char"/>
    <w:basedOn w:val="DefaultParagraphFont"/>
    <w:link w:val="CurrentYearDataTotalLevel2"/>
    <w:uiPriority w:val="99"/>
    <w:locked/>
    <w:rsid w:val="008835EB"/>
    <w:rPr>
      <w:rFonts w:ascii="Calibri" w:hAnsi="Calibri" w:cs="Calibri"/>
      <w:b/>
      <w:sz w:val="18"/>
    </w:rPr>
  </w:style>
  <w:style w:type="paragraph" w:customStyle="1" w:styleId="CurrentYearDataTotalLevel2">
    <w:name w:val="Current Year Data Total Level 2"/>
    <w:basedOn w:val="Normal"/>
    <w:link w:val="CurrentYearDataTotalLevel2Char"/>
    <w:uiPriority w:val="99"/>
    <w:rsid w:val="008835EB"/>
    <w:pPr>
      <w:pBdr>
        <w:top w:val="single" w:sz="4" w:space="1" w:color="auto"/>
        <w:bottom w:val="single" w:sz="4" w:space="1" w:color="auto"/>
      </w:pBdr>
      <w:jc w:val="right"/>
    </w:pPr>
    <w:rPr>
      <w:rFonts w:eastAsiaTheme="minorHAnsi" w:cs="Calibri"/>
      <w:b/>
      <w:szCs w:val="22"/>
    </w:rPr>
  </w:style>
  <w:style w:type="paragraph" w:customStyle="1" w:styleId="DeptCurrentYearHeader">
    <w:name w:val="Dept Current Year Header"/>
    <w:basedOn w:val="Normal"/>
    <w:qFormat/>
    <w:rsid w:val="008835EB"/>
    <w:pPr>
      <w:spacing w:line="240" w:lineRule="auto"/>
      <w:jc w:val="right"/>
    </w:pPr>
    <w:rPr>
      <w:rFonts w:asciiTheme="minorHAnsi" w:hAnsiTheme="minorHAnsi" w:cstheme="minorHAnsi"/>
      <w:b/>
      <w:szCs w:val="18"/>
      <w:lang w:eastAsia="en-AU"/>
    </w:rPr>
  </w:style>
  <w:style w:type="paragraph" w:customStyle="1" w:styleId="DeptPreviousYearHeader">
    <w:name w:val="Dept Previous Year Header"/>
    <w:qFormat/>
    <w:rsid w:val="008835EB"/>
    <w:pPr>
      <w:spacing w:after="0" w:line="240" w:lineRule="auto"/>
      <w:jc w:val="right"/>
    </w:pPr>
    <w:rPr>
      <w:rFonts w:eastAsia="Times New Roman" w:cstheme="minorHAnsi"/>
      <w:sz w:val="18"/>
      <w:szCs w:val="18"/>
      <w:lang w:eastAsia="en-AU"/>
    </w:rPr>
  </w:style>
  <w:style w:type="paragraph" w:customStyle="1" w:styleId="DeptManualEntryCell">
    <w:name w:val="Dept Manual Entry Cell"/>
    <w:basedOn w:val="Normal"/>
    <w:qFormat/>
    <w:rsid w:val="008835EB"/>
    <w:pPr>
      <w:spacing w:line="240" w:lineRule="auto"/>
      <w:jc w:val="right"/>
    </w:pPr>
    <w:rPr>
      <w:rFonts w:asciiTheme="minorHAnsi" w:hAnsiTheme="minorHAnsi" w:cstheme="minorHAnsi"/>
      <w:b/>
      <w:szCs w:val="18"/>
      <w:lang w:eastAsia="en-AU"/>
    </w:rPr>
  </w:style>
  <w:style w:type="paragraph" w:customStyle="1" w:styleId="DeptManualEntryCellUnBold">
    <w:name w:val="Dept Manual Entry Cell UnBold"/>
    <w:basedOn w:val="DeptManualEntryCell"/>
    <w:qFormat/>
    <w:rsid w:val="008835EB"/>
    <w:rPr>
      <w:b w:val="0"/>
    </w:rPr>
  </w:style>
  <w:style w:type="paragraph" w:customStyle="1" w:styleId="DeptCurrentYearTotal">
    <w:name w:val="Dept Current Year Total"/>
    <w:qFormat/>
    <w:rsid w:val="008835EB"/>
    <w:pPr>
      <w:spacing w:after="0" w:line="240" w:lineRule="auto"/>
      <w:jc w:val="right"/>
    </w:pPr>
    <w:rPr>
      <w:rFonts w:eastAsia="Times New Roman" w:cstheme="minorHAnsi"/>
      <w:b/>
      <w:sz w:val="18"/>
      <w:szCs w:val="18"/>
      <w:lang w:eastAsia="en-AU"/>
    </w:rPr>
  </w:style>
  <w:style w:type="paragraph" w:customStyle="1" w:styleId="DeptPreviousYearTotal">
    <w:name w:val="Dept Previous Year Total"/>
    <w:qFormat/>
    <w:rsid w:val="008835EB"/>
    <w:pPr>
      <w:spacing w:after="0" w:line="240" w:lineRule="auto"/>
      <w:jc w:val="right"/>
    </w:pPr>
    <w:rPr>
      <w:rFonts w:eastAsia="Times New Roman" w:cstheme="minorHAnsi"/>
      <w:sz w:val="18"/>
      <w:szCs w:val="18"/>
      <w:lang w:eastAsia="en-AU"/>
    </w:rPr>
  </w:style>
  <w:style w:type="paragraph" w:customStyle="1" w:styleId="DeptRowText">
    <w:name w:val="Dept Row Text"/>
    <w:qFormat/>
    <w:rsid w:val="008835EB"/>
    <w:pPr>
      <w:spacing w:after="0" w:line="240" w:lineRule="auto"/>
    </w:pPr>
    <w:rPr>
      <w:rFonts w:eastAsia="Times New Roman" w:cstheme="minorHAnsi"/>
      <w:sz w:val="18"/>
      <w:szCs w:val="18"/>
      <w:lang w:eastAsia="en-AU"/>
    </w:rPr>
  </w:style>
  <w:style w:type="paragraph" w:customStyle="1" w:styleId="DeptRowTextTotal">
    <w:name w:val="Dept Row Text Total"/>
    <w:qFormat/>
    <w:rsid w:val="008835EB"/>
    <w:pPr>
      <w:spacing w:after="0" w:line="240" w:lineRule="auto"/>
    </w:pPr>
    <w:rPr>
      <w:rFonts w:eastAsia="Times New Roman" w:cstheme="minorHAnsi"/>
      <w:b/>
      <w:i/>
      <w:sz w:val="18"/>
      <w:szCs w:val="18"/>
    </w:rPr>
  </w:style>
  <w:style w:type="paragraph" w:customStyle="1" w:styleId="DeptBlankBlueShade">
    <w:name w:val="Dept Blank Blue Shade"/>
    <w:basedOn w:val="DeptRowTextTotal"/>
    <w:next w:val="12line"/>
    <w:qFormat/>
    <w:rsid w:val="008835EB"/>
  </w:style>
  <w:style w:type="paragraph" w:customStyle="1" w:styleId="DeptRowTextIndent">
    <w:name w:val="Dept Row Text Indent"/>
    <w:basedOn w:val="DeptRowText"/>
    <w:qFormat/>
    <w:rsid w:val="008835EB"/>
    <w:pPr>
      <w:ind w:left="204"/>
    </w:pPr>
  </w:style>
  <w:style w:type="paragraph" w:customStyle="1" w:styleId="AdminRowTextIndent">
    <w:name w:val="Admin Row Text Indent"/>
    <w:basedOn w:val="DeptRowTextIndent"/>
    <w:qFormat/>
    <w:rsid w:val="008835EB"/>
  </w:style>
  <w:style w:type="paragraph" w:customStyle="1" w:styleId="AdminRowTextIndentGrey">
    <w:name w:val="Admin Row Text Indent Grey"/>
    <w:basedOn w:val="AdminRowTextIndent"/>
    <w:qFormat/>
    <w:rsid w:val="008835EB"/>
  </w:style>
  <w:style w:type="paragraph" w:customStyle="1" w:styleId="AdminCurrentYearDataGrey">
    <w:name w:val="Admin Current Year Data Grey"/>
    <w:qFormat/>
    <w:rsid w:val="008835EB"/>
    <w:pPr>
      <w:spacing w:after="0" w:line="240" w:lineRule="auto"/>
      <w:jc w:val="right"/>
    </w:pPr>
    <w:rPr>
      <w:rFonts w:eastAsia="Times New Roman" w:cstheme="minorHAnsi"/>
      <w:b/>
      <w:sz w:val="18"/>
      <w:szCs w:val="18"/>
      <w:lang w:eastAsia="en-AU"/>
    </w:rPr>
  </w:style>
  <w:style w:type="paragraph" w:customStyle="1" w:styleId="AdminCurrentYearDataNormal">
    <w:name w:val="Admin Current Year Data Normal"/>
    <w:qFormat/>
    <w:rsid w:val="008835EB"/>
    <w:pPr>
      <w:spacing w:after="0" w:line="240" w:lineRule="auto"/>
      <w:jc w:val="right"/>
    </w:pPr>
    <w:rPr>
      <w:rFonts w:eastAsia="Times New Roman" w:cstheme="minorHAnsi"/>
      <w:b/>
      <w:sz w:val="18"/>
      <w:szCs w:val="18"/>
      <w:lang w:eastAsia="en-AU"/>
    </w:rPr>
  </w:style>
  <w:style w:type="paragraph" w:customStyle="1" w:styleId="AdminPreviousYearDataGrey">
    <w:name w:val="Admin Previous Year Data Grey"/>
    <w:qFormat/>
    <w:rsid w:val="008835EB"/>
    <w:pPr>
      <w:spacing w:after="0" w:line="240" w:lineRule="auto"/>
      <w:jc w:val="right"/>
    </w:pPr>
    <w:rPr>
      <w:rFonts w:eastAsia="Times New Roman" w:cstheme="minorHAnsi"/>
      <w:sz w:val="18"/>
      <w:szCs w:val="18"/>
      <w:lang w:eastAsia="en-AU"/>
    </w:rPr>
  </w:style>
  <w:style w:type="paragraph" w:customStyle="1" w:styleId="AdminPreviousYearDataNormal">
    <w:name w:val="Admin Previous Year Data Normal"/>
    <w:qFormat/>
    <w:rsid w:val="008835EB"/>
    <w:pPr>
      <w:spacing w:after="0" w:line="240" w:lineRule="auto"/>
      <w:jc w:val="right"/>
    </w:pPr>
    <w:rPr>
      <w:rFonts w:eastAsia="Times New Roman" w:cstheme="minorHAnsi"/>
      <w:sz w:val="18"/>
      <w:szCs w:val="18"/>
      <w:lang w:eastAsia="en-AU"/>
    </w:rPr>
  </w:style>
  <w:style w:type="paragraph" w:customStyle="1" w:styleId="AdminHeaderlineUnderlineGrey">
    <w:name w:val="Admin Headerline Underline Grey"/>
    <w:basedOn w:val="AdminPreviousYearDataNormal"/>
    <w:next w:val="12line"/>
    <w:qFormat/>
    <w:rsid w:val="008835EB"/>
  </w:style>
  <w:style w:type="paragraph" w:customStyle="1" w:styleId="AdminBlankGreyShade">
    <w:name w:val="Admin Blank Grey Shade"/>
    <w:next w:val="12line"/>
    <w:qFormat/>
    <w:rsid w:val="008835EB"/>
    <w:pPr>
      <w:spacing w:after="0" w:line="240" w:lineRule="auto"/>
    </w:pPr>
    <w:rPr>
      <w:rFonts w:eastAsia="Times New Roman" w:cstheme="minorHAnsi"/>
      <w:sz w:val="18"/>
      <w:szCs w:val="18"/>
      <w:lang w:eastAsia="en-AU"/>
    </w:rPr>
  </w:style>
  <w:style w:type="paragraph" w:customStyle="1" w:styleId="AdminRowTextGrey">
    <w:name w:val="Admin Row Text Grey"/>
    <w:qFormat/>
    <w:rsid w:val="008835EB"/>
    <w:pPr>
      <w:spacing w:after="0" w:line="240" w:lineRule="auto"/>
    </w:pPr>
    <w:rPr>
      <w:rFonts w:eastAsia="Times New Roman" w:cstheme="minorHAnsi"/>
      <w:sz w:val="18"/>
      <w:szCs w:val="18"/>
      <w:lang w:eastAsia="en-AU"/>
    </w:rPr>
  </w:style>
  <w:style w:type="paragraph" w:customStyle="1" w:styleId="AdminCurrentYearTotalGrey">
    <w:name w:val="Admin Current Year Total Grey"/>
    <w:qFormat/>
    <w:rsid w:val="008835EB"/>
    <w:pPr>
      <w:spacing w:after="0" w:line="240" w:lineRule="auto"/>
      <w:jc w:val="right"/>
    </w:pPr>
    <w:rPr>
      <w:rFonts w:eastAsia="Times New Roman" w:cstheme="minorHAnsi"/>
      <w:b/>
      <w:sz w:val="18"/>
      <w:szCs w:val="18"/>
      <w:lang w:eastAsia="en-AU"/>
    </w:rPr>
  </w:style>
  <w:style w:type="paragraph" w:customStyle="1" w:styleId="AdminPreviousYearTotalGrey">
    <w:name w:val="Admin Previous Year Total Grey"/>
    <w:qFormat/>
    <w:rsid w:val="008835EB"/>
    <w:pPr>
      <w:spacing w:after="0" w:line="240" w:lineRule="auto"/>
      <w:jc w:val="right"/>
    </w:pPr>
    <w:rPr>
      <w:rFonts w:eastAsia="Times New Roman" w:cstheme="minorHAnsi"/>
      <w:sz w:val="18"/>
      <w:szCs w:val="18"/>
      <w:lang w:eastAsia="en-AU"/>
    </w:rPr>
  </w:style>
  <w:style w:type="paragraph" w:customStyle="1" w:styleId="AdminManualEntryCell">
    <w:name w:val="Admin Manual Entry Cell"/>
    <w:qFormat/>
    <w:rsid w:val="008835EB"/>
    <w:pPr>
      <w:spacing w:after="0" w:line="240" w:lineRule="auto"/>
      <w:jc w:val="right"/>
    </w:pPr>
    <w:rPr>
      <w:rFonts w:eastAsia="Times New Roman" w:cstheme="minorHAnsi"/>
      <w:b/>
      <w:sz w:val="18"/>
      <w:szCs w:val="18"/>
      <w:lang w:eastAsia="en-AU"/>
    </w:rPr>
  </w:style>
  <w:style w:type="paragraph" w:customStyle="1" w:styleId="AdminManualEntryCellUnbold">
    <w:name w:val="Admin Manual Entry Cell Unbold"/>
    <w:qFormat/>
    <w:rsid w:val="008835EB"/>
    <w:pPr>
      <w:spacing w:after="0" w:line="240" w:lineRule="auto"/>
      <w:jc w:val="right"/>
    </w:pPr>
    <w:rPr>
      <w:rFonts w:eastAsia="Times New Roman" w:cstheme="minorHAnsi"/>
      <w:sz w:val="18"/>
      <w:szCs w:val="18"/>
      <w:lang w:eastAsia="en-AU"/>
    </w:rPr>
  </w:style>
  <w:style w:type="paragraph" w:customStyle="1" w:styleId="AdminRowTextHeaderBoldGrey">
    <w:name w:val="Admin Row Text Header Bold Grey"/>
    <w:qFormat/>
    <w:rsid w:val="008835EB"/>
    <w:pPr>
      <w:spacing w:after="0" w:line="240" w:lineRule="auto"/>
    </w:pPr>
    <w:rPr>
      <w:rFonts w:eastAsia="Times New Roman" w:cstheme="minorHAnsi"/>
      <w:b/>
      <w:sz w:val="18"/>
      <w:szCs w:val="18"/>
      <w:lang w:eastAsia="en-AU"/>
    </w:rPr>
  </w:style>
  <w:style w:type="paragraph" w:customStyle="1" w:styleId="DeptCurrentYearData">
    <w:name w:val="Dept Current Year Data"/>
    <w:qFormat/>
    <w:rsid w:val="008835EB"/>
    <w:pPr>
      <w:spacing w:after="0" w:line="240" w:lineRule="auto"/>
      <w:jc w:val="right"/>
    </w:pPr>
    <w:rPr>
      <w:rFonts w:eastAsia="Times New Roman" w:cstheme="minorHAnsi"/>
      <w:b/>
      <w:sz w:val="18"/>
      <w:szCs w:val="18"/>
      <w:lang w:eastAsia="en-AU"/>
    </w:rPr>
  </w:style>
  <w:style w:type="paragraph" w:customStyle="1" w:styleId="DeptPreviousYearData">
    <w:name w:val="Dept Previous Year Data"/>
    <w:qFormat/>
    <w:rsid w:val="008835EB"/>
    <w:pPr>
      <w:spacing w:after="0" w:line="240" w:lineRule="auto"/>
      <w:jc w:val="right"/>
    </w:pPr>
    <w:rPr>
      <w:rFonts w:eastAsia="Times New Roman" w:cstheme="minorHAnsi"/>
      <w:sz w:val="18"/>
      <w:szCs w:val="18"/>
      <w:lang w:eastAsia="en-AU"/>
    </w:rPr>
  </w:style>
  <w:style w:type="paragraph" w:customStyle="1" w:styleId="DeptNoteHeadingUnderlined">
    <w:name w:val="Dept Note Heading Underlined"/>
    <w:qFormat/>
    <w:rsid w:val="008835EB"/>
    <w:pPr>
      <w:spacing w:after="0" w:line="240" w:lineRule="auto"/>
    </w:pPr>
    <w:rPr>
      <w:rFonts w:eastAsia="Times New Roman" w:cstheme="minorHAnsi"/>
      <w:b/>
      <w:sz w:val="18"/>
      <w:szCs w:val="18"/>
      <w:u w:val="single"/>
      <w:lang w:eastAsia="en-AU"/>
    </w:rPr>
  </w:style>
  <w:style w:type="paragraph" w:customStyle="1" w:styleId="DeptCurrentYearSubTotal">
    <w:name w:val="Dept Current Year SubTotal"/>
    <w:qFormat/>
    <w:rsid w:val="008835EB"/>
    <w:pPr>
      <w:spacing w:after="0" w:line="240" w:lineRule="auto"/>
      <w:jc w:val="right"/>
    </w:pPr>
    <w:rPr>
      <w:rFonts w:eastAsia="Times New Roman" w:cstheme="minorHAnsi"/>
      <w:b/>
      <w:sz w:val="18"/>
      <w:szCs w:val="18"/>
      <w:lang w:eastAsia="en-AU"/>
    </w:rPr>
  </w:style>
  <w:style w:type="paragraph" w:customStyle="1" w:styleId="AdminCurrentYearSubTotal">
    <w:name w:val="Admin Current Year SubTotal"/>
    <w:qFormat/>
    <w:rsid w:val="008835EB"/>
    <w:pPr>
      <w:spacing w:after="0" w:line="240" w:lineRule="auto"/>
      <w:jc w:val="right"/>
    </w:pPr>
    <w:rPr>
      <w:rFonts w:eastAsia="Times New Roman" w:cstheme="minorHAnsi"/>
      <w:b/>
      <w:sz w:val="18"/>
      <w:szCs w:val="18"/>
      <w:lang w:eastAsia="en-AU"/>
    </w:rPr>
  </w:style>
  <w:style w:type="paragraph" w:customStyle="1" w:styleId="DeptNoteReference">
    <w:name w:val="Dept Note Reference"/>
    <w:basedOn w:val="AdminCurrentYearSubTotal"/>
    <w:qFormat/>
    <w:rsid w:val="008835EB"/>
    <w:pPr>
      <w:jc w:val="center"/>
    </w:pPr>
    <w:rPr>
      <w:b w:val="0"/>
    </w:rPr>
  </w:style>
  <w:style w:type="paragraph" w:customStyle="1" w:styleId="DeptRowTextDoubleIndent">
    <w:name w:val="Dept Row Text Double Indent"/>
    <w:basedOn w:val="DeptNoteReference"/>
    <w:qFormat/>
    <w:rsid w:val="008835EB"/>
    <w:pPr>
      <w:tabs>
        <w:tab w:val="left" w:pos="204"/>
      </w:tabs>
      <w:ind w:left="487"/>
      <w:jc w:val="left"/>
    </w:pPr>
  </w:style>
  <w:style w:type="paragraph" w:customStyle="1" w:styleId="AdminRowTextSubTotal">
    <w:name w:val="Admin Row Text SubTotal"/>
    <w:qFormat/>
    <w:rsid w:val="008835EB"/>
    <w:pPr>
      <w:spacing w:after="0" w:line="240" w:lineRule="auto"/>
    </w:pPr>
    <w:rPr>
      <w:rFonts w:eastAsia="Times New Roman" w:cstheme="minorHAnsi"/>
      <w:sz w:val="18"/>
      <w:szCs w:val="18"/>
      <w:lang w:eastAsia="en-AU"/>
    </w:rPr>
  </w:style>
  <w:style w:type="paragraph" w:customStyle="1" w:styleId="DeptRowTextHeader">
    <w:name w:val="Dept Row Text Header"/>
    <w:qFormat/>
    <w:rsid w:val="008835EB"/>
    <w:pPr>
      <w:spacing w:after="0" w:line="240" w:lineRule="auto"/>
    </w:pPr>
    <w:rPr>
      <w:rFonts w:eastAsia="Times New Roman" w:cstheme="minorHAnsi"/>
      <w:b/>
      <w:sz w:val="18"/>
      <w:szCs w:val="18"/>
      <w:lang w:eastAsia="en-AU"/>
    </w:rPr>
  </w:style>
  <w:style w:type="paragraph" w:customStyle="1" w:styleId="DeptPreviousYearSubTotal">
    <w:name w:val="Dept Previous Year SubTotal"/>
    <w:qFormat/>
    <w:rsid w:val="008835EB"/>
    <w:pPr>
      <w:spacing w:after="0" w:line="240" w:lineRule="auto"/>
      <w:jc w:val="right"/>
    </w:pPr>
    <w:rPr>
      <w:rFonts w:eastAsia="Times New Roman" w:cstheme="minorHAnsi"/>
      <w:sz w:val="18"/>
      <w:szCs w:val="18"/>
      <w:lang w:eastAsia="en-AU"/>
    </w:rPr>
  </w:style>
  <w:style w:type="paragraph" w:customStyle="1" w:styleId="AdminCurrentYearHeadersGrey">
    <w:name w:val="Admin Current Year Headers Grey"/>
    <w:qFormat/>
    <w:rsid w:val="008835EB"/>
    <w:pPr>
      <w:spacing w:after="0" w:line="240" w:lineRule="auto"/>
      <w:jc w:val="right"/>
    </w:pPr>
    <w:rPr>
      <w:rFonts w:eastAsia="Times New Roman" w:cstheme="minorHAnsi"/>
      <w:b/>
      <w:sz w:val="18"/>
      <w:szCs w:val="18"/>
      <w:lang w:eastAsia="en-AU"/>
    </w:rPr>
  </w:style>
  <w:style w:type="paragraph" w:customStyle="1" w:styleId="AdminPreviousYearHeadersGrey">
    <w:name w:val="Admin Previous Year Headers Grey"/>
    <w:basedOn w:val="AdminCurrentYearHeadersGrey"/>
    <w:qFormat/>
    <w:rsid w:val="008835EB"/>
  </w:style>
  <w:style w:type="paragraph" w:customStyle="1" w:styleId="AdminHeaderUnderlineGrey">
    <w:name w:val="Admin Header Underline Grey"/>
    <w:qFormat/>
    <w:rsid w:val="008835EB"/>
    <w:pPr>
      <w:spacing w:after="0" w:line="240" w:lineRule="auto"/>
    </w:pPr>
    <w:rPr>
      <w:rFonts w:eastAsia="Times New Roman" w:cstheme="minorHAnsi"/>
      <w:b/>
      <w:sz w:val="18"/>
      <w:szCs w:val="18"/>
      <w:u w:val="single"/>
      <w:lang w:eastAsia="en-AU"/>
    </w:rPr>
  </w:style>
  <w:style w:type="paragraph" w:customStyle="1" w:styleId="AdminPreviousYearHeaderGrey">
    <w:name w:val="Admin Previous Year Header Grey"/>
    <w:qFormat/>
    <w:rsid w:val="008835EB"/>
    <w:pPr>
      <w:spacing w:after="0" w:line="240" w:lineRule="auto"/>
      <w:jc w:val="right"/>
    </w:pPr>
    <w:rPr>
      <w:rFonts w:ascii="Calibri" w:eastAsia="Times New Roman" w:hAnsi="Calibri" w:cs="Calibri"/>
      <w:sz w:val="18"/>
      <w:szCs w:val="18"/>
    </w:rPr>
  </w:style>
  <w:style w:type="paragraph" w:customStyle="1" w:styleId="AdminRowTextNormal">
    <w:name w:val="Admin Row Text Normal"/>
    <w:qFormat/>
    <w:rsid w:val="008835EB"/>
    <w:pPr>
      <w:spacing w:after="0" w:line="240" w:lineRule="auto"/>
    </w:pPr>
    <w:rPr>
      <w:rFonts w:ascii="Calibri" w:eastAsia="Times New Roman" w:hAnsi="Calibri" w:cs="Calibri"/>
      <w:sz w:val="18"/>
      <w:szCs w:val="18"/>
    </w:rPr>
  </w:style>
  <w:style w:type="paragraph" w:customStyle="1" w:styleId="AdminRowTextTotal">
    <w:name w:val="Admin Row Text Total"/>
    <w:basedOn w:val="Normal"/>
    <w:qFormat/>
    <w:rsid w:val="008835EB"/>
    <w:rPr>
      <w:rFonts w:cs="Calibri"/>
      <w:b/>
      <w:bCs/>
      <w:i/>
      <w:iCs/>
      <w:szCs w:val="18"/>
    </w:rPr>
  </w:style>
  <w:style w:type="paragraph" w:customStyle="1" w:styleId="DeptRowTextSubTotal">
    <w:name w:val="Dept Row Text SubTotal"/>
    <w:basedOn w:val="Normal"/>
    <w:qFormat/>
    <w:rsid w:val="008835EB"/>
    <w:rPr>
      <w:rFonts w:cs="Calibri"/>
      <w:b/>
      <w:bCs/>
      <w:szCs w:val="18"/>
    </w:rPr>
  </w:style>
  <w:style w:type="paragraph" w:customStyle="1" w:styleId="DeptManualEntryBoldGreyShade">
    <w:name w:val="Dept Manual Entry Bold Grey Shade"/>
    <w:qFormat/>
    <w:rsid w:val="008835EB"/>
    <w:pPr>
      <w:spacing w:after="0" w:line="240" w:lineRule="auto"/>
      <w:jc w:val="right"/>
    </w:pPr>
    <w:rPr>
      <w:rFonts w:ascii="Calibri" w:eastAsia="Times New Roman" w:hAnsi="Calibri" w:cs="Calibri"/>
      <w:b/>
      <w:bCs/>
      <w:sz w:val="18"/>
      <w:szCs w:val="18"/>
    </w:rPr>
  </w:style>
  <w:style w:type="paragraph" w:customStyle="1" w:styleId="DeptManualEntryCellUnboldGreyShade">
    <w:name w:val="Dept Manual Entry Cell Unbold Grey Shade"/>
    <w:basedOn w:val="DeptManualEntryBoldGreyShade"/>
    <w:qFormat/>
    <w:rsid w:val="008835EB"/>
    <w:rPr>
      <w:b w:val="0"/>
    </w:rPr>
  </w:style>
  <w:style w:type="paragraph" w:customStyle="1" w:styleId="AdminHeaderCentered">
    <w:name w:val="Admin Header Centered"/>
    <w:basedOn w:val="AdminRowTextHeaderBoldGrey"/>
    <w:qFormat/>
    <w:rsid w:val="008835EB"/>
    <w:pPr>
      <w:jc w:val="center"/>
    </w:pPr>
  </w:style>
  <w:style w:type="paragraph" w:customStyle="1" w:styleId="AdminNoteReferenceGrey">
    <w:name w:val="Admin Note Reference Grey"/>
    <w:qFormat/>
    <w:rsid w:val="008835EB"/>
    <w:pPr>
      <w:spacing w:after="0" w:line="240" w:lineRule="auto"/>
      <w:jc w:val="center"/>
    </w:pPr>
    <w:rPr>
      <w:rFonts w:ascii="Calibri" w:eastAsia="Times New Roman" w:hAnsi="Calibri" w:cs="Calibri"/>
      <w:sz w:val="18"/>
      <w:szCs w:val="18"/>
    </w:rPr>
  </w:style>
  <w:style w:type="paragraph" w:customStyle="1" w:styleId="DeptHeaderCentered">
    <w:name w:val="Dept Header Centered"/>
    <w:qFormat/>
    <w:rsid w:val="008835EB"/>
    <w:pPr>
      <w:spacing w:after="0" w:line="240" w:lineRule="auto"/>
      <w:jc w:val="center"/>
    </w:pPr>
    <w:rPr>
      <w:rFonts w:eastAsia="Times New Roman" w:cstheme="minorHAnsi"/>
      <w:b/>
      <w:sz w:val="18"/>
      <w:szCs w:val="18"/>
      <w:lang w:eastAsia="en-AU"/>
    </w:rPr>
  </w:style>
  <w:style w:type="paragraph" w:customStyle="1" w:styleId="NotesHeading-Level1GreyShade">
    <w:name w:val="Notes Heading - Level 1 Grey Shade"/>
    <w:basedOn w:val="NotesHeading-Level1"/>
    <w:qFormat/>
    <w:rsid w:val="008835EB"/>
    <w:pPr>
      <w:numPr>
        <w:numId w:val="2"/>
      </w:numPr>
      <w:shd w:val="clear" w:color="auto" w:fill="D9D9D9" w:themeFill="background1" w:themeFillShade="D9"/>
    </w:pPr>
    <w:rPr>
      <w:rFonts w:cstheme="minorHAnsi"/>
    </w:rPr>
  </w:style>
  <w:style w:type="paragraph" w:customStyle="1" w:styleId="UnderlineItalics">
    <w:name w:val="Underline Italics"/>
    <w:basedOn w:val="Normal"/>
    <w:qFormat/>
    <w:rsid w:val="008835EB"/>
    <w:rPr>
      <w:i/>
      <w:u w:val="single"/>
    </w:rPr>
  </w:style>
  <w:style w:type="paragraph" w:customStyle="1" w:styleId="Default">
    <w:name w:val="Default"/>
    <w:rsid w:val="008835EB"/>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FootnoteReference">
    <w:name w:val="footnote reference"/>
    <w:basedOn w:val="DefaultParagraphFont"/>
    <w:uiPriority w:val="99"/>
    <w:semiHidden/>
    <w:rsid w:val="008835EB"/>
    <w:rPr>
      <w:vertAlign w:val="superscript"/>
    </w:rPr>
  </w:style>
  <w:style w:type="character" w:styleId="CommentReference">
    <w:name w:val="annotation reference"/>
    <w:basedOn w:val="DefaultParagraphFont"/>
    <w:uiPriority w:val="99"/>
    <w:semiHidden/>
    <w:rsid w:val="008835EB"/>
    <w:rPr>
      <w:sz w:val="16"/>
      <w:szCs w:val="16"/>
    </w:rPr>
  </w:style>
  <w:style w:type="character" w:styleId="PageNumber">
    <w:name w:val="page number"/>
    <w:basedOn w:val="DefaultParagraphFont"/>
    <w:uiPriority w:val="99"/>
    <w:rsid w:val="008835EB"/>
    <w:rPr>
      <w:rFonts w:ascii="Times New Roman" w:hAnsi="Times New Roman" w:cs="Times New Roman" w:hint="default"/>
      <w:sz w:val="22"/>
    </w:rPr>
  </w:style>
  <w:style w:type="character" w:customStyle="1" w:styleId="A18">
    <w:name w:val="A18"/>
    <w:uiPriority w:val="99"/>
    <w:rsid w:val="008835EB"/>
    <w:rPr>
      <w:i/>
      <w:iCs/>
      <w:color w:val="000000"/>
      <w:sz w:val="14"/>
      <w:szCs w:val="14"/>
      <w:u w:val="single"/>
    </w:rPr>
  </w:style>
  <w:style w:type="table" w:styleId="TableGrid">
    <w:name w:val="Table Grid"/>
    <w:basedOn w:val="TableNormal"/>
    <w:uiPriority w:val="59"/>
    <w:rsid w:val="008835EB"/>
    <w:pPr>
      <w:spacing w:after="0" w:line="26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8835E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NotesHeading-Level1">
    <w:name w:val="Continued Notes Heading - Level 1"/>
    <w:basedOn w:val="NotesHeading-Level1"/>
    <w:qFormat/>
    <w:rsid w:val="008835EB"/>
    <w:pPr>
      <w:spacing w:line="240" w:lineRule="auto"/>
      <w:outlineLvl w:val="9"/>
    </w:pPr>
  </w:style>
  <w:style w:type="numbering" w:customStyle="1" w:styleId="CurrentList2">
    <w:name w:val="Current List2"/>
    <w:rsid w:val="008835EB"/>
    <w:pPr>
      <w:numPr>
        <w:numId w:val="3"/>
      </w:numPr>
    </w:pPr>
  </w:style>
  <w:style w:type="numbering" w:customStyle="1" w:styleId="Style2">
    <w:name w:val="Style2"/>
    <w:rsid w:val="008835EB"/>
    <w:pPr>
      <w:numPr>
        <w:numId w:val="4"/>
      </w:numPr>
    </w:pPr>
  </w:style>
  <w:style w:type="numbering" w:customStyle="1" w:styleId="CurrentList1">
    <w:name w:val="Current List1"/>
    <w:rsid w:val="008835EB"/>
    <w:pPr>
      <w:numPr>
        <w:numId w:val="5"/>
      </w:numPr>
    </w:pPr>
  </w:style>
  <w:style w:type="character" w:styleId="Emphasis">
    <w:name w:val="Emphasis"/>
    <w:basedOn w:val="DefaultParagraphFont"/>
    <w:uiPriority w:val="20"/>
    <w:qFormat/>
    <w:rsid w:val="008835EB"/>
    <w:rPr>
      <w:i/>
      <w:iCs/>
    </w:rPr>
  </w:style>
  <w:style w:type="paragraph" w:customStyle="1" w:styleId="SectionHeading">
    <w:name w:val="Section Heading"/>
    <w:basedOn w:val="Normal"/>
    <w:link w:val="SectionHeadingChar"/>
    <w:qFormat/>
    <w:rsid w:val="008835EB"/>
    <w:pPr>
      <w:numPr>
        <w:numId w:val="7"/>
      </w:numPr>
      <w:shd w:val="clear" w:color="00CC99" w:fill="00746B"/>
      <w:ind w:left="0" w:right="607" w:firstLine="0"/>
      <w:outlineLvl w:val="0"/>
    </w:pPr>
    <w:rPr>
      <w:rFonts w:ascii="Arial Bold" w:hAnsi="Arial Bold"/>
      <w:b/>
      <w:color w:val="FFFFFF" w:themeColor="background1"/>
      <w:sz w:val="24"/>
    </w:rPr>
  </w:style>
  <w:style w:type="character" w:customStyle="1" w:styleId="SectionHeadingChar">
    <w:name w:val="Section Heading Char"/>
    <w:basedOn w:val="DefaultParagraphFont"/>
    <w:link w:val="SectionHeading"/>
    <w:rsid w:val="008835EB"/>
    <w:rPr>
      <w:rFonts w:ascii="Arial Bold" w:eastAsia="Times New Roman" w:hAnsi="Arial Bold" w:cs="Times New Roman"/>
      <w:b/>
      <w:color w:val="FFFFFF" w:themeColor="background1"/>
      <w:sz w:val="24"/>
      <w:szCs w:val="20"/>
      <w:shd w:val="clear" w:color="00CC99" w:fill="00746B"/>
    </w:rPr>
  </w:style>
  <w:style w:type="paragraph" w:customStyle="1" w:styleId="SubHeading">
    <w:name w:val="Sub Heading"/>
    <w:basedOn w:val="SectionHeading"/>
    <w:link w:val="SubHeadingChar"/>
    <w:qFormat/>
    <w:rsid w:val="008835EB"/>
    <w:pPr>
      <w:numPr>
        <w:ilvl w:val="1"/>
      </w:numPr>
      <w:shd w:val="clear" w:color="auto" w:fill="000000" w:themeFill="text1"/>
      <w:ind w:left="425" w:hanging="425"/>
      <w:outlineLvl w:val="1"/>
    </w:pPr>
    <w:rPr>
      <w:rFonts w:ascii="Arial" w:hAnsi="Arial" w:cs="Arial"/>
      <w:sz w:val="20"/>
    </w:rPr>
  </w:style>
  <w:style w:type="character" w:customStyle="1" w:styleId="SubHeadingChar">
    <w:name w:val="Sub Heading Char"/>
    <w:basedOn w:val="DefaultParagraphFont"/>
    <w:link w:val="SubHeading"/>
    <w:rsid w:val="008835EB"/>
    <w:rPr>
      <w:rFonts w:ascii="Arial" w:eastAsia="Times New Roman" w:hAnsi="Arial" w:cs="Arial"/>
      <w:b/>
      <w:color w:val="FFFFFF" w:themeColor="background1"/>
      <w:sz w:val="20"/>
      <w:szCs w:val="20"/>
      <w:shd w:val="clear" w:color="auto" w:fill="000000" w:themeFill="text1"/>
    </w:rPr>
  </w:style>
  <w:style w:type="paragraph" w:customStyle="1" w:styleId="SectionHeadingDescription">
    <w:name w:val="Section Heading Description"/>
    <w:basedOn w:val="SectionHeading"/>
    <w:next w:val="SubHeading"/>
    <w:qFormat/>
    <w:rsid w:val="008835EB"/>
    <w:pPr>
      <w:numPr>
        <w:numId w:val="0"/>
      </w:numPr>
      <w:outlineLvl w:val="9"/>
    </w:pPr>
    <w:rPr>
      <w:rFonts w:ascii="Arial" w:hAnsi="Arial"/>
      <w:b w:val="0"/>
      <w:sz w:val="18"/>
      <w:szCs w:val="18"/>
    </w:rPr>
  </w:style>
  <w:style w:type="paragraph" w:customStyle="1" w:styleId="PolicytextDept">
    <w:name w:val="Policy text Dept"/>
    <w:basedOn w:val="Normal"/>
    <w:link w:val="PolicytextDeptChar"/>
    <w:qFormat/>
    <w:rsid w:val="008835EB"/>
    <w:pPr>
      <w:pBdr>
        <w:top w:val="single" w:sz="4" w:space="1" w:color="00746B"/>
        <w:left w:val="single" w:sz="4" w:space="0" w:color="00746B"/>
        <w:bottom w:val="single" w:sz="4" w:space="1" w:color="00746B"/>
        <w:right w:val="single" w:sz="4" w:space="0" w:color="00746B"/>
      </w:pBdr>
      <w:spacing w:after="120" w:line="120" w:lineRule="atLeast"/>
      <w:ind w:right="607"/>
    </w:pPr>
    <w:rPr>
      <w:rFonts w:asciiTheme="minorHAnsi" w:hAnsiTheme="minorHAnsi" w:cstheme="minorHAnsi"/>
      <w:bCs/>
      <w:szCs w:val="18"/>
    </w:rPr>
  </w:style>
  <w:style w:type="character" w:customStyle="1" w:styleId="PolicytextDeptChar">
    <w:name w:val="Policy text Dept Char"/>
    <w:basedOn w:val="DefaultParagraphFont"/>
    <w:link w:val="PolicytextDept"/>
    <w:rsid w:val="008835EB"/>
    <w:rPr>
      <w:rFonts w:eastAsia="Times New Roman" w:cstheme="minorHAnsi"/>
      <w:bCs/>
      <w:sz w:val="18"/>
      <w:szCs w:val="18"/>
    </w:rPr>
  </w:style>
  <w:style w:type="paragraph" w:customStyle="1" w:styleId="PolicyheadingDept">
    <w:name w:val="Policy heading Dept"/>
    <w:basedOn w:val="PolicytextDept"/>
    <w:qFormat/>
    <w:rsid w:val="008835EB"/>
    <w:rPr>
      <w:b/>
    </w:rPr>
  </w:style>
  <w:style w:type="paragraph" w:customStyle="1" w:styleId="Policytextunderline">
    <w:name w:val="Policy text + underline"/>
    <w:basedOn w:val="PolicytextDept"/>
    <w:link w:val="PolicytextunderlineChar"/>
    <w:qFormat/>
    <w:rsid w:val="008835EB"/>
    <w:rPr>
      <w:i/>
      <w:u w:val="single"/>
    </w:rPr>
  </w:style>
  <w:style w:type="paragraph" w:customStyle="1" w:styleId="PolicyTextAdmin">
    <w:name w:val="Policy Text Admin"/>
    <w:basedOn w:val="Normal"/>
    <w:link w:val="PolicyTextAdminChar"/>
    <w:qFormat/>
    <w:rsid w:val="008835EB"/>
    <w:pPr>
      <w:pBdr>
        <w:top w:val="single" w:sz="4" w:space="1" w:color="00746B"/>
        <w:left w:val="single" w:sz="4" w:space="0" w:color="00746B"/>
        <w:bottom w:val="single" w:sz="4" w:space="2" w:color="00746B"/>
        <w:right w:val="single" w:sz="4" w:space="0" w:color="00746B"/>
      </w:pBdr>
      <w:shd w:val="clear" w:color="auto" w:fill="E5F4F3"/>
      <w:spacing w:after="120" w:line="120" w:lineRule="atLeast"/>
      <w:ind w:right="607"/>
    </w:pPr>
    <w:rPr>
      <w:rFonts w:asciiTheme="minorHAnsi" w:hAnsiTheme="minorHAnsi" w:cs="Helvetica"/>
      <w:szCs w:val="18"/>
    </w:rPr>
  </w:style>
  <w:style w:type="character" w:customStyle="1" w:styleId="PolicytextunderlineChar">
    <w:name w:val="Policy text + underline Char"/>
    <w:basedOn w:val="PolicytextDeptChar"/>
    <w:link w:val="Policytextunderline"/>
    <w:rsid w:val="008835EB"/>
    <w:rPr>
      <w:rFonts w:eastAsia="Times New Roman" w:cstheme="minorHAnsi"/>
      <w:bCs/>
      <w:i/>
      <w:sz w:val="18"/>
      <w:szCs w:val="18"/>
      <w:u w:val="single"/>
    </w:rPr>
  </w:style>
  <w:style w:type="character" w:customStyle="1" w:styleId="PolicyTextAdminChar">
    <w:name w:val="Policy Text Admin Char"/>
    <w:basedOn w:val="DefaultParagraphFont"/>
    <w:link w:val="PolicyTextAdmin"/>
    <w:rsid w:val="008835EB"/>
    <w:rPr>
      <w:rFonts w:eastAsia="Times New Roman" w:cs="Helvetica"/>
      <w:sz w:val="18"/>
      <w:szCs w:val="18"/>
      <w:shd w:val="clear" w:color="auto" w:fill="E5F4F3"/>
    </w:rPr>
  </w:style>
  <w:style w:type="paragraph" w:customStyle="1" w:styleId="PolicyheadingAdmin">
    <w:name w:val="Policy heading Admin"/>
    <w:basedOn w:val="PolicyTextAdmin"/>
    <w:link w:val="PolicyheadingAdminChar"/>
    <w:rsid w:val="008835EB"/>
    <w:rPr>
      <w:rFonts w:cs="Times New Roman"/>
      <w:b/>
      <w:bCs/>
      <w:szCs w:val="20"/>
    </w:rPr>
  </w:style>
  <w:style w:type="paragraph" w:customStyle="1" w:styleId="Policytextadminunderline">
    <w:name w:val="Policy text admin + underline"/>
    <w:basedOn w:val="PolicyheadingAdmin"/>
    <w:link w:val="PolicytextadminunderlineChar"/>
    <w:qFormat/>
    <w:rsid w:val="008835EB"/>
    <w:rPr>
      <w:b w:val="0"/>
      <w:i/>
      <w:u w:val="single"/>
    </w:rPr>
  </w:style>
  <w:style w:type="paragraph" w:customStyle="1" w:styleId="Policytextadminbold">
    <w:name w:val="Policy text admin + bold"/>
    <w:basedOn w:val="PolicyheadingAdmin"/>
    <w:link w:val="PolicytextadminboldChar"/>
    <w:qFormat/>
    <w:rsid w:val="008835EB"/>
  </w:style>
  <w:style w:type="character" w:customStyle="1" w:styleId="PolicyheadingAdminChar">
    <w:name w:val="Policy heading Admin Char"/>
    <w:basedOn w:val="PolicyTextAdminChar"/>
    <w:link w:val="PolicyheadingAdmin"/>
    <w:rsid w:val="008835EB"/>
    <w:rPr>
      <w:rFonts w:eastAsia="Times New Roman" w:cs="Times New Roman"/>
      <w:b/>
      <w:bCs/>
      <w:sz w:val="18"/>
      <w:szCs w:val="20"/>
      <w:shd w:val="clear" w:color="auto" w:fill="E5F4F3"/>
    </w:rPr>
  </w:style>
  <w:style w:type="character" w:customStyle="1" w:styleId="PolicytextadminunderlineChar">
    <w:name w:val="Policy text admin + underline Char"/>
    <w:basedOn w:val="PolicyheadingAdminChar"/>
    <w:link w:val="Policytextadminunderline"/>
    <w:rsid w:val="008835EB"/>
    <w:rPr>
      <w:rFonts w:eastAsia="Times New Roman" w:cs="Times New Roman"/>
      <w:b w:val="0"/>
      <w:bCs/>
      <w:i/>
      <w:sz w:val="18"/>
      <w:szCs w:val="20"/>
      <w:u w:val="single"/>
      <w:shd w:val="clear" w:color="auto" w:fill="E5F4F3"/>
    </w:rPr>
  </w:style>
  <w:style w:type="character" w:customStyle="1" w:styleId="PolicytextadminboldChar">
    <w:name w:val="Policy text admin + bold Char"/>
    <w:basedOn w:val="PolicyheadingAdminChar"/>
    <w:link w:val="Policytextadminbold"/>
    <w:rsid w:val="008835EB"/>
    <w:rPr>
      <w:rFonts w:eastAsia="Times New Roman" w:cs="Times New Roman"/>
      <w:b/>
      <w:bCs/>
      <w:sz w:val="18"/>
      <w:szCs w:val="20"/>
      <w:shd w:val="clear" w:color="auto" w:fill="E5F4F3"/>
    </w:rPr>
  </w:style>
  <w:style w:type="paragraph" w:customStyle="1" w:styleId="ReportText">
    <w:name w:val="Report Text"/>
    <w:basedOn w:val="NotesText0"/>
    <w:link w:val="ReportTextChar"/>
    <w:qFormat/>
    <w:rsid w:val="008835EB"/>
    <w:pPr>
      <w:ind w:right="566"/>
    </w:pPr>
  </w:style>
  <w:style w:type="character" w:customStyle="1" w:styleId="ReportTextChar">
    <w:name w:val="Report Text Char"/>
    <w:basedOn w:val="NotesTextChar"/>
    <w:link w:val="ReportText"/>
    <w:rsid w:val="008835EB"/>
    <w:rPr>
      <w:rFonts w:cs="Arial"/>
      <w:sz w:val="18"/>
      <w:szCs w:val="18"/>
    </w:rPr>
  </w:style>
  <w:style w:type="paragraph" w:styleId="NormalWeb">
    <w:name w:val="Normal (Web)"/>
    <w:basedOn w:val="Normal"/>
    <w:uiPriority w:val="99"/>
    <w:semiHidden/>
    <w:unhideWhenUsed/>
    <w:rsid w:val="008835EB"/>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Finnotesheading1">
    <w:name w:val="Fin notes heading 1"/>
    <w:basedOn w:val="Normal"/>
    <w:qFormat/>
    <w:rsid w:val="008835EB"/>
    <w:pPr>
      <w:spacing w:before="120" w:after="120"/>
    </w:pPr>
    <w:rPr>
      <w:rFonts w:asciiTheme="minorHAnsi" w:hAnsiTheme="minorHAnsi" w:cs="Arial"/>
      <w:b/>
      <w:bCs/>
      <w:color w:val="00746B"/>
      <w:sz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table of figures" w:uiPriority="0"/>
    <w:lsdException w:name="macro"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5EB"/>
    <w:pPr>
      <w:spacing w:after="0" w:line="260" w:lineRule="atLeast"/>
    </w:pPr>
    <w:rPr>
      <w:rFonts w:ascii="Calibri" w:eastAsia="Times New Roman" w:hAnsi="Calibri" w:cs="Times New Roman"/>
      <w:sz w:val="18"/>
      <w:szCs w:val="20"/>
    </w:rPr>
  </w:style>
  <w:style w:type="paragraph" w:styleId="Heading1">
    <w:name w:val="heading 1"/>
    <w:aliases w:val="Heading 1 do not use,Section heading 1,Front Page Title,1.,Para 1,Para 11"/>
    <w:basedOn w:val="Normal"/>
    <w:next w:val="Normal"/>
    <w:link w:val="Heading1Char"/>
    <w:qFormat/>
    <w:rsid w:val="008835EB"/>
    <w:pPr>
      <w:keepNext/>
      <w:spacing w:before="240" w:after="60"/>
      <w:outlineLvl w:val="0"/>
    </w:pPr>
    <w:rPr>
      <w:rFonts w:ascii="Arial" w:eastAsiaTheme="minorEastAsia" w:hAnsi="Arial" w:cs="Arial"/>
      <w:kern w:val="32"/>
      <w:sz w:val="32"/>
      <w:szCs w:val="32"/>
    </w:rPr>
  </w:style>
  <w:style w:type="paragraph" w:styleId="Heading2">
    <w:name w:val="heading 2"/>
    <w:aliases w:val="Heading 2 do not use,Front Page List of Sections"/>
    <w:basedOn w:val="Normal"/>
    <w:next w:val="Normal"/>
    <w:link w:val="Heading2Char"/>
    <w:qFormat/>
    <w:rsid w:val="008835EB"/>
    <w:pPr>
      <w:keepNext/>
      <w:spacing w:before="240" w:after="60"/>
      <w:outlineLvl w:val="1"/>
    </w:pPr>
    <w:rPr>
      <w:rFonts w:ascii="Arial" w:eastAsiaTheme="minorEastAsia" w:hAnsi="Arial" w:cs="Arial"/>
      <w:i/>
      <w:iCs/>
      <w:sz w:val="28"/>
      <w:szCs w:val="28"/>
    </w:rPr>
  </w:style>
  <w:style w:type="paragraph" w:styleId="Heading3">
    <w:name w:val="heading 3"/>
    <w:aliases w:val="Heading 3 do not use"/>
    <w:basedOn w:val="Normal"/>
    <w:next w:val="Normal"/>
    <w:link w:val="Heading3Char"/>
    <w:qFormat/>
    <w:rsid w:val="008835EB"/>
    <w:pPr>
      <w:keepNext/>
      <w:spacing w:before="240" w:after="60"/>
      <w:outlineLvl w:val="2"/>
    </w:pPr>
    <w:rPr>
      <w:rFonts w:ascii="Arial" w:eastAsiaTheme="minorEastAsia" w:hAnsi="Arial" w:cs="Arial"/>
      <w:sz w:val="26"/>
      <w:szCs w:val="26"/>
    </w:rPr>
  </w:style>
  <w:style w:type="paragraph" w:styleId="Heading4">
    <w:name w:val="heading 4"/>
    <w:basedOn w:val="Normal"/>
    <w:link w:val="Heading4Char"/>
    <w:qFormat/>
    <w:rsid w:val="008835EB"/>
    <w:pPr>
      <w:spacing w:before="130" w:after="130"/>
      <w:outlineLvl w:val="3"/>
    </w:pPr>
    <w:rPr>
      <w:rFonts w:eastAsiaTheme="minorEastAsia"/>
    </w:rPr>
  </w:style>
  <w:style w:type="paragraph" w:styleId="Heading5">
    <w:name w:val="heading 5"/>
    <w:basedOn w:val="Normal"/>
    <w:next w:val="Normal"/>
    <w:link w:val="Heading5Char"/>
    <w:qFormat/>
    <w:rsid w:val="008835EB"/>
    <w:pPr>
      <w:outlineLvl w:val="4"/>
    </w:pPr>
    <w:rPr>
      <w:rFonts w:eastAsiaTheme="minorEastAsia"/>
    </w:rPr>
  </w:style>
  <w:style w:type="paragraph" w:styleId="Heading6">
    <w:name w:val="heading 6"/>
    <w:basedOn w:val="Normal"/>
    <w:next w:val="Normal"/>
    <w:link w:val="Heading6Char"/>
    <w:qFormat/>
    <w:rsid w:val="008835EB"/>
    <w:pPr>
      <w:outlineLvl w:val="5"/>
    </w:pPr>
    <w:rPr>
      <w:rFonts w:eastAsiaTheme="minorEastAsia"/>
    </w:rPr>
  </w:style>
  <w:style w:type="paragraph" w:styleId="Heading7">
    <w:name w:val="heading 7"/>
    <w:aliases w:val="Section Sub-Heading 4"/>
    <w:basedOn w:val="Normal"/>
    <w:next w:val="Normal"/>
    <w:link w:val="Heading7Char"/>
    <w:qFormat/>
    <w:rsid w:val="008835EB"/>
    <w:pPr>
      <w:outlineLvl w:val="6"/>
    </w:pPr>
  </w:style>
  <w:style w:type="paragraph" w:styleId="Heading8">
    <w:name w:val="heading 8"/>
    <w:basedOn w:val="Normal"/>
    <w:next w:val="Normal"/>
    <w:link w:val="Heading8Char"/>
    <w:qFormat/>
    <w:rsid w:val="008835EB"/>
    <w:pPr>
      <w:outlineLvl w:val="7"/>
    </w:pPr>
  </w:style>
  <w:style w:type="paragraph" w:styleId="Heading9">
    <w:name w:val="heading 9"/>
    <w:basedOn w:val="Normal"/>
    <w:next w:val="Normal"/>
    <w:link w:val="Heading9Char"/>
    <w:qFormat/>
    <w:rsid w:val="008835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do not use Char,Section heading 1 Char,Front Page Title Char,1. Char,Para 1 Char,Para 11 Char"/>
    <w:basedOn w:val="DefaultParagraphFont"/>
    <w:link w:val="Heading1"/>
    <w:rsid w:val="008835EB"/>
    <w:rPr>
      <w:rFonts w:ascii="Arial" w:eastAsiaTheme="minorEastAsia" w:hAnsi="Arial" w:cs="Arial"/>
      <w:kern w:val="32"/>
      <w:sz w:val="32"/>
      <w:szCs w:val="32"/>
    </w:rPr>
  </w:style>
  <w:style w:type="character" w:customStyle="1" w:styleId="Heading2Char">
    <w:name w:val="Heading 2 Char"/>
    <w:aliases w:val="Heading 2 do not use Char,Front Page List of Sections Char"/>
    <w:basedOn w:val="DefaultParagraphFont"/>
    <w:link w:val="Heading2"/>
    <w:rsid w:val="008835EB"/>
    <w:rPr>
      <w:rFonts w:ascii="Arial" w:eastAsiaTheme="minorEastAsia" w:hAnsi="Arial" w:cs="Arial"/>
      <w:i/>
      <w:iCs/>
      <w:sz w:val="28"/>
      <w:szCs w:val="28"/>
    </w:rPr>
  </w:style>
  <w:style w:type="character" w:customStyle="1" w:styleId="Heading3Char">
    <w:name w:val="Heading 3 Char"/>
    <w:aliases w:val="Heading 3 do not use Char"/>
    <w:basedOn w:val="DefaultParagraphFont"/>
    <w:link w:val="Heading3"/>
    <w:rsid w:val="008835EB"/>
    <w:rPr>
      <w:rFonts w:ascii="Arial" w:eastAsiaTheme="minorEastAsia" w:hAnsi="Arial" w:cs="Arial"/>
      <w:sz w:val="26"/>
      <w:szCs w:val="26"/>
    </w:rPr>
  </w:style>
  <w:style w:type="character" w:customStyle="1" w:styleId="Heading4Char">
    <w:name w:val="Heading 4 Char"/>
    <w:basedOn w:val="DefaultParagraphFont"/>
    <w:link w:val="Heading4"/>
    <w:rsid w:val="008835EB"/>
    <w:rPr>
      <w:rFonts w:ascii="Calibri" w:eastAsiaTheme="minorEastAsia" w:hAnsi="Calibri" w:cs="Times New Roman"/>
      <w:sz w:val="18"/>
      <w:szCs w:val="20"/>
    </w:rPr>
  </w:style>
  <w:style w:type="character" w:customStyle="1" w:styleId="Heading5Char">
    <w:name w:val="Heading 5 Char"/>
    <w:basedOn w:val="DefaultParagraphFont"/>
    <w:link w:val="Heading5"/>
    <w:rsid w:val="008835EB"/>
    <w:rPr>
      <w:rFonts w:ascii="Calibri" w:eastAsiaTheme="minorEastAsia" w:hAnsi="Calibri" w:cs="Times New Roman"/>
      <w:sz w:val="18"/>
      <w:szCs w:val="20"/>
    </w:rPr>
  </w:style>
  <w:style w:type="character" w:customStyle="1" w:styleId="Heading6Char">
    <w:name w:val="Heading 6 Char"/>
    <w:basedOn w:val="DefaultParagraphFont"/>
    <w:link w:val="Heading6"/>
    <w:rsid w:val="008835EB"/>
    <w:rPr>
      <w:rFonts w:ascii="Calibri" w:eastAsiaTheme="minorEastAsia" w:hAnsi="Calibri" w:cs="Times New Roman"/>
      <w:sz w:val="18"/>
      <w:szCs w:val="20"/>
    </w:rPr>
  </w:style>
  <w:style w:type="character" w:customStyle="1" w:styleId="Heading7Char">
    <w:name w:val="Heading 7 Char"/>
    <w:aliases w:val="Section Sub-Heading 4 Char"/>
    <w:basedOn w:val="DefaultParagraphFont"/>
    <w:link w:val="Heading7"/>
    <w:rsid w:val="008835EB"/>
    <w:rPr>
      <w:rFonts w:ascii="Calibri" w:eastAsia="Times New Roman" w:hAnsi="Calibri" w:cs="Times New Roman"/>
      <w:sz w:val="18"/>
      <w:szCs w:val="20"/>
    </w:rPr>
  </w:style>
  <w:style w:type="character" w:customStyle="1" w:styleId="Heading8Char">
    <w:name w:val="Heading 8 Char"/>
    <w:basedOn w:val="DefaultParagraphFont"/>
    <w:link w:val="Heading8"/>
    <w:rsid w:val="008835EB"/>
    <w:rPr>
      <w:rFonts w:ascii="Calibri" w:eastAsia="Times New Roman" w:hAnsi="Calibri" w:cs="Times New Roman"/>
      <w:sz w:val="18"/>
      <w:szCs w:val="20"/>
    </w:rPr>
  </w:style>
  <w:style w:type="character" w:customStyle="1" w:styleId="Heading9Char">
    <w:name w:val="Heading 9 Char"/>
    <w:basedOn w:val="DefaultParagraphFont"/>
    <w:link w:val="Heading9"/>
    <w:rsid w:val="008835EB"/>
    <w:rPr>
      <w:rFonts w:ascii="Calibri" w:eastAsia="Times New Roman" w:hAnsi="Calibri" w:cs="Times New Roman"/>
      <w:sz w:val="18"/>
      <w:szCs w:val="20"/>
    </w:rPr>
  </w:style>
  <w:style w:type="character" w:styleId="Hyperlink">
    <w:name w:val="Hyperlink"/>
    <w:basedOn w:val="DefaultParagraphFont"/>
    <w:uiPriority w:val="99"/>
    <w:rsid w:val="008835EB"/>
    <w:rPr>
      <w:color w:val="0000FF" w:themeColor="hyperlink"/>
      <w:u w:val="single"/>
    </w:rPr>
  </w:style>
  <w:style w:type="character" w:styleId="FollowedHyperlink">
    <w:name w:val="FollowedHyperlink"/>
    <w:basedOn w:val="DefaultParagraphFont"/>
    <w:uiPriority w:val="99"/>
    <w:rsid w:val="008835EB"/>
    <w:rPr>
      <w:color w:val="800080" w:themeColor="followedHyperlink"/>
      <w:u w:val="single"/>
    </w:rPr>
  </w:style>
  <w:style w:type="paragraph" w:styleId="TOC1">
    <w:name w:val="toc 1"/>
    <w:basedOn w:val="Normal"/>
    <w:next w:val="Normal"/>
    <w:autoRedefine/>
    <w:uiPriority w:val="39"/>
    <w:rsid w:val="008835EB"/>
    <w:pPr>
      <w:tabs>
        <w:tab w:val="left" w:pos="851"/>
        <w:tab w:val="right" w:leader="dot" w:pos="9628"/>
      </w:tabs>
      <w:spacing w:before="120" w:after="120"/>
    </w:pPr>
    <w:rPr>
      <w:rFonts w:asciiTheme="minorHAnsi" w:eastAsiaTheme="majorEastAsia" w:hAnsiTheme="minorHAnsi"/>
      <w:noProof/>
      <w:sz w:val="20"/>
    </w:rPr>
  </w:style>
  <w:style w:type="paragraph" w:styleId="TOC2">
    <w:name w:val="toc 2"/>
    <w:basedOn w:val="Normal"/>
    <w:next w:val="Normal"/>
    <w:autoRedefine/>
    <w:uiPriority w:val="39"/>
    <w:rsid w:val="008835EB"/>
    <w:pPr>
      <w:tabs>
        <w:tab w:val="left" w:pos="993"/>
        <w:tab w:val="right" w:leader="dot" w:pos="9639"/>
      </w:tabs>
      <w:spacing w:before="120"/>
      <w:ind w:left="220"/>
    </w:pPr>
    <w:rPr>
      <w:rFonts w:eastAsiaTheme="majorEastAsia"/>
      <w:iCs/>
      <w:noProof/>
      <w:sz w:val="20"/>
    </w:rPr>
  </w:style>
  <w:style w:type="paragraph" w:styleId="TOC3">
    <w:name w:val="toc 3"/>
    <w:basedOn w:val="Normal"/>
    <w:next w:val="Normal"/>
    <w:autoRedefine/>
    <w:uiPriority w:val="39"/>
    <w:rsid w:val="008835EB"/>
    <w:pPr>
      <w:ind w:left="440"/>
    </w:pPr>
    <w:rPr>
      <w:sz w:val="20"/>
    </w:rPr>
  </w:style>
  <w:style w:type="paragraph" w:styleId="TOC4">
    <w:name w:val="toc 4"/>
    <w:basedOn w:val="Normal"/>
    <w:next w:val="Normal"/>
    <w:autoRedefine/>
    <w:semiHidden/>
    <w:rsid w:val="008835EB"/>
    <w:pPr>
      <w:ind w:left="660"/>
    </w:pPr>
    <w:rPr>
      <w:sz w:val="20"/>
    </w:rPr>
  </w:style>
  <w:style w:type="paragraph" w:styleId="TOC5">
    <w:name w:val="toc 5"/>
    <w:basedOn w:val="Normal"/>
    <w:next w:val="Normal"/>
    <w:autoRedefine/>
    <w:semiHidden/>
    <w:rsid w:val="008835EB"/>
    <w:pPr>
      <w:ind w:left="880"/>
    </w:pPr>
    <w:rPr>
      <w:sz w:val="20"/>
    </w:rPr>
  </w:style>
  <w:style w:type="paragraph" w:styleId="TOC6">
    <w:name w:val="toc 6"/>
    <w:basedOn w:val="Normal"/>
    <w:next w:val="Normal"/>
    <w:autoRedefine/>
    <w:semiHidden/>
    <w:rsid w:val="008835EB"/>
    <w:pPr>
      <w:ind w:left="1100"/>
    </w:pPr>
    <w:rPr>
      <w:sz w:val="20"/>
    </w:rPr>
  </w:style>
  <w:style w:type="paragraph" w:styleId="TOC7">
    <w:name w:val="toc 7"/>
    <w:basedOn w:val="Normal"/>
    <w:next w:val="Normal"/>
    <w:autoRedefine/>
    <w:semiHidden/>
    <w:rsid w:val="008835EB"/>
    <w:pPr>
      <w:ind w:left="1320"/>
    </w:pPr>
    <w:rPr>
      <w:sz w:val="20"/>
    </w:rPr>
  </w:style>
  <w:style w:type="paragraph" w:styleId="TOC8">
    <w:name w:val="toc 8"/>
    <w:basedOn w:val="Normal"/>
    <w:next w:val="Normal"/>
    <w:autoRedefine/>
    <w:semiHidden/>
    <w:rsid w:val="008835EB"/>
    <w:pPr>
      <w:ind w:left="1540"/>
    </w:pPr>
    <w:rPr>
      <w:sz w:val="20"/>
    </w:rPr>
  </w:style>
  <w:style w:type="paragraph" w:styleId="TOC9">
    <w:name w:val="toc 9"/>
    <w:basedOn w:val="Normal"/>
    <w:next w:val="Normal"/>
    <w:autoRedefine/>
    <w:semiHidden/>
    <w:rsid w:val="008835EB"/>
    <w:pPr>
      <w:ind w:left="1760"/>
    </w:pPr>
    <w:rPr>
      <w:sz w:val="20"/>
    </w:rPr>
  </w:style>
  <w:style w:type="paragraph" w:styleId="FootnoteText">
    <w:name w:val="footnote text"/>
    <w:basedOn w:val="Normal"/>
    <w:link w:val="FootnoteTextChar"/>
    <w:semiHidden/>
    <w:rsid w:val="008835EB"/>
    <w:rPr>
      <w:sz w:val="20"/>
    </w:rPr>
  </w:style>
  <w:style w:type="character" w:customStyle="1" w:styleId="FootnoteTextChar">
    <w:name w:val="Footnote Text Char"/>
    <w:basedOn w:val="DefaultParagraphFont"/>
    <w:link w:val="FootnoteText"/>
    <w:semiHidden/>
    <w:rsid w:val="008835EB"/>
    <w:rPr>
      <w:rFonts w:ascii="Calibri" w:eastAsia="Times New Roman" w:hAnsi="Calibri" w:cs="Times New Roman"/>
      <w:sz w:val="20"/>
      <w:szCs w:val="20"/>
    </w:rPr>
  </w:style>
  <w:style w:type="paragraph" w:styleId="CommentText">
    <w:name w:val="annotation text"/>
    <w:basedOn w:val="Normal"/>
    <w:link w:val="CommentTextChar"/>
    <w:uiPriority w:val="99"/>
    <w:semiHidden/>
    <w:rsid w:val="008835EB"/>
    <w:rPr>
      <w:sz w:val="20"/>
    </w:rPr>
  </w:style>
  <w:style w:type="character" w:customStyle="1" w:styleId="CommentTextChar">
    <w:name w:val="Comment Text Char"/>
    <w:basedOn w:val="DefaultParagraphFont"/>
    <w:link w:val="CommentText"/>
    <w:uiPriority w:val="99"/>
    <w:semiHidden/>
    <w:rsid w:val="008835EB"/>
    <w:rPr>
      <w:rFonts w:ascii="Calibri" w:eastAsia="Times New Roman" w:hAnsi="Calibri" w:cs="Times New Roman"/>
      <w:sz w:val="20"/>
      <w:szCs w:val="20"/>
    </w:rPr>
  </w:style>
  <w:style w:type="paragraph" w:styleId="Header">
    <w:name w:val="header"/>
    <w:basedOn w:val="Normal"/>
    <w:link w:val="HeaderChar"/>
    <w:uiPriority w:val="99"/>
    <w:rsid w:val="008835EB"/>
    <w:pPr>
      <w:tabs>
        <w:tab w:val="center" w:pos="4513"/>
        <w:tab w:val="right" w:pos="9026"/>
      </w:tabs>
      <w:spacing w:line="240" w:lineRule="auto"/>
    </w:pPr>
  </w:style>
  <w:style w:type="character" w:customStyle="1" w:styleId="HeaderChar">
    <w:name w:val="Header Char"/>
    <w:basedOn w:val="DefaultParagraphFont"/>
    <w:link w:val="Header"/>
    <w:uiPriority w:val="99"/>
    <w:rsid w:val="008835EB"/>
    <w:rPr>
      <w:rFonts w:ascii="Calibri" w:eastAsia="Times New Roman" w:hAnsi="Calibri" w:cs="Times New Roman"/>
      <w:sz w:val="18"/>
      <w:szCs w:val="20"/>
    </w:rPr>
  </w:style>
  <w:style w:type="paragraph" w:styleId="Footer">
    <w:name w:val="footer"/>
    <w:basedOn w:val="Normal"/>
    <w:link w:val="FooterChar"/>
    <w:uiPriority w:val="99"/>
    <w:rsid w:val="008835EB"/>
    <w:pPr>
      <w:tabs>
        <w:tab w:val="center" w:pos="4513"/>
        <w:tab w:val="right" w:pos="9026"/>
      </w:tabs>
      <w:spacing w:line="240" w:lineRule="auto"/>
    </w:pPr>
  </w:style>
  <w:style w:type="character" w:customStyle="1" w:styleId="FooterChar">
    <w:name w:val="Footer Char"/>
    <w:basedOn w:val="DefaultParagraphFont"/>
    <w:link w:val="Footer"/>
    <w:uiPriority w:val="99"/>
    <w:rsid w:val="008835EB"/>
    <w:rPr>
      <w:rFonts w:ascii="Calibri" w:eastAsia="Times New Roman" w:hAnsi="Calibri" w:cs="Times New Roman"/>
      <w:sz w:val="18"/>
      <w:szCs w:val="20"/>
    </w:rPr>
  </w:style>
  <w:style w:type="paragraph" w:styleId="Caption">
    <w:name w:val="caption"/>
    <w:basedOn w:val="Normal"/>
    <w:next w:val="Normal"/>
    <w:qFormat/>
    <w:rsid w:val="008835EB"/>
    <w:pPr>
      <w:spacing w:after="200" w:line="240" w:lineRule="auto"/>
    </w:pPr>
    <w:rPr>
      <w:b/>
      <w:bCs/>
      <w:color w:val="4F81BD" w:themeColor="accent1"/>
      <w:szCs w:val="18"/>
    </w:rPr>
  </w:style>
  <w:style w:type="paragraph" w:styleId="TableofFigures">
    <w:name w:val="table of figures"/>
    <w:basedOn w:val="Normal"/>
    <w:next w:val="Normal"/>
    <w:semiHidden/>
    <w:rsid w:val="008835EB"/>
  </w:style>
  <w:style w:type="paragraph" w:styleId="MacroText">
    <w:name w:val="macro"/>
    <w:link w:val="MacroTextChar"/>
    <w:semiHidden/>
    <w:rsid w:val="008835EB"/>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urier New" w:eastAsia="Times New Roman" w:hAnsi="Courier New" w:cs="Courier New"/>
      <w:sz w:val="18"/>
      <w:szCs w:val="20"/>
      <w:lang w:val="en-GB"/>
    </w:rPr>
  </w:style>
  <w:style w:type="character" w:customStyle="1" w:styleId="MacroTextChar">
    <w:name w:val="Macro Text Char"/>
    <w:basedOn w:val="DefaultParagraphFont"/>
    <w:link w:val="MacroText"/>
    <w:semiHidden/>
    <w:rsid w:val="008835EB"/>
    <w:rPr>
      <w:rFonts w:ascii="Courier New" w:eastAsia="Times New Roman" w:hAnsi="Courier New" w:cs="Courier New"/>
      <w:sz w:val="18"/>
      <w:szCs w:val="20"/>
      <w:lang w:val="en-GB"/>
    </w:rPr>
  </w:style>
  <w:style w:type="paragraph" w:styleId="Signature">
    <w:name w:val="Signature"/>
    <w:basedOn w:val="Normal"/>
    <w:link w:val="SignatureChar"/>
    <w:rsid w:val="008835EB"/>
    <w:pPr>
      <w:spacing w:line="240" w:lineRule="auto"/>
    </w:pPr>
  </w:style>
  <w:style w:type="character" w:customStyle="1" w:styleId="SignatureChar">
    <w:name w:val="Signature Char"/>
    <w:basedOn w:val="DefaultParagraphFont"/>
    <w:link w:val="Signature"/>
    <w:rsid w:val="008835EB"/>
    <w:rPr>
      <w:rFonts w:ascii="Calibri" w:eastAsia="Times New Roman" w:hAnsi="Calibri" w:cs="Times New Roman"/>
      <w:sz w:val="18"/>
      <w:szCs w:val="20"/>
    </w:rPr>
  </w:style>
  <w:style w:type="paragraph" w:styleId="DocumentMap">
    <w:name w:val="Document Map"/>
    <w:basedOn w:val="Normal"/>
    <w:link w:val="DocumentMapChar"/>
    <w:semiHidden/>
    <w:rsid w:val="008835EB"/>
    <w:pPr>
      <w:shd w:val="clear" w:color="auto" w:fill="000080"/>
      <w:spacing w:line="240" w:lineRule="auto"/>
    </w:pPr>
    <w:rPr>
      <w:rFonts w:ascii="Tahoma" w:hAnsi="Tahoma"/>
      <w:sz w:val="20"/>
      <w:lang w:eastAsia="en-AU"/>
    </w:rPr>
  </w:style>
  <w:style w:type="character" w:customStyle="1" w:styleId="DocumentMapChar">
    <w:name w:val="Document Map Char"/>
    <w:basedOn w:val="DefaultParagraphFont"/>
    <w:link w:val="DocumentMap"/>
    <w:semiHidden/>
    <w:rsid w:val="008835EB"/>
    <w:rPr>
      <w:rFonts w:ascii="Tahoma" w:eastAsia="Times New Roman" w:hAnsi="Tahoma" w:cs="Times New Roman"/>
      <w:sz w:val="20"/>
      <w:szCs w:val="20"/>
      <w:shd w:val="clear" w:color="auto" w:fill="000080"/>
      <w:lang w:eastAsia="en-AU"/>
    </w:rPr>
  </w:style>
  <w:style w:type="paragraph" w:styleId="CommentSubject">
    <w:name w:val="annotation subject"/>
    <w:basedOn w:val="CommentText"/>
    <w:next w:val="CommentText"/>
    <w:link w:val="CommentSubjectChar"/>
    <w:semiHidden/>
    <w:rsid w:val="008835EB"/>
    <w:rPr>
      <w:b/>
      <w:bCs/>
    </w:rPr>
  </w:style>
  <w:style w:type="character" w:customStyle="1" w:styleId="CommentSubjectChar">
    <w:name w:val="Comment Subject Char"/>
    <w:basedOn w:val="CommentTextChar"/>
    <w:link w:val="CommentSubject"/>
    <w:semiHidden/>
    <w:rsid w:val="008835EB"/>
    <w:rPr>
      <w:rFonts w:ascii="Calibri" w:eastAsia="Times New Roman" w:hAnsi="Calibri" w:cs="Times New Roman"/>
      <w:b/>
      <w:bCs/>
      <w:sz w:val="20"/>
      <w:szCs w:val="20"/>
    </w:rPr>
  </w:style>
  <w:style w:type="paragraph" w:styleId="BalloonText">
    <w:name w:val="Balloon Text"/>
    <w:basedOn w:val="Normal"/>
    <w:link w:val="BalloonTextChar"/>
    <w:semiHidden/>
    <w:rsid w:val="008835EB"/>
    <w:rPr>
      <w:rFonts w:ascii="Tahoma" w:hAnsi="Tahoma" w:cs="Tahoma"/>
      <w:sz w:val="16"/>
      <w:szCs w:val="16"/>
    </w:rPr>
  </w:style>
  <w:style w:type="character" w:customStyle="1" w:styleId="BalloonTextChar">
    <w:name w:val="Balloon Text Char"/>
    <w:basedOn w:val="DefaultParagraphFont"/>
    <w:link w:val="BalloonText"/>
    <w:semiHidden/>
    <w:rsid w:val="008835EB"/>
    <w:rPr>
      <w:rFonts w:ascii="Tahoma" w:eastAsia="Times New Roman" w:hAnsi="Tahoma" w:cs="Tahoma"/>
      <w:sz w:val="16"/>
      <w:szCs w:val="16"/>
    </w:rPr>
  </w:style>
  <w:style w:type="paragraph" w:styleId="Revision">
    <w:name w:val="Revision"/>
    <w:uiPriority w:val="99"/>
    <w:semiHidden/>
    <w:rsid w:val="008835EB"/>
    <w:pPr>
      <w:spacing w:after="0" w:line="240" w:lineRule="auto"/>
    </w:pPr>
    <w:rPr>
      <w:rFonts w:ascii="Calibri" w:eastAsia="Times New Roman" w:hAnsi="Calibri" w:cs="Times New Roman"/>
      <w:sz w:val="18"/>
      <w:szCs w:val="20"/>
    </w:rPr>
  </w:style>
  <w:style w:type="paragraph" w:styleId="ListParagraph">
    <w:name w:val="List Paragraph"/>
    <w:basedOn w:val="Normal"/>
    <w:uiPriority w:val="34"/>
    <w:qFormat/>
    <w:rsid w:val="008835EB"/>
    <w:pPr>
      <w:ind w:left="720"/>
      <w:contextualSpacing/>
    </w:pPr>
  </w:style>
  <w:style w:type="character" w:customStyle="1" w:styleId="StatementNameChar">
    <w:name w:val="Statement Name Char"/>
    <w:basedOn w:val="DefaultParagraphFont"/>
    <w:link w:val="StatementName"/>
    <w:locked/>
    <w:rsid w:val="008835EB"/>
    <w:rPr>
      <w:rFonts w:ascii="Arial" w:hAnsi="Arial" w:cs="Arial"/>
      <w:b/>
      <w:sz w:val="24"/>
      <w:szCs w:val="24"/>
    </w:rPr>
  </w:style>
  <w:style w:type="paragraph" w:customStyle="1" w:styleId="StatementName">
    <w:name w:val="Statement Name"/>
    <w:basedOn w:val="Normal"/>
    <w:next w:val="Normal"/>
    <w:link w:val="StatementNameChar"/>
    <w:autoRedefine/>
    <w:rsid w:val="008835EB"/>
    <w:pPr>
      <w:pBdr>
        <w:bottom w:val="single" w:sz="4" w:space="1" w:color="auto"/>
      </w:pBdr>
    </w:pPr>
    <w:rPr>
      <w:rFonts w:ascii="Arial" w:eastAsiaTheme="minorHAnsi" w:hAnsi="Arial" w:cs="Arial"/>
      <w:b/>
      <w:sz w:val="24"/>
      <w:szCs w:val="24"/>
    </w:rPr>
  </w:style>
  <w:style w:type="paragraph" w:customStyle="1" w:styleId="StatementDateHeader">
    <w:name w:val="Statement Date Header"/>
    <w:basedOn w:val="Normal"/>
    <w:next w:val="Normal"/>
    <w:rsid w:val="008835EB"/>
    <w:pPr>
      <w:pBdr>
        <w:bottom w:val="single" w:sz="4" w:space="1" w:color="auto"/>
      </w:pBdr>
    </w:pPr>
    <w:rPr>
      <w:rFonts w:ascii="Arial" w:hAnsi="Arial"/>
      <w:i/>
      <w:sz w:val="24"/>
    </w:rPr>
  </w:style>
  <w:style w:type="paragraph" w:customStyle="1" w:styleId="StatementTextLevel3">
    <w:name w:val="Statement Text Level 3"/>
    <w:basedOn w:val="Normal"/>
    <w:next w:val="Normal"/>
    <w:rsid w:val="008835EB"/>
    <w:rPr>
      <w:rFonts w:ascii="Arial" w:hAnsi="Arial"/>
    </w:rPr>
  </w:style>
  <w:style w:type="paragraph" w:customStyle="1" w:styleId="TableHeaderLevel1">
    <w:name w:val="Table Header Level 1"/>
    <w:basedOn w:val="Normal"/>
    <w:semiHidden/>
    <w:rsid w:val="008835EB"/>
    <w:pPr>
      <w:jc w:val="center"/>
    </w:pPr>
    <w:rPr>
      <w:rFonts w:ascii="Arial" w:hAnsi="Arial"/>
      <w:b/>
      <w:szCs w:val="18"/>
    </w:rPr>
  </w:style>
  <w:style w:type="paragraph" w:customStyle="1" w:styleId="StatementTextLevel1bItalic">
    <w:name w:val="Statement Text Level 1(b) + Italic"/>
    <w:basedOn w:val="Normal"/>
    <w:rsid w:val="008835EB"/>
    <w:rPr>
      <w:rFonts w:ascii="Arial" w:hAnsi="Arial"/>
      <w:b/>
      <w:bCs/>
      <w:i/>
      <w:iCs/>
      <w:szCs w:val="18"/>
    </w:rPr>
  </w:style>
  <w:style w:type="paragraph" w:customStyle="1" w:styleId="Graphic">
    <w:name w:val="Graphic"/>
    <w:basedOn w:val="Signature"/>
    <w:rsid w:val="008835EB"/>
    <w:pPr>
      <w:pBdr>
        <w:top w:val="single" w:sz="4" w:space="1" w:color="auto"/>
        <w:left w:val="single" w:sz="4" w:space="1" w:color="auto"/>
        <w:bottom w:val="single" w:sz="4" w:space="1" w:color="auto"/>
        <w:right w:val="single" w:sz="4" w:space="1" w:color="auto"/>
      </w:pBdr>
      <w:jc w:val="center"/>
    </w:pPr>
  </w:style>
  <w:style w:type="paragraph" w:customStyle="1" w:styleId="NotesTotal">
    <w:name w:val="Notes Total"/>
    <w:basedOn w:val="Normal"/>
    <w:autoRedefine/>
    <w:rsid w:val="008835EB"/>
    <w:pPr>
      <w:ind w:left="139" w:right="57"/>
    </w:pPr>
    <w:rPr>
      <w:b/>
      <w:iCs/>
      <w:sz w:val="20"/>
    </w:rPr>
  </w:style>
  <w:style w:type="paragraph" w:customStyle="1" w:styleId="TitlePage">
    <w:name w:val="Title Page"/>
    <w:basedOn w:val="Normal"/>
    <w:autoRedefine/>
    <w:rsid w:val="008835EB"/>
    <w:pPr>
      <w:spacing w:before="1200" w:after="1200"/>
      <w:ind w:left="57" w:right="57"/>
      <w:jc w:val="right"/>
    </w:pPr>
    <w:rPr>
      <w:b/>
      <w:bCs/>
      <w:sz w:val="48"/>
    </w:rPr>
  </w:style>
  <w:style w:type="paragraph" w:customStyle="1" w:styleId="zcontents">
    <w:name w:val="zcontents"/>
    <w:basedOn w:val="Normal"/>
    <w:semiHidden/>
    <w:rsid w:val="008835EB"/>
    <w:pPr>
      <w:spacing w:after="260" w:line="240" w:lineRule="auto"/>
    </w:pPr>
    <w:rPr>
      <w:b/>
      <w:sz w:val="32"/>
    </w:rPr>
  </w:style>
  <w:style w:type="paragraph" w:customStyle="1" w:styleId="Normal10pt">
    <w:name w:val="Normal + 10 pt"/>
    <w:aliases w:val="Line spacing:  single"/>
    <w:basedOn w:val="Normal"/>
    <w:rsid w:val="008835EB"/>
    <w:pPr>
      <w:spacing w:before="130" w:after="130"/>
    </w:pPr>
    <w:rPr>
      <w:b/>
      <w:sz w:val="20"/>
    </w:rPr>
  </w:style>
  <w:style w:type="paragraph" w:customStyle="1" w:styleId="Normal8pt">
    <w:name w:val="Normal + 8 pt"/>
    <w:basedOn w:val="Normal"/>
    <w:rsid w:val="008835EB"/>
    <w:pPr>
      <w:widowControl w:val="0"/>
      <w:autoSpaceDE w:val="0"/>
      <w:autoSpaceDN w:val="0"/>
      <w:spacing w:line="240" w:lineRule="auto"/>
    </w:pPr>
    <w:rPr>
      <w:bCs/>
      <w:iCs/>
      <w:spacing w:val="-6"/>
      <w:sz w:val="16"/>
      <w:szCs w:val="16"/>
      <w:lang w:val="en-US"/>
    </w:rPr>
  </w:style>
  <w:style w:type="paragraph" w:customStyle="1" w:styleId="NormalCalistoMT">
    <w:name w:val="Normal + Calisto MT"/>
    <w:aliases w:val="8 pt,Right"/>
    <w:basedOn w:val="Normal"/>
    <w:rsid w:val="008835EB"/>
    <w:pPr>
      <w:framePr w:hSpace="180" w:wrap="around" w:vAnchor="text" w:hAnchor="margin" w:y="1"/>
      <w:ind w:right="212"/>
      <w:jc w:val="right"/>
    </w:pPr>
    <w:rPr>
      <w:rFonts w:ascii="Calisto MT" w:hAnsi="Calisto MT"/>
      <w:sz w:val="16"/>
    </w:rPr>
  </w:style>
  <w:style w:type="character" w:customStyle="1" w:styleId="ReferenceTextChar">
    <w:name w:val="Reference Text Char"/>
    <w:basedOn w:val="DefaultParagraphFont"/>
    <w:link w:val="ReferenceText"/>
    <w:locked/>
    <w:rsid w:val="008835EB"/>
    <w:rPr>
      <w:rFonts w:cstheme="minorHAnsi"/>
      <w:sz w:val="18"/>
    </w:rPr>
  </w:style>
  <w:style w:type="paragraph" w:customStyle="1" w:styleId="ReferenceText">
    <w:name w:val="Reference Text"/>
    <w:basedOn w:val="Normal"/>
    <w:link w:val="ReferenceTextChar"/>
    <w:autoRedefine/>
    <w:qFormat/>
    <w:rsid w:val="008835EB"/>
    <w:pPr>
      <w:spacing w:before="120"/>
    </w:pPr>
    <w:rPr>
      <w:rFonts w:asciiTheme="minorHAnsi" w:eastAsiaTheme="minorHAnsi" w:hAnsiTheme="minorHAnsi" w:cstheme="minorHAnsi"/>
      <w:szCs w:val="22"/>
    </w:rPr>
  </w:style>
  <w:style w:type="character" w:customStyle="1" w:styleId="NotesHeading-Level1Char">
    <w:name w:val="Notes Heading - Level 1 Char"/>
    <w:basedOn w:val="DefaultParagraphFont"/>
    <w:link w:val="NotesHeading-Level1"/>
    <w:locked/>
    <w:rsid w:val="008835EB"/>
    <w:rPr>
      <w:b/>
      <w:u w:val="single"/>
    </w:rPr>
  </w:style>
  <w:style w:type="paragraph" w:customStyle="1" w:styleId="NotesHeading-Level1">
    <w:name w:val="Notes Heading - Level 1"/>
    <w:basedOn w:val="Normal"/>
    <w:link w:val="NotesHeading-Level1Char"/>
    <w:qFormat/>
    <w:rsid w:val="008835EB"/>
    <w:pPr>
      <w:ind w:right="607"/>
      <w:outlineLvl w:val="0"/>
    </w:pPr>
    <w:rPr>
      <w:rFonts w:asciiTheme="minorHAnsi" w:eastAsiaTheme="minorHAnsi" w:hAnsiTheme="minorHAnsi" w:cstheme="minorBidi"/>
      <w:b/>
      <w:sz w:val="22"/>
      <w:szCs w:val="22"/>
      <w:u w:val="single"/>
    </w:rPr>
  </w:style>
  <w:style w:type="paragraph" w:customStyle="1" w:styleId="NotesHeading-Level2">
    <w:name w:val="Notes Heading - Level 2"/>
    <w:basedOn w:val="NotesHeading-Level1"/>
    <w:rsid w:val="008835EB"/>
    <w:pPr>
      <w:framePr w:hSpace="180" w:wrap="around" w:vAnchor="text" w:hAnchor="margin" w:y="1"/>
      <w:numPr>
        <w:ilvl w:val="1"/>
      </w:numPr>
    </w:pPr>
    <w:rPr>
      <w:sz w:val="18"/>
    </w:rPr>
  </w:style>
  <w:style w:type="paragraph" w:customStyle="1" w:styleId="StatementHeading">
    <w:name w:val="Statement Heading"/>
    <w:basedOn w:val="Normal"/>
    <w:rsid w:val="008835EB"/>
    <w:rPr>
      <w:rFonts w:ascii="Arial" w:hAnsi="Arial"/>
      <w:b/>
      <w:sz w:val="24"/>
    </w:rPr>
  </w:style>
  <w:style w:type="paragraph" w:customStyle="1" w:styleId="GreyShadeTableBreak">
    <w:name w:val="Grey Shade Table Break"/>
    <w:basedOn w:val="Normal"/>
    <w:qFormat/>
    <w:rsid w:val="008835EB"/>
    <w:pPr>
      <w:shd w:val="clear" w:color="auto" w:fill="D9D9D9" w:themeFill="background1" w:themeFillShade="D9"/>
      <w:tabs>
        <w:tab w:val="left" w:pos="9214"/>
      </w:tabs>
      <w:ind w:right="607"/>
    </w:pPr>
  </w:style>
  <w:style w:type="paragraph" w:customStyle="1" w:styleId="GreyShadeTableBreaknon-Standard">
    <w:name w:val="Grey Shade Table Break non-Standard"/>
    <w:qFormat/>
    <w:rsid w:val="008835EB"/>
    <w:pPr>
      <w:shd w:val="clear" w:color="auto" w:fill="D9D9D9" w:themeFill="background1" w:themeFillShade="D9"/>
      <w:spacing w:after="0" w:line="240" w:lineRule="auto"/>
      <w:ind w:right="57"/>
    </w:pPr>
    <w:rPr>
      <w:rFonts w:eastAsia="Times New Roman" w:cs="Times New Roman"/>
      <w:sz w:val="20"/>
      <w:szCs w:val="20"/>
      <w:lang w:eastAsia="en-AU"/>
    </w:rPr>
  </w:style>
  <w:style w:type="paragraph" w:customStyle="1" w:styleId="ReferenceTextLetter">
    <w:name w:val="Reference Text Letter"/>
    <w:basedOn w:val="ReferenceText"/>
    <w:qFormat/>
    <w:rsid w:val="008835EB"/>
    <w:pPr>
      <w:spacing w:line="240" w:lineRule="auto"/>
      <w:ind w:left="567" w:right="567"/>
    </w:pPr>
    <w:rPr>
      <w:rFonts w:cs="Arial"/>
      <w:szCs w:val="18"/>
    </w:rPr>
  </w:style>
  <w:style w:type="paragraph" w:customStyle="1" w:styleId="NotesHeader">
    <w:name w:val="Notes Header"/>
    <w:basedOn w:val="Normal"/>
    <w:next w:val="Normal"/>
    <w:rsid w:val="008835EB"/>
    <w:pPr>
      <w:jc w:val="center"/>
    </w:pPr>
    <w:rPr>
      <w:rFonts w:ascii="Arial" w:hAnsi="Arial"/>
      <w:b/>
    </w:rPr>
  </w:style>
  <w:style w:type="paragraph" w:customStyle="1" w:styleId="NotesReferences">
    <w:name w:val="Notes References"/>
    <w:basedOn w:val="Normal"/>
    <w:next w:val="Normal"/>
    <w:rsid w:val="008835EB"/>
    <w:pPr>
      <w:jc w:val="center"/>
    </w:pPr>
    <w:rPr>
      <w:rFonts w:ascii="Arial" w:hAnsi="Arial"/>
    </w:rPr>
  </w:style>
  <w:style w:type="paragraph" w:customStyle="1" w:styleId="NotesData">
    <w:name w:val="Notes Data"/>
    <w:basedOn w:val="Normal"/>
    <w:rsid w:val="008835EB"/>
    <w:pPr>
      <w:framePr w:hSpace="180" w:wrap="around" w:vAnchor="text" w:hAnchor="margin" w:y="1"/>
      <w:jc w:val="center"/>
    </w:pPr>
    <w:rPr>
      <w:sz w:val="20"/>
    </w:rPr>
  </w:style>
  <w:style w:type="paragraph" w:customStyle="1" w:styleId="NotesTextLevel1">
    <w:name w:val="Notes Text Level 1"/>
    <w:basedOn w:val="Normal"/>
    <w:next w:val="Normal"/>
    <w:rsid w:val="008835EB"/>
    <w:rPr>
      <w:rFonts w:ascii="Arial" w:hAnsi="Arial"/>
      <w:b/>
      <w:i/>
      <w:u w:val="single"/>
    </w:rPr>
  </w:style>
  <w:style w:type="character" w:customStyle="1" w:styleId="NotesTextLevel3aboldItalicChar">
    <w:name w:val="Notes Text Level 3(a) bold + Italic Char"/>
    <w:basedOn w:val="DefaultParagraphFont"/>
    <w:link w:val="NotesTextLevel3aboldItalic"/>
    <w:locked/>
    <w:rsid w:val="008835EB"/>
    <w:rPr>
      <w:rFonts w:ascii="Arial" w:hAnsi="Arial" w:cs="Arial"/>
      <w:b/>
      <w:bCs/>
      <w:i/>
      <w:iCs/>
      <w:sz w:val="18"/>
    </w:rPr>
  </w:style>
  <w:style w:type="paragraph" w:customStyle="1" w:styleId="NotesTextLevel3aboldItalic">
    <w:name w:val="Notes Text Level 3(a) bold + Italic"/>
    <w:basedOn w:val="Normal"/>
    <w:link w:val="NotesTextLevel3aboldItalicChar"/>
    <w:rsid w:val="008835EB"/>
    <w:rPr>
      <w:rFonts w:ascii="Arial" w:eastAsiaTheme="minorHAnsi" w:hAnsi="Arial" w:cs="Arial"/>
      <w:b/>
      <w:bCs/>
      <w:i/>
      <w:iCs/>
      <w:szCs w:val="22"/>
    </w:rPr>
  </w:style>
  <w:style w:type="paragraph" w:customStyle="1" w:styleId="NotesHeading3">
    <w:name w:val="Notes Heading 3"/>
    <w:basedOn w:val="Normal"/>
    <w:autoRedefine/>
    <w:rsid w:val="008835EB"/>
    <w:pPr>
      <w:spacing w:before="80" w:after="40"/>
      <w:ind w:left="113" w:right="113"/>
    </w:pPr>
    <w:rPr>
      <w:u w:val="single"/>
      <w:lang w:val="en-US"/>
    </w:rPr>
  </w:style>
  <w:style w:type="paragraph" w:customStyle="1" w:styleId="NotesHeading3a">
    <w:name w:val="Notes Heading 3a"/>
    <w:basedOn w:val="Normal"/>
    <w:autoRedefine/>
    <w:rsid w:val="008835EB"/>
    <w:pPr>
      <w:tabs>
        <w:tab w:val="num" w:pos="473"/>
      </w:tabs>
      <w:spacing w:after="120"/>
      <w:ind w:left="113" w:right="113"/>
      <w:jc w:val="both"/>
    </w:pPr>
    <w:rPr>
      <w:u w:val="single"/>
      <w:lang w:val="en-US"/>
    </w:rPr>
  </w:style>
  <w:style w:type="paragraph" w:customStyle="1" w:styleId="Notessub-lineitem">
    <w:name w:val="Notes sub-line item"/>
    <w:basedOn w:val="Normal"/>
    <w:autoRedefine/>
    <w:rsid w:val="008835EB"/>
    <w:pPr>
      <w:framePr w:hSpace="180" w:wrap="around" w:vAnchor="page" w:hAnchor="margin" w:y="1985"/>
      <w:tabs>
        <w:tab w:val="left" w:pos="593"/>
        <w:tab w:val="left" w:pos="1443"/>
      </w:tabs>
      <w:ind w:left="567" w:right="113"/>
    </w:pPr>
    <w:rPr>
      <w:sz w:val="20"/>
    </w:rPr>
  </w:style>
  <w:style w:type="paragraph" w:customStyle="1" w:styleId="NotesLineItem">
    <w:name w:val="Notes Line Item"/>
    <w:basedOn w:val="Normal"/>
    <w:autoRedefine/>
    <w:rsid w:val="008835EB"/>
    <w:pPr>
      <w:ind w:left="34"/>
    </w:pPr>
    <w:rPr>
      <w:iCs/>
      <w:sz w:val="16"/>
      <w:szCs w:val="16"/>
      <w:lang w:eastAsia="en-AU"/>
    </w:rPr>
  </w:style>
  <w:style w:type="paragraph" w:customStyle="1" w:styleId="NoteText">
    <w:name w:val="Note Text"/>
    <w:basedOn w:val="Normal"/>
    <w:autoRedefine/>
    <w:rsid w:val="008835EB"/>
    <w:pPr>
      <w:tabs>
        <w:tab w:val="left" w:pos="284"/>
      </w:tabs>
      <w:spacing w:after="120"/>
      <w:ind w:left="567"/>
    </w:pPr>
    <w:rPr>
      <w:sz w:val="20"/>
    </w:rPr>
  </w:style>
  <w:style w:type="paragraph" w:customStyle="1" w:styleId="NotesHeading">
    <w:name w:val="'Notes' Heading"/>
    <w:basedOn w:val="Normal"/>
    <w:autoRedefine/>
    <w:rsid w:val="008835EB"/>
    <w:pPr>
      <w:ind w:left="57" w:right="57"/>
      <w:jc w:val="center"/>
    </w:pPr>
    <w:rPr>
      <w:b/>
      <w:sz w:val="20"/>
    </w:rPr>
  </w:style>
  <w:style w:type="paragraph" w:customStyle="1" w:styleId="NotesReference">
    <w:name w:val="'Notes' Reference"/>
    <w:basedOn w:val="Normal"/>
    <w:autoRedefine/>
    <w:rsid w:val="008835EB"/>
    <w:pPr>
      <w:ind w:left="57" w:right="57"/>
      <w:jc w:val="center"/>
    </w:pPr>
    <w:rPr>
      <w:sz w:val="20"/>
    </w:rPr>
  </w:style>
  <w:style w:type="paragraph" w:customStyle="1" w:styleId="NotesHeading4">
    <w:name w:val="Notes Heading 4"/>
    <w:basedOn w:val="NoteText"/>
    <w:autoRedefine/>
    <w:rsid w:val="008835EB"/>
    <w:pPr>
      <w:keepNext/>
      <w:spacing w:before="200" w:after="80"/>
      <w:ind w:right="57"/>
    </w:pPr>
  </w:style>
  <w:style w:type="paragraph" w:customStyle="1" w:styleId="NotesHeading3NumberingOff">
    <w:name w:val="Notes Heading 3 Numbering Off"/>
    <w:basedOn w:val="NotesHeading3"/>
    <w:autoRedefine/>
    <w:rsid w:val="008835EB"/>
    <w:pPr>
      <w:tabs>
        <w:tab w:val="left" w:pos="1132"/>
      </w:tabs>
    </w:pPr>
  </w:style>
  <w:style w:type="paragraph" w:customStyle="1" w:styleId="NotesHeadingPlain">
    <w:name w:val="'Notes' Heading Plain"/>
    <w:basedOn w:val="NotesHeading"/>
    <w:autoRedefine/>
    <w:rsid w:val="008835EB"/>
    <w:rPr>
      <w:b w:val="0"/>
    </w:rPr>
  </w:style>
  <w:style w:type="paragraph" w:customStyle="1" w:styleId="NotesHeading5">
    <w:name w:val="Notes Heading 5"/>
    <w:basedOn w:val="Normal"/>
    <w:autoRedefine/>
    <w:rsid w:val="008835EB"/>
    <w:pPr>
      <w:spacing w:before="120" w:after="40"/>
      <w:ind w:left="113" w:right="113"/>
      <w:jc w:val="both"/>
    </w:pPr>
    <w:rPr>
      <w:b/>
      <w:sz w:val="20"/>
    </w:rPr>
  </w:style>
  <w:style w:type="paragraph" w:customStyle="1" w:styleId="NoteTextBEFOREDotPoint">
    <w:name w:val="Note Text BEFORE Dot Point"/>
    <w:basedOn w:val="NoteText"/>
    <w:rsid w:val="008835EB"/>
    <w:pPr>
      <w:spacing w:after="0"/>
      <w:ind w:left="178" w:right="57"/>
    </w:pPr>
  </w:style>
  <w:style w:type="paragraph" w:customStyle="1" w:styleId="ItalicLineItem">
    <w:name w:val="Italic Line Item"/>
    <w:basedOn w:val="Normal"/>
    <w:rsid w:val="008835EB"/>
    <w:pPr>
      <w:tabs>
        <w:tab w:val="left" w:pos="566"/>
      </w:tabs>
      <w:ind w:left="284" w:right="113"/>
      <w:jc w:val="both"/>
    </w:pPr>
    <w:rPr>
      <w:i/>
      <w:sz w:val="20"/>
      <w:lang w:val="en-US"/>
    </w:rPr>
  </w:style>
  <w:style w:type="paragraph" w:customStyle="1" w:styleId="ItalicHeading">
    <w:name w:val="Italic Heading"/>
    <w:basedOn w:val="ItalicLineItem"/>
    <w:rsid w:val="008835EB"/>
    <w:pPr>
      <w:ind w:left="57" w:right="0"/>
    </w:pPr>
  </w:style>
  <w:style w:type="paragraph" w:customStyle="1" w:styleId="Notes">
    <w:name w:val="'Notes'"/>
    <w:basedOn w:val="Normal"/>
    <w:rsid w:val="008835EB"/>
    <w:pPr>
      <w:jc w:val="center"/>
    </w:pPr>
    <w:rPr>
      <w:b/>
    </w:rPr>
  </w:style>
  <w:style w:type="character" w:customStyle="1" w:styleId="LineitemsChar">
    <w:name w:val="Line items Char"/>
    <w:basedOn w:val="DefaultParagraphFont"/>
    <w:link w:val="Lineitems"/>
    <w:uiPriority w:val="99"/>
    <w:locked/>
    <w:rsid w:val="008835EB"/>
  </w:style>
  <w:style w:type="paragraph" w:customStyle="1" w:styleId="Lineitems">
    <w:name w:val="Line items"/>
    <w:basedOn w:val="Normal"/>
    <w:link w:val="LineitemsChar"/>
    <w:autoRedefine/>
    <w:uiPriority w:val="99"/>
    <w:rsid w:val="008835EB"/>
    <w:rPr>
      <w:rFonts w:asciiTheme="minorHAnsi" w:eastAsiaTheme="minorHAnsi" w:hAnsiTheme="minorHAnsi" w:cstheme="minorBidi"/>
      <w:sz w:val="22"/>
      <w:szCs w:val="22"/>
    </w:rPr>
  </w:style>
  <w:style w:type="paragraph" w:customStyle="1" w:styleId="Notestext">
    <w:name w:val="Notes text"/>
    <w:basedOn w:val="Notes"/>
    <w:rsid w:val="008835EB"/>
    <w:rPr>
      <w:b w:val="0"/>
    </w:rPr>
  </w:style>
  <w:style w:type="paragraph" w:customStyle="1" w:styleId="Lineitemtable">
    <w:name w:val="Line item table"/>
    <w:basedOn w:val="Lineitems"/>
    <w:rsid w:val="008835EB"/>
  </w:style>
  <w:style w:type="paragraph" w:customStyle="1" w:styleId="12line">
    <w:name w:val="1/2 line"/>
    <w:basedOn w:val="Normal"/>
    <w:rsid w:val="008835EB"/>
    <w:pPr>
      <w:spacing w:before="10" w:after="10" w:line="240" w:lineRule="auto"/>
    </w:pPr>
    <w:rPr>
      <w:sz w:val="20"/>
    </w:rPr>
  </w:style>
  <w:style w:type="paragraph" w:customStyle="1" w:styleId="lineitemitalic">
    <w:name w:val="line item italic"/>
    <w:basedOn w:val="Normal"/>
    <w:rsid w:val="008835EB"/>
    <w:rPr>
      <w:i/>
    </w:rPr>
  </w:style>
  <w:style w:type="paragraph" w:customStyle="1" w:styleId="lineitembold">
    <w:name w:val="line item bold"/>
    <w:basedOn w:val="Normal"/>
    <w:rsid w:val="008835EB"/>
    <w:rPr>
      <w:b/>
      <w:sz w:val="20"/>
    </w:rPr>
  </w:style>
  <w:style w:type="paragraph" w:customStyle="1" w:styleId="Notesheading0">
    <w:name w:val="Notes heading"/>
    <w:basedOn w:val="Normal"/>
    <w:rsid w:val="008835EB"/>
    <w:pPr>
      <w:spacing w:line="240" w:lineRule="auto"/>
    </w:pPr>
    <w:rPr>
      <w:rFonts w:ascii="Calisto MT" w:hAnsi="Calisto MT"/>
      <w:b/>
      <w:sz w:val="14"/>
      <w:lang w:eastAsia="en-AU"/>
    </w:rPr>
  </w:style>
  <w:style w:type="paragraph" w:customStyle="1" w:styleId="Notestothefinancialstatements">
    <w:name w:val="Notes to the financial statements"/>
    <w:aliases w:val="Heading"/>
    <w:basedOn w:val="Normal"/>
    <w:rsid w:val="008835EB"/>
    <w:pPr>
      <w:tabs>
        <w:tab w:val="left" w:pos="567"/>
        <w:tab w:val="left" w:pos="1134"/>
        <w:tab w:val="left" w:pos="1701"/>
      </w:tabs>
      <w:spacing w:before="60" w:after="60" w:line="240" w:lineRule="auto"/>
    </w:pPr>
    <w:rPr>
      <w:rFonts w:ascii="Tahoma" w:hAnsi="Tahoma"/>
      <w:b/>
      <w:color w:val="000000"/>
      <w:sz w:val="16"/>
      <w:lang w:eastAsia="en-AU"/>
    </w:rPr>
  </w:style>
  <w:style w:type="paragraph" w:customStyle="1" w:styleId="NotesBulletPoint">
    <w:name w:val="Notes Bullet Point"/>
    <w:basedOn w:val="Normal"/>
    <w:autoRedefine/>
    <w:rsid w:val="008835EB"/>
    <w:pPr>
      <w:tabs>
        <w:tab w:val="left" w:pos="413"/>
        <w:tab w:val="num" w:pos="927"/>
      </w:tabs>
      <w:snapToGrid w:val="0"/>
      <w:spacing w:line="240" w:lineRule="auto"/>
      <w:ind w:left="414" w:right="113" w:hanging="301"/>
      <w:jc w:val="both"/>
    </w:pPr>
    <w:rPr>
      <w:sz w:val="20"/>
      <w:lang w:val="en-US" w:eastAsia="en-AU"/>
    </w:rPr>
  </w:style>
  <w:style w:type="paragraph" w:customStyle="1" w:styleId="Headinga">
    <w:name w:val="Heading a"/>
    <w:basedOn w:val="Normal"/>
    <w:rsid w:val="008835EB"/>
    <w:pPr>
      <w:spacing w:line="240" w:lineRule="auto"/>
    </w:pPr>
    <w:rPr>
      <w:b/>
      <w:bCs/>
      <w:szCs w:val="18"/>
    </w:rPr>
  </w:style>
  <w:style w:type="character" w:customStyle="1" w:styleId="LineitemsTotalChar">
    <w:name w:val="Line items Total Char"/>
    <w:basedOn w:val="LineitemsChar"/>
    <w:link w:val="LineitemsTotal"/>
    <w:uiPriority w:val="99"/>
    <w:locked/>
    <w:rsid w:val="008835EB"/>
    <w:rPr>
      <w:b/>
      <w:i/>
    </w:rPr>
  </w:style>
  <w:style w:type="paragraph" w:customStyle="1" w:styleId="LineitemsTotal">
    <w:name w:val="Line items Total"/>
    <w:basedOn w:val="Lineitems"/>
    <w:link w:val="LineitemsTotalChar"/>
    <w:uiPriority w:val="99"/>
    <w:rsid w:val="008835EB"/>
    <w:pPr>
      <w:framePr w:hSpace="180" w:wrap="around" w:vAnchor="text" w:hAnchor="margin" w:y="1"/>
    </w:pPr>
    <w:rPr>
      <w:b/>
      <w:i/>
    </w:rPr>
  </w:style>
  <w:style w:type="paragraph" w:customStyle="1" w:styleId="SAPHeading-Level1">
    <w:name w:val="SAP Heading - Level 1"/>
    <w:basedOn w:val="NotesHeading-Level1"/>
    <w:rsid w:val="008835EB"/>
    <w:pPr>
      <w:tabs>
        <w:tab w:val="num" w:pos="851"/>
      </w:tabs>
      <w:ind w:left="851" w:hanging="851"/>
    </w:pPr>
    <w:rPr>
      <w:rFonts w:cstheme="minorHAnsi"/>
    </w:rPr>
  </w:style>
  <w:style w:type="paragraph" w:customStyle="1" w:styleId="SAPHeading-Level2">
    <w:name w:val="SAP Heading - Level 2"/>
    <w:basedOn w:val="SAPHeading-Level1"/>
    <w:rsid w:val="008835EB"/>
    <w:pPr>
      <w:spacing w:before="100" w:after="100" w:line="240" w:lineRule="auto"/>
      <w:outlineLvl w:val="9"/>
    </w:pPr>
  </w:style>
  <w:style w:type="paragraph" w:customStyle="1" w:styleId="SAPHeading-Level3">
    <w:name w:val="SAP Heading - Level 3"/>
    <w:basedOn w:val="SAPHeading-Level2"/>
    <w:rsid w:val="008835EB"/>
  </w:style>
  <w:style w:type="character" w:customStyle="1" w:styleId="NotesTextChar">
    <w:name w:val="Notes Text Char"/>
    <w:basedOn w:val="ReferenceTextChar"/>
    <w:link w:val="NotesText0"/>
    <w:uiPriority w:val="99"/>
    <w:locked/>
    <w:rsid w:val="008835EB"/>
    <w:rPr>
      <w:rFonts w:cs="Arial"/>
      <w:sz w:val="18"/>
      <w:szCs w:val="18"/>
    </w:rPr>
  </w:style>
  <w:style w:type="paragraph" w:customStyle="1" w:styleId="NotesText0">
    <w:name w:val="Notes Text"/>
    <w:basedOn w:val="ReferenceText"/>
    <w:link w:val="NotesTextChar"/>
    <w:uiPriority w:val="99"/>
    <w:rsid w:val="008835EB"/>
    <w:pPr>
      <w:spacing w:before="100" w:after="100" w:line="240" w:lineRule="auto"/>
    </w:pPr>
    <w:rPr>
      <w:rFonts w:cs="Arial"/>
      <w:szCs w:val="18"/>
    </w:rPr>
  </w:style>
  <w:style w:type="paragraph" w:customStyle="1" w:styleId="NotesTextHeading">
    <w:name w:val="Notes Text Heading"/>
    <w:basedOn w:val="NotesText0"/>
    <w:uiPriority w:val="99"/>
    <w:rsid w:val="008835EB"/>
    <w:rPr>
      <w:b/>
      <w:i/>
    </w:rPr>
  </w:style>
  <w:style w:type="paragraph" w:customStyle="1" w:styleId="NoteHeading-Level1">
    <w:name w:val="Note Heading - Level 1"/>
    <w:basedOn w:val="Normal"/>
    <w:rsid w:val="008835EB"/>
  </w:style>
  <w:style w:type="paragraph" w:customStyle="1" w:styleId="NoteHeading-Level2">
    <w:name w:val="Note Heading - Level 2"/>
    <w:basedOn w:val="Normal"/>
    <w:rsid w:val="008835EB"/>
  </w:style>
  <w:style w:type="paragraph" w:customStyle="1" w:styleId="Notesreferencetext">
    <w:name w:val="Notes reference text"/>
    <w:basedOn w:val="Normal"/>
    <w:next w:val="Normal"/>
    <w:rsid w:val="008835EB"/>
    <w:pPr>
      <w:jc w:val="center"/>
    </w:pPr>
  </w:style>
  <w:style w:type="character" w:customStyle="1" w:styleId="StyleReferenceTextItalicChar">
    <w:name w:val="Style Reference Text + Italic Char"/>
    <w:basedOn w:val="ReferenceTextChar"/>
    <w:link w:val="StyleReferenceTextItalic"/>
    <w:uiPriority w:val="99"/>
    <w:locked/>
    <w:rsid w:val="008835EB"/>
    <w:rPr>
      <w:rFonts w:ascii="Calibri" w:hAnsi="Calibri" w:cs="Arial"/>
      <w:i/>
      <w:iCs/>
      <w:sz w:val="18"/>
    </w:rPr>
  </w:style>
  <w:style w:type="paragraph" w:customStyle="1" w:styleId="StyleReferenceTextItalic">
    <w:name w:val="Style Reference Text + Italic"/>
    <w:basedOn w:val="ReferenceText"/>
    <w:link w:val="StyleReferenceTextItalicChar"/>
    <w:uiPriority w:val="99"/>
    <w:rsid w:val="008835EB"/>
    <w:pPr>
      <w:spacing w:line="240" w:lineRule="atLeast"/>
    </w:pPr>
    <w:rPr>
      <w:rFonts w:ascii="Calibri" w:hAnsi="Calibri" w:cs="Arial"/>
      <w:i/>
      <w:iCs/>
    </w:rPr>
  </w:style>
  <w:style w:type="character" w:customStyle="1" w:styleId="StyleNotesTextItalicChar">
    <w:name w:val="Style Notes Text + Italic Char"/>
    <w:basedOn w:val="NotesTextChar"/>
    <w:link w:val="StyleNotesTextItalic"/>
    <w:uiPriority w:val="99"/>
    <w:locked/>
    <w:rsid w:val="008835EB"/>
    <w:rPr>
      <w:rFonts w:cs="Arial"/>
      <w:i/>
      <w:iCs/>
      <w:sz w:val="18"/>
      <w:szCs w:val="18"/>
      <w:u w:val="single"/>
    </w:rPr>
  </w:style>
  <w:style w:type="paragraph" w:customStyle="1" w:styleId="StyleNotesTextItalic">
    <w:name w:val="Style Notes Text + Italic"/>
    <w:basedOn w:val="NotesText0"/>
    <w:link w:val="StyleNotesTextItalicChar"/>
    <w:uiPriority w:val="99"/>
    <w:rsid w:val="008835EB"/>
    <w:pPr>
      <w:ind w:right="-54"/>
    </w:pPr>
    <w:rPr>
      <w:i/>
      <w:iCs/>
      <w:u w:val="single"/>
    </w:rPr>
  </w:style>
  <w:style w:type="paragraph" w:customStyle="1" w:styleId="StyleNotesTextPatternClearGray-25">
    <w:name w:val="Style Notes Text + Pattern: Clear (Gray-25%)"/>
    <w:basedOn w:val="NotesText0"/>
    <w:autoRedefine/>
    <w:uiPriority w:val="99"/>
    <w:rsid w:val="008835EB"/>
    <w:pPr>
      <w:shd w:val="clear" w:color="auto" w:fill="CCCCCC"/>
      <w:ind w:right="-54"/>
    </w:pPr>
    <w:rPr>
      <w:rFonts w:ascii="Calibri" w:hAnsi="Calibri"/>
      <w:sz w:val="20"/>
      <w:szCs w:val="20"/>
    </w:rPr>
  </w:style>
  <w:style w:type="paragraph" w:customStyle="1" w:styleId="BulletKPMG">
    <w:name w:val="Bullet KPMG"/>
    <w:basedOn w:val="Normal"/>
    <w:uiPriority w:val="99"/>
    <w:rsid w:val="008835EB"/>
    <w:pPr>
      <w:tabs>
        <w:tab w:val="num" w:pos="473"/>
      </w:tabs>
      <w:spacing w:before="100" w:after="100" w:line="240" w:lineRule="auto"/>
      <w:ind w:left="357" w:hanging="357"/>
    </w:pPr>
    <w:rPr>
      <w:sz w:val="20"/>
      <w:lang w:val="en-US" w:eastAsia="en-AU"/>
    </w:rPr>
  </w:style>
  <w:style w:type="character" w:customStyle="1" w:styleId="StyleNotesTextBoldChar">
    <w:name w:val="Style Notes Text + Bold Char"/>
    <w:basedOn w:val="NotesTextChar"/>
    <w:link w:val="StyleNotesTextBold"/>
    <w:uiPriority w:val="99"/>
    <w:locked/>
    <w:rsid w:val="008835EB"/>
    <w:rPr>
      <w:rFonts w:ascii="Calibri" w:hAnsi="Calibri" w:cs="Arial"/>
      <w:bCs/>
      <w:sz w:val="18"/>
      <w:szCs w:val="18"/>
    </w:rPr>
  </w:style>
  <w:style w:type="paragraph" w:customStyle="1" w:styleId="StyleNotesTextBold">
    <w:name w:val="Style Notes Text + Bold"/>
    <w:basedOn w:val="NotesText0"/>
    <w:link w:val="StyleNotesTextBoldChar"/>
    <w:uiPriority w:val="99"/>
    <w:rsid w:val="008835EB"/>
    <w:pPr>
      <w:ind w:right="-54"/>
    </w:pPr>
    <w:rPr>
      <w:rFonts w:ascii="Calibri" w:hAnsi="Calibri"/>
      <w:bCs/>
    </w:rPr>
  </w:style>
  <w:style w:type="character" w:customStyle="1" w:styleId="StyleNotesTextBold1Char">
    <w:name w:val="Style Notes Text + Bold1 Char"/>
    <w:basedOn w:val="NotesTextChar"/>
    <w:link w:val="StyleNotesTextBold1"/>
    <w:uiPriority w:val="99"/>
    <w:locked/>
    <w:rsid w:val="008835EB"/>
    <w:rPr>
      <w:rFonts w:ascii="Calibri" w:hAnsi="Calibri" w:cs="Arial"/>
      <w:bCs/>
      <w:sz w:val="18"/>
      <w:szCs w:val="18"/>
    </w:rPr>
  </w:style>
  <w:style w:type="paragraph" w:customStyle="1" w:styleId="StyleNotesTextBold1">
    <w:name w:val="Style Notes Text + Bold1"/>
    <w:basedOn w:val="NotesText0"/>
    <w:link w:val="StyleNotesTextBold1Char"/>
    <w:uiPriority w:val="99"/>
    <w:rsid w:val="008835EB"/>
    <w:pPr>
      <w:ind w:right="-54"/>
    </w:pPr>
    <w:rPr>
      <w:rFonts w:ascii="Calibri" w:hAnsi="Calibri"/>
      <w:bCs/>
    </w:rPr>
  </w:style>
  <w:style w:type="character" w:customStyle="1" w:styleId="StatementTextLevel1bChar">
    <w:name w:val="Statement Text Level 1(b) Char"/>
    <w:basedOn w:val="DefaultParagraphFont"/>
    <w:link w:val="StatementTextLevel1b"/>
    <w:uiPriority w:val="99"/>
    <w:locked/>
    <w:rsid w:val="008835EB"/>
    <w:rPr>
      <w:rFonts w:ascii="Arial" w:hAnsi="Arial" w:cs="Arial"/>
      <w:b/>
      <w:sz w:val="18"/>
      <w:szCs w:val="18"/>
    </w:rPr>
  </w:style>
  <w:style w:type="paragraph" w:customStyle="1" w:styleId="StatementTextLevel1b">
    <w:name w:val="Statement Text Level 1(b)"/>
    <w:basedOn w:val="Normal"/>
    <w:link w:val="StatementTextLevel1bChar"/>
    <w:uiPriority w:val="99"/>
    <w:rsid w:val="008835EB"/>
    <w:rPr>
      <w:rFonts w:ascii="Arial" w:eastAsiaTheme="minorHAnsi" w:hAnsi="Arial" w:cs="Arial"/>
      <w:b/>
      <w:szCs w:val="18"/>
    </w:rPr>
  </w:style>
  <w:style w:type="paragraph" w:customStyle="1" w:styleId="PrimaryStatementsHeading">
    <w:name w:val="Primary Statements Heading"/>
    <w:basedOn w:val="Normal"/>
    <w:autoRedefine/>
    <w:uiPriority w:val="99"/>
    <w:rsid w:val="008835EB"/>
    <w:pPr>
      <w:spacing w:line="300" w:lineRule="exact"/>
    </w:pPr>
    <w:rPr>
      <w:b/>
      <w:sz w:val="24"/>
      <w:lang w:val="en-US"/>
    </w:rPr>
  </w:style>
  <w:style w:type="paragraph" w:customStyle="1" w:styleId="PeriodHeading">
    <w:name w:val="Period Heading"/>
    <w:basedOn w:val="PrimaryStatementsHeading"/>
    <w:uiPriority w:val="99"/>
    <w:rsid w:val="008835EB"/>
    <w:rPr>
      <w:i/>
      <w:sz w:val="22"/>
    </w:rPr>
  </w:style>
  <w:style w:type="paragraph" w:customStyle="1" w:styleId="CurrentYearDataTotalLevel1">
    <w:name w:val="Current Year Data Total Level 1"/>
    <w:basedOn w:val="Normal"/>
    <w:next w:val="Normal"/>
    <w:autoRedefine/>
    <w:uiPriority w:val="99"/>
    <w:rsid w:val="008835EB"/>
    <w:pPr>
      <w:pBdr>
        <w:top w:val="single" w:sz="4" w:space="1" w:color="auto"/>
        <w:bottom w:val="double" w:sz="6" w:space="1" w:color="auto"/>
      </w:pBdr>
      <w:jc w:val="right"/>
    </w:pPr>
    <w:rPr>
      <w:b/>
      <w:szCs w:val="16"/>
    </w:rPr>
  </w:style>
  <w:style w:type="character" w:customStyle="1" w:styleId="LineitemsHeadingChar">
    <w:name w:val="Line items Heading Char"/>
    <w:basedOn w:val="LineitemsChar"/>
    <w:link w:val="LineitemsHeading"/>
    <w:uiPriority w:val="99"/>
    <w:locked/>
    <w:rsid w:val="008835EB"/>
    <w:rPr>
      <w:rFonts w:ascii="Calibri" w:hAnsi="Calibri" w:cs="Calibri"/>
      <w:b/>
      <w:sz w:val="18"/>
    </w:rPr>
  </w:style>
  <w:style w:type="paragraph" w:customStyle="1" w:styleId="LineitemsHeading">
    <w:name w:val="Line items Heading"/>
    <w:basedOn w:val="Lineitems"/>
    <w:link w:val="LineitemsHeadingChar"/>
    <w:uiPriority w:val="99"/>
    <w:rsid w:val="008835EB"/>
    <w:pPr>
      <w:framePr w:hSpace="180" w:wrap="around" w:vAnchor="text" w:hAnchor="margin" w:y="1"/>
    </w:pPr>
    <w:rPr>
      <w:rFonts w:ascii="Calibri" w:hAnsi="Calibri" w:cs="Calibri"/>
      <w:b/>
      <w:sz w:val="18"/>
    </w:rPr>
  </w:style>
  <w:style w:type="paragraph" w:customStyle="1" w:styleId="PreviousYearDataTotalLevel3">
    <w:name w:val="Previous Year Data Total Level 3"/>
    <w:basedOn w:val="Normal"/>
    <w:autoRedefine/>
    <w:uiPriority w:val="99"/>
    <w:rsid w:val="008835EB"/>
    <w:pPr>
      <w:pBdr>
        <w:top w:val="single" w:sz="4" w:space="1" w:color="auto"/>
        <w:bottom w:val="double" w:sz="6" w:space="1" w:color="auto"/>
      </w:pBdr>
      <w:jc w:val="right"/>
    </w:pPr>
  </w:style>
  <w:style w:type="paragraph" w:customStyle="1" w:styleId="StyleNotesTextItalic1">
    <w:name w:val="Style Notes Text + Italic1"/>
    <w:basedOn w:val="NotesText0"/>
    <w:uiPriority w:val="99"/>
    <w:rsid w:val="008835EB"/>
    <w:pPr>
      <w:ind w:right="-54"/>
    </w:pPr>
    <w:rPr>
      <w:rFonts w:ascii="Calibri" w:hAnsi="Calibri" w:cs="Times New Roman"/>
      <w:i/>
      <w:iCs/>
      <w:sz w:val="20"/>
      <w:szCs w:val="20"/>
    </w:rPr>
  </w:style>
  <w:style w:type="paragraph" w:customStyle="1" w:styleId="StyleNotesTextPatternClearGray-20">
    <w:name w:val="Style Notes Text + Pattern: Clear (Gray-20%)"/>
    <w:basedOn w:val="NotesText0"/>
    <w:uiPriority w:val="99"/>
    <w:rsid w:val="008835EB"/>
    <w:pPr>
      <w:ind w:right="-54"/>
    </w:pPr>
    <w:rPr>
      <w:rFonts w:ascii="Calibri" w:hAnsi="Calibri" w:cs="Times New Roman"/>
      <w:sz w:val="20"/>
      <w:szCs w:val="20"/>
    </w:rPr>
  </w:style>
  <w:style w:type="character" w:customStyle="1" w:styleId="PreviousYearDataTotalLevel2Char">
    <w:name w:val="Previous Year Data Total Level 2 Char"/>
    <w:basedOn w:val="DefaultParagraphFont"/>
    <w:link w:val="PreviousYearDataTotalLevel2"/>
    <w:uiPriority w:val="99"/>
    <w:locked/>
    <w:rsid w:val="008835EB"/>
    <w:rPr>
      <w:rFonts w:ascii="Calibri" w:hAnsi="Calibri" w:cs="Calibri"/>
      <w:sz w:val="18"/>
    </w:rPr>
  </w:style>
  <w:style w:type="paragraph" w:customStyle="1" w:styleId="PreviousYearDataTotalLevel2">
    <w:name w:val="Previous Year Data Total Level 2"/>
    <w:basedOn w:val="Normal"/>
    <w:next w:val="Normal"/>
    <w:link w:val="PreviousYearDataTotalLevel2Char"/>
    <w:uiPriority w:val="99"/>
    <w:rsid w:val="008835EB"/>
    <w:pPr>
      <w:pBdr>
        <w:top w:val="single" w:sz="4" w:space="1" w:color="auto"/>
        <w:bottom w:val="single" w:sz="4" w:space="1" w:color="auto"/>
      </w:pBdr>
      <w:jc w:val="right"/>
    </w:pPr>
    <w:rPr>
      <w:rFonts w:eastAsiaTheme="minorHAnsi" w:cs="Calibri"/>
      <w:szCs w:val="22"/>
    </w:rPr>
  </w:style>
  <w:style w:type="character" w:customStyle="1" w:styleId="CurrentYearDataTotalLevel2Char">
    <w:name w:val="Current Year Data Total Level 2 Char"/>
    <w:basedOn w:val="DefaultParagraphFont"/>
    <w:link w:val="CurrentYearDataTotalLevel2"/>
    <w:uiPriority w:val="99"/>
    <w:locked/>
    <w:rsid w:val="008835EB"/>
    <w:rPr>
      <w:rFonts w:ascii="Calibri" w:hAnsi="Calibri" w:cs="Calibri"/>
      <w:b/>
      <w:sz w:val="18"/>
    </w:rPr>
  </w:style>
  <w:style w:type="paragraph" w:customStyle="1" w:styleId="CurrentYearDataTotalLevel2">
    <w:name w:val="Current Year Data Total Level 2"/>
    <w:basedOn w:val="Normal"/>
    <w:link w:val="CurrentYearDataTotalLevel2Char"/>
    <w:uiPriority w:val="99"/>
    <w:rsid w:val="008835EB"/>
    <w:pPr>
      <w:pBdr>
        <w:top w:val="single" w:sz="4" w:space="1" w:color="auto"/>
        <w:bottom w:val="single" w:sz="4" w:space="1" w:color="auto"/>
      </w:pBdr>
      <w:jc w:val="right"/>
    </w:pPr>
    <w:rPr>
      <w:rFonts w:eastAsiaTheme="minorHAnsi" w:cs="Calibri"/>
      <w:b/>
      <w:szCs w:val="22"/>
    </w:rPr>
  </w:style>
  <w:style w:type="paragraph" w:customStyle="1" w:styleId="DeptCurrentYearHeader">
    <w:name w:val="Dept Current Year Header"/>
    <w:basedOn w:val="Normal"/>
    <w:qFormat/>
    <w:rsid w:val="008835EB"/>
    <w:pPr>
      <w:spacing w:line="240" w:lineRule="auto"/>
      <w:jc w:val="right"/>
    </w:pPr>
    <w:rPr>
      <w:rFonts w:asciiTheme="minorHAnsi" w:hAnsiTheme="minorHAnsi" w:cstheme="minorHAnsi"/>
      <w:b/>
      <w:szCs w:val="18"/>
      <w:lang w:eastAsia="en-AU"/>
    </w:rPr>
  </w:style>
  <w:style w:type="paragraph" w:customStyle="1" w:styleId="DeptPreviousYearHeader">
    <w:name w:val="Dept Previous Year Header"/>
    <w:qFormat/>
    <w:rsid w:val="008835EB"/>
    <w:pPr>
      <w:spacing w:after="0" w:line="240" w:lineRule="auto"/>
      <w:jc w:val="right"/>
    </w:pPr>
    <w:rPr>
      <w:rFonts w:eastAsia="Times New Roman" w:cstheme="minorHAnsi"/>
      <w:sz w:val="18"/>
      <w:szCs w:val="18"/>
      <w:lang w:eastAsia="en-AU"/>
    </w:rPr>
  </w:style>
  <w:style w:type="paragraph" w:customStyle="1" w:styleId="DeptManualEntryCell">
    <w:name w:val="Dept Manual Entry Cell"/>
    <w:basedOn w:val="Normal"/>
    <w:qFormat/>
    <w:rsid w:val="008835EB"/>
    <w:pPr>
      <w:spacing w:line="240" w:lineRule="auto"/>
      <w:jc w:val="right"/>
    </w:pPr>
    <w:rPr>
      <w:rFonts w:asciiTheme="minorHAnsi" w:hAnsiTheme="minorHAnsi" w:cstheme="minorHAnsi"/>
      <w:b/>
      <w:szCs w:val="18"/>
      <w:lang w:eastAsia="en-AU"/>
    </w:rPr>
  </w:style>
  <w:style w:type="paragraph" w:customStyle="1" w:styleId="DeptManualEntryCellUnBold">
    <w:name w:val="Dept Manual Entry Cell UnBold"/>
    <w:basedOn w:val="DeptManualEntryCell"/>
    <w:qFormat/>
    <w:rsid w:val="008835EB"/>
    <w:rPr>
      <w:b w:val="0"/>
    </w:rPr>
  </w:style>
  <w:style w:type="paragraph" w:customStyle="1" w:styleId="DeptCurrentYearTotal">
    <w:name w:val="Dept Current Year Total"/>
    <w:qFormat/>
    <w:rsid w:val="008835EB"/>
    <w:pPr>
      <w:spacing w:after="0" w:line="240" w:lineRule="auto"/>
      <w:jc w:val="right"/>
    </w:pPr>
    <w:rPr>
      <w:rFonts w:eastAsia="Times New Roman" w:cstheme="minorHAnsi"/>
      <w:b/>
      <w:sz w:val="18"/>
      <w:szCs w:val="18"/>
      <w:lang w:eastAsia="en-AU"/>
    </w:rPr>
  </w:style>
  <w:style w:type="paragraph" w:customStyle="1" w:styleId="DeptPreviousYearTotal">
    <w:name w:val="Dept Previous Year Total"/>
    <w:qFormat/>
    <w:rsid w:val="008835EB"/>
    <w:pPr>
      <w:spacing w:after="0" w:line="240" w:lineRule="auto"/>
      <w:jc w:val="right"/>
    </w:pPr>
    <w:rPr>
      <w:rFonts w:eastAsia="Times New Roman" w:cstheme="minorHAnsi"/>
      <w:sz w:val="18"/>
      <w:szCs w:val="18"/>
      <w:lang w:eastAsia="en-AU"/>
    </w:rPr>
  </w:style>
  <w:style w:type="paragraph" w:customStyle="1" w:styleId="DeptRowText">
    <w:name w:val="Dept Row Text"/>
    <w:qFormat/>
    <w:rsid w:val="008835EB"/>
    <w:pPr>
      <w:spacing w:after="0" w:line="240" w:lineRule="auto"/>
    </w:pPr>
    <w:rPr>
      <w:rFonts w:eastAsia="Times New Roman" w:cstheme="minorHAnsi"/>
      <w:sz w:val="18"/>
      <w:szCs w:val="18"/>
      <w:lang w:eastAsia="en-AU"/>
    </w:rPr>
  </w:style>
  <w:style w:type="paragraph" w:customStyle="1" w:styleId="DeptRowTextTotal">
    <w:name w:val="Dept Row Text Total"/>
    <w:qFormat/>
    <w:rsid w:val="008835EB"/>
    <w:pPr>
      <w:spacing w:after="0" w:line="240" w:lineRule="auto"/>
    </w:pPr>
    <w:rPr>
      <w:rFonts w:eastAsia="Times New Roman" w:cstheme="minorHAnsi"/>
      <w:b/>
      <w:i/>
      <w:sz w:val="18"/>
      <w:szCs w:val="18"/>
    </w:rPr>
  </w:style>
  <w:style w:type="paragraph" w:customStyle="1" w:styleId="DeptBlankBlueShade">
    <w:name w:val="Dept Blank Blue Shade"/>
    <w:basedOn w:val="DeptRowTextTotal"/>
    <w:next w:val="12line"/>
    <w:qFormat/>
    <w:rsid w:val="008835EB"/>
  </w:style>
  <w:style w:type="paragraph" w:customStyle="1" w:styleId="DeptRowTextIndent">
    <w:name w:val="Dept Row Text Indent"/>
    <w:basedOn w:val="DeptRowText"/>
    <w:qFormat/>
    <w:rsid w:val="008835EB"/>
    <w:pPr>
      <w:ind w:left="204"/>
    </w:pPr>
  </w:style>
  <w:style w:type="paragraph" w:customStyle="1" w:styleId="AdminRowTextIndent">
    <w:name w:val="Admin Row Text Indent"/>
    <w:basedOn w:val="DeptRowTextIndent"/>
    <w:qFormat/>
    <w:rsid w:val="008835EB"/>
  </w:style>
  <w:style w:type="paragraph" w:customStyle="1" w:styleId="AdminRowTextIndentGrey">
    <w:name w:val="Admin Row Text Indent Grey"/>
    <w:basedOn w:val="AdminRowTextIndent"/>
    <w:qFormat/>
    <w:rsid w:val="008835EB"/>
  </w:style>
  <w:style w:type="paragraph" w:customStyle="1" w:styleId="AdminCurrentYearDataGrey">
    <w:name w:val="Admin Current Year Data Grey"/>
    <w:qFormat/>
    <w:rsid w:val="008835EB"/>
    <w:pPr>
      <w:spacing w:after="0" w:line="240" w:lineRule="auto"/>
      <w:jc w:val="right"/>
    </w:pPr>
    <w:rPr>
      <w:rFonts w:eastAsia="Times New Roman" w:cstheme="minorHAnsi"/>
      <w:b/>
      <w:sz w:val="18"/>
      <w:szCs w:val="18"/>
      <w:lang w:eastAsia="en-AU"/>
    </w:rPr>
  </w:style>
  <w:style w:type="paragraph" w:customStyle="1" w:styleId="AdminCurrentYearDataNormal">
    <w:name w:val="Admin Current Year Data Normal"/>
    <w:qFormat/>
    <w:rsid w:val="008835EB"/>
    <w:pPr>
      <w:spacing w:after="0" w:line="240" w:lineRule="auto"/>
      <w:jc w:val="right"/>
    </w:pPr>
    <w:rPr>
      <w:rFonts w:eastAsia="Times New Roman" w:cstheme="minorHAnsi"/>
      <w:b/>
      <w:sz w:val="18"/>
      <w:szCs w:val="18"/>
      <w:lang w:eastAsia="en-AU"/>
    </w:rPr>
  </w:style>
  <w:style w:type="paragraph" w:customStyle="1" w:styleId="AdminPreviousYearDataGrey">
    <w:name w:val="Admin Previous Year Data Grey"/>
    <w:qFormat/>
    <w:rsid w:val="008835EB"/>
    <w:pPr>
      <w:spacing w:after="0" w:line="240" w:lineRule="auto"/>
      <w:jc w:val="right"/>
    </w:pPr>
    <w:rPr>
      <w:rFonts w:eastAsia="Times New Roman" w:cstheme="minorHAnsi"/>
      <w:sz w:val="18"/>
      <w:szCs w:val="18"/>
      <w:lang w:eastAsia="en-AU"/>
    </w:rPr>
  </w:style>
  <w:style w:type="paragraph" w:customStyle="1" w:styleId="AdminPreviousYearDataNormal">
    <w:name w:val="Admin Previous Year Data Normal"/>
    <w:qFormat/>
    <w:rsid w:val="008835EB"/>
    <w:pPr>
      <w:spacing w:after="0" w:line="240" w:lineRule="auto"/>
      <w:jc w:val="right"/>
    </w:pPr>
    <w:rPr>
      <w:rFonts w:eastAsia="Times New Roman" w:cstheme="minorHAnsi"/>
      <w:sz w:val="18"/>
      <w:szCs w:val="18"/>
      <w:lang w:eastAsia="en-AU"/>
    </w:rPr>
  </w:style>
  <w:style w:type="paragraph" w:customStyle="1" w:styleId="AdminHeaderlineUnderlineGrey">
    <w:name w:val="Admin Headerline Underline Grey"/>
    <w:basedOn w:val="AdminPreviousYearDataNormal"/>
    <w:next w:val="12line"/>
    <w:qFormat/>
    <w:rsid w:val="008835EB"/>
  </w:style>
  <w:style w:type="paragraph" w:customStyle="1" w:styleId="AdminBlankGreyShade">
    <w:name w:val="Admin Blank Grey Shade"/>
    <w:next w:val="12line"/>
    <w:qFormat/>
    <w:rsid w:val="008835EB"/>
    <w:pPr>
      <w:spacing w:after="0" w:line="240" w:lineRule="auto"/>
    </w:pPr>
    <w:rPr>
      <w:rFonts w:eastAsia="Times New Roman" w:cstheme="minorHAnsi"/>
      <w:sz w:val="18"/>
      <w:szCs w:val="18"/>
      <w:lang w:eastAsia="en-AU"/>
    </w:rPr>
  </w:style>
  <w:style w:type="paragraph" w:customStyle="1" w:styleId="AdminRowTextGrey">
    <w:name w:val="Admin Row Text Grey"/>
    <w:qFormat/>
    <w:rsid w:val="008835EB"/>
    <w:pPr>
      <w:spacing w:after="0" w:line="240" w:lineRule="auto"/>
    </w:pPr>
    <w:rPr>
      <w:rFonts w:eastAsia="Times New Roman" w:cstheme="minorHAnsi"/>
      <w:sz w:val="18"/>
      <w:szCs w:val="18"/>
      <w:lang w:eastAsia="en-AU"/>
    </w:rPr>
  </w:style>
  <w:style w:type="paragraph" w:customStyle="1" w:styleId="AdminCurrentYearTotalGrey">
    <w:name w:val="Admin Current Year Total Grey"/>
    <w:qFormat/>
    <w:rsid w:val="008835EB"/>
    <w:pPr>
      <w:spacing w:after="0" w:line="240" w:lineRule="auto"/>
      <w:jc w:val="right"/>
    </w:pPr>
    <w:rPr>
      <w:rFonts w:eastAsia="Times New Roman" w:cstheme="minorHAnsi"/>
      <w:b/>
      <w:sz w:val="18"/>
      <w:szCs w:val="18"/>
      <w:lang w:eastAsia="en-AU"/>
    </w:rPr>
  </w:style>
  <w:style w:type="paragraph" w:customStyle="1" w:styleId="AdminPreviousYearTotalGrey">
    <w:name w:val="Admin Previous Year Total Grey"/>
    <w:qFormat/>
    <w:rsid w:val="008835EB"/>
    <w:pPr>
      <w:spacing w:after="0" w:line="240" w:lineRule="auto"/>
      <w:jc w:val="right"/>
    </w:pPr>
    <w:rPr>
      <w:rFonts w:eastAsia="Times New Roman" w:cstheme="minorHAnsi"/>
      <w:sz w:val="18"/>
      <w:szCs w:val="18"/>
      <w:lang w:eastAsia="en-AU"/>
    </w:rPr>
  </w:style>
  <w:style w:type="paragraph" w:customStyle="1" w:styleId="AdminManualEntryCell">
    <w:name w:val="Admin Manual Entry Cell"/>
    <w:qFormat/>
    <w:rsid w:val="008835EB"/>
    <w:pPr>
      <w:spacing w:after="0" w:line="240" w:lineRule="auto"/>
      <w:jc w:val="right"/>
    </w:pPr>
    <w:rPr>
      <w:rFonts w:eastAsia="Times New Roman" w:cstheme="minorHAnsi"/>
      <w:b/>
      <w:sz w:val="18"/>
      <w:szCs w:val="18"/>
      <w:lang w:eastAsia="en-AU"/>
    </w:rPr>
  </w:style>
  <w:style w:type="paragraph" w:customStyle="1" w:styleId="AdminManualEntryCellUnbold">
    <w:name w:val="Admin Manual Entry Cell Unbold"/>
    <w:qFormat/>
    <w:rsid w:val="008835EB"/>
    <w:pPr>
      <w:spacing w:after="0" w:line="240" w:lineRule="auto"/>
      <w:jc w:val="right"/>
    </w:pPr>
    <w:rPr>
      <w:rFonts w:eastAsia="Times New Roman" w:cstheme="minorHAnsi"/>
      <w:sz w:val="18"/>
      <w:szCs w:val="18"/>
      <w:lang w:eastAsia="en-AU"/>
    </w:rPr>
  </w:style>
  <w:style w:type="paragraph" w:customStyle="1" w:styleId="AdminRowTextHeaderBoldGrey">
    <w:name w:val="Admin Row Text Header Bold Grey"/>
    <w:qFormat/>
    <w:rsid w:val="008835EB"/>
    <w:pPr>
      <w:spacing w:after="0" w:line="240" w:lineRule="auto"/>
    </w:pPr>
    <w:rPr>
      <w:rFonts w:eastAsia="Times New Roman" w:cstheme="minorHAnsi"/>
      <w:b/>
      <w:sz w:val="18"/>
      <w:szCs w:val="18"/>
      <w:lang w:eastAsia="en-AU"/>
    </w:rPr>
  </w:style>
  <w:style w:type="paragraph" w:customStyle="1" w:styleId="DeptCurrentYearData">
    <w:name w:val="Dept Current Year Data"/>
    <w:qFormat/>
    <w:rsid w:val="008835EB"/>
    <w:pPr>
      <w:spacing w:after="0" w:line="240" w:lineRule="auto"/>
      <w:jc w:val="right"/>
    </w:pPr>
    <w:rPr>
      <w:rFonts w:eastAsia="Times New Roman" w:cstheme="minorHAnsi"/>
      <w:b/>
      <w:sz w:val="18"/>
      <w:szCs w:val="18"/>
      <w:lang w:eastAsia="en-AU"/>
    </w:rPr>
  </w:style>
  <w:style w:type="paragraph" w:customStyle="1" w:styleId="DeptPreviousYearData">
    <w:name w:val="Dept Previous Year Data"/>
    <w:qFormat/>
    <w:rsid w:val="008835EB"/>
    <w:pPr>
      <w:spacing w:after="0" w:line="240" w:lineRule="auto"/>
      <w:jc w:val="right"/>
    </w:pPr>
    <w:rPr>
      <w:rFonts w:eastAsia="Times New Roman" w:cstheme="minorHAnsi"/>
      <w:sz w:val="18"/>
      <w:szCs w:val="18"/>
      <w:lang w:eastAsia="en-AU"/>
    </w:rPr>
  </w:style>
  <w:style w:type="paragraph" w:customStyle="1" w:styleId="DeptNoteHeadingUnderlined">
    <w:name w:val="Dept Note Heading Underlined"/>
    <w:qFormat/>
    <w:rsid w:val="008835EB"/>
    <w:pPr>
      <w:spacing w:after="0" w:line="240" w:lineRule="auto"/>
    </w:pPr>
    <w:rPr>
      <w:rFonts w:eastAsia="Times New Roman" w:cstheme="minorHAnsi"/>
      <w:b/>
      <w:sz w:val="18"/>
      <w:szCs w:val="18"/>
      <w:u w:val="single"/>
      <w:lang w:eastAsia="en-AU"/>
    </w:rPr>
  </w:style>
  <w:style w:type="paragraph" w:customStyle="1" w:styleId="DeptCurrentYearSubTotal">
    <w:name w:val="Dept Current Year SubTotal"/>
    <w:qFormat/>
    <w:rsid w:val="008835EB"/>
    <w:pPr>
      <w:spacing w:after="0" w:line="240" w:lineRule="auto"/>
      <w:jc w:val="right"/>
    </w:pPr>
    <w:rPr>
      <w:rFonts w:eastAsia="Times New Roman" w:cstheme="minorHAnsi"/>
      <w:b/>
      <w:sz w:val="18"/>
      <w:szCs w:val="18"/>
      <w:lang w:eastAsia="en-AU"/>
    </w:rPr>
  </w:style>
  <w:style w:type="paragraph" w:customStyle="1" w:styleId="AdminCurrentYearSubTotal">
    <w:name w:val="Admin Current Year SubTotal"/>
    <w:qFormat/>
    <w:rsid w:val="008835EB"/>
    <w:pPr>
      <w:spacing w:after="0" w:line="240" w:lineRule="auto"/>
      <w:jc w:val="right"/>
    </w:pPr>
    <w:rPr>
      <w:rFonts w:eastAsia="Times New Roman" w:cstheme="minorHAnsi"/>
      <w:b/>
      <w:sz w:val="18"/>
      <w:szCs w:val="18"/>
      <w:lang w:eastAsia="en-AU"/>
    </w:rPr>
  </w:style>
  <w:style w:type="paragraph" w:customStyle="1" w:styleId="DeptNoteReference">
    <w:name w:val="Dept Note Reference"/>
    <w:basedOn w:val="AdminCurrentYearSubTotal"/>
    <w:qFormat/>
    <w:rsid w:val="008835EB"/>
    <w:pPr>
      <w:jc w:val="center"/>
    </w:pPr>
    <w:rPr>
      <w:b w:val="0"/>
    </w:rPr>
  </w:style>
  <w:style w:type="paragraph" w:customStyle="1" w:styleId="DeptRowTextDoubleIndent">
    <w:name w:val="Dept Row Text Double Indent"/>
    <w:basedOn w:val="DeptNoteReference"/>
    <w:qFormat/>
    <w:rsid w:val="008835EB"/>
    <w:pPr>
      <w:tabs>
        <w:tab w:val="left" w:pos="204"/>
      </w:tabs>
      <w:ind w:left="487"/>
      <w:jc w:val="left"/>
    </w:pPr>
  </w:style>
  <w:style w:type="paragraph" w:customStyle="1" w:styleId="AdminRowTextSubTotal">
    <w:name w:val="Admin Row Text SubTotal"/>
    <w:qFormat/>
    <w:rsid w:val="008835EB"/>
    <w:pPr>
      <w:spacing w:after="0" w:line="240" w:lineRule="auto"/>
    </w:pPr>
    <w:rPr>
      <w:rFonts w:eastAsia="Times New Roman" w:cstheme="minorHAnsi"/>
      <w:sz w:val="18"/>
      <w:szCs w:val="18"/>
      <w:lang w:eastAsia="en-AU"/>
    </w:rPr>
  </w:style>
  <w:style w:type="paragraph" w:customStyle="1" w:styleId="DeptRowTextHeader">
    <w:name w:val="Dept Row Text Header"/>
    <w:qFormat/>
    <w:rsid w:val="008835EB"/>
    <w:pPr>
      <w:spacing w:after="0" w:line="240" w:lineRule="auto"/>
    </w:pPr>
    <w:rPr>
      <w:rFonts w:eastAsia="Times New Roman" w:cstheme="minorHAnsi"/>
      <w:b/>
      <w:sz w:val="18"/>
      <w:szCs w:val="18"/>
      <w:lang w:eastAsia="en-AU"/>
    </w:rPr>
  </w:style>
  <w:style w:type="paragraph" w:customStyle="1" w:styleId="DeptPreviousYearSubTotal">
    <w:name w:val="Dept Previous Year SubTotal"/>
    <w:qFormat/>
    <w:rsid w:val="008835EB"/>
    <w:pPr>
      <w:spacing w:after="0" w:line="240" w:lineRule="auto"/>
      <w:jc w:val="right"/>
    </w:pPr>
    <w:rPr>
      <w:rFonts w:eastAsia="Times New Roman" w:cstheme="minorHAnsi"/>
      <w:sz w:val="18"/>
      <w:szCs w:val="18"/>
      <w:lang w:eastAsia="en-AU"/>
    </w:rPr>
  </w:style>
  <w:style w:type="paragraph" w:customStyle="1" w:styleId="AdminCurrentYearHeadersGrey">
    <w:name w:val="Admin Current Year Headers Grey"/>
    <w:qFormat/>
    <w:rsid w:val="008835EB"/>
    <w:pPr>
      <w:spacing w:after="0" w:line="240" w:lineRule="auto"/>
      <w:jc w:val="right"/>
    </w:pPr>
    <w:rPr>
      <w:rFonts w:eastAsia="Times New Roman" w:cstheme="minorHAnsi"/>
      <w:b/>
      <w:sz w:val="18"/>
      <w:szCs w:val="18"/>
      <w:lang w:eastAsia="en-AU"/>
    </w:rPr>
  </w:style>
  <w:style w:type="paragraph" w:customStyle="1" w:styleId="AdminPreviousYearHeadersGrey">
    <w:name w:val="Admin Previous Year Headers Grey"/>
    <w:basedOn w:val="AdminCurrentYearHeadersGrey"/>
    <w:qFormat/>
    <w:rsid w:val="008835EB"/>
  </w:style>
  <w:style w:type="paragraph" w:customStyle="1" w:styleId="AdminHeaderUnderlineGrey">
    <w:name w:val="Admin Header Underline Grey"/>
    <w:qFormat/>
    <w:rsid w:val="008835EB"/>
    <w:pPr>
      <w:spacing w:after="0" w:line="240" w:lineRule="auto"/>
    </w:pPr>
    <w:rPr>
      <w:rFonts w:eastAsia="Times New Roman" w:cstheme="minorHAnsi"/>
      <w:b/>
      <w:sz w:val="18"/>
      <w:szCs w:val="18"/>
      <w:u w:val="single"/>
      <w:lang w:eastAsia="en-AU"/>
    </w:rPr>
  </w:style>
  <w:style w:type="paragraph" w:customStyle="1" w:styleId="AdminPreviousYearHeaderGrey">
    <w:name w:val="Admin Previous Year Header Grey"/>
    <w:qFormat/>
    <w:rsid w:val="008835EB"/>
    <w:pPr>
      <w:spacing w:after="0" w:line="240" w:lineRule="auto"/>
      <w:jc w:val="right"/>
    </w:pPr>
    <w:rPr>
      <w:rFonts w:ascii="Calibri" w:eastAsia="Times New Roman" w:hAnsi="Calibri" w:cs="Calibri"/>
      <w:sz w:val="18"/>
      <w:szCs w:val="18"/>
    </w:rPr>
  </w:style>
  <w:style w:type="paragraph" w:customStyle="1" w:styleId="AdminRowTextNormal">
    <w:name w:val="Admin Row Text Normal"/>
    <w:qFormat/>
    <w:rsid w:val="008835EB"/>
    <w:pPr>
      <w:spacing w:after="0" w:line="240" w:lineRule="auto"/>
    </w:pPr>
    <w:rPr>
      <w:rFonts w:ascii="Calibri" w:eastAsia="Times New Roman" w:hAnsi="Calibri" w:cs="Calibri"/>
      <w:sz w:val="18"/>
      <w:szCs w:val="18"/>
    </w:rPr>
  </w:style>
  <w:style w:type="paragraph" w:customStyle="1" w:styleId="AdminRowTextTotal">
    <w:name w:val="Admin Row Text Total"/>
    <w:basedOn w:val="Normal"/>
    <w:qFormat/>
    <w:rsid w:val="008835EB"/>
    <w:rPr>
      <w:rFonts w:cs="Calibri"/>
      <w:b/>
      <w:bCs/>
      <w:i/>
      <w:iCs/>
      <w:szCs w:val="18"/>
    </w:rPr>
  </w:style>
  <w:style w:type="paragraph" w:customStyle="1" w:styleId="DeptRowTextSubTotal">
    <w:name w:val="Dept Row Text SubTotal"/>
    <w:basedOn w:val="Normal"/>
    <w:qFormat/>
    <w:rsid w:val="008835EB"/>
    <w:rPr>
      <w:rFonts w:cs="Calibri"/>
      <w:b/>
      <w:bCs/>
      <w:szCs w:val="18"/>
    </w:rPr>
  </w:style>
  <w:style w:type="paragraph" w:customStyle="1" w:styleId="DeptManualEntryBoldGreyShade">
    <w:name w:val="Dept Manual Entry Bold Grey Shade"/>
    <w:qFormat/>
    <w:rsid w:val="008835EB"/>
    <w:pPr>
      <w:spacing w:after="0" w:line="240" w:lineRule="auto"/>
      <w:jc w:val="right"/>
    </w:pPr>
    <w:rPr>
      <w:rFonts w:ascii="Calibri" w:eastAsia="Times New Roman" w:hAnsi="Calibri" w:cs="Calibri"/>
      <w:b/>
      <w:bCs/>
      <w:sz w:val="18"/>
      <w:szCs w:val="18"/>
    </w:rPr>
  </w:style>
  <w:style w:type="paragraph" w:customStyle="1" w:styleId="DeptManualEntryCellUnboldGreyShade">
    <w:name w:val="Dept Manual Entry Cell Unbold Grey Shade"/>
    <w:basedOn w:val="DeptManualEntryBoldGreyShade"/>
    <w:qFormat/>
    <w:rsid w:val="008835EB"/>
    <w:rPr>
      <w:b w:val="0"/>
    </w:rPr>
  </w:style>
  <w:style w:type="paragraph" w:customStyle="1" w:styleId="AdminHeaderCentered">
    <w:name w:val="Admin Header Centered"/>
    <w:basedOn w:val="AdminRowTextHeaderBoldGrey"/>
    <w:qFormat/>
    <w:rsid w:val="008835EB"/>
    <w:pPr>
      <w:jc w:val="center"/>
    </w:pPr>
  </w:style>
  <w:style w:type="paragraph" w:customStyle="1" w:styleId="AdminNoteReferenceGrey">
    <w:name w:val="Admin Note Reference Grey"/>
    <w:qFormat/>
    <w:rsid w:val="008835EB"/>
    <w:pPr>
      <w:spacing w:after="0" w:line="240" w:lineRule="auto"/>
      <w:jc w:val="center"/>
    </w:pPr>
    <w:rPr>
      <w:rFonts w:ascii="Calibri" w:eastAsia="Times New Roman" w:hAnsi="Calibri" w:cs="Calibri"/>
      <w:sz w:val="18"/>
      <w:szCs w:val="18"/>
    </w:rPr>
  </w:style>
  <w:style w:type="paragraph" w:customStyle="1" w:styleId="DeptHeaderCentered">
    <w:name w:val="Dept Header Centered"/>
    <w:qFormat/>
    <w:rsid w:val="008835EB"/>
    <w:pPr>
      <w:spacing w:after="0" w:line="240" w:lineRule="auto"/>
      <w:jc w:val="center"/>
    </w:pPr>
    <w:rPr>
      <w:rFonts w:eastAsia="Times New Roman" w:cstheme="minorHAnsi"/>
      <w:b/>
      <w:sz w:val="18"/>
      <w:szCs w:val="18"/>
      <w:lang w:eastAsia="en-AU"/>
    </w:rPr>
  </w:style>
  <w:style w:type="paragraph" w:customStyle="1" w:styleId="NotesHeading-Level1GreyShade">
    <w:name w:val="Notes Heading - Level 1 Grey Shade"/>
    <w:basedOn w:val="NotesHeading-Level1"/>
    <w:qFormat/>
    <w:rsid w:val="008835EB"/>
    <w:pPr>
      <w:numPr>
        <w:numId w:val="2"/>
      </w:numPr>
      <w:shd w:val="clear" w:color="auto" w:fill="D9D9D9" w:themeFill="background1" w:themeFillShade="D9"/>
    </w:pPr>
    <w:rPr>
      <w:rFonts w:cstheme="minorHAnsi"/>
    </w:rPr>
  </w:style>
  <w:style w:type="paragraph" w:customStyle="1" w:styleId="UnderlineItalics">
    <w:name w:val="Underline Italics"/>
    <w:basedOn w:val="Normal"/>
    <w:qFormat/>
    <w:rsid w:val="008835EB"/>
    <w:rPr>
      <w:i/>
      <w:u w:val="single"/>
    </w:rPr>
  </w:style>
  <w:style w:type="paragraph" w:customStyle="1" w:styleId="Default">
    <w:name w:val="Default"/>
    <w:rsid w:val="008835EB"/>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FootnoteReference">
    <w:name w:val="footnote reference"/>
    <w:basedOn w:val="DefaultParagraphFont"/>
    <w:uiPriority w:val="99"/>
    <w:semiHidden/>
    <w:rsid w:val="008835EB"/>
    <w:rPr>
      <w:vertAlign w:val="superscript"/>
    </w:rPr>
  </w:style>
  <w:style w:type="character" w:styleId="CommentReference">
    <w:name w:val="annotation reference"/>
    <w:basedOn w:val="DefaultParagraphFont"/>
    <w:uiPriority w:val="99"/>
    <w:semiHidden/>
    <w:rsid w:val="008835EB"/>
    <w:rPr>
      <w:sz w:val="16"/>
      <w:szCs w:val="16"/>
    </w:rPr>
  </w:style>
  <w:style w:type="character" w:styleId="PageNumber">
    <w:name w:val="page number"/>
    <w:basedOn w:val="DefaultParagraphFont"/>
    <w:uiPriority w:val="99"/>
    <w:rsid w:val="008835EB"/>
    <w:rPr>
      <w:rFonts w:ascii="Times New Roman" w:hAnsi="Times New Roman" w:cs="Times New Roman" w:hint="default"/>
      <w:sz w:val="22"/>
    </w:rPr>
  </w:style>
  <w:style w:type="character" w:customStyle="1" w:styleId="A18">
    <w:name w:val="A18"/>
    <w:uiPriority w:val="99"/>
    <w:rsid w:val="008835EB"/>
    <w:rPr>
      <w:i/>
      <w:iCs/>
      <w:color w:val="000000"/>
      <w:sz w:val="14"/>
      <w:szCs w:val="14"/>
      <w:u w:val="single"/>
    </w:rPr>
  </w:style>
  <w:style w:type="table" w:styleId="TableGrid">
    <w:name w:val="Table Grid"/>
    <w:basedOn w:val="TableNormal"/>
    <w:uiPriority w:val="59"/>
    <w:rsid w:val="008835EB"/>
    <w:pPr>
      <w:spacing w:after="0" w:line="26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8835E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NotesHeading-Level1">
    <w:name w:val="Continued Notes Heading - Level 1"/>
    <w:basedOn w:val="NotesHeading-Level1"/>
    <w:qFormat/>
    <w:rsid w:val="008835EB"/>
    <w:pPr>
      <w:spacing w:line="240" w:lineRule="auto"/>
      <w:outlineLvl w:val="9"/>
    </w:pPr>
  </w:style>
  <w:style w:type="numbering" w:customStyle="1" w:styleId="CurrentList2">
    <w:name w:val="Current List2"/>
    <w:rsid w:val="008835EB"/>
    <w:pPr>
      <w:numPr>
        <w:numId w:val="3"/>
      </w:numPr>
    </w:pPr>
  </w:style>
  <w:style w:type="numbering" w:customStyle="1" w:styleId="Style2">
    <w:name w:val="Style2"/>
    <w:rsid w:val="008835EB"/>
    <w:pPr>
      <w:numPr>
        <w:numId w:val="4"/>
      </w:numPr>
    </w:pPr>
  </w:style>
  <w:style w:type="numbering" w:customStyle="1" w:styleId="CurrentList1">
    <w:name w:val="Current List1"/>
    <w:rsid w:val="008835EB"/>
    <w:pPr>
      <w:numPr>
        <w:numId w:val="5"/>
      </w:numPr>
    </w:pPr>
  </w:style>
  <w:style w:type="character" w:styleId="Emphasis">
    <w:name w:val="Emphasis"/>
    <w:basedOn w:val="DefaultParagraphFont"/>
    <w:uiPriority w:val="20"/>
    <w:qFormat/>
    <w:rsid w:val="008835EB"/>
    <w:rPr>
      <w:i/>
      <w:iCs/>
    </w:rPr>
  </w:style>
  <w:style w:type="paragraph" w:customStyle="1" w:styleId="SectionHeading">
    <w:name w:val="Section Heading"/>
    <w:basedOn w:val="Normal"/>
    <w:link w:val="SectionHeadingChar"/>
    <w:qFormat/>
    <w:rsid w:val="008835EB"/>
    <w:pPr>
      <w:numPr>
        <w:numId w:val="7"/>
      </w:numPr>
      <w:shd w:val="clear" w:color="00CC99" w:fill="00746B"/>
      <w:ind w:left="0" w:right="607" w:firstLine="0"/>
      <w:outlineLvl w:val="0"/>
    </w:pPr>
    <w:rPr>
      <w:rFonts w:ascii="Arial Bold" w:hAnsi="Arial Bold"/>
      <w:b/>
      <w:color w:val="FFFFFF" w:themeColor="background1"/>
      <w:sz w:val="24"/>
    </w:rPr>
  </w:style>
  <w:style w:type="character" w:customStyle="1" w:styleId="SectionHeadingChar">
    <w:name w:val="Section Heading Char"/>
    <w:basedOn w:val="DefaultParagraphFont"/>
    <w:link w:val="SectionHeading"/>
    <w:rsid w:val="008835EB"/>
    <w:rPr>
      <w:rFonts w:ascii="Arial Bold" w:eastAsia="Times New Roman" w:hAnsi="Arial Bold" w:cs="Times New Roman"/>
      <w:b/>
      <w:color w:val="FFFFFF" w:themeColor="background1"/>
      <w:sz w:val="24"/>
      <w:szCs w:val="20"/>
      <w:shd w:val="clear" w:color="00CC99" w:fill="00746B"/>
    </w:rPr>
  </w:style>
  <w:style w:type="paragraph" w:customStyle="1" w:styleId="SubHeading">
    <w:name w:val="Sub Heading"/>
    <w:basedOn w:val="SectionHeading"/>
    <w:link w:val="SubHeadingChar"/>
    <w:qFormat/>
    <w:rsid w:val="008835EB"/>
    <w:pPr>
      <w:numPr>
        <w:ilvl w:val="1"/>
      </w:numPr>
      <w:shd w:val="clear" w:color="auto" w:fill="000000" w:themeFill="text1"/>
      <w:ind w:left="425" w:hanging="425"/>
      <w:outlineLvl w:val="1"/>
    </w:pPr>
    <w:rPr>
      <w:rFonts w:ascii="Arial" w:hAnsi="Arial" w:cs="Arial"/>
      <w:sz w:val="20"/>
    </w:rPr>
  </w:style>
  <w:style w:type="character" w:customStyle="1" w:styleId="SubHeadingChar">
    <w:name w:val="Sub Heading Char"/>
    <w:basedOn w:val="DefaultParagraphFont"/>
    <w:link w:val="SubHeading"/>
    <w:rsid w:val="008835EB"/>
    <w:rPr>
      <w:rFonts w:ascii="Arial" w:eastAsia="Times New Roman" w:hAnsi="Arial" w:cs="Arial"/>
      <w:b/>
      <w:color w:val="FFFFFF" w:themeColor="background1"/>
      <w:sz w:val="20"/>
      <w:szCs w:val="20"/>
      <w:shd w:val="clear" w:color="auto" w:fill="000000" w:themeFill="text1"/>
    </w:rPr>
  </w:style>
  <w:style w:type="paragraph" w:customStyle="1" w:styleId="SectionHeadingDescription">
    <w:name w:val="Section Heading Description"/>
    <w:basedOn w:val="SectionHeading"/>
    <w:next w:val="SubHeading"/>
    <w:qFormat/>
    <w:rsid w:val="008835EB"/>
    <w:pPr>
      <w:numPr>
        <w:numId w:val="0"/>
      </w:numPr>
      <w:outlineLvl w:val="9"/>
    </w:pPr>
    <w:rPr>
      <w:rFonts w:ascii="Arial" w:hAnsi="Arial"/>
      <w:b w:val="0"/>
      <w:sz w:val="18"/>
      <w:szCs w:val="18"/>
    </w:rPr>
  </w:style>
  <w:style w:type="paragraph" w:customStyle="1" w:styleId="PolicytextDept">
    <w:name w:val="Policy text Dept"/>
    <w:basedOn w:val="Normal"/>
    <w:link w:val="PolicytextDeptChar"/>
    <w:qFormat/>
    <w:rsid w:val="008835EB"/>
    <w:pPr>
      <w:pBdr>
        <w:top w:val="single" w:sz="4" w:space="1" w:color="00746B"/>
        <w:left w:val="single" w:sz="4" w:space="0" w:color="00746B"/>
        <w:bottom w:val="single" w:sz="4" w:space="1" w:color="00746B"/>
        <w:right w:val="single" w:sz="4" w:space="0" w:color="00746B"/>
      </w:pBdr>
      <w:spacing w:after="120" w:line="120" w:lineRule="atLeast"/>
      <w:ind w:right="607"/>
    </w:pPr>
    <w:rPr>
      <w:rFonts w:asciiTheme="minorHAnsi" w:hAnsiTheme="minorHAnsi" w:cstheme="minorHAnsi"/>
      <w:bCs/>
      <w:szCs w:val="18"/>
    </w:rPr>
  </w:style>
  <w:style w:type="character" w:customStyle="1" w:styleId="PolicytextDeptChar">
    <w:name w:val="Policy text Dept Char"/>
    <w:basedOn w:val="DefaultParagraphFont"/>
    <w:link w:val="PolicytextDept"/>
    <w:rsid w:val="008835EB"/>
    <w:rPr>
      <w:rFonts w:eastAsia="Times New Roman" w:cstheme="minorHAnsi"/>
      <w:bCs/>
      <w:sz w:val="18"/>
      <w:szCs w:val="18"/>
    </w:rPr>
  </w:style>
  <w:style w:type="paragraph" w:customStyle="1" w:styleId="PolicyheadingDept">
    <w:name w:val="Policy heading Dept"/>
    <w:basedOn w:val="PolicytextDept"/>
    <w:qFormat/>
    <w:rsid w:val="008835EB"/>
    <w:rPr>
      <w:b/>
    </w:rPr>
  </w:style>
  <w:style w:type="paragraph" w:customStyle="1" w:styleId="Policytextunderline">
    <w:name w:val="Policy text + underline"/>
    <w:basedOn w:val="PolicytextDept"/>
    <w:link w:val="PolicytextunderlineChar"/>
    <w:qFormat/>
    <w:rsid w:val="008835EB"/>
    <w:rPr>
      <w:i/>
      <w:u w:val="single"/>
    </w:rPr>
  </w:style>
  <w:style w:type="paragraph" w:customStyle="1" w:styleId="PolicyTextAdmin">
    <w:name w:val="Policy Text Admin"/>
    <w:basedOn w:val="Normal"/>
    <w:link w:val="PolicyTextAdminChar"/>
    <w:qFormat/>
    <w:rsid w:val="008835EB"/>
    <w:pPr>
      <w:pBdr>
        <w:top w:val="single" w:sz="4" w:space="1" w:color="00746B"/>
        <w:left w:val="single" w:sz="4" w:space="0" w:color="00746B"/>
        <w:bottom w:val="single" w:sz="4" w:space="2" w:color="00746B"/>
        <w:right w:val="single" w:sz="4" w:space="0" w:color="00746B"/>
      </w:pBdr>
      <w:shd w:val="clear" w:color="auto" w:fill="E5F4F3"/>
      <w:spacing w:after="120" w:line="120" w:lineRule="atLeast"/>
      <w:ind w:right="607"/>
    </w:pPr>
    <w:rPr>
      <w:rFonts w:asciiTheme="minorHAnsi" w:hAnsiTheme="minorHAnsi" w:cs="Helvetica"/>
      <w:szCs w:val="18"/>
    </w:rPr>
  </w:style>
  <w:style w:type="character" w:customStyle="1" w:styleId="PolicytextunderlineChar">
    <w:name w:val="Policy text + underline Char"/>
    <w:basedOn w:val="PolicytextDeptChar"/>
    <w:link w:val="Policytextunderline"/>
    <w:rsid w:val="008835EB"/>
    <w:rPr>
      <w:rFonts w:eastAsia="Times New Roman" w:cstheme="minorHAnsi"/>
      <w:bCs/>
      <w:i/>
      <w:sz w:val="18"/>
      <w:szCs w:val="18"/>
      <w:u w:val="single"/>
    </w:rPr>
  </w:style>
  <w:style w:type="character" w:customStyle="1" w:styleId="PolicyTextAdminChar">
    <w:name w:val="Policy Text Admin Char"/>
    <w:basedOn w:val="DefaultParagraphFont"/>
    <w:link w:val="PolicyTextAdmin"/>
    <w:rsid w:val="008835EB"/>
    <w:rPr>
      <w:rFonts w:eastAsia="Times New Roman" w:cs="Helvetica"/>
      <w:sz w:val="18"/>
      <w:szCs w:val="18"/>
      <w:shd w:val="clear" w:color="auto" w:fill="E5F4F3"/>
    </w:rPr>
  </w:style>
  <w:style w:type="paragraph" w:customStyle="1" w:styleId="PolicyheadingAdmin">
    <w:name w:val="Policy heading Admin"/>
    <w:basedOn w:val="PolicyTextAdmin"/>
    <w:link w:val="PolicyheadingAdminChar"/>
    <w:rsid w:val="008835EB"/>
    <w:rPr>
      <w:rFonts w:cs="Times New Roman"/>
      <w:b/>
      <w:bCs/>
      <w:szCs w:val="20"/>
    </w:rPr>
  </w:style>
  <w:style w:type="paragraph" w:customStyle="1" w:styleId="Policytextadminunderline">
    <w:name w:val="Policy text admin + underline"/>
    <w:basedOn w:val="PolicyheadingAdmin"/>
    <w:link w:val="PolicytextadminunderlineChar"/>
    <w:qFormat/>
    <w:rsid w:val="008835EB"/>
    <w:rPr>
      <w:b w:val="0"/>
      <w:i/>
      <w:u w:val="single"/>
    </w:rPr>
  </w:style>
  <w:style w:type="paragraph" w:customStyle="1" w:styleId="Policytextadminbold">
    <w:name w:val="Policy text admin + bold"/>
    <w:basedOn w:val="PolicyheadingAdmin"/>
    <w:link w:val="PolicytextadminboldChar"/>
    <w:qFormat/>
    <w:rsid w:val="008835EB"/>
  </w:style>
  <w:style w:type="character" w:customStyle="1" w:styleId="PolicyheadingAdminChar">
    <w:name w:val="Policy heading Admin Char"/>
    <w:basedOn w:val="PolicyTextAdminChar"/>
    <w:link w:val="PolicyheadingAdmin"/>
    <w:rsid w:val="008835EB"/>
    <w:rPr>
      <w:rFonts w:eastAsia="Times New Roman" w:cs="Times New Roman"/>
      <w:b/>
      <w:bCs/>
      <w:sz w:val="18"/>
      <w:szCs w:val="20"/>
      <w:shd w:val="clear" w:color="auto" w:fill="E5F4F3"/>
    </w:rPr>
  </w:style>
  <w:style w:type="character" w:customStyle="1" w:styleId="PolicytextadminunderlineChar">
    <w:name w:val="Policy text admin + underline Char"/>
    <w:basedOn w:val="PolicyheadingAdminChar"/>
    <w:link w:val="Policytextadminunderline"/>
    <w:rsid w:val="008835EB"/>
    <w:rPr>
      <w:rFonts w:eastAsia="Times New Roman" w:cs="Times New Roman"/>
      <w:b w:val="0"/>
      <w:bCs/>
      <w:i/>
      <w:sz w:val="18"/>
      <w:szCs w:val="20"/>
      <w:u w:val="single"/>
      <w:shd w:val="clear" w:color="auto" w:fill="E5F4F3"/>
    </w:rPr>
  </w:style>
  <w:style w:type="character" w:customStyle="1" w:styleId="PolicytextadminboldChar">
    <w:name w:val="Policy text admin + bold Char"/>
    <w:basedOn w:val="PolicyheadingAdminChar"/>
    <w:link w:val="Policytextadminbold"/>
    <w:rsid w:val="008835EB"/>
    <w:rPr>
      <w:rFonts w:eastAsia="Times New Roman" w:cs="Times New Roman"/>
      <w:b/>
      <w:bCs/>
      <w:sz w:val="18"/>
      <w:szCs w:val="20"/>
      <w:shd w:val="clear" w:color="auto" w:fill="E5F4F3"/>
    </w:rPr>
  </w:style>
  <w:style w:type="paragraph" w:customStyle="1" w:styleId="ReportText">
    <w:name w:val="Report Text"/>
    <w:basedOn w:val="NotesText0"/>
    <w:link w:val="ReportTextChar"/>
    <w:qFormat/>
    <w:rsid w:val="008835EB"/>
    <w:pPr>
      <w:ind w:right="566"/>
    </w:pPr>
  </w:style>
  <w:style w:type="character" w:customStyle="1" w:styleId="ReportTextChar">
    <w:name w:val="Report Text Char"/>
    <w:basedOn w:val="NotesTextChar"/>
    <w:link w:val="ReportText"/>
    <w:rsid w:val="008835EB"/>
    <w:rPr>
      <w:rFonts w:cs="Arial"/>
      <w:sz w:val="18"/>
      <w:szCs w:val="18"/>
    </w:rPr>
  </w:style>
  <w:style w:type="paragraph" w:styleId="NormalWeb">
    <w:name w:val="Normal (Web)"/>
    <w:basedOn w:val="Normal"/>
    <w:uiPriority w:val="99"/>
    <w:semiHidden/>
    <w:unhideWhenUsed/>
    <w:rsid w:val="008835EB"/>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Finnotesheading1">
    <w:name w:val="Fin notes heading 1"/>
    <w:basedOn w:val="Normal"/>
    <w:qFormat/>
    <w:rsid w:val="008835EB"/>
    <w:pPr>
      <w:spacing w:before="120" w:after="120"/>
    </w:pPr>
    <w:rPr>
      <w:rFonts w:asciiTheme="minorHAnsi" w:hAnsiTheme="minorHAnsi" w:cs="Arial"/>
      <w:b/>
      <w:bCs/>
      <w:color w:val="00746B"/>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7.xml"/><Relationship Id="rId3" Type="http://schemas.microsoft.com/office/2007/relationships/stylesWithEffects" Target="stylesWithEffects.xml"/><Relationship Id="rId21" Type="http://schemas.openxmlformats.org/officeDocument/2006/relationships/header" Target="header10.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footer" Target="footer7.xml"/><Relationship Id="rId50" Type="http://schemas.openxmlformats.org/officeDocument/2006/relationships/header" Target="header3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9.xml"/><Relationship Id="rId29" Type="http://schemas.openxmlformats.org/officeDocument/2006/relationships/footer" Target="footer5.xml"/><Relationship Id="rId41" Type="http://schemas.openxmlformats.org/officeDocument/2006/relationships/header" Target="header2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4.xml"/><Relationship Id="rId49" Type="http://schemas.openxmlformats.org/officeDocument/2006/relationships/header" Target="header35.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9.xml"/><Relationship Id="rId44" Type="http://schemas.openxmlformats.org/officeDocument/2006/relationships/footer" Target="footer6.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4.xm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16383</Words>
  <Characters>93388</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Employment</dc:creator>
  <cp:lastModifiedBy>David HARCOURT</cp:lastModifiedBy>
  <cp:revision>2</cp:revision>
  <dcterms:created xsi:type="dcterms:W3CDTF">2016-10-11T23:30:00Z</dcterms:created>
  <dcterms:modified xsi:type="dcterms:W3CDTF">2016-10-11T23:30:00Z</dcterms:modified>
</cp:coreProperties>
</file>