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80646" w14:textId="77777777" w:rsidR="007514DF" w:rsidRDefault="007514DF" w:rsidP="007514DF">
      <w:pPr>
        <w:pStyle w:val="Title"/>
        <w:jc w:val="right"/>
        <w:rPr>
          <w:b/>
          <w:color w:val="767171" w:themeColor="background2" w:themeShade="80"/>
          <w:sz w:val="32"/>
          <w:szCs w:val="32"/>
        </w:rPr>
      </w:pPr>
      <w:r>
        <w:rPr>
          <w:noProof/>
          <w:lang w:eastAsia="en-AU"/>
        </w:rPr>
        <w:drawing>
          <wp:inline distT="0" distB="0" distL="0" distR="0" wp14:anchorId="05F7217D" wp14:editId="74CC619E">
            <wp:extent cx="1885950" cy="1112520"/>
            <wp:effectExtent l="0" t="0" r="0" b="0"/>
            <wp:docPr id="3" name="Picture 3"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P2527.NATION\AppData\Local\Microsoft\Windows\Temporary Internet Files\Content.Outlook\LD08ARUY\jobactive_Rel3_FullCol_CMYK.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1888747" cy="1114170"/>
                    </a:xfrm>
                    <a:prstGeom prst="rect">
                      <a:avLst/>
                    </a:prstGeom>
                    <a:noFill/>
                    <a:ln>
                      <a:noFill/>
                    </a:ln>
                    <a:extLst>
                      <a:ext uri="{53640926-AAD7-44D8-BBD7-CCE9431645EC}">
                        <a14:shadowObscured xmlns:a14="http://schemas.microsoft.com/office/drawing/2010/main"/>
                      </a:ext>
                    </a:extLst>
                  </pic:spPr>
                </pic:pic>
              </a:graphicData>
            </a:graphic>
          </wp:inline>
        </w:drawing>
      </w:r>
    </w:p>
    <w:p w14:paraId="39259036" w14:textId="6B8A3DAA" w:rsidR="00142920" w:rsidRDefault="00146FF3" w:rsidP="00142920">
      <w:pPr>
        <w:pStyle w:val="Title"/>
      </w:pPr>
      <w:r w:rsidRPr="0027592B">
        <w:rPr>
          <w:b/>
          <w:color w:val="767171" w:themeColor="background2" w:themeShade="80"/>
          <w:sz w:val="32"/>
          <w:szCs w:val="32"/>
        </w:rPr>
        <w:t>Guideline</w:t>
      </w:r>
      <w:r w:rsidRPr="0027592B">
        <w:rPr>
          <w:color w:val="767171" w:themeColor="background2" w:themeShade="80"/>
          <w:sz w:val="32"/>
          <w:szCs w:val="32"/>
        </w:rPr>
        <w:t>:</w:t>
      </w:r>
      <w:r>
        <w:br/>
      </w:r>
      <w:r w:rsidR="00441593">
        <w:t xml:space="preserve">New Employment Services Trial (NEST) - </w:t>
      </w:r>
      <w:r w:rsidR="00441593">
        <w:br/>
      </w:r>
      <w:r w:rsidR="00142920">
        <w:t>Eligibility, Referral and Commencement</w:t>
      </w:r>
    </w:p>
    <w:p w14:paraId="711A26EE" w14:textId="77777777" w:rsidR="00DA5C56" w:rsidRDefault="00FC59A6" w:rsidP="00C43317">
      <w:pPr>
        <w:pStyle w:val="guidelinetext"/>
        <w:ind w:left="0"/>
      </w:pPr>
      <w:r w:rsidRPr="00FC59A6">
        <w:t xml:space="preserve">This Guideline </w:t>
      </w:r>
      <w:r>
        <w:t xml:space="preserve">outlines </w:t>
      </w:r>
      <w:r w:rsidR="003E0F99">
        <w:t>who is</w:t>
      </w:r>
      <w:r>
        <w:t xml:space="preserve"> Eligible for </w:t>
      </w:r>
      <w:r w:rsidR="00863910">
        <w:t>Enhanced Services</w:t>
      </w:r>
      <w:r w:rsidR="00564F58">
        <w:t xml:space="preserve"> </w:t>
      </w:r>
      <w:r w:rsidR="00863910">
        <w:t xml:space="preserve">in </w:t>
      </w:r>
      <w:r w:rsidR="00B8449B">
        <w:t>the New Employment Services Trial</w:t>
      </w:r>
      <w:r w:rsidR="00AB2967">
        <w:t xml:space="preserve"> (NEST)</w:t>
      </w:r>
      <w:r w:rsidR="00863910">
        <w:t>.</w:t>
      </w:r>
    </w:p>
    <w:p w14:paraId="135464F6" w14:textId="316C93FA" w:rsidR="00B307AF" w:rsidRDefault="007622F8" w:rsidP="00C43317">
      <w:pPr>
        <w:pStyle w:val="guidelinetext"/>
        <w:ind w:left="0"/>
      </w:pPr>
      <w:r>
        <w:t>Trial</w:t>
      </w:r>
      <w:r w:rsidR="008108AA">
        <w:t xml:space="preserve"> </w:t>
      </w:r>
      <w:r w:rsidR="00A20B33">
        <w:t>Provider</w:t>
      </w:r>
      <w:r w:rsidR="00142920" w:rsidRPr="0005626E">
        <w:t xml:space="preserve">s </w:t>
      </w:r>
      <w:r w:rsidR="008108AA">
        <w:t>must</w:t>
      </w:r>
      <w:r w:rsidR="00986528">
        <w:t xml:space="preserve"> </w:t>
      </w:r>
      <w:r w:rsidR="00142920" w:rsidRPr="0005626E">
        <w:t xml:space="preserve">provide </w:t>
      </w:r>
      <w:r w:rsidR="00A20B33">
        <w:t>Participant</w:t>
      </w:r>
      <w:r w:rsidR="00863910">
        <w:t>s</w:t>
      </w:r>
      <w:r w:rsidR="009F666C" w:rsidRPr="0005626E">
        <w:t xml:space="preserve"> </w:t>
      </w:r>
      <w:r w:rsidR="00142920" w:rsidRPr="0005626E">
        <w:t xml:space="preserve">with appropriate </w:t>
      </w:r>
      <w:r w:rsidR="002A4B57">
        <w:t>S</w:t>
      </w:r>
      <w:r w:rsidR="00142920" w:rsidRPr="0005626E">
        <w:t xml:space="preserve">ervices, </w:t>
      </w:r>
      <w:r w:rsidR="006B3AE6">
        <w:t>taking</w:t>
      </w:r>
      <w:r w:rsidR="00142920" w:rsidRPr="0005626E">
        <w:t xml:space="preserve"> into account their individual circumstances, to assist them to find employment and move off Income Support Payments.</w:t>
      </w:r>
    </w:p>
    <w:p w14:paraId="27B1E572" w14:textId="77777777" w:rsidR="00837E53" w:rsidRDefault="00837E53" w:rsidP="005D72CD">
      <w:pPr>
        <w:tabs>
          <w:tab w:val="right" w:pos="1701"/>
        </w:tabs>
        <w:rPr>
          <w:color w:val="385623" w:themeColor="accent6" w:themeShade="80"/>
        </w:rPr>
      </w:pPr>
    </w:p>
    <w:p w14:paraId="6EBC031A" w14:textId="77777777" w:rsidR="002E6FDB" w:rsidRDefault="002E6FDB" w:rsidP="00327A45">
      <w:pPr>
        <w:tabs>
          <w:tab w:val="right" w:pos="1701"/>
        </w:tabs>
        <w:sectPr w:rsidR="002E6FDB" w:rsidSect="00D36EEA">
          <w:headerReference w:type="default" r:id="rId12"/>
          <w:footerReference w:type="default" r:id="rId13"/>
          <w:footerReference w:type="first" r:id="rId14"/>
          <w:pgSz w:w="11906" w:h="16838"/>
          <w:pgMar w:top="426" w:right="1440" w:bottom="1440" w:left="1440" w:header="142" w:footer="708" w:gutter="0"/>
          <w:cols w:space="708"/>
          <w:titlePg/>
          <w:docGrid w:linePitch="360"/>
        </w:sectPr>
      </w:pPr>
    </w:p>
    <w:p w14:paraId="3DD00198" w14:textId="2483039A" w:rsidR="008A194F" w:rsidRPr="00C43317" w:rsidRDefault="008A194F" w:rsidP="00D911DD">
      <w:pPr>
        <w:rPr>
          <w:color w:val="385623" w:themeColor="accent6" w:themeShade="80"/>
        </w:rPr>
      </w:pPr>
      <w:r w:rsidRPr="00C43317">
        <w:rPr>
          <w:color w:val="767171" w:themeColor="background2" w:themeShade="80"/>
        </w:rPr>
        <w:t>Version</w:t>
      </w:r>
      <w:r w:rsidR="004B7969" w:rsidRPr="00C43317">
        <w:rPr>
          <w:color w:val="767171" w:themeColor="background2" w:themeShade="80"/>
        </w:rPr>
        <w:t>:</w:t>
      </w:r>
      <w:r w:rsidR="00837E53" w:rsidRPr="00C43317">
        <w:rPr>
          <w:color w:val="767171" w:themeColor="background2" w:themeShade="80"/>
        </w:rPr>
        <w:t xml:space="preserve"> </w:t>
      </w:r>
      <w:r w:rsidR="002F6DDD">
        <w:rPr>
          <w:color w:val="767171" w:themeColor="background2" w:themeShade="80"/>
        </w:rPr>
        <w:t>4</w:t>
      </w:r>
      <w:r w:rsidR="00964B0D">
        <w:rPr>
          <w:color w:val="767171" w:themeColor="background2" w:themeShade="80"/>
        </w:rPr>
        <w:t>.</w:t>
      </w:r>
      <w:r w:rsidR="006676D9">
        <w:rPr>
          <w:color w:val="767171" w:themeColor="background2" w:themeShade="80"/>
        </w:rPr>
        <w:t>2</w:t>
      </w:r>
    </w:p>
    <w:p w14:paraId="6FD9F583" w14:textId="513E303F" w:rsidR="008A194F" w:rsidRPr="00C43317" w:rsidRDefault="00D911DD" w:rsidP="00D911DD">
      <w:r w:rsidRPr="00C43317">
        <w:rPr>
          <w:color w:val="767171" w:themeColor="background2" w:themeShade="80"/>
        </w:rPr>
        <w:br w:type="column"/>
      </w:r>
      <w:r w:rsidR="008A194F" w:rsidRPr="00C43317">
        <w:rPr>
          <w:color w:val="767171" w:themeColor="background2" w:themeShade="80"/>
        </w:rPr>
        <w:t>Published</w:t>
      </w:r>
      <w:r w:rsidR="00E12AFD" w:rsidRPr="00C43317">
        <w:rPr>
          <w:color w:val="767171" w:themeColor="background2" w:themeShade="80"/>
        </w:rPr>
        <w:t xml:space="preserve"> on</w:t>
      </w:r>
      <w:r w:rsidR="004B7969" w:rsidRPr="00BF3FE5">
        <w:rPr>
          <w:color w:val="767171" w:themeColor="background2" w:themeShade="80"/>
        </w:rPr>
        <w:t>:</w:t>
      </w:r>
      <w:r w:rsidR="00837E53" w:rsidRPr="001E71CF">
        <w:t xml:space="preserve"> </w:t>
      </w:r>
      <w:r w:rsidR="00D1245D">
        <w:t>25</w:t>
      </w:r>
      <w:r w:rsidR="003A74F2">
        <w:t xml:space="preserve"> </w:t>
      </w:r>
      <w:r w:rsidR="006676D9">
        <w:t xml:space="preserve">November </w:t>
      </w:r>
      <w:r w:rsidR="002F6DDD">
        <w:t>2021</w:t>
      </w:r>
    </w:p>
    <w:p w14:paraId="17ACA5DE" w14:textId="404DDE1A" w:rsidR="00837E53" w:rsidRPr="002E6FDB" w:rsidRDefault="008A194F">
      <w:pPr>
        <w:rPr>
          <w:color w:val="385623" w:themeColor="accent6" w:themeShade="80"/>
        </w:rPr>
        <w:sectPr w:rsidR="00837E53" w:rsidRPr="002E6FDB" w:rsidSect="00D36EEA">
          <w:type w:val="continuous"/>
          <w:pgSz w:w="11906" w:h="16838"/>
          <w:pgMar w:top="120" w:right="1440" w:bottom="1440" w:left="1440" w:header="142" w:footer="708" w:gutter="0"/>
          <w:cols w:num="2" w:space="708"/>
          <w:titlePg/>
          <w:docGrid w:linePitch="360"/>
        </w:sectPr>
      </w:pPr>
      <w:r w:rsidRPr="00C43317">
        <w:rPr>
          <w:color w:val="767171" w:themeColor="background2" w:themeShade="80"/>
        </w:rPr>
        <w:t>Effective</w:t>
      </w:r>
      <w:r w:rsidR="00101EFD">
        <w:rPr>
          <w:color w:val="767171" w:themeColor="background2" w:themeShade="80"/>
        </w:rPr>
        <w:t xml:space="preserve"> from:</w:t>
      </w:r>
      <w:r w:rsidR="009E1521">
        <w:rPr>
          <w:color w:val="767171" w:themeColor="background2" w:themeShade="80"/>
        </w:rPr>
        <w:t xml:space="preserve"> </w:t>
      </w:r>
      <w:r w:rsidR="00D1245D" w:rsidRPr="00D1245D">
        <w:t>4 December</w:t>
      </w:r>
      <w:r w:rsidR="006676D9" w:rsidRPr="00D1245D">
        <w:t xml:space="preserve"> </w:t>
      </w:r>
      <w:r w:rsidR="002F6DDD" w:rsidRPr="00D1245D">
        <w:t>2021</w:t>
      </w:r>
    </w:p>
    <w:p w14:paraId="5563F21D" w14:textId="77777777" w:rsidR="00101EFD" w:rsidRDefault="00101EFD" w:rsidP="00101EFD">
      <w:pPr>
        <w:rPr>
          <w:color w:val="385623" w:themeColor="accent6" w:themeShade="80"/>
        </w:rPr>
      </w:pPr>
      <w:bookmarkStart w:id="0" w:name="_Toc476564984"/>
      <w:bookmarkStart w:id="1" w:name="_Toc477344351"/>
      <w:bookmarkStart w:id="2" w:name="_Toc477344435"/>
      <w:bookmarkStart w:id="3" w:name="_Toc484700412"/>
      <w:bookmarkStart w:id="4" w:name="_Toc14877049"/>
    </w:p>
    <w:p w14:paraId="764C32C6" w14:textId="6B389EAF" w:rsidR="006013E7" w:rsidRPr="00DD4897" w:rsidRDefault="006013E7" w:rsidP="006013E7">
      <w:pPr>
        <w:pStyle w:val="guidelinedocinfo"/>
        <w:ind w:left="360" w:hanging="360"/>
        <w:outlineLvl w:val="0"/>
        <w:rPr>
          <w:rFonts w:cstheme="minorHAnsi"/>
          <w:szCs w:val="32"/>
        </w:rPr>
      </w:pPr>
      <w:bookmarkStart w:id="5" w:name="_Toc505336478"/>
      <w:bookmarkStart w:id="6" w:name="_Toc507404741"/>
      <w:bookmarkStart w:id="7" w:name="_Toc507579605"/>
      <w:bookmarkStart w:id="8" w:name="_Toc507579659"/>
      <w:bookmarkStart w:id="9" w:name="_Toc18500646"/>
      <w:bookmarkStart w:id="10" w:name="_Toc24553281"/>
      <w:bookmarkStart w:id="11" w:name="_Toc24553339"/>
      <w:bookmarkStart w:id="12" w:name="_Toc39127249"/>
      <w:bookmarkStart w:id="13" w:name="_Toc34319184"/>
      <w:bookmarkStart w:id="14" w:name="_Toc40105884"/>
      <w:bookmarkStart w:id="15" w:name="_Toc67996653"/>
      <w:r w:rsidRPr="00DD4897">
        <w:rPr>
          <w:rFonts w:cstheme="minorHAnsi"/>
          <w:szCs w:val="32"/>
        </w:rPr>
        <w:t xml:space="preserve">Changes from the previous version (Version </w:t>
      </w:r>
      <w:r w:rsidR="009834F0">
        <w:rPr>
          <w:rFonts w:cstheme="minorHAnsi"/>
          <w:szCs w:val="32"/>
        </w:rPr>
        <w:t>4</w:t>
      </w:r>
      <w:r w:rsidR="00964B0D">
        <w:rPr>
          <w:rFonts w:cstheme="minorHAnsi"/>
          <w:szCs w:val="32"/>
        </w:rPr>
        <w:t>.</w:t>
      </w:r>
      <w:r w:rsidR="007E673A">
        <w:rPr>
          <w:rFonts w:cstheme="minorHAnsi"/>
          <w:szCs w:val="32"/>
        </w:rPr>
        <w:t>1</w:t>
      </w:r>
      <w:r w:rsidRPr="00DD4897">
        <w:rPr>
          <w:rFonts w:cstheme="minorHAnsi"/>
          <w:szCs w:val="32"/>
        </w:rPr>
        <w:t>)</w:t>
      </w:r>
      <w:bookmarkEnd w:id="5"/>
      <w:bookmarkEnd w:id="6"/>
      <w:bookmarkEnd w:id="7"/>
      <w:bookmarkEnd w:id="8"/>
      <w:bookmarkEnd w:id="9"/>
      <w:bookmarkEnd w:id="10"/>
      <w:bookmarkEnd w:id="11"/>
      <w:bookmarkEnd w:id="12"/>
      <w:bookmarkEnd w:id="13"/>
      <w:bookmarkEnd w:id="14"/>
      <w:bookmarkEnd w:id="15"/>
    </w:p>
    <w:p w14:paraId="6444D9E0" w14:textId="77777777" w:rsidR="006013E7" w:rsidRPr="00297890" w:rsidRDefault="006013E7" w:rsidP="004E4B31">
      <w:pPr>
        <w:pStyle w:val="Frontpagesub-heading"/>
      </w:pPr>
      <w:bookmarkStart w:id="16" w:name="_Toc504665509"/>
      <w:bookmarkStart w:id="17" w:name="_Toc505336479"/>
      <w:bookmarkStart w:id="18" w:name="_Toc507404742"/>
      <w:bookmarkStart w:id="19" w:name="_Toc507579606"/>
      <w:bookmarkStart w:id="20" w:name="_Toc507579660"/>
      <w:bookmarkStart w:id="21" w:name="_Toc18500647"/>
      <w:bookmarkStart w:id="22" w:name="_Toc24553282"/>
      <w:bookmarkStart w:id="23" w:name="_Toc24553340"/>
      <w:r w:rsidRPr="00297890">
        <w:t>Policy changes:</w:t>
      </w:r>
      <w:bookmarkEnd w:id="16"/>
      <w:bookmarkEnd w:id="17"/>
      <w:bookmarkEnd w:id="18"/>
      <w:bookmarkEnd w:id="19"/>
      <w:bookmarkEnd w:id="20"/>
      <w:bookmarkEnd w:id="21"/>
      <w:bookmarkEnd w:id="22"/>
      <w:bookmarkEnd w:id="23"/>
    </w:p>
    <w:p w14:paraId="69ECBDCD" w14:textId="141768D8" w:rsidR="00A23253" w:rsidRPr="00297890" w:rsidRDefault="00BC61F5" w:rsidP="00297890">
      <w:pPr>
        <w:pStyle w:val="guidelinechanges"/>
      </w:pPr>
      <w:bookmarkStart w:id="24" w:name="_Toc504665511"/>
      <w:bookmarkStart w:id="25" w:name="_Toc505336481"/>
      <w:bookmarkStart w:id="26" w:name="_Toc507404744"/>
      <w:bookmarkStart w:id="27" w:name="_Toc507579608"/>
      <w:bookmarkStart w:id="28" w:name="_Toc507579662"/>
      <w:bookmarkStart w:id="29" w:name="_Toc18500649"/>
      <w:bookmarkStart w:id="30" w:name="_Toc24553284"/>
      <w:bookmarkStart w:id="31" w:name="_Toc24553342"/>
      <w:r>
        <w:t>Nil</w:t>
      </w:r>
    </w:p>
    <w:bookmarkEnd w:id="24"/>
    <w:bookmarkEnd w:id="25"/>
    <w:bookmarkEnd w:id="26"/>
    <w:bookmarkEnd w:id="27"/>
    <w:bookmarkEnd w:id="28"/>
    <w:bookmarkEnd w:id="29"/>
    <w:bookmarkEnd w:id="30"/>
    <w:bookmarkEnd w:id="31"/>
    <w:p w14:paraId="02A52F1D" w14:textId="0A61A29D" w:rsidR="006013E7" w:rsidRDefault="006013E7" w:rsidP="00297890">
      <w:pPr>
        <w:pStyle w:val="Frontpagesub-heading"/>
      </w:pPr>
      <w:r w:rsidRPr="00297890">
        <w:t>Wording changes:</w:t>
      </w:r>
    </w:p>
    <w:p w14:paraId="5EA824B2" w14:textId="7DE45754" w:rsidR="00BC61F5" w:rsidRDefault="00BC61F5" w:rsidP="00297890">
      <w:pPr>
        <w:pStyle w:val="Frontpagesub-heading"/>
        <w:rPr>
          <w:b w:val="0"/>
          <w:bCs/>
        </w:rPr>
      </w:pPr>
      <w:r w:rsidRPr="009834F0">
        <w:rPr>
          <w:b w:val="0"/>
          <w:bCs/>
          <w:szCs w:val="20"/>
        </w:rPr>
        <w:t xml:space="preserve">Page </w:t>
      </w:r>
      <w:r w:rsidR="006676D9">
        <w:rPr>
          <w:b w:val="0"/>
          <w:bCs/>
          <w:szCs w:val="20"/>
        </w:rPr>
        <w:t xml:space="preserve">13 </w:t>
      </w:r>
      <w:r w:rsidRPr="009834F0">
        <w:rPr>
          <w:b w:val="0"/>
          <w:bCs/>
          <w:szCs w:val="20"/>
        </w:rPr>
        <w:t xml:space="preserve">- </w:t>
      </w:r>
      <w:r w:rsidR="006676D9" w:rsidRPr="006676D9">
        <w:rPr>
          <w:b w:val="0"/>
          <w:bCs/>
        </w:rPr>
        <w:t>Additional clarification provided regarding Special Benefit recipients.</w:t>
      </w:r>
    </w:p>
    <w:p w14:paraId="19E1C1E1" w14:textId="762C8FAA" w:rsidR="00461E40" w:rsidRDefault="006D588B" w:rsidP="00461E40">
      <w:pPr>
        <w:pStyle w:val="guidelinechanges"/>
        <w:rPr>
          <w:bCs/>
        </w:rPr>
      </w:pPr>
      <w:r>
        <w:rPr>
          <w:bCs/>
        </w:rPr>
        <w:t>Pages 4</w:t>
      </w:r>
      <w:r w:rsidR="00C30E6F">
        <w:rPr>
          <w:bCs/>
        </w:rPr>
        <w:t xml:space="preserve">, 5 </w:t>
      </w:r>
      <w:r>
        <w:rPr>
          <w:bCs/>
        </w:rPr>
        <w:t>and</w:t>
      </w:r>
      <w:r w:rsidR="00C30E6F">
        <w:rPr>
          <w:bCs/>
        </w:rPr>
        <w:t xml:space="preserve"> 6</w:t>
      </w:r>
      <w:r>
        <w:rPr>
          <w:bCs/>
        </w:rPr>
        <w:t xml:space="preserve"> - </w:t>
      </w:r>
      <w:r w:rsidR="00461E40" w:rsidRPr="00BD54A0">
        <w:rPr>
          <w:bCs/>
        </w:rPr>
        <w:t xml:space="preserve">Changes to reflect the return </w:t>
      </w:r>
      <w:r w:rsidR="00461E40">
        <w:rPr>
          <w:bCs/>
        </w:rPr>
        <w:t>of</w:t>
      </w:r>
      <w:r w:rsidR="00461E40" w:rsidRPr="00BD54A0">
        <w:rPr>
          <w:bCs/>
        </w:rPr>
        <w:t xml:space="preserve"> Services Australia making the majority of Referrals</w:t>
      </w:r>
      <w:r>
        <w:rPr>
          <w:bCs/>
        </w:rPr>
        <w:t>.</w:t>
      </w:r>
      <w:r w:rsidR="00461E40" w:rsidRPr="00BD54A0">
        <w:rPr>
          <w:bCs/>
        </w:rPr>
        <w:t xml:space="preserve"> </w:t>
      </w:r>
    </w:p>
    <w:p w14:paraId="5AFC0C5C" w14:textId="77777777" w:rsidR="00461E40" w:rsidRPr="009834F0" w:rsidRDefault="00461E40" w:rsidP="00297890">
      <w:pPr>
        <w:pStyle w:val="Frontpagesub-heading"/>
        <w:rPr>
          <w:b w:val="0"/>
          <w:bCs/>
        </w:rPr>
      </w:pPr>
    </w:p>
    <w:p w14:paraId="3990E55B" w14:textId="77777777" w:rsidR="004B7969" w:rsidRPr="00DA14F3" w:rsidRDefault="004B7969" w:rsidP="000A05D9">
      <w:pPr>
        <w:pStyle w:val="guidelinedocinfo"/>
      </w:pPr>
      <w:bookmarkStart w:id="32" w:name="_Toc17467309"/>
      <w:bookmarkStart w:id="33" w:name="_Toc17751581"/>
      <w:bookmarkStart w:id="34" w:name="_Toc17795382"/>
      <w:bookmarkStart w:id="35" w:name="_Toc17796894"/>
      <w:bookmarkStart w:id="36" w:name="_Toc21704068"/>
      <w:bookmarkStart w:id="37" w:name="_Toc24032780"/>
      <w:bookmarkStart w:id="38" w:name="_Toc24032851"/>
      <w:bookmarkStart w:id="39" w:name="_Toc39127250"/>
      <w:bookmarkStart w:id="40" w:name="_Toc34319185"/>
      <w:bookmarkStart w:id="41" w:name="_Toc40105885"/>
      <w:bookmarkStart w:id="42" w:name="_Toc67996654"/>
      <w:r w:rsidRPr="00CC7449">
        <w:t>Related documents and references</w:t>
      </w:r>
      <w:bookmarkEnd w:id="0"/>
      <w:bookmarkEnd w:id="1"/>
      <w:bookmarkEnd w:id="2"/>
      <w:bookmarkEnd w:id="3"/>
      <w:bookmarkEnd w:id="4"/>
      <w:bookmarkEnd w:id="32"/>
      <w:bookmarkEnd w:id="33"/>
      <w:bookmarkEnd w:id="34"/>
      <w:bookmarkEnd w:id="35"/>
      <w:bookmarkEnd w:id="36"/>
      <w:bookmarkEnd w:id="37"/>
      <w:bookmarkEnd w:id="38"/>
      <w:bookmarkEnd w:id="39"/>
      <w:bookmarkEnd w:id="40"/>
      <w:bookmarkEnd w:id="41"/>
      <w:bookmarkEnd w:id="42"/>
    </w:p>
    <w:p w14:paraId="06BBA1B0" w14:textId="77777777" w:rsidR="00F46AEF" w:rsidRDefault="00F46AEF" w:rsidP="00D911DD">
      <w:pPr>
        <w:pStyle w:val="guidelinechanges"/>
        <w:sectPr w:rsidR="00F46AEF" w:rsidSect="00D36EEA">
          <w:type w:val="continuous"/>
          <w:pgSz w:w="11906" w:h="16838"/>
          <w:pgMar w:top="120" w:right="1440" w:bottom="1440" w:left="1440" w:header="142" w:footer="708" w:gutter="0"/>
          <w:cols w:space="708"/>
          <w:titlePg/>
          <w:docGrid w:linePitch="360"/>
        </w:sectPr>
      </w:pPr>
    </w:p>
    <w:p w14:paraId="59736F93" w14:textId="303BEACB" w:rsidR="00B05F2E" w:rsidRDefault="002B414A" w:rsidP="001E71CF">
      <w:pPr>
        <w:rPr>
          <w:rStyle w:val="Hyperlink"/>
          <w:sz w:val="20"/>
        </w:rPr>
      </w:pPr>
      <w:hyperlink r:id="rId15" w:history="1">
        <w:r w:rsidR="009E225E" w:rsidRPr="009C1CE4">
          <w:rPr>
            <w:rStyle w:val="Hyperlink"/>
            <w:sz w:val="20"/>
          </w:rPr>
          <w:t>Assessments Guideline – Job Seeker Classification Instrument (JSCI) and Employment Services Assessments (ESAt)</w:t>
        </w:r>
      </w:hyperlink>
      <w:r w:rsidR="00B05F2E">
        <w:rPr>
          <w:rStyle w:val="Hyperlink"/>
          <w:sz w:val="20"/>
        </w:rPr>
        <w:t xml:space="preserve"> </w:t>
      </w:r>
    </w:p>
    <w:p w14:paraId="34577848" w14:textId="42B5E43F" w:rsidR="009E225E" w:rsidRPr="009C1CE4" w:rsidRDefault="002B414A" w:rsidP="001E71CF">
      <w:pPr>
        <w:rPr>
          <w:rStyle w:val="Hyperlink"/>
          <w:sz w:val="20"/>
        </w:rPr>
      </w:pPr>
      <w:hyperlink r:id="rId16" w:history="1">
        <w:r w:rsidR="009E225E" w:rsidRPr="009C1CE4">
          <w:rPr>
            <w:rStyle w:val="Hyperlink"/>
            <w:sz w:val="20"/>
          </w:rPr>
          <w:t>Direct Registration Guideline</w:t>
        </w:r>
      </w:hyperlink>
    </w:p>
    <w:p w14:paraId="1AAE400B" w14:textId="3DDE96D7" w:rsidR="009E225E" w:rsidRPr="009E1521" w:rsidRDefault="002B414A" w:rsidP="009E225E">
      <w:pPr>
        <w:pStyle w:val="guidelinechanges"/>
        <w:rPr>
          <w:rStyle w:val="Hyperlink"/>
        </w:rPr>
      </w:pPr>
      <w:hyperlink r:id="rId17" w:history="1">
        <w:r w:rsidR="00371F86" w:rsidRPr="009E1521">
          <w:rPr>
            <w:rStyle w:val="Hyperlink"/>
          </w:rPr>
          <w:t xml:space="preserve">Job Plan and Mutual Obligation Requirements Guideline </w:t>
        </w:r>
      </w:hyperlink>
      <w:r w:rsidR="009E225E" w:rsidRPr="009E1521">
        <w:rPr>
          <w:rStyle w:val="Hyperlink"/>
        </w:rPr>
        <w:t xml:space="preserve"> </w:t>
      </w:r>
    </w:p>
    <w:p w14:paraId="29DBB054" w14:textId="4205AD44" w:rsidR="009E225E" w:rsidRPr="00D46073" w:rsidRDefault="002B414A" w:rsidP="009E225E">
      <w:pPr>
        <w:pStyle w:val="guidelinechanges"/>
        <w:rPr>
          <w:rStyle w:val="Hyperlink"/>
        </w:rPr>
      </w:pPr>
      <w:hyperlink r:id="rId18" w:history="1">
        <w:r w:rsidR="009E225E" w:rsidRPr="009E1521">
          <w:rPr>
            <w:rStyle w:val="Hyperlink"/>
          </w:rPr>
          <w:t>Managing and Monitoring Mut</w:t>
        </w:r>
        <w:r w:rsidR="00014A5E" w:rsidRPr="009E1521">
          <w:rPr>
            <w:rStyle w:val="Hyperlink"/>
          </w:rPr>
          <w:t xml:space="preserve">ual Obligation Requirements </w:t>
        </w:r>
        <w:r w:rsidR="009E225E" w:rsidRPr="009E1521">
          <w:rPr>
            <w:rStyle w:val="Hyperlink"/>
          </w:rPr>
          <w:t>Guideline</w:t>
        </w:r>
      </w:hyperlink>
      <w:r w:rsidR="009E225E" w:rsidRPr="00D46073">
        <w:rPr>
          <w:rStyle w:val="Hyperlink"/>
        </w:rPr>
        <w:t xml:space="preserve"> </w:t>
      </w:r>
    </w:p>
    <w:p w14:paraId="6C08412F" w14:textId="083852AA" w:rsidR="009E225E" w:rsidRPr="00D46073" w:rsidRDefault="002B414A" w:rsidP="009E225E">
      <w:pPr>
        <w:pStyle w:val="guidelinechanges"/>
        <w:rPr>
          <w:rStyle w:val="Hyperlink"/>
        </w:rPr>
      </w:pPr>
      <w:hyperlink r:id="rId19" w:history="1">
        <w:r w:rsidR="009E225E" w:rsidRPr="009E1521">
          <w:rPr>
            <w:rStyle w:val="Hyperlink"/>
          </w:rPr>
          <w:t>Period of Service, Suspensions and Exits Guideline</w:t>
        </w:r>
      </w:hyperlink>
    </w:p>
    <w:p w14:paraId="13B98A88" w14:textId="130C00EA" w:rsidR="009E225E" w:rsidRPr="009E1521" w:rsidRDefault="002B414A" w:rsidP="009E225E">
      <w:pPr>
        <w:pStyle w:val="guidelinechanges"/>
      </w:pPr>
      <w:hyperlink r:id="rId20" w:history="1">
        <w:r w:rsidR="009E225E" w:rsidRPr="00650D9E">
          <w:rPr>
            <w:rStyle w:val="Hyperlink"/>
          </w:rPr>
          <w:t>Privacy Guideline</w:t>
        </w:r>
      </w:hyperlink>
    </w:p>
    <w:p w14:paraId="500450F5" w14:textId="2E7F9DF4" w:rsidR="009E225E" w:rsidRDefault="002B414A" w:rsidP="009E225E">
      <w:pPr>
        <w:pStyle w:val="guidelinechanges"/>
        <w:rPr>
          <w:rStyle w:val="Hyperlink"/>
        </w:rPr>
      </w:pPr>
      <w:hyperlink r:id="rId21" w:history="1">
        <w:r w:rsidR="009E225E" w:rsidRPr="009E1521">
          <w:rPr>
            <w:rStyle w:val="Hyperlink"/>
          </w:rPr>
          <w:t>Transfer Guideline</w:t>
        </w:r>
      </w:hyperlink>
    </w:p>
    <w:p w14:paraId="0125E495" w14:textId="56C8D352" w:rsidR="00371F86" w:rsidRPr="000976C6" w:rsidRDefault="002B414A" w:rsidP="009E225E">
      <w:pPr>
        <w:pStyle w:val="guidelinechanges"/>
        <w:rPr>
          <w:rStyle w:val="Hyperlink"/>
        </w:rPr>
      </w:pPr>
      <w:hyperlink r:id="rId22" w:history="1">
        <w:r w:rsidR="00501F59" w:rsidRPr="009E1521">
          <w:rPr>
            <w:rStyle w:val="Hyperlink"/>
          </w:rPr>
          <w:t>Volunteers Guideline</w:t>
        </w:r>
      </w:hyperlink>
    </w:p>
    <w:p w14:paraId="25BECF9E" w14:textId="2E6E719E" w:rsidR="00FC649D" w:rsidRPr="009E1521" w:rsidRDefault="009E1521" w:rsidP="009E225E">
      <w:pPr>
        <w:pStyle w:val="guidelinechanges"/>
        <w:rPr>
          <w:rStyle w:val="Hyperlink"/>
        </w:rPr>
      </w:pPr>
      <w:r>
        <w:fldChar w:fldCharType="begin"/>
      </w:r>
      <w:r w:rsidR="000866FE">
        <w:instrText>HYPERLINK "https://ecsnaccessintranet.hosts.application.enet/ProviderPortal/NEST/Guidelines/Pages/Structural-Adjustment-Packages.aspx"</w:instrText>
      </w:r>
      <w:r>
        <w:fldChar w:fldCharType="separate"/>
      </w:r>
      <w:r w:rsidR="00371F86" w:rsidRPr="009E1521">
        <w:rPr>
          <w:rStyle w:val="Hyperlink"/>
        </w:rPr>
        <w:t>Structural Adjustment Programmes Guideline</w:t>
      </w:r>
    </w:p>
    <w:p w14:paraId="242FAFAD" w14:textId="77777777" w:rsidR="00371F86" w:rsidRPr="009E1521" w:rsidRDefault="00371F86" w:rsidP="009E225E">
      <w:pPr>
        <w:pStyle w:val="guidelinechanges"/>
        <w:rPr>
          <w:rStyle w:val="Hyperlink"/>
        </w:rPr>
        <w:sectPr w:rsidR="00371F86" w:rsidRPr="009E1521" w:rsidSect="00CC7449">
          <w:type w:val="continuous"/>
          <w:pgSz w:w="11906" w:h="16838"/>
          <w:pgMar w:top="120" w:right="1440" w:bottom="1440" w:left="1440" w:header="142" w:footer="708" w:gutter="0"/>
          <w:cols w:num="2" w:space="708"/>
          <w:titlePg/>
          <w:docGrid w:linePitch="360"/>
        </w:sectPr>
      </w:pPr>
    </w:p>
    <w:p w14:paraId="54734591" w14:textId="77777777" w:rsidR="00110014" w:rsidRDefault="00110014">
      <w:r w:rsidRPr="009E1521">
        <w:rPr>
          <w:rStyle w:val="Hyperlink"/>
        </w:rPr>
        <w:br w:type="page"/>
      </w:r>
      <w:r w:rsidR="009E1521">
        <w:rPr>
          <w:sz w:val="20"/>
        </w:rPr>
        <w:fldChar w:fldCharType="end"/>
      </w:r>
    </w:p>
    <w:p w14:paraId="61C691FA" w14:textId="231ADBB1" w:rsidR="009834F0" w:rsidRPr="009834F0" w:rsidRDefault="009834F0" w:rsidP="009834F0">
      <w:pPr>
        <w:rPr>
          <w:color w:val="2E74B5" w:themeColor="accent1" w:themeShade="BF"/>
        </w:rPr>
      </w:pPr>
      <w:bookmarkStart w:id="43" w:name="_Toc468976071"/>
      <w:bookmarkStart w:id="44" w:name="_Toc478656136"/>
      <w:r w:rsidRPr="009834F0">
        <w:rPr>
          <w:color w:val="2E74B5" w:themeColor="accent1" w:themeShade="BF"/>
        </w:rPr>
        <w:lastRenderedPageBreak/>
        <w:t>Contents</w:t>
      </w:r>
    </w:p>
    <w:p w14:paraId="59F57B9B" w14:textId="1E3810D5" w:rsidR="007E673A" w:rsidRDefault="009834F0">
      <w:pPr>
        <w:pStyle w:val="TOC1"/>
        <w:rPr>
          <w:rFonts w:eastAsiaTheme="minorEastAsia"/>
          <w:bCs w:val="0"/>
          <w:noProof/>
          <w:szCs w:val="22"/>
          <w:lang w:eastAsia="en-AU"/>
        </w:rPr>
      </w:pPr>
      <w:r>
        <w:fldChar w:fldCharType="begin"/>
      </w:r>
      <w:r>
        <w:instrText xml:space="preserve"> TOC \h \z \t "Heading 1,1,Heading 2,2" </w:instrText>
      </w:r>
      <w:r>
        <w:fldChar w:fldCharType="separate"/>
      </w:r>
      <w:hyperlink w:anchor="_Toc86758566" w:history="1">
        <w:r w:rsidR="007E673A" w:rsidRPr="00AE6C75">
          <w:rPr>
            <w:rStyle w:val="Hyperlink"/>
            <w:noProof/>
          </w:rPr>
          <w:t>1.</w:t>
        </w:r>
        <w:r w:rsidR="007E673A">
          <w:rPr>
            <w:rFonts w:eastAsiaTheme="minorEastAsia"/>
            <w:bCs w:val="0"/>
            <w:noProof/>
            <w:szCs w:val="22"/>
            <w:lang w:eastAsia="en-AU"/>
          </w:rPr>
          <w:tab/>
        </w:r>
        <w:r w:rsidR="007E673A" w:rsidRPr="00AE6C75">
          <w:rPr>
            <w:rStyle w:val="Hyperlink"/>
            <w:noProof/>
          </w:rPr>
          <w:t>Eligibility for Trial Services</w:t>
        </w:r>
        <w:r w:rsidR="007E673A">
          <w:rPr>
            <w:noProof/>
            <w:webHidden/>
          </w:rPr>
          <w:tab/>
        </w:r>
        <w:r w:rsidR="007E673A">
          <w:rPr>
            <w:noProof/>
            <w:webHidden/>
          </w:rPr>
          <w:fldChar w:fldCharType="begin"/>
        </w:r>
        <w:r w:rsidR="007E673A">
          <w:rPr>
            <w:noProof/>
            <w:webHidden/>
          </w:rPr>
          <w:instrText xml:space="preserve"> PAGEREF _Toc86758566 \h </w:instrText>
        </w:r>
        <w:r w:rsidR="007E673A">
          <w:rPr>
            <w:noProof/>
            <w:webHidden/>
          </w:rPr>
        </w:r>
        <w:r w:rsidR="007E673A">
          <w:rPr>
            <w:noProof/>
            <w:webHidden/>
          </w:rPr>
          <w:fldChar w:fldCharType="separate"/>
        </w:r>
        <w:r w:rsidR="002B414A">
          <w:rPr>
            <w:noProof/>
            <w:webHidden/>
          </w:rPr>
          <w:t>3</w:t>
        </w:r>
        <w:r w:rsidR="007E673A">
          <w:rPr>
            <w:noProof/>
            <w:webHidden/>
          </w:rPr>
          <w:fldChar w:fldCharType="end"/>
        </w:r>
      </w:hyperlink>
    </w:p>
    <w:p w14:paraId="3993E22B" w14:textId="289FDF59" w:rsidR="007E673A" w:rsidRDefault="002B414A">
      <w:pPr>
        <w:pStyle w:val="TOC1"/>
        <w:rPr>
          <w:rFonts w:eastAsiaTheme="minorEastAsia"/>
          <w:bCs w:val="0"/>
          <w:noProof/>
          <w:szCs w:val="22"/>
          <w:lang w:eastAsia="en-AU"/>
        </w:rPr>
      </w:pPr>
      <w:hyperlink w:anchor="_Toc86758567" w:history="1">
        <w:r w:rsidR="007E673A" w:rsidRPr="00AE6C75">
          <w:rPr>
            <w:rStyle w:val="Hyperlink"/>
            <w:noProof/>
          </w:rPr>
          <w:t>2.</w:t>
        </w:r>
        <w:r w:rsidR="007E673A">
          <w:rPr>
            <w:rFonts w:eastAsiaTheme="minorEastAsia"/>
            <w:bCs w:val="0"/>
            <w:noProof/>
            <w:szCs w:val="22"/>
            <w:lang w:eastAsia="en-AU"/>
          </w:rPr>
          <w:tab/>
        </w:r>
        <w:r w:rsidR="007E673A" w:rsidRPr="00AE6C75">
          <w:rPr>
            <w:rStyle w:val="Hyperlink"/>
            <w:noProof/>
          </w:rPr>
          <w:t>Referrals by Services Australia</w:t>
        </w:r>
        <w:r w:rsidR="007E673A">
          <w:rPr>
            <w:noProof/>
            <w:webHidden/>
          </w:rPr>
          <w:tab/>
        </w:r>
        <w:r w:rsidR="007E673A">
          <w:rPr>
            <w:noProof/>
            <w:webHidden/>
          </w:rPr>
          <w:fldChar w:fldCharType="begin"/>
        </w:r>
        <w:r w:rsidR="007E673A">
          <w:rPr>
            <w:noProof/>
            <w:webHidden/>
          </w:rPr>
          <w:instrText xml:space="preserve"> PAGEREF _Toc86758567 \h </w:instrText>
        </w:r>
        <w:r w:rsidR="007E673A">
          <w:rPr>
            <w:noProof/>
            <w:webHidden/>
          </w:rPr>
        </w:r>
        <w:r w:rsidR="007E673A">
          <w:rPr>
            <w:noProof/>
            <w:webHidden/>
          </w:rPr>
          <w:fldChar w:fldCharType="separate"/>
        </w:r>
        <w:r>
          <w:rPr>
            <w:noProof/>
            <w:webHidden/>
          </w:rPr>
          <w:t>3</w:t>
        </w:r>
        <w:r w:rsidR="007E673A">
          <w:rPr>
            <w:noProof/>
            <w:webHidden/>
          </w:rPr>
          <w:fldChar w:fldCharType="end"/>
        </w:r>
      </w:hyperlink>
    </w:p>
    <w:p w14:paraId="795864EF" w14:textId="1F960D92" w:rsidR="007E673A" w:rsidRDefault="002B414A">
      <w:pPr>
        <w:pStyle w:val="TOC2"/>
        <w:rPr>
          <w:rFonts w:eastAsiaTheme="minorEastAsia"/>
          <w:iCs w:val="0"/>
          <w:noProof/>
          <w:szCs w:val="22"/>
          <w:lang w:eastAsia="en-AU"/>
        </w:rPr>
      </w:pPr>
      <w:hyperlink w:anchor="_Toc86758568" w:history="1">
        <w:r w:rsidR="007E673A" w:rsidRPr="00AE6C75">
          <w:rPr>
            <w:rStyle w:val="Hyperlink"/>
            <w:noProof/>
          </w:rPr>
          <w:t>Trial Providers must have Electronic Diary timeslots available.</w:t>
        </w:r>
        <w:r w:rsidR="007E673A">
          <w:rPr>
            <w:noProof/>
            <w:webHidden/>
          </w:rPr>
          <w:tab/>
        </w:r>
        <w:r w:rsidR="007E673A">
          <w:rPr>
            <w:noProof/>
            <w:webHidden/>
          </w:rPr>
          <w:fldChar w:fldCharType="begin"/>
        </w:r>
        <w:r w:rsidR="007E673A">
          <w:rPr>
            <w:noProof/>
            <w:webHidden/>
          </w:rPr>
          <w:instrText xml:space="preserve"> PAGEREF _Toc86758568 \h </w:instrText>
        </w:r>
        <w:r w:rsidR="007E673A">
          <w:rPr>
            <w:noProof/>
            <w:webHidden/>
          </w:rPr>
        </w:r>
        <w:r w:rsidR="007E673A">
          <w:rPr>
            <w:noProof/>
            <w:webHidden/>
          </w:rPr>
          <w:fldChar w:fldCharType="separate"/>
        </w:r>
        <w:r>
          <w:rPr>
            <w:noProof/>
            <w:webHidden/>
          </w:rPr>
          <w:t>4</w:t>
        </w:r>
        <w:r w:rsidR="007E673A">
          <w:rPr>
            <w:noProof/>
            <w:webHidden/>
          </w:rPr>
          <w:fldChar w:fldCharType="end"/>
        </w:r>
      </w:hyperlink>
    </w:p>
    <w:p w14:paraId="4F251272" w14:textId="636D0BF4" w:rsidR="007E673A" w:rsidRDefault="002B414A">
      <w:pPr>
        <w:pStyle w:val="TOC1"/>
        <w:rPr>
          <w:rFonts w:eastAsiaTheme="minorEastAsia"/>
          <w:bCs w:val="0"/>
          <w:noProof/>
          <w:szCs w:val="22"/>
          <w:lang w:eastAsia="en-AU"/>
        </w:rPr>
      </w:pPr>
      <w:hyperlink w:anchor="_Toc86758570" w:history="1">
        <w:r w:rsidR="007E673A" w:rsidRPr="00AE6C75">
          <w:rPr>
            <w:rStyle w:val="Hyperlink"/>
            <w:noProof/>
          </w:rPr>
          <w:t>3.</w:t>
        </w:r>
        <w:r w:rsidR="007E673A">
          <w:rPr>
            <w:rFonts w:eastAsiaTheme="minorEastAsia"/>
            <w:bCs w:val="0"/>
            <w:noProof/>
            <w:szCs w:val="22"/>
            <w:lang w:eastAsia="en-AU"/>
          </w:rPr>
          <w:tab/>
        </w:r>
        <w:r w:rsidR="007E673A" w:rsidRPr="00AE6C75">
          <w:rPr>
            <w:rStyle w:val="Hyperlink"/>
            <w:noProof/>
          </w:rPr>
          <w:t>Eligible Participants not referred by Services Australia</w:t>
        </w:r>
        <w:r w:rsidR="007E673A">
          <w:rPr>
            <w:noProof/>
            <w:webHidden/>
          </w:rPr>
          <w:tab/>
        </w:r>
        <w:r w:rsidR="007E673A">
          <w:rPr>
            <w:noProof/>
            <w:webHidden/>
          </w:rPr>
          <w:fldChar w:fldCharType="begin"/>
        </w:r>
        <w:r w:rsidR="007E673A">
          <w:rPr>
            <w:noProof/>
            <w:webHidden/>
          </w:rPr>
          <w:instrText xml:space="preserve"> PAGEREF _Toc86758570 \h </w:instrText>
        </w:r>
        <w:r w:rsidR="007E673A">
          <w:rPr>
            <w:noProof/>
            <w:webHidden/>
          </w:rPr>
        </w:r>
        <w:r w:rsidR="007E673A">
          <w:rPr>
            <w:noProof/>
            <w:webHidden/>
          </w:rPr>
          <w:fldChar w:fldCharType="separate"/>
        </w:r>
        <w:r>
          <w:rPr>
            <w:noProof/>
            <w:webHidden/>
          </w:rPr>
          <w:t>4</w:t>
        </w:r>
        <w:r w:rsidR="007E673A">
          <w:rPr>
            <w:noProof/>
            <w:webHidden/>
          </w:rPr>
          <w:fldChar w:fldCharType="end"/>
        </w:r>
      </w:hyperlink>
    </w:p>
    <w:p w14:paraId="5C416F5C" w14:textId="1D8A8BCF" w:rsidR="007E673A" w:rsidRDefault="002B414A">
      <w:pPr>
        <w:pStyle w:val="TOC2"/>
        <w:rPr>
          <w:rFonts w:eastAsiaTheme="minorEastAsia"/>
          <w:iCs w:val="0"/>
          <w:noProof/>
          <w:szCs w:val="22"/>
          <w:lang w:eastAsia="en-AU"/>
        </w:rPr>
      </w:pPr>
      <w:hyperlink w:anchor="_Toc86758571" w:history="1">
        <w:r w:rsidR="007E673A" w:rsidRPr="00AE6C75">
          <w:rPr>
            <w:rStyle w:val="Hyperlink"/>
            <w:noProof/>
          </w:rPr>
          <w:t>Retrenched workers and their partners</w:t>
        </w:r>
        <w:r w:rsidR="007E673A">
          <w:rPr>
            <w:noProof/>
            <w:webHidden/>
          </w:rPr>
          <w:tab/>
        </w:r>
        <w:r w:rsidR="007E673A">
          <w:rPr>
            <w:noProof/>
            <w:webHidden/>
          </w:rPr>
          <w:fldChar w:fldCharType="begin"/>
        </w:r>
        <w:r w:rsidR="007E673A">
          <w:rPr>
            <w:noProof/>
            <w:webHidden/>
          </w:rPr>
          <w:instrText xml:space="preserve"> PAGEREF _Toc86758571 \h </w:instrText>
        </w:r>
        <w:r w:rsidR="007E673A">
          <w:rPr>
            <w:noProof/>
            <w:webHidden/>
          </w:rPr>
        </w:r>
        <w:r w:rsidR="007E673A">
          <w:rPr>
            <w:noProof/>
            <w:webHidden/>
          </w:rPr>
          <w:fldChar w:fldCharType="separate"/>
        </w:r>
        <w:r>
          <w:rPr>
            <w:noProof/>
            <w:webHidden/>
          </w:rPr>
          <w:t>4</w:t>
        </w:r>
        <w:r w:rsidR="007E673A">
          <w:rPr>
            <w:noProof/>
            <w:webHidden/>
          </w:rPr>
          <w:fldChar w:fldCharType="end"/>
        </w:r>
      </w:hyperlink>
    </w:p>
    <w:p w14:paraId="555A155B" w14:textId="27CFCD3C" w:rsidR="007E673A" w:rsidRDefault="002B414A">
      <w:pPr>
        <w:pStyle w:val="TOC2"/>
        <w:rPr>
          <w:rFonts w:eastAsiaTheme="minorEastAsia"/>
          <w:iCs w:val="0"/>
          <w:noProof/>
          <w:szCs w:val="22"/>
          <w:lang w:eastAsia="en-AU"/>
        </w:rPr>
      </w:pPr>
      <w:hyperlink w:anchor="_Toc86758572" w:history="1">
        <w:r w:rsidR="007E673A" w:rsidRPr="00AE6C75">
          <w:rPr>
            <w:rStyle w:val="Hyperlink"/>
            <w:noProof/>
          </w:rPr>
          <w:t>Vulnerable Youth or Vulnerable Youth (Student)s</w:t>
        </w:r>
        <w:r w:rsidR="007E673A">
          <w:rPr>
            <w:noProof/>
            <w:webHidden/>
          </w:rPr>
          <w:tab/>
        </w:r>
        <w:r w:rsidR="007E673A">
          <w:rPr>
            <w:noProof/>
            <w:webHidden/>
          </w:rPr>
          <w:fldChar w:fldCharType="begin"/>
        </w:r>
        <w:r w:rsidR="007E673A">
          <w:rPr>
            <w:noProof/>
            <w:webHidden/>
          </w:rPr>
          <w:instrText xml:space="preserve"> PAGEREF _Toc86758572 \h </w:instrText>
        </w:r>
        <w:r w:rsidR="007E673A">
          <w:rPr>
            <w:noProof/>
            <w:webHidden/>
          </w:rPr>
        </w:r>
        <w:r w:rsidR="007E673A">
          <w:rPr>
            <w:noProof/>
            <w:webHidden/>
          </w:rPr>
          <w:fldChar w:fldCharType="separate"/>
        </w:r>
        <w:r>
          <w:rPr>
            <w:noProof/>
            <w:webHidden/>
          </w:rPr>
          <w:t>5</w:t>
        </w:r>
        <w:r w:rsidR="007E673A">
          <w:rPr>
            <w:noProof/>
            <w:webHidden/>
          </w:rPr>
          <w:fldChar w:fldCharType="end"/>
        </w:r>
      </w:hyperlink>
    </w:p>
    <w:p w14:paraId="7BF22457" w14:textId="4E403D3E" w:rsidR="007E673A" w:rsidRDefault="002B414A">
      <w:pPr>
        <w:pStyle w:val="TOC2"/>
        <w:rPr>
          <w:rFonts w:eastAsiaTheme="minorEastAsia"/>
          <w:iCs w:val="0"/>
          <w:noProof/>
          <w:szCs w:val="22"/>
          <w:lang w:eastAsia="en-AU"/>
        </w:rPr>
      </w:pPr>
      <w:hyperlink w:anchor="_Toc86758573" w:history="1">
        <w:r w:rsidR="007E673A" w:rsidRPr="00AE6C75">
          <w:rPr>
            <w:rStyle w:val="Hyperlink"/>
            <w:rFonts w:eastAsia="Times New Roman"/>
            <w:noProof/>
          </w:rPr>
          <w:t>Transition to Work Participants (TtW) nearing the end of TtW</w:t>
        </w:r>
        <w:r w:rsidR="007E673A">
          <w:rPr>
            <w:noProof/>
            <w:webHidden/>
          </w:rPr>
          <w:tab/>
        </w:r>
        <w:r w:rsidR="007E673A">
          <w:rPr>
            <w:noProof/>
            <w:webHidden/>
          </w:rPr>
          <w:fldChar w:fldCharType="begin"/>
        </w:r>
        <w:r w:rsidR="007E673A">
          <w:rPr>
            <w:noProof/>
            <w:webHidden/>
          </w:rPr>
          <w:instrText xml:space="preserve"> PAGEREF _Toc86758573 \h </w:instrText>
        </w:r>
        <w:r w:rsidR="007E673A">
          <w:rPr>
            <w:noProof/>
            <w:webHidden/>
          </w:rPr>
        </w:r>
        <w:r w:rsidR="007E673A">
          <w:rPr>
            <w:noProof/>
            <w:webHidden/>
          </w:rPr>
          <w:fldChar w:fldCharType="separate"/>
        </w:r>
        <w:r>
          <w:rPr>
            <w:noProof/>
            <w:webHidden/>
          </w:rPr>
          <w:t>5</w:t>
        </w:r>
        <w:r w:rsidR="007E673A">
          <w:rPr>
            <w:noProof/>
            <w:webHidden/>
          </w:rPr>
          <w:fldChar w:fldCharType="end"/>
        </w:r>
      </w:hyperlink>
    </w:p>
    <w:p w14:paraId="1369071C" w14:textId="1B756047" w:rsidR="007E673A" w:rsidRDefault="002B414A">
      <w:pPr>
        <w:pStyle w:val="TOC1"/>
        <w:rPr>
          <w:rFonts w:eastAsiaTheme="minorEastAsia"/>
          <w:bCs w:val="0"/>
          <w:noProof/>
          <w:szCs w:val="22"/>
          <w:lang w:eastAsia="en-AU"/>
        </w:rPr>
      </w:pPr>
      <w:hyperlink w:anchor="_Toc86758574" w:history="1">
        <w:r w:rsidR="007E673A" w:rsidRPr="00AE6C75">
          <w:rPr>
            <w:rStyle w:val="Hyperlink"/>
            <w:noProof/>
          </w:rPr>
          <w:t>4.</w:t>
        </w:r>
        <w:r w:rsidR="007E673A">
          <w:rPr>
            <w:rFonts w:eastAsiaTheme="minorEastAsia"/>
            <w:bCs w:val="0"/>
            <w:noProof/>
            <w:szCs w:val="22"/>
            <w:lang w:eastAsia="en-AU"/>
          </w:rPr>
          <w:tab/>
        </w:r>
        <w:r w:rsidR="007E673A" w:rsidRPr="00AE6C75">
          <w:rPr>
            <w:rStyle w:val="Hyperlink"/>
            <w:noProof/>
          </w:rPr>
          <w:t>Preparing for all Appointments</w:t>
        </w:r>
        <w:r w:rsidR="007E673A">
          <w:rPr>
            <w:noProof/>
            <w:webHidden/>
          </w:rPr>
          <w:tab/>
        </w:r>
        <w:r w:rsidR="007E673A">
          <w:rPr>
            <w:noProof/>
            <w:webHidden/>
          </w:rPr>
          <w:fldChar w:fldCharType="begin"/>
        </w:r>
        <w:r w:rsidR="007E673A">
          <w:rPr>
            <w:noProof/>
            <w:webHidden/>
          </w:rPr>
          <w:instrText xml:space="preserve"> PAGEREF _Toc86758574 \h </w:instrText>
        </w:r>
        <w:r w:rsidR="007E673A">
          <w:rPr>
            <w:noProof/>
            <w:webHidden/>
          </w:rPr>
        </w:r>
        <w:r w:rsidR="007E673A">
          <w:rPr>
            <w:noProof/>
            <w:webHidden/>
          </w:rPr>
          <w:fldChar w:fldCharType="separate"/>
        </w:r>
        <w:r>
          <w:rPr>
            <w:noProof/>
            <w:webHidden/>
          </w:rPr>
          <w:t>6</w:t>
        </w:r>
        <w:r w:rsidR="007E673A">
          <w:rPr>
            <w:noProof/>
            <w:webHidden/>
          </w:rPr>
          <w:fldChar w:fldCharType="end"/>
        </w:r>
      </w:hyperlink>
    </w:p>
    <w:p w14:paraId="3F42670F" w14:textId="453E4D4B" w:rsidR="007E673A" w:rsidRDefault="002B414A">
      <w:pPr>
        <w:pStyle w:val="TOC2"/>
        <w:rPr>
          <w:rFonts w:eastAsiaTheme="minorEastAsia"/>
          <w:iCs w:val="0"/>
          <w:noProof/>
          <w:szCs w:val="22"/>
          <w:lang w:eastAsia="en-AU"/>
        </w:rPr>
      </w:pPr>
      <w:hyperlink w:anchor="_Toc86758575" w:history="1">
        <w:r w:rsidR="007E673A" w:rsidRPr="00AE6C75">
          <w:rPr>
            <w:rStyle w:val="Hyperlink"/>
            <w:noProof/>
          </w:rPr>
          <w:t>Location of Appointments</w:t>
        </w:r>
        <w:r w:rsidR="007E673A">
          <w:rPr>
            <w:noProof/>
            <w:webHidden/>
          </w:rPr>
          <w:tab/>
        </w:r>
        <w:r w:rsidR="007E673A">
          <w:rPr>
            <w:noProof/>
            <w:webHidden/>
          </w:rPr>
          <w:fldChar w:fldCharType="begin"/>
        </w:r>
        <w:r w:rsidR="007E673A">
          <w:rPr>
            <w:noProof/>
            <w:webHidden/>
          </w:rPr>
          <w:instrText xml:space="preserve"> PAGEREF _Toc86758575 \h </w:instrText>
        </w:r>
        <w:r w:rsidR="007E673A">
          <w:rPr>
            <w:noProof/>
            <w:webHidden/>
          </w:rPr>
        </w:r>
        <w:r w:rsidR="007E673A">
          <w:rPr>
            <w:noProof/>
            <w:webHidden/>
          </w:rPr>
          <w:fldChar w:fldCharType="separate"/>
        </w:r>
        <w:r>
          <w:rPr>
            <w:noProof/>
            <w:webHidden/>
          </w:rPr>
          <w:t>6</w:t>
        </w:r>
        <w:r w:rsidR="007E673A">
          <w:rPr>
            <w:noProof/>
            <w:webHidden/>
          </w:rPr>
          <w:fldChar w:fldCharType="end"/>
        </w:r>
      </w:hyperlink>
    </w:p>
    <w:p w14:paraId="71787287" w14:textId="54A228C7" w:rsidR="007E673A" w:rsidRDefault="002B414A">
      <w:pPr>
        <w:pStyle w:val="TOC2"/>
        <w:rPr>
          <w:rFonts w:eastAsiaTheme="minorEastAsia"/>
          <w:iCs w:val="0"/>
          <w:noProof/>
          <w:szCs w:val="22"/>
          <w:lang w:eastAsia="en-AU"/>
        </w:rPr>
      </w:pPr>
      <w:hyperlink w:anchor="_Toc86758576" w:history="1">
        <w:r w:rsidR="007E673A" w:rsidRPr="00AE6C75">
          <w:rPr>
            <w:rStyle w:val="Hyperlink"/>
            <w:noProof/>
          </w:rPr>
          <w:t>Authorised Nominees</w:t>
        </w:r>
        <w:r w:rsidR="007E673A">
          <w:rPr>
            <w:noProof/>
            <w:webHidden/>
          </w:rPr>
          <w:tab/>
        </w:r>
        <w:r w:rsidR="007E673A">
          <w:rPr>
            <w:noProof/>
            <w:webHidden/>
          </w:rPr>
          <w:fldChar w:fldCharType="begin"/>
        </w:r>
        <w:r w:rsidR="007E673A">
          <w:rPr>
            <w:noProof/>
            <w:webHidden/>
          </w:rPr>
          <w:instrText xml:space="preserve"> PAGEREF _Toc86758576 \h </w:instrText>
        </w:r>
        <w:r w:rsidR="007E673A">
          <w:rPr>
            <w:noProof/>
            <w:webHidden/>
          </w:rPr>
        </w:r>
        <w:r w:rsidR="007E673A">
          <w:rPr>
            <w:noProof/>
            <w:webHidden/>
          </w:rPr>
          <w:fldChar w:fldCharType="separate"/>
        </w:r>
        <w:r>
          <w:rPr>
            <w:noProof/>
            <w:webHidden/>
          </w:rPr>
          <w:t>6</w:t>
        </w:r>
        <w:r w:rsidR="007E673A">
          <w:rPr>
            <w:noProof/>
            <w:webHidden/>
          </w:rPr>
          <w:fldChar w:fldCharType="end"/>
        </w:r>
      </w:hyperlink>
    </w:p>
    <w:p w14:paraId="34CE9B35" w14:textId="50AC33C5" w:rsidR="007E673A" w:rsidRDefault="002B414A">
      <w:pPr>
        <w:pStyle w:val="TOC1"/>
        <w:rPr>
          <w:rFonts w:eastAsiaTheme="minorEastAsia"/>
          <w:bCs w:val="0"/>
          <w:noProof/>
          <w:szCs w:val="22"/>
          <w:lang w:eastAsia="en-AU"/>
        </w:rPr>
      </w:pPr>
      <w:hyperlink w:anchor="_Toc86758577" w:history="1">
        <w:r w:rsidR="007E673A" w:rsidRPr="00AE6C75">
          <w:rPr>
            <w:rStyle w:val="Hyperlink"/>
            <w:noProof/>
          </w:rPr>
          <w:t>5.</w:t>
        </w:r>
        <w:r w:rsidR="007E673A">
          <w:rPr>
            <w:rFonts w:eastAsiaTheme="minorEastAsia"/>
            <w:bCs w:val="0"/>
            <w:noProof/>
            <w:szCs w:val="22"/>
            <w:lang w:eastAsia="en-AU"/>
          </w:rPr>
          <w:tab/>
        </w:r>
        <w:r w:rsidR="007E673A" w:rsidRPr="00AE6C75">
          <w:rPr>
            <w:rStyle w:val="Hyperlink"/>
            <w:noProof/>
          </w:rPr>
          <w:t>Initial Interviews and other meetings with Participants</w:t>
        </w:r>
        <w:r w:rsidR="007E673A">
          <w:rPr>
            <w:noProof/>
            <w:webHidden/>
          </w:rPr>
          <w:tab/>
        </w:r>
        <w:r w:rsidR="007E673A">
          <w:rPr>
            <w:noProof/>
            <w:webHidden/>
          </w:rPr>
          <w:fldChar w:fldCharType="begin"/>
        </w:r>
        <w:r w:rsidR="007E673A">
          <w:rPr>
            <w:noProof/>
            <w:webHidden/>
          </w:rPr>
          <w:instrText xml:space="preserve"> PAGEREF _Toc86758577 \h </w:instrText>
        </w:r>
        <w:r w:rsidR="007E673A">
          <w:rPr>
            <w:noProof/>
            <w:webHidden/>
          </w:rPr>
        </w:r>
        <w:r w:rsidR="007E673A">
          <w:rPr>
            <w:noProof/>
            <w:webHidden/>
          </w:rPr>
          <w:fldChar w:fldCharType="separate"/>
        </w:r>
        <w:r>
          <w:rPr>
            <w:noProof/>
            <w:webHidden/>
          </w:rPr>
          <w:t>6</w:t>
        </w:r>
        <w:r w:rsidR="007E673A">
          <w:rPr>
            <w:noProof/>
            <w:webHidden/>
          </w:rPr>
          <w:fldChar w:fldCharType="end"/>
        </w:r>
      </w:hyperlink>
    </w:p>
    <w:p w14:paraId="752504F6" w14:textId="4975F574" w:rsidR="007E673A" w:rsidRDefault="002B414A">
      <w:pPr>
        <w:pStyle w:val="TOC2"/>
        <w:rPr>
          <w:rFonts w:eastAsiaTheme="minorEastAsia"/>
          <w:iCs w:val="0"/>
          <w:noProof/>
          <w:szCs w:val="22"/>
          <w:lang w:eastAsia="en-AU"/>
        </w:rPr>
      </w:pPr>
      <w:hyperlink w:anchor="_Toc86758578" w:history="1">
        <w:r w:rsidR="007E673A" w:rsidRPr="00AE6C75">
          <w:rPr>
            <w:rStyle w:val="Hyperlink"/>
            <w:noProof/>
          </w:rPr>
          <w:t>All new Participants must have an Initial Interview</w:t>
        </w:r>
        <w:r w:rsidR="007E673A">
          <w:rPr>
            <w:noProof/>
            <w:webHidden/>
          </w:rPr>
          <w:tab/>
        </w:r>
        <w:r w:rsidR="007E673A">
          <w:rPr>
            <w:noProof/>
            <w:webHidden/>
          </w:rPr>
          <w:fldChar w:fldCharType="begin"/>
        </w:r>
        <w:r w:rsidR="007E673A">
          <w:rPr>
            <w:noProof/>
            <w:webHidden/>
          </w:rPr>
          <w:instrText xml:space="preserve"> PAGEREF _Toc86758578 \h </w:instrText>
        </w:r>
        <w:r w:rsidR="007E673A">
          <w:rPr>
            <w:noProof/>
            <w:webHidden/>
          </w:rPr>
        </w:r>
        <w:r w:rsidR="007E673A">
          <w:rPr>
            <w:noProof/>
            <w:webHidden/>
          </w:rPr>
          <w:fldChar w:fldCharType="separate"/>
        </w:r>
        <w:r>
          <w:rPr>
            <w:noProof/>
            <w:webHidden/>
          </w:rPr>
          <w:t>6</w:t>
        </w:r>
        <w:r w:rsidR="007E673A">
          <w:rPr>
            <w:noProof/>
            <w:webHidden/>
          </w:rPr>
          <w:fldChar w:fldCharType="end"/>
        </w:r>
      </w:hyperlink>
    </w:p>
    <w:p w14:paraId="283C40DD" w14:textId="0062BB60" w:rsidR="007E673A" w:rsidRDefault="002B414A">
      <w:pPr>
        <w:pStyle w:val="TOC2"/>
        <w:rPr>
          <w:rFonts w:eastAsiaTheme="minorEastAsia"/>
          <w:iCs w:val="0"/>
          <w:noProof/>
          <w:szCs w:val="22"/>
          <w:lang w:eastAsia="en-AU"/>
        </w:rPr>
      </w:pPr>
      <w:hyperlink w:anchor="_Toc86758579" w:history="1">
        <w:r w:rsidR="007E673A" w:rsidRPr="00AE6C75">
          <w:rPr>
            <w:rStyle w:val="Hyperlink"/>
            <w:noProof/>
          </w:rPr>
          <w:t>Trial Providers may conduct an Initial Interview using other modes other than face to face depending on Participant’s circumstances.</w:t>
        </w:r>
        <w:r w:rsidR="007E673A">
          <w:rPr>
            <w:noProof/>
            <w:webHidden/>
          </w:rPr>
          <w:tab/>
        </w:r>
        <w:r w:rsidR="007E673A">
          <w:rPr>
            <w:noProof/>
            <w:webHidden/>
          </w:rPr>
          <w:fldChar w:fldCharType="begin"/>
        </w:r>
        <w:r w:rsidR="007E673A">
          <w:rPr>
            <w:noProof/>
            <w:webHidden/>
          </w:rPr>
          <w:instrText xml:space="preserve"> PAGEREF _Toc86758579 \h </w:instrText>
        </w:r>
        <w:r w:rsidR="007E673A">
          <w:rPr>
            <w:noProof/>
            <w:webHidden/>
          </w:rPr>
        </w:r>
        <w:r w:rsidR="007E673A">
          <w:rPr>
            <w:noProof/>
            <w:webHidden/>
          </w:rPr>
          <w:fldChar w:fldCharType="separate"/>
        </w:r>
        <w:r>
          <w:rPr>
            <w:noProof/>
            <w:webHidden/>
          </w:rPr>
          <w:t>7</w:t>
        </w:r>
        <w:r w:rsidR="007E673A">
          <w:rPr>
            <w:noProof/>
            <w:webHidden/>
          </w:rPr>
          <w:fldChar w:fldCharType="end"/>
        </w:r>
      </w:hyperlink>
    </w:p>
    <w:p w14:paraId="2A911C8D" w14:textId="323043B2" w:rsidR="007E673A" w:rsidRDefault="002B414A">
      <w:pPr>
        <w:pStyle w:val="TOC2"/>
        <w:rPr>
          <w:rFonts w:eastAsiaTheme="minorEastAsia"/>
          <w:iCs w:val="0"/>
          <w:noProof/>
          <w:szCs w:val="22"/>
          <w:lang w:eastAsia="en-AU"/>
        </w:rPr>
      </w:pPr>
      <w:hyperlink w:anchor="_Toc86758580" w:history="1">
        <w:r w:rsidR="007E673A" w:rsidRPr="00AE6C75">
          <w:rPr>
            <w:rStyle w:val="Hyperlink"/>
            <w:noProof/>
          </w:rPr>
          <w:t>Facilitated transfer meeting for Participants exiting from Time to Work Employment Services (TWES)</w:t>
        </w:r>
        <w:r w:rsidR="007E673A">
          <w:rPr>
            <w:noProof/>
            <w:webHidden/>
          </w:rPr>
          <w:tab/>
        </w:r>
        <w:r w:rsidR="007E673A">
          <w:rPr>
            <w:noProof/>
            <w:webHidden/>
          </w:rPr>
          <w:fldChar w:fldCharType="begin"/>
        </w:r>
        <w:r w:rsidR="007E673A">
          <w:rPr>
            <w:noProof/>
            <w:webHidden/>
          </w:rPr>
          <w:instrText xml:space="preserve"> PAGEREF _Toc86758580 \h </w:instrText>
        </w:r>
        <w:r w:rsidR="007E673A">
          <w:rPr>
            <w:noProof/>
            <w:webHidden/>
          </w:rPr>
        </w:r>
        <w:r w:rsidR="007E673A">
          <w:rPr>
            <w:noProof/>
            <w:webHidden/>
          </w:rPr>
          <w:fldChar w:fldCharType="separate"/>
        </w:r>
        <w:r>
          <w:rPr>
            <w:noProof/>
            <w:webHidden/>
          </w:rPr>
          <w:t>8</w:t>
        </w:r>
        <w:r w:rsidR="007E673A">
          <w:rPr>
            <w:noProof/>
            <w:webHidden/>
          </w:rPr>
          <w:fldChar w:fldCharType="end"/>
        </w:r>
      </w:hyperlink>
    </w:p>
    <w:p w14:paraId="1C0124E4" w14:textId="592398EB" w:rsidR="007E673A" w:rsidRDefault="002B414A">
      <w:pPr>
        <w:pStyle w:val="TOC2"/>
        <w:rPr>
          <w:rFonts w:eastAsiaTheme="minorEastAsia"/>
          <w:iCs w:val="0"/>
          <w:noProof/>
          <w:szCs w:val="22"/>
          <w:lang w:eastAsia="en-AU"/>
        </w:rPr>
      </w:pPr>
      <w:hyperlink w:anchor="_Toc86758581" w:history="1">
        <w:r w:rsidR="007E673A" w:rsidRPr="00AE6C75">
          <w:rPr>
            <w:rStyle w:val="Hyperlink"/>
            <w:noProof/>
          </w:rPr>
          <w:t>Participants exiting from Transition to Work</w:t>
        </w:r>
        <w:r w:rsidR="007E673A">
          <w:rPr>
            <w:noProof/>
            <w:webHidden/>
          </w:rPr>
          <w:tab/>
        </w:r>
        <w:r w:rsidR="007E673A">
          <w:rPr>
            <w:noProof/>
            <w:webHidden/>
          </w:rPr>
          <w:fldChar w:fldCharType="begin"/>
        </w:r>
        <w:r w:rsidR="007E673A">
          <w:rPr>
            <w:noProof/>
            <w:webHidden/>
          </w:rPr>
          <w:instrText xml:space="preserve"> PAGEREF _Toc86758581 \h </w:instrText>
        </w:r>
        <w:r w:rsidR="007E673A">
          <w:rPr>
            <w:noProof/>
            <w:webHidden/>
          </w:rPr>
        </w:r>
        <w:r w:rsidR="007E673A">
          <w:rPr>
            <w:noProof/>
            <w:webHidden/>
          </w:rPr>
          <w:fldChar w:fldCharType="separate"/>
        </w:r>
        <w:r>
          <w:rPr>
            <w:noProof/>
            <w:webHidden/>
          </w:rPr>
          <w:t>8</w:t>
        </w:r>
        <w:r w:rsidR="007E673A">
          <w:rPr>
            <w:noProof/>
            <w:webHidden/>
          </w:rPr>
          <w:fldChar w:fldCharType="end"/>
        </w:r>
      </w:hyperlink>
    </w:p>
    <w:p w14:paraId="72F1063B" w14:textId="4C5221B3" w:rsidR="007E673A" w:rsidRDefault="002B414A">
      <w:pPr>
        <w:pStyle w:val="TOC2"/>
        <w:rPr>
          <w:rFonts w:eastAsiaTheme="minorEastAsia"/>
          <w:iCs w:val="0"/>
          <w:noProof/>
          <w:szCs w:val="22"/>
          <w:lang w:eastAsia="en-AU"/>
        </w:rPr>
      </w:pPr>
      <w:hyperlink w:anchor="_Toc86758582" w:history="1">
        <w:r w:rsidR="007E673A" w:rsidRPr="00AE6C75">
          <w:rPr>
            <w:rStyle w:val="Hyperlink"/>
            <w:noProof/>
          </w:rPr>
          <w:t>Vulnerable Youth or Vulnerable Youth (Student)s</w:t>
        </w:r>
        <w:r w:rsidR="007E673A">
          <w:rPr>
            <w:noProof/>
            <w:webHidden/>
          </w:rPr>
          <w:tab/>
        </w:r>
        <w:r w:rsidR="007E673A">
          <w:rPr>
            <w:noProof/>
            <w:webHidden/>
          </w:rPr>
          <w:fldChar w:fldCharType="begin"/>
        </w:r>
        <w:r w:rsidR="007E673A">
          <w:rPr>
            <w:noProof/>
            <w:webHidden/>
          </w:rPr>
          <w:instrText xml:space="preserve"> PAGEREF _Toc86758582 \h </w:instrText>
        </w:r>
        <w:r w:rsidR="007E673A">
          <w:rPr>
            <w:noProof/>
            <w:webHidden/>
          </w:rPr>
        </w:r>
        <w:r w:rsidR="007E673A">
          <w:rPr>
            <w:noProof/>
            <w:webHidden/>
          </w:rPr>
          <w:fldChar w:fldCharType="separate"/>
        </w:r>
        <w:r>
          <w:rPr>
            <w:noProof/>
            <w:webHidden/>
          </w:rPr>
          <w:t>9</w:t>
        </w:r>
        <w:r w:rsidR="007E673A">
          <w:rPr>
            <w:noProof/>
            <w:webHidden/>
          </w:rPr>
          <w:fldChar w:fldCharType="end"/>
        </w:r>
      </w:hyperlink>
    </w:p>
    <w:p w14:paraId="2389099C" w14:textId="08D068A5" w:rsidR="007E673A" w:rsidRDefault="002B414A">
      <w:pPr>
        <w:pStyle w:val="TOC1"/>
        <w:rPr>
          <w:rFonts w:eastAsiaTheme="minorEastAsia"/>
          <w:bCs w:val="0"/>
          <w:noProof/>
          <w:szCs w:val="22"/>
          <w:lang w:eastAsia="en-AU"/>
        </w:rPr>
      </w:pPr>
      <w:hyperlink w:anchor="_Toc86758583" w:history="1">
        <w:r w:rsidR="007E673A" w:rsidRPr="00AE6C75">
          <w:rPr>
            <w:rStyle w:val="Hyperlink"/>
            <w:noProof/>
          </w:rPr>
          <w:t>6.</w:t>
        </w:r>
        <w:r w:rsidR="007E673A">
          <w:rPr>
            <w:rFonts w:eastAsiaTheme="minorEastAsia"/>
            <w:bCs w:val="0"/>
            <w:noProof/>
            <w:szCs w:val="22"/>
            <w:lang w:eastAsia="en-AU"/>
          </w:rPr>
          <w:tab/>
        </w:r>
        <w:r w:rsidR="007E673A" w:rsidRPr="00AE6C75">
          <w:rPr>
            <w:rStyle w:val="Hyperlink"/>
            <w:noProof/>
          </w:rPr>
          <w:t>Participants must be commenced in a timely manner</w:t>
        </w:r>
        <w:r w:rsidR="007E673A">
          <w:rPr>
            <w:noProof/>
            <w:webHidden/>
          </w:rPr>
          <w:tab/>
        </w:r>
        <w:r w:rsidR="007E673A">
          <w:rPr>
            <w:noProof/>
            <w:webHidden/>
          </w:rPr>
          <w:fldChar w:fldCharType="begin"/>
        </w:r>
        <w:r w:rsidR="007E673A">
          <w:rPr>
            <w:noProof/>
            <w:webHidden/>
          </w:rPr>
          <w:instrText xml:space="preserve"> PAGEREF _Toc86758583 \h </w:instrText>
        </w:r>
        <w:r w:rsidR="007E673A">
          <w:rPr>
            <w:noProof/>
            <w:webHidden/>
          </w:rPr>
        </w:r>
        <w:r w:rsidR="007E673A">
          <w:rPr>
            <w:noProof/>
            <w:webHidden/>
          </w:rPr>
          <w:fldChar w:fldCharType="separate"/>
        </w:r>
        <w:r>
          <w:rPr>
            <w:noProof/>
            <w:webHidden/>
          </w:rPr>
          <w:t>9</w:t>
        </w:r>
        <w:r w:rsidR="007E673A">
          <w:rPr>
            <w:noProof/>
            <w:webHidden/>
          </w:rPr>
          <w:fldChar w:fldCharType="end"/>
        </w:r>
      </w:hyperlink>
    </w:p>
    <w:p w14:paraId="5B426908" w14:textId="669AB80D" w:rsidR="007E673A" w:rsidRDefault="002B414A">
      <w:pPr>
        <w:pStyle w:val="TOC1"/>
        <w:rPr>
          <w:rFonts w:eastAsiaTheme="minorEastAsia"/>
          <w:bCs w:val="0"/>
          <w:noProof/>
          <w:szCs w:val="22"/>
          <w:lang w:eastAsia="en-AU"/>
        </w:rPr>
      </w:pPr>
      <w:hyperlink w:anchor="_Toc86758584" w:history="1">
        <w:r w:rsidR="007E673A" w:rsidRPr="00AE6C75">
          <w:rPr>
            <w:rStyle w:val="Hyperlink"/>
            <w:noProof/>
          </w:rPr>
          <w:t>7.</w:t>
        </w:r>
        <w:r w:rsidR="007E673A">
          <w:rPr>
            <w:rFonts w:eastAsiaTheme="minorEastAsia"/>
            <w:bCs w:val="0"/>
            <w:noProof/>
            <w:szCs w:val="22"/>
            <w:lang w:eastAsia="en-AU"/>
          </w:rPr>
          <w:tab/>
        </w:r>
        <w:r w:rsidR="007E673A" w:rsidRPr="00AE6C75">
          <w:rPr>
            <w:rStyle w:val="Hyperlink"/>
            <w:noProof/>
          </w:rPr>
          <w:t>Participants are automatically Commenced in the Department’s IT systems</w:t>
        </w:r>
        <w:r w:rsidR="007E673A">
          <w:rPr>
            <w:noProof/>
            <w:webHidden/>
          </w:rPr>
          <w:tab/>
        </w:r>
        <w:r w:rsidR="007E673A">
          <w:rPr>
            <w:noProof/>
            <w:webHidden/>
          </w:rPr>
          <w:fldChar w:fldCharType="begin"/>
        </w:r>
        <w:r w:rsidR="007E673A">
          <w:rPr>
            <w:noProof/>
            <w:webHidden/>
          </w:rPr>
          <w:instrText xml:space="preserve"> PAGEREF _Toc86758584 \h </w:instrText>
        </w:r>
        <w:r w:rsidR="007E673A">
          <w:rPr>
            <w:noProof/>
            <w:webHidden/>
          </w:rPr>
        </w:r>
        <w:r w:rsidR="007E673A">
          <w:rPr>
            <w:noProof/>
            <w:webHidden/>
          </w:rPr>
          <w:fldChar w:fldCharType="separate"/>
        </w:r>
        <w:r>
          <w:rPr>
            <w:noProof/>
            <w:webHidden/>
          </w:rPr>
          <w:t>9</w:t>
        </w:r>
        <w:r w:rsidR="007E673A">
          <w:rPr>
            <w:noProof/>
            <w:webHidden/>
          </w:rPr>
          <w:fldChar w:fldCharType="end"/>
        </w:r>
      </w:hyperlink>
    </w:p>
    <w:p w14:paraId="1DC43D10" w14:textId="339E542A" w:rsidR="007E673A" w:rsidRDefault="002B414A">
      <w:pPr>
        <w:pStyle w:val="TOC1"/>
        <w:rPr>
          <w:rFonts w:eastAsiaTheme="minorEastAsia"/>
          <w:bCs w:val="0"/>
          <w:noProof/>
          <w:szCs w:val="22"/>
          <w:lang w:eastAsia="en-AU"/>
        </w:rPr>
      </w:pPr>
      <w:hyperlink w:anchor="_Toc86758585" w:history="1">
        <w:r w:rsidR="007E673A" w:rsidRPr="00AE6C75">
          <w:rPr>
            <w:rStyle w:val="Hyperlink"/>
            <w:noProof/>
          </w:rPr>
          <w:t>8.</w:t>
        </w:r>
        <w:r w:rsidR="007E673A">
          <w:rPr>
            <w:rFonts w:eastAsiaTheme="minorEastAsia"/>
            <w:bCs w:val="0"/>
            <w:noProof/>
            <w:szCs w:val="22"/>
            <w:lang w:eastAsia="en-AU"/>
          </w:rPr>
          <w:tab/>
        </w:r>
        <w:r w:rsidR="007E673A" w:rsidRPr="00AE6C75">
          <w:rPr>
            <w:rStyle w:val="Hyperlink"/>
            <w:noProof/>
          </w:rPr>
          <w:t>Engagement Fees are calculated and paid automatically by the Department’s IT Systems</w:t>
        </w:r>
        <w:r w:rsidR="007E673A">
          <w:rPr>
            <w:noProof/>
            <w:webHidden/>
          </w:rPr>
          <w:tab/>
        </w:r>
        <w:r w:rsidR="007E673A">
          <w:rPr>
            <w:noProof/>
            <w:webHidden/>
          </w:rPr>
          <w:fldChar w:fldCharType="begin"/>
        </w:r>
        <w:r w:rsidR="007E673A">
          <w:rPr>
            <w:noProof/>
            <w:webHidden/>
          </w:rPr>
          <w:instrText xml:space="preserve"> PAGEREF _Toc86758585 \h </w:instrText>
        </w:r>
        <w:r w:rsidR="007E673A">
          <w:rPr>
            <w:noProof/>
            <w:webHidden/>
          </w:rPr>
        </w:r>
        <w:r w:rsidR="007E673A">
          <w:rPr>
            <w:noProof/>
            <w:webHidden/>
          </w:rPr>
          <w:fldChar w:fldCharType="separate"/>
        </w:r>
        <w:r>
          <w:rPr>
            <w:noProof/>
            <w:webHidden/>
          </w:rPr>
          <w:t>10</w:t>
        </w:r>
        <w:r w:rsidR="007E673A">
          <w:rPr>
            <w:noProof/>
            <w:webHidden/>
          </w:rPr>
          <w:fldChar w:fldCharType="end"/>
        </w:r>
      </w:hyperlink>
    </w:p>
    <w:p w14:paraId="0C674A89" w14:textId="60BA0B89" w:rsidR="007E673A" w:rsidRDefault="002B414A">
      <w:pPr>
        <w:pStyle w:val="TOC1"/>
        <w:rPr>
          <w:rFonts w:eastAsiaTheme="minorEastAsia"/>
          <w:bCs w:val="0"/>
          <w:noProof/>
          <w:szCs w:val="22"/>
          <w:lang w:eastAsia="en-AU"/>
        </w:rPr>
      </w:pPr>
      <w:hyperlink w:anchor="_Toc86758586" w:history="1">
        <w:r w:rsidR="007E673A" w:rsidRPr="00AE6C75">
          <w:rPr>
            <w:rStyle w:val="Hyperlink"/>
            <w:noProof/>
          </w:rPr>
          <w:t>9.</w:t>
        </w:r>
        <w:r w:rsidR="007E673A">
          <w:rPr>
            <w:rFonts w:eastAsiaTheme="minorEastAsia"/>
            <w:bCs w:val="0"/>
            <w:noProof/>
            <w:szCs w:val="22"/>
            <w:lang w:eastAsia="en-AU"/>
          </w:rPr>
          <w:tab/>
        </w:r>
        <w:r w:rsidR="007E673A" w:rsidRPr="00AE6C75">
          <w:rPr>
            <w:rStyle w:val="Hyperlink"/>
            <w:noProof/>
          </w:rPr>
          <w:t>Referral to another program or service level</w:t>
        </w:r>
        <w:r w:rsidR="007E673A">
          <w:rPr>
            <w:noProof/>
            <w:webHidden/>
          </w:rPr>
          <w:tab/>
        </w:r>
        <w:r w:rsidR="007E673A">
          <w:rPr>
            <w:noProof/>
            <w:webHidden/>
          </w:rPr>
          <w:fldChar w:fldCharType="begin"/>
        </w:r>
        <w:r w:rsidR="007E673A">
          <w:rPr>
            <w:noProof/>
            <w:webHidden/>
          </w:rPr>
          <w:instrText xml:space="preserve"> PAGEREF _Toc86758586 \h </w:instrText>
        </w:r>
        <w:r w:rsidR="007E673A">
          <w:rPr>
            <w:noProof/>
            <w:webHidden/>
          </w:rPr>
        </w:r>
        <w:r w:rsidR="007E673A">
          <w:rPr>
            <w:noProof/>
            <w:webHidden/>
          </w:rPr>
          <w:fldChar w:fldCharType="separate"/>
        </w:r>
        <w:r>
          <w:rPr>
            <w:noProof/>
            <w:webHidden/>
          </w:rPr>
          <w:t>10</w:t>
        </w:r>
        <w:r w:rsidR="007E673A">
          <w:rPr>
            <w:noProof/>
            <w:webHidden/>
          </w:rPr>
          <w:fldChar w:fldCharType="end"/>
        </w:r>
      </w:hyperlink>
    </w:p>
    <w:p w14:paraId="71A31453" w14:textId="6EBED11B" w:rsidR="007E673A" w:rsidRDefault="002B414A">
      <w:pPr>
        <w:pStyle w:val="TOC2"/>
        <w:rPr>
          <w:rFonts w:eastAsiaTheme="minorEastAsia"/>
          <w:iCs w:val="0"/>
          <w:noProof/>
          <w:szCs w:val="22"/>
          <w:lang w:eastAsia="en-AU"/>
        </w:rPr>
      </w:pPr>
      <w:hyperlink w:anchor="_Toc86758587" w:history="1">
        <w:r w:rsidR="007E673A" w:rsidRPr="00AE6C75">
          <w:rPr>
            <w:rStyle w:val="Hyperlink"/>
            <w:rFonts w:eastAsia="Times New Roman"/>
            <w:noProof/>
          </w:rPr>
          <w:t>Moving Participants to Digital Services</w:t>
        </w:r>
        <w:r w:rsidR="007E673A">
          <w:rPr>
            <w:noProof/>
            <w:webHidden/>
          </w:rPr>
          <w:tab/>
        </w:r>
        <w:r w:rsidR="007E673A">
          <w:rPr>
            <w:noProof/>
            <w:webHidden/>
          </w:rPr>
          <w:fldChar w:fldCharType="begin"/>
        </w:r>
        <w:r w:rsidR="007E673A">
          <w:rPr>
            <w:noProof/>
            <w:webHidden/>
          </w:rPr>
          <w:instrText xml:space="preserve"> PAGEREF _Toc86758587 \h </w:instrText>
        </w:r>
        <w:r w:rsidR="007E673A">
          <w:rPr>
            <w:noProof/>
            <w:webHidden/>
          </w:rPr>
        </w:r>
        <w:r w:rsidR="007E673A">
          <w:rPr>
            <w:noProof/>
            <w:webHidden/>
          </w:rPr>
          <w:fldChar w:fldCharType="separate"/>
        </w:r>
        <w:r>
          <w:rPr>
            <w:noProof/>
            <w:webHidden/>
          </w:rPr>
          <w:t>10</w:t>
        </w:r>
        <w:r w:rsidR="007E673A">
          <w:rPr>
            <w:noProof/>
            <w:webHidden/>
          </w:rPr>
          <w:fldChar w:fldCharType="end"/>
        </w:r>
      </w:hyperlink>
    </w:p>
    <w:p w14:paraId="184FBAF3" w14:textId="379682E9" w:rsidR="007E673A" w:rsidRDefault="002B414A">
      <w:pPr>
        <w:pStyle w:val="TOC2"/>
        <w:rPr>
          <w:rFonts w:eastAsiaTheme="minorEastAsia"/>
          <w:iCs w:val="0"/>
          <w:noProof/>
          <w:szCs w:val="22"/>
          <w:lang w:eastAsia="en-AU"/>
        </w:rPr>
      </w:pPr>
      <w:hyperlink w:anchor="_Toc86758588" w:history="1">
        <w:r w:rsidR="007E673A" w:rsidRPr="00AE6C75">
          <w:rPr>
            <w:rStyle w:val="Hyperlink"/>
            <w:rFonts w:eastAsia="Times New Roman"/>
            <w:noProof/>
          </w:rPr>
          <w:t>Change of Circumstances Reassessment</w:t>
        </w:r>
        <w:r w:rsidR="007E673A">
          <w:rPr>
            <w:noProof/>
            <w:webHidden/>
          </w:rPr>
          <w:tab/>
        </w:r>
        <w:r w:rsidR="007E673A">
          <w:rPr>
            <w:noProof/>
            <w:webHidden/>
          </w:rPr>
          <w:fldChar w:fldCharType="begin"/>
        </w:r>
        <w:r w:rsidR="007E673A">
          <w:rPr>
            <w:noProof/>
            <w:webHidden/>
          </w:rPr>
          <w:instrText xml:space="preserve"> PAGEREF _Toc86758588 \h </w:instrText>
        </w:r>
        <w:r w:rsidR="007E673A">
          <w:rPr>
            <w:noProof/>
            <w:webHidden/>
          </w:rPr>
        </w:r>
        <w:r w:rsidR="007E673A">
          <w:rPr>
            <w:noProof/>
            <w:webHidden/>
          </w:rPr>
          <w:fldChar w:fldCharType="separate"/>
        </w:r>
        <w:r>
          <w:rPr>
            <w:noProof/>
            <w:webHidden/>
          </w:rPr>
          <w:t>10</w:t>
        </w:r>
        <w:r w:rsidR="007E673A">
          <w:rPr>
            <w:noProof/>
            <w:webHidden/>
          </w:rPr>
          <w:fldChar w:fldCharType="end"/>
        </w:r>
      </w:hyperlink>
    </w:p>
    <w:p w14:paraId="45C3CD6D" w14:textId="504AF42A" w:rsidR="007E673A" w:rsidRDefault="002B414A">
      <w:pPr>
        <w:pStyle w:val="TOC2"/>
        <w:rPr>
          <w:rFonts w:eastAsiaTheme="minorEastAsia"/>
          <w:iCs w:val="0"/>
          <w:noProof/>
          <w:szCs w:val="22"/>
          <w:lang w:eastAsia="en-AU"/>
        </w:rPr>
      </w:pPr>
      <w:hyperlink w:anchor="_Toc86758589" w:history="1">
        <w:r w:rsidR="007E673A" w:rsidRPr="00AE6C75">
          <w:rPr>
            <w:rStyle w:val="Hyperlink"/>
            <w:rFonts w:eastAsia="Times New Roman"/>
            <w:noProof/>
          </w:rPr>
          <w:t>Referral of a Participant to Transition to Work</w:t>
        </w:r>
        <w:r w:rsidR="007E673A">
          <w:rPr>
            <w:noProof/>
            <w:webHidden/>
          </w:rPr>
          <w:tab/>
        </w:r>
        <w:r w:rsidR="007E673A">
          <w:rPr>
            <w:noProof/>
            <w:webHidden/>
          </w:rPr>
          <w:fldChar w:fldCharType="begin"/>
        </w:r>
        <w:r w:rsidR="007E673A">
          <w:rPr>
            <w:noProof/>
            <w:webHidden/>
          </w:rPr>
          <w:instrText xml:space="preserve"> PAGEREF _Toc86758589 \h </w:instrText>
        </w:r>
        <w:r w:rsidR="007E673A">
          <w:rPr>
            <w:noProof/>
            <w:webHidden/>
          </w:rPr>
        </w:r>
        <w:r w:rsidR="007E673A">
          <w:rPr>
            <w:noProof/>
            <w:webHidden/>
          </w:rPr>
          <w:fldChar w:fldCharType="separate"/>
        </w:r>
        <w:r>
          <w:rPr>
            <w:noProof/>
            <w:webHidden/>
          </w:rPr>
          <w:t>10</w:t>
        </w:r>
        <w:r w:rsidR="007E673A">
          <w:rPr>
            <w:noProof/>
            <w:webHidden/>
          </w:rPr>
          <w:fldChar w:fldCharType="end"/>
        </w:r>
      </w:hyperlink>
    </w:p>
    <w:p w14:paraId="03AC9D93" w14:textId="3413862E" w:rsidR="007E673A" w:rsidRDefault="002B414A">
      <w:pPr>
        <w:pStyle w:val="TOC1"/>
        <w:rPr>
          <w:rFonts w:eastAsiaTheme="minorEastAsia"/>
          <w:bCs w:val="0"/>
          <w:noProof/>
          <w:szCs w:val="22"/>
          <w:lang w:eastAsia="en-AU"/>
        </w:rPr>
      </w:pPr>
      <w:hyperlink w:anchor="_Toc86758590" w:history="1">
        <w:r w:rsidR="007E673A" w:rsidRPr="00AE6C75">
          <w:rPr>
            <w:rStyle w:val="Hyperlink"/>
            <w:noProof/>
          </w:rPr>
          <w:t>10.</w:t>
        </w:r>
        <w:r w:rsidR="007E673A">
          <w:rPr>
            <w:rFonts w:eastAsiaTheme="minorEastAsia"/>
            <w:bCs w:val="0"/>
            <w:noProof/>
            <w:szCs w:val="22"/>
            <w:lang w:eastAsia="en-AU"/>
          </w:rPr>
          <w:tab/>
        </w:r>
        <w:r w:rsidR="007E673A" w:rsidRPr="00AE6C75">
          <w:rPr>
            <w:rStyle w:val="Hyperlink"/>
            <w:noProof/>
          </w:rPr>
          <w:t>Services to Participants who return after Exiting</w:t>
        </w:r>
        <w:r w:rsidR="007E673A">
          <w:rPr>
            <w:noProof/>
            <w:webHidden/>
          </w:rPr>
          <w:tab/>
        </w:r>
        <w:r w:rsidR="007E673A">
          <w:rPr>
            <w:noProof/>
            <w:webHidden/>
          </w:rPr>
          <w:fldChar w:fldCharType="begin"/>
        </w:r>
        <w:r w:rsidR="007E673A">
          <w:rPr>
            <w:noProof/>
            <w:webHidden/>
          </w:rPr>
          <w:instrText xml:space="preserve"> PAGEREF _Toc86758590 \h </w:instrText>
        </w:r>
        <w:r w:rsidR="007E673A">
          <w:rPr>
            <w:noProof/>
            <w:webHidden/>
          </w:rPr>
        </w:r>
        <w:r w:rsidR="007E673A">
          <w:rPr>
            <w:noProof/>
            <w:webHidden/>
          </w:rPr>
          <w:fldChar w:fldCharType="separate"/>
        </w:r>
        <w:r>
          <w:rPr>
            <w:noProof/>
            <w:webHidden/>
          </w:rPr>
          <w:t>11</w:t>
        </w:r>
        <w:r w:rsidR="007E673A">
          <w:rPr>
            <w:noProof/>
            <w:webHidden/>
          </w:rPr>
          <w:fldChar w:fldCharType="end"/>
        </w:r>
      </w:hyperlink>
    </w:p>
    <w:p w14:paraId="1025D51D" w14:textId="24A4E757" w:rsidR="007E673A" w:rsidRDefault="002B414A">
      <w:pPr>
        <w:pStyle w:val="TOC1"/>
        <w:rPr>
          <w:rFonts w:eastAsiaTheme="minorEastAsia"/>
          <w:bCs w:val="0"/>
          <w:noProof/>
          <w:szCs w:val="22"/>
          <w:lang w:eastAsia="en-AU"/>
        </w:rPr>
      </w:pPr>
      <w:hyperlink w:anchor="_Toc86758591" w:history="1">
        <w:r w:rsidR="007E673A" w:rsidRPr="00AE6C75">
          <w:rPr>
            <w:rStyle w:val="Hyperlink"/>
            <w:noProof/>
          </w:rPr>
          <w:t>11.</w:t>
        </w:r>
        <w:r w:rsidR="007E673A">
          <w:rPr>
            <w:rFonts w:eastAsiaTheme="minorEastAsia"/>
            <w:bCs w:val="0"/>
            <w:noProof/>
            <w:szCs w:val="22"/>
            <w:lang w:eastAsia="en-AU"/>
          </w:rPr>
          <w:tab/>
        </w:r>
        <w:r w:rsidR="007E673A" w:rsidRPr="00AE6C75">
          <w:rPr>
            <w:rStyle w:val="Hyperlink"/>
            <w:noProof/>
          </w:rPr>
          <w:t>Summary of required Documentary Evidence</w:t>
        </w:r>
        <w:r w:rsidR="007E673A">
          <w:rPr>
            <w:noProof/>
            <w:webHidden/>
          </w:rPr>
          <w:tab/>
        </w:r>
        <w:r w:rsidR="007E673A">
          <w:rPr>
            <w:noProof/>
            <w:webHidden/>
          </w:rPr>
          <w:fldChar w:fldCharType="begin"/>
        </w:r>
        <w:r w:rsidR="007E673A">
          <w:rPr>
            <w:noProof/>
            <w:webHidden/>
          </w:rPr>
          <w:instrText xml:space="preserve"> PAGEREF _Toc86758591 \h </w:instrText>
        </w:r>
        <w:r w:rsidR="007E673A">
          <w:rPr>
            <w:noProof/>
            <w:webHidden/>
          </w:rPr>
        </w:r>
        <w:r w:rsidR="007E673A">
          <w:rPr>
            <w:noProof/>
            <w:webHidden/>
          </w:rPr>
          <w:fldChar w:fldCharType="separate"/>
        </w:r>
        <w:r>
          <w:rPr>
            <w:noProof/>
            <w:webHidden/>
          </w:rPr>
          <w:t>11</w:t>
        </w:r>
        <w:r w:rsidR="007E673A">
          <w:rPr>
            <w:noProof/>
            <w:webHidden/>
          </w:rPr>
          <w:fldChar w:fldCharType="end"/>
        </w:r>
      </w:hyperlink>
    </w:p>
    <w:p w14:paraId="166D82AB" w14:textId="242B2BE7" w:rsidR="007E673A" w:rsidRDefault="002B414A">
      <w:pPr>
        <w:pStyle w:val="TOC2"/>
        <w:rPr>
          <w:rFonts w:eastAsiaTheme="minorEastAsia"/>
          <w:iCs w:val="0"/>
          <w:noProof/>
          <w:szCs w:val="22"/>
          <w:lang w:eastAsia="en-AU"/>
        </w:rPr>
      </w:pPr>
      <w:hyperlink w:anchor="_Toc86758592" w:history="1">
        <w:r w:rsidR="007E673A" w:rsidRPr="00AE6C75">
          <w:rPr>
            <w:rStyle w:val="Hyperlink"/>
            <w:noProof/>
          </w:rPr>
          <w:t>Direct Registration</w:t>
        </w:r>
        <w:r w:rsidR="007E673A">
          <w:rPr>
            <w:noProof/>
            <w:webHidden/>
          </w:rPr>
          <w:tab/>
        </w:r>
        <w:r w:rsidR="007E673A">
          <w:rPr>
            <w:noProof/>
            <w:webHidden/>
          </w:rPr>
          <w:fldChar w:fldCharType="begin"/>
        </w:r>
        <w:r w:rsidR="007E673A">
          <w:rPr>
            <w:noProof/>
            <w:webHidden/>
          </w:rPr>
          <w:instrText xml:space="preserve"> PAGEREF _Toc86758592 \h </w:instrText>
        </w:r>
        <w:r w:rsidR="007E673A">
          <w:rPr>
            <w:noProof/>
            <w:webHidden/>
          </w:rPr>
        </w:r>
        <w:r w:rsidR="007E673A">
          <w:rPr>
            <w:noProof/>
            <w:webHidden/>
          </w:rPr>
          <w:fldChar w:fldCharType="separate"/>
        </w:r>
        <w:r>
          <w:rPr>
            <w:noProof/>
            <w:webHidden/>
          </w:rPr>
          <w:t>11</w:t>
        </w:r>
        <w:r w:rsidR="007E673A">
          <w:rPr>
            <w:noProof/>
            <w:webHidden/>
          </w:rPr>
          <w:fldChar w:fldCharType="end"/>
        </w:r>
      </w:hyperlink>
    </w:p>
    <w:p w14:paraId="023A9864" w14:textId="5FFDEA6C" w:rsidR="007E673A" w:rsidRDefault="002B414A">
      <w:pPr>
        <w:pStyle w:val="TOC2"/>
        <w:rPr>
          <w:rFonts w:eastAsiaTheme="minorEastAsia"/>
          <w:iCs w:val="0"/>
          <w:noProof/>
          <w:szCs w:val="22"/>
          <w:lang w:eastAsia="en-AU"/>
        </w:rPr>
      </w:pPr>
      <w:hyperlink w:anchor="_Toc86758593" w:history="1">
        <w:r w:rsidR="007E673A" w:rsidRPr="00AE6C75">
          <w:rPr>
            <w:rStyle w:val="Hyperlink"/>
            <w:noProof/>
          </w:rPr>
          <w:t>Job Plan</w:t>
        </w:r>
        <w:r w:rsidR="007E673A">
          <w:rPr>
            <w:noProof/>
            <w:webHidden/>
          </w:rPr>
          <w:tab/>
        </w:r>
        <w:r w:rsidR="007E673A">
          <w:rPr>
            <w:noProof/>
            <w:webHidden/>
          </w:rPr>
          <w:fldChar w:fldCharType="begin"/>
        </w:r>
        <w:r w:rsidR="007E673A">
          <w:rPr>
            <w:noProof/>
            <w:webHidden/>
          </w:rPr>
          <w:instrText xml:space="preserve"> PAGEREF _Toc86758593 \h </w:instrText>
        </w:r>
        <w:r w:rsidR="007E673A">
          <w:rPr>
            <w:noProof/>
            <w:webHidden/>
          </w:rPr>
        </w:r>
        <w:r w:rsidR="007E673A">
          <w:rPr>
            <w:noProof/>
            <w:webHidden/>
          </w:rPr>
          <w:fldChar w:fldCharType="separate"/>
        </w:r>
        <w:r>
          <w:rPr>
            <w:noProof/>
            <w:webHidden/>
          </w:rPr>
          <w:t>11</w:t>
        </w:r>
        <w:r w:rsidR="007E673A">
          <w:rPr>
            <w:noProof/>
            <w:webHidden/>
          </w:rPr>
          <w:fldChar w:fldCharType="end"/>
        </w:r>
      </w:hyperlink>
    </w:p>
    <w:p w14:paraId="1CF4E5A2" w14:textId="3307306A" w:rsidR="007E673A" w:rsidRDefault="002B414A">
      <w:pPr>
        <w:pStyle w:val="TOC1"/>
        <w:rPr>
          <w:rFonts w:eastAsiaTheme="minorEastAsia"/>
          <w:bCs w:val="0"/>
          <w:noProof/>
          <w:szCs w:val="22"/>
          <w:lang w:eastAsia="en-AU"/>
        </w:rPr>
      </w:pPr>
      <w:hyperlink w:anchor="_Toc86758594" w:history="1">
        <w:r w:rsidR="007E673A" w:rsidRPr="00AE6C75">
          <w:rPr>
            <w:rStyle w:val="Hyperlink"/>
            <w:noProof/>
          </w:rPr>
          <w:t>12.</w:t>
        </w:r>
        <w:r w:rsidR="007E673A">
          <w:rPr>
            <w:rFonts w:eastAsiaTheme="minorEastAsia"/>
            <w:bCs w:val="0"/>
            <w:noProof/>
            <w:szCs w:val="22"/>
            <w:lang w:eastAsia="en-AU"/>
          </w:rPr>
          <w:tab/>
        </w:r>
        <w:r w:rsidR="007E673A" w:rsidRPr="00AE6C75">
          <w:rPr>
            <w:rStyle w:val="Hyperlink"/>
            <w:noProof/>
          </w:rPr>
          <w:t>Eligibility for Trial Services, and the Volunteer Online Employment Services Trial (VOEST)</w:t>
        </w:r>
        <w:r w:rsidR="007E673A">
          <w:rPr>
            <w:noProof/>
            <w:webHidden/>
          </w:rPr>
          <w:tab/>
        </w:r>
        <w:r w:rsidR="007E673A">
          <w:rPr>
            <w:noProof/>
            <w:webHidden/>
          </w:rPr>
          <w:fldChar w:fldCharType="begin"/>
        </w:r>
        <w:r w:rsidR="007E673A">
          <w:rPr>
            <w:noProof/>
            <w:webHidden/>
          </w:rPr>
          <w:instrText xml:space="preserve"> PAGEREF _Toc86758594 \h </w:instrText>
        </w:r>
        <w:r w:rsidR="007E673A">
          <w:rPr>
            <w:noProof/>
            <w:webHidden/>
          </w:rPr>
        </w:r>
        <w:r w:rsidR="007E673A">
          <w:rPr>
            <w:noProof/>
            <w:webHidden/>
          </w:rPr>
          <w:fldChar w:fldCharType="separate"/>
        </w:r>
        <w:r>
          <w:rPr>
            <w:noProof/>
            <w:webHidden/>
          </w:rPr>
          <w:t>12</w:t>
        </w:r>
        <w:r w:rsidR="007E673A">
          <w:rPr>
            <w:noProof/>
            <w:webHidden/>
          </w:rPr>
          <w:fldChar w:fldCharType="end"/>
        </w:r>
      </w:hyperlink>
    </w:p>
    <w:p w14:paraId="2520EF50" w14:textId="458F5B24" w:rsidR="009834F0" w:rsidRPr="009834F0" w:rsidRDefault="009834F0" w:rsidP="009834F0">
      <w:pPr>
        <w:sectPr w:rsidR="009834F0" w:rsidRPr="009834F0" w:rsidSect="00155A2A">
          <w:headerReference w:type="even" r:id="rId23"/>
          <w:headerReference w:type="default" r:id="rId24"/>
          <w:headerReference w:type="first" r:id="rId25"/>
          <w:type w:val="continuous"/>
          <w:pgSz w:w="11906" w:h="16838"/>
          <w:pgMar w:top="120" w:right="1440" w:bottom="1440" w:left="1440" w:header="142" w:footer="708" w:gutter="0"/>
          <w:cols w:space="708"/>
          <w:docGrid w:linePitch="360"/>
        </w:sectPr>
      </w:pPr>
      <w:r>
        <w:fldChar w:fldCharType="end"/>
      </w:r>
    </w:p>
    <w:p w14:paraId="51C492B1" w14:textId="77777777" w:rsidR="00E463DD" w:rsidRPr="00C43317" w:rsidRDefault="00CC176E" w:rsidP="00C43317">
      <w:pPr>
        <w:pStyle w:val="Heading1"/>
      </w:pPr>
      <w:bookmarkStart w:id="45" w:name="_Toc34319186"/>
      <w:bookmarkStart w:id="46" w:name="_Toc86758566"/>
      <w:r w:rsidRPr="00C43317">
        <w:lastRenderedPageBreak/>
        <w:t>E</w:t>
      </w:r>
      <w:r w:rsidR="00E463DD" w:rsidRPr="00C43317">
        <w:t>ligibility</w:t>
      </w:r>
      <w:bookmarkEnd w:id="43"/>
      <w:r w:rsidRPr="00C43317">
        <w:t xml:space="preserve"> for </w:t>
      </w:r>
      <w:r w:rsidR="005A290A">
        <w:t>Trial Services</w:t>
      </w:r>
      <w:bookmarkEnd w:id="44"/>
      <w:bookmarkEnd w:id="45"/>
      <w:bookmarkEnd w:id="46"/>
    </w:p>
    <w:p w14:paraId="7D3C6A23" w14:textId="77777777" w:rsidR="00237C98" w:rsidRDefault="00CC176E" w:rsidP="00CC176E">
      <w:pPr>
        <w:pStyle w:val="guidelinetext"/>
      </w:pPr>
      <w:r w:rsidRPr="00F11D84">
        <w:t xml:space="preserve">Eligibility </w:t>
      </w:r>
      <w:r>
        <w:t xml:space="preserve">for </w:t>
      </w:r>
      <w:r w:rsidR="00B66186">
        <w:t>Trial Services</w:t>
      </w:r>
      <w:r w:rsidR="00A825DD">
        <w:t xml:space="preserve"> </w:t>
      </w:r>
      <w:r w:rsidRPr="00F11D84">
        <w:t xml:space="preserve">generally depends on the type of Income Support Payment </w:t>
      </w:r>
      <w:r>
        <w:t>a</w:t>
      </w:r>
      <w:r w:rsidRPr="00F11D84">
        <w:t xml:space="preserve"> </w:t>
      </w:r>
      <w:r w:rsidR="00A20B33">
        <w:t>Participant</w:t>
      </w:r>
      <w:r w:rsidR="006B3AE6" w:rsidRPr="00F11D84">
        <w:t xml:space="preserve"> </w:t>
      </w:r>
      <w:r w:rsidR="00232B7A">
        <w:t>is receiving</w:t>
      </w:r>
      <w:r w:rsidR="00D03BDA">
        <w:t>.</w:t>
      </w:r>
    </w:p>
    <w:p w14:paraId="11C0B8C1" w14:textId="21F20161" w:rsidR="00B66186" w:rsidRPr="00F11D84" w:rsidRDefault="00B66186" w:rsidP="00B66186">
      <w:pPr>
        <w:pStyle w:val="guidelinetext"/>
      </w:pPr>
      <w:r w:rsidRPr="00F11D84">
        <w:t>The</w:t>
      </w:r>
      <w:r w:rsidRPr="00F11D84">
        <w:rPr>
          <w:b/>
        </w:rPr>
        <w:t xml:space="preserve"> </w:t>
      </w:r>
      <w:hyperlink w:anchor="Eligibility_Tables" w:history="1">
        <w:r>
          <w:rPr>
            <w:rStyle w:val="Hyperlink"/>
          </w:rPr>
          <w:t>Eligibility Table</w:t>
        </w:r>
      </w:hyperlink>
      <w:r w:rsidRPr="009954EE">
        <w:rPr>
          <w:b/>
        </w:rPr>
        <w:t xml:space="preserve"> </w:t>
      </w:r>
      <w:r w:rsidRPr="009954EE">
        <w:t>identif</w:t>
      </w:r>
      <w:r>
        <w:t>ies</w:t>
      </w:r>
      <w:r w:rsidRPr="00F11D84">
        <w:t xml:space="preserve"> the main categories of </w:t>
      </w:r>
      <w:r>
        <w:t>Participants</w:t>
      </w:r>
      <w:r w:rsidRPr="00F11D84">
        <w:t xml:space="preserve"> based on their individual circumstances and their eligibility for </w:t>
      </w:r>
      <w:r>
        <w:t>Trial Services and Volunteer Online Employment Services (VOES) in the NEST regions.</w:t>
      </w:r>
    </w:p>
    <w:p w14:paraId="297C774A" w14:textId="77777777" w:rsidR="00B66186" w:rsidRDefault="00B66186" w:rsidP="00B66186">
      <w:pPr>
        <w:pStyle w:val="guidelinetext"/>
      </w:pPr>
      <w:r w:rsidRPr="00F11D84">
        <w:t xml:space="preserve">The Department may amend the eligibility for </w:t>
      </w:r>
      <w:r>
        <w:t xml:space="preserve">Trial Services </w:t>
      </w:r>
      <w:r w:rsidRPr="00F11D84">
        <w:t>at any time.</w:t>
      </w:r>
    </w:p>
    <w:p w14:paraId="26F92E0C" w14:textId="77777777" w:rsidR="008108AA" w:rsidRDefault="008108AA" w:rsidP="008108AA">
      <w:pPr>
        <w:pStyle w:val="guidelinetext"/>
      </w:pPr>
      <w:r>
        <w:t>For Participants on Income Support, Eligibility is shown in</w:t>
      </w:r>
      <w:r w:rsidRPr="00F11D84">
        <w:t xml:space="preserve"> the Department’s IT Systems</w:t>
      </w:r>
      <w:r>
        <w:t xml:space="preserve">, based on </w:t>
      </w:r>
      <w:r w:rsidRPr="00F11D84">
        <w:t xml:space="preserve">information entered </w:t>
      </w:r>
      <w:r>
        <w:t xml:space="preserve">by </w:t>
      </w:r>
      <w:r w:rsidR="00921C60">
        <w:t>Services Australia.</w:t>
      </w:r>
    </w:p>
    <w:p w14:paraId="406845DF" w14:textId="3C5897CC" w:rsidR="004F2E96" w:rsidRDefault="00D03BDA" w:rsidP="00B66186">
      <w:pPr>
        <w:pStyle w:val="guidelinetext"/>
      </w:pPr>
      <w:r>
        <w:t xml:space="preserve">Eligibility for Trial Provider Services is also based on JSCI score, however </w:t>
      </w:r>
      <w:r w:rsidR="00A20B33">
        <w:t>Participant</w:t>
      </w:r>
      <w:r w:rsidR="004F2E96">
        <w:t xml:space="preserve">s in Digital Services may </w:t>
      </w:r>
      <w:r w:rsidR="002F6DDD">
        <w:t>choose to move to</w:t>
      </w:r>
      <w:r w:rsidR="004F2E96">
        <w:t xml:space="preserve"> </w:t>
      </w:r>
      <w:r w:rsidR="0007464C">
        <w:t>Enhanced</w:t>
      </w:r>
      <w:r w:rsidR="004F2E96">
        <w:t xml:space="preserve"> Services </w:t>
      </w:r>
      <w:r w:rsidR="002F6DDD">
        <w:t xml:space="preserve">which they can do through the system or </w:t>
      </w:r>
      <w:r w:rsidR="004F2E96">
        <w:t>by the Contact Centre.</w:t>
      </w:r>
    </w:p>
    <w:p w14:paraId="70DC20E2" w14:textId="0FE2D116" w:rsidR="00DF0AA6" w:rsidRPr="00C43317" w:rsidRDefault="00461E40" w:rsidP="00DF0AA6">
      <w:pPr>
        <w:pStyle w:val="Heading1"/>
      </w:pPr>
      <w:bookmarkStart w:id="47" w:name="_Toc86758567"/>
      <w:bookmarkStart w:id="48" w:name="_Toc468976072"/>
      <w:bookmarkStart w:id="49" w:name="_Toc478656137"/>
      <w:bookmarkStart w:id="50" w:name="_Toc34319187"/>
      <w:r>
        <w:t>Referrals by Services Australia</w:t>
      </w:r>
      <w:bookmarkEnd w:id="47"/>
      <w:r>
        <w:t xml:space="preserve"> </w:t>
      </w:r>
    </w:p>
    <w:p w14:paraId="47E678C2" w14:textId="4C0C7954" w:rsidR="00DF0AA6" w:rsidRPr="00F11D84" w:rsidRDefault="00DF0AA6" w:rsidP="00DF0AA6">
      <w:pPr>
        <w:pStyle w:val="guidelinetext"/>
      </w:pPr>
      <w:r w:rsidRPr="006B369F">
        <w:t>A Participant</w:t>
      </w:r>
      <w:r w:rsidRPr="002B295F">
        <w:t xml:space="preserve"> may be initially Referred to</w:t>
      </w:r>
      <w:r w:rsidRPr="000F79C5">
        <w:t xml:space="preserve"> </w:t>
      </w:r>
      <w:r w:rsidRPr="00E4289B">
        <w:t>Digital</w:t>
      </w:r>
      <w:r w:rsidR="00C15208" w:rsidRPr="00E4289B">
        <w:t xml:space="preserve"> Services</w:t>
      </w:r>
      <w:r w:rsidR="00B83269">
        <w:t>, Transition to Work</w:t>
      </w:r>
      <w:r w:rsidR="00C4285E">
        <w:t xml:space="preserve"> </w:t>
      </w:r>
      <w:r w:rsidRPr="00E4289B">
        <w:t xml:space="preserve">or </w:t>
      </w:r>
      <w:r w:rsidR="00C15208" w:rsidRPr="00E4289B">
        <w:t>Enhanced Services</w:t>
      </w:r>
      <w:r w:rsidRPr="00F11D84">
        <w:t xml:space="preserve"> </w:t>
      </w:r>
      <w:r w:rsidR="00461E40">
        <w:t>by Services Australia following:</w:t>
      </w:r>
    </w:p>
    <w:p w14:paraId="6FB391A6" w14:textId="77777777" w:rsidR="00DF0AA6" w:rsidRPr="00F11D84" w:rsidRDefault="00DF0AA6" w:rsidP="00DF0AA6">
      <w:pPr>
        <w:pStyle w:val="guidelinebullet"/>
      </w:pPr>
      <w:r w:rsidRPr="00F11D84">
        <w:t>the application of the Job Seeker Classification Instrument (JSCI) or</w:t>
      </w:r>
    </w:p>
    <w:p w14:paraId="56E79214" w14:textId="77777777" w:rsidR="00DF0AA6" w:rsidRPr="00F11D84" w:rsidRDefault="00DF0AA6" w:rsidP="00DF0AA6">
      <w:pPr>
        <w:pStyle w:val="guidelinebullet"/>
      </w:pPr>
      <w:r w:rsidRPr="00F11D84">
        <w:t>an Employment Services Assessment (ESAt)</w:t>
      </w:r>
      <w:r>
        <w:t>, where applicable</w:t>
      </w:r>
      <w:r w:rsidRPr="00F11D84">
        <w:t>.</w:t>
      </w:r>
    </w:p>
    <w:p w14:paraId="52733F83" w14:textId="783FE717" w:rsidR="00461E40" w:rsidRDefault="00DF0AA6" w:rsidP="00DF0AA6">
      <w:pPr>
        <w:pStyle w:val="guidelinetext"/>
      </w:pPr>
      <w:r w:rsidRPr="006C2732">
        <w:t xml:space="preserve">The exceptions are Time to Work Employment Service </w:t>
      </w:r>
      <w:r w:rsidR="00923E0F">
        <w:t xml:space="preserve">(TWES) </w:t>
      </w:r>
      <w:r w:rsidRPr="006C2732">
        <w:t xml:space="preserve">Participants, Early School Leavers </w:t>
      </w:r>
      <w:r w:rsidR="00583F3A">
        <w:t xml:space="preserve">who are unable to access Transition to Work </w:t>
      </w:r>
      <w:r w:rsidRPr="006C2732">
        <w:t xml:space="preserve">and Structural Adjustment Program Participants who will be Referred to </w:t>
      </w:r>
      <w:r w:rsidR="006A7436" w:rsidRPr="006C2732">
        <w:t xml:space="preserve">a </w:t>
      </w:r>
      <w:r w:rsidR="009F7E68">
        <w:t>Trial</w:t>
      </w:r>
      <w:r w:rsidR="006A7436" w:rsidRPr="006C2732">
        <w:t xml:space="preserve"> Provider</w:t>
      </w:r>
      <w:r w:rsidRPr="006C2732">
        <w:t>.</w:t>
      </w:r>
    </w:p>
    <w:p w14:paraId="153320AD" w14:textId="4E963547" w:rsidR="00D913F7" w:rsidRPr="00F616B7" w:rsidRDefault="004A1FEC" w:rsidP="00D913F7">
      <w:pPr>
        <w:pStyle w:val="guidelinetext"/>
      </w:pPr>
      <w:bookmarkStart w:id="51" w:name="_Hlk49514569"/>
      <w:r w:rsidRPr="00E3551D">
        <w:t>Participant</w:t>
      </w:r>
      <w:r w:rsidRPr="00F616B7">
        <w:t xml:space="preserve">s will be able to choose their </w:t>
      </w:r>
      <w:r w:rsidR="000831F9">
        <w:t>Trial</w:t>
      </w:r>
      <w:r w:rsidRPr="00F616B7">
        <w:t xml:space="preserve"> Provider w</w:t>
      </w:r>
      <w:r w:rsidRPr="005A7A0C">
        <w:t xml:space="preserve">hen they </w:t>
      </w:r>
      <w:r w:rsidRPr="003A251D">
        <w:t xml:space="preserve">are </w:t>
      </w:r>
      <w:r w:rsidRPr="007A5CA6">
        <w:t>referred to Enhanced</w:t>
      </w:r>
      <w:r w:rsidRPr="00E3551D">
        <w:t xml:space="preserve"> Services.</w:t>
      </w:r>
      <w:r w:rsidR="00A2562E" w:rsidRPr="00F616B7">
        <w:t xml:space="preserve"> </w:t>
      </w:r>
      <w:r w:rsidR="00D913F7" w:rsidRPr="00F1068B">
        <w:t>Services Australia</w:t>
      </w:r>
      <w:r w:rsidR="00D913F7" w:rsidRPr="00F1068B" w:rsidDel="007E252D">
        <w:t xml:space="preserve"> </w:t>
      </w:r>
      <w:r w:rsidR="00D913F7" w:rsidRPr="00F1068B">
        <w:t>has a list of</w:t>
      </w:r>
      <w:r w:rsidR="00D913F7" w:rsidRPr="00F11D84">
        <w:t xml:space="preserve"> </w:t>
      </w:r>
      <w:r w:rsidR="00D913F7">
        <w:t>Trial Provider</w:t>
      </w:r>
      <w:r w:rsidR="00D913F7" w:rsidRPr="00F11D84">
        <w:t xml:space="preserve">s in the </w:t>
      </w:r>
      <w:r w:rsidR="00D913F7">
        <w:t>Participant’s</w:t>
      </w:r>
      <w:r w:rsidR="00D913F7" w:rsidRPr="00F11D84">
        <w:t xml:space="preserve"> Employment Region</w:t>
      </w:r>
      <w:r w:rsidR="00D913F7">
        <w:t xml:space="preserve"> with sites mapped to the Participant’s post code. This is supplied to Participants when they register with Services Australia</w:t>
      </w:r>
      <w:r w:rsidR="00D913F7" w:rsidRPr="00F11D84">
        <w:t xml:space="preserve">. </w:t>
      </w:r>
      <w:r w:rsidR="00D913F7">
        <w:t>Participants</w:t>
      </w:r>
      <w:r w:rsidR="00D913F7" w:rsidRPr="00F11D84">
        <w:t xml:space="preserve"> can also access additional information </w:t>
      </w:r>
      <w:r w:rsidR="00D913F7">
        <w:t xml:space="preserve">to help them choose a Provider </w:t>
      </w:r>
      <w:r w:rsidR="00D913F7" w:rsidRPr="00F11D84">
        <w:t xml:space="preserve">through Connections for Quality on the </w:t>
      </w:r>
      <w:hyperlink r:id="rId26" w:history="1">
        <w:hyperlink r:id="rId27" w:history="1">
          <w:r w:rsidR="00D913F7" w:rsidRPr="002E1637">
            <w:rPr>
              <w:rStyle w:val="Hyperlink"/>
            </w:rPr>
            <w:t>jobactive</w:t>
          </w:r>
        </w:hyperlink>
        <w:r w:rsidR="00D913F7">
          <w:rPr>
            <w:rStyle w:val="Hyperlink"/>
          </w:rPr>
          <w:t xml:space="preserve"> </w:t>
        </w:r>
      </w:hyperlink>
      <w:r w:rsidR="00D913F7" w:rsidRPr="00F11D84">
        <w:t>website</w:t>
      </w:r>
      <w:r w:rsidR="00D913F7">
        <w:t xml:space="preserve">. </w:t>
      </w:r>
    </w:p>
    <w:p w14:paraId="4A347F5F" w14:textId="6579474A" w:rsidR="004A1FEC" w:rsidRPr="00E3551D" w:rsidRDefault="004A1FEC" w:rsidP="004A1FEC">
      <w:pPr>
        <w:pStyle w:val="guidelinetext"/>
      </w:pPr>
      <w:r w:rsidRPr="00E3551D">
        <w:t>Where a</w:t>
      </w:r>
      <w:r w:rsidRPr="00F616B7">
        <w:t xml:space="preserve"> Participant referred to Enhanced </w:t>
      </w:r>
      <w:r w:rsidRPr="00E3551D">
        <w:t xml:space="preserve">Services selects a </w:t>
      </w:r>
      <w:r w:rsidR="007861E1">
        <w:t>Trial</w:t>
      </w:r>
      <w:r w:rsidRPr="00E3551D">
        <w:t xml:space="preserve"> Provider, they will be Referred to that </w:t>
      </w:r>
      <w:r w:rsidR="007861E1">
        <w:t>Trial</w:t>
      </w:r>
      <w:r w:rsidRPr="00E3551D">
        <w:t xml:space="preserve"> Provider as long as:</w:t>
      </w:r>
    </w:p>
    <w:p w14:paraId="5B074484" w14:textId="5965159D" w:rsidR="004A1FEC" w:rsidRPr="00E3551D" w:rsidRDefault="004A1FEC" w:rsidP="00144E07">
      <w:pPr>
        <w:pStyle w:val="guidelinebullet"/>
      </w:pPr>
      <w:r w:rsidRPr="00E3551D">
        <w:t xml:space="preserve">the </w:t>
      </w:r>
      <w:r w:rsidR="007861E1">
        <w:t>Trial</w:t>
      </w:r>
      <w:r w:rsidRPr="00E3551D">
        <w:t xml:space="preserve"> Provider has sessions in their Electronic Diary available and</w:t>
      </w:r>
    </w:p>
    <w:p w14:paraId="40DC5019" w14:textId="2E200ECC" w:rsidR="004A1FEC" w:rsidRPr="00E3551D" w:rsidRDefault="004A1FEC" w:rsidP="00144E07">
      <w:pPr>
        <w:pStyle w:val="guidelinebullet"/>
      </w:pPr>
      <w:r w:rsidRPr="00E3551D">
        <w:t xml:space="preserve">the </w:t>
      </w:r>
      <w:r w:rsidR="000104AE">
        <w:t>Trial</w:t>
      </w:r>
      <w:r w:rsidRPr="00E3551D">
        <w:t xml:space="preserve"> Provider has not exceeded 130 per cent Business Share tolerance. </w:t>
      </w:r>
    </w:p>
    <w:p w14:paraId="5EF9A83F" w14:textId="7386D2A3" w:rsidR="004A1FEC" w:rsidRPr="00F11D84" w:rsidRDefault="004A1FEC" w:rsidP="004A1FEC">
      <w:pPr>
        <w:pStyle w:val="guidelinetext"/>
      </w:pPr>
      <w:r w:rsidRPr="00E3551D">
        <w:t xml:space="preserve">Where the Participant does not select a </w:t>
      </w:r>
      <w:r w:rsidR="000104AE">
        <w:t>Trial</w:t>
      </w:r>
      <w:r w:rsidRPr="00E3551D">
        <w:t xml:space="preserve"> Provider for themselves, they will be allocated to one within their Trial Employment Region.</w:t>
      </w:r>
    </w:p>
    <w:p w14:paraId="6764C336" w14:textId="52C90979" w:rsidR="00461E40" w:rsidRDefault="00461E40" w:rsidP="00461E40">
      <w:pPr>
        <w:pStyle w:val="guidelinetext"/>
      </w:pPr>
      <w:r>
        <w:t>Services Australia</w:t>
      </w:r>
      <w:r w:rsidDel="007E252D">
        <w:t xml:space="preserve"> </w:t>
      </w:r>
      <w:r w:rsidRPr="00F11D84">
        <w:t xml:space="preserve">will book an Appointment for the </w:t>
      </w:r>
      <w:r>
        <w:t>Participant</w:t>
      </w:r>
      <w:r w:rsidRPr="00F11D84">
        <w:t xml:space="preserve"> and notify them of the Appointment details.</w:t>
      </w:r>
    </w:p>
    <w:p w14:paraId="56CE3CC8" w14:textId="77777777" w:rsidR="00583F3A" w:rsidRDefault="00583F3A" w:rsidP="00583F3A">
      <w:pPr>
        <w:pStyle w:val="Heading2"/>
      </w:pPr>
      <w:r>
        <w:t>Newly Arrived Refugees</w:t>
      </w:r>
    </w:p>
    <w:p w14:paraId="40FEB952" w14:textId="77777777" w:rsidR="00583F3A" w:rsidRDefault="00583F3A" w:rsidP="00583F3A">
      <w:pPr>
        <w:pStyle w:val="guidelinetext"/>
      </w:pPr>
      <w:r w:rsidRPr="00654547">
        <w:t xml:space="preserve">During </w:t>
      </w:r>
      <w:r>
        <w:t>the first 12 months of service, newly arrived refugees</w:t>
      </w:r>
      <w:r w:rsidRPr="00654547">
        <w:t xml:space="preserve"> are not required to participate in </w:t>
      </w:r>
      <w:r>
        <w:t>the Trial, however, s</w:t>
      </w:r>
      <w:r w:rsidRPr="00654547">
        <w:t>tandard eligibility and Mutual Obligation rules apply after this period.</w:t>
      </w:r>
    </w:p>
    <w:p w14:paraId="057D3BA1" w14:textId="5E45FB7B" w:rsidR="00583F3A" w:rsidRDefault="00583F3A" w:rsidP="00583F3A">
      <w:pPr>
        <w:pStyle w:val="guidelinetext"/>
      </w:pPr>
      <w:r>
        <w:lastRenderedPageBreak/>
        <w:t>From 1 January 2020,</w:t>
      </w:r>
      <w:r w:rsidRPr="00654547">
        <w:t xml:space="preserve"> </w:t>
      </w:r>
      <w:r>
        <w:t xml:space="preserve">newly arrived refugees who volunteer for employment services will be able to voluntarily participate in the appropriate level of service based on their assessment (i.e. Digital Services or Enhanced Services) </w:t>
      </w:r>
      <w:r w:rsidRPr="00654547">
        <w:t xml:space="preserve">for 12 months after they </w:t>
      </w:r>
      <w:r>
        <w:t>have started on income support.</w:t>
      </w:r>
    </w:p>
    <w:p w14:paraId="5BF5E261" w14:textId="285DF23E" w:rsidR="00D021B7" w:rsidRDefault="009023BD" w:rsidP="00D021B7">
      <w:pPr>
        <w:pStyle w:val="Heading2"/>
      </w:pPr>
      <w:bookmarkStart w:id="52" w:name="_Toc468976073"/>
      <w:bookmarkStart w:id="53" w:name="_Toc478656138"/>
      <w:bookmarkStart w:id="54" w:name="_Toc22049524"/>
      <w:bookmarkStart w:id="55" w:name="_Toc66266443"/>
      <w:bookmarkStart w:id="56" w:name="_Toc86758568"/>
      <w:bookmarkEnd w:id="51"/>
      <w:r>
        <w:t xml:space="preserve">Trial </w:t>
      </w:r>
      <w:r w:rsidR="00D021B7">
        <w:t>Providers must have Electronic Diary timeslots available</w:t>
      </w:r>
      <w:bookmarkEnd w:id="52"/>
      <w:bookmarkEnd w:id="53"/>
      <w:bookmarkEnd w:id="54"/>
      <w:r w:rsidR="00D021B7">
        <w:t>.</w:t>
      </w:r>
      <w:bookmarkEnd w:id="55"/>
      <w:bookmarkEnd w:id="56"/>
      <w:r w:rsidR="00D021B7">
        <w:t xml:space="preserve"> </w:t>
      </w:r>
    </w:p>
    <w:p w14:paraId="62C4CA16" w14:textId="4FAB813E" w:rsidR="00D021B7" w:rsidRDefault="00801E0F" w:rsidP="00D021B7">
      <w:pPr>
        <w:pStyle w:val="guidelinetext"/>
      </w:pPr>
      <w:r>
        <w:t xml:space="preserve">Trial </w:t>
      </w:r>
      <w:r w:rsidR="00D021B7">
        <w:t xml:space="preserve">Providers </w:t>
      </w:r>
      <w:r w:rsidR="00D021B7" w:rsidRPr="001C0B8F">
        <w:t xml:space="preserve">must </w:t>
      </w:r>
      <w:r w:rsidR="00D021B7">
        <w:t>ensure that the</w:t>
      </w:r>
      <w:r w:rsidR="00D021B7" w:rsidRPr="001C0B8F">
        <w:t xml:space="preserve"> Electronic </w:t>
      </w:r>
      <w:r w:rsidR="00D021B7">
        <w:t>Calendar has, at all times, capacity to receive Appointments</w:t>
      </w:r>
      <w:r w:rsidR="00D021B7" w:rsidRPr="001C0B8F">
        <w:t xml:space="preserve"> within the next two Business Days</w:t>
      </w:r>
      <w:r w:rsidR="00461E40">
        <w:t>.</w:t>
      </w:r>
      <w:r w:rsidR="00D021B7">
        <w:t xml:space="preserve"> </w:t>
      </w:r>
      <w:r w:rsidR="00D021B7" w:rsidRPr="001C0B8F">
        <w:t xml:space="preserve">Refer to the </w:t>
      </w:r>
      <w:hyperlink r:id="rId28" w:history="1">
        <w:r w:rsidR="00D021B7" w:rsidRPr="00015B2E">
          <w:rPr>
            <w:rStyle w:val="Hyperlink"/>
          </w:rPr>
          <w:t>Managing and Monitoring Mutual Obligation Requirements Guideline</w:t>
        </w:r>
      </w:hyperlink>
      <w:r w:rsidR="00D021B7" w:rsidRPr="00015B2E">
        <w:rPr>
          <w:rStyle w:val="Hyperlink"/>
        </w:rPr>
        <w:t>.</w:t>
      </w:r>
    </w:p>
    <w:p w14:paraId="32899120" w14:textId="557637C1" w:rsidR="00D021B7" w:rsidRDefault="00D021B7" w:rsidP="00144E07">
      <w:pPr>
        <w:pStyle w:val="guidelinedeedref"/>
      </w:pPr>
      <w:r>
        <w:t xml:space="preserve">(Deed references: Clauses </w:t>
      </w:r>
      <w:r w:rsidR="00AD0860">
        <w:t>93</w:t>
      </w:r>
      <w:r>
        <w:t xml:space="preserve"> and </w:t>
      </w:r>
      <w:r w:rsidR="00AD0860">
        <w:t>94</w:t>
      </w:r>
      <w:r>
        <w:t>)</w:t>
      </w:r>
    </w:p>
    <w:p w14:paraId="62914F04" w14:textId="223E5931" w:rsidR="00D021B7" w:rsidRPr="00713618" w:rsidRDefault="00D021B7" w:rsidP="00D021B7">
      <w:pPr>
        <w:pStyle w:val="guidelinetext"/>
        <w:rPr>
          <w:rFonts w:cstheme="minorHAnsi"/>
        </w:rPr>
      </w:pPr>
      <w:r w:rsidRPr="00E76BEC">
        <w:rPr>
          <w:rFonts w:cstheme="minorHAnsi"/>
        </w:rPr>
        <w:t>For</w:t>
      </w:r>
      <w:bookmarkStart w:id="57" w:name="_Toc509328043"/>
      <w:r w:rsidRPr="00E76BEC">
        <w:t xml:space="preserve"> TWES </w:t>
      </w:r>
      <w:bookmarkEnd w:id="57"/>
      <w:r w:rsidRPr="00E76BEC">
        <w:rPr>
          <w:rFonts w:cstheme="minorHAnsi"/>
        </w:rPr>
        <w:t xml:space="preserve">Participants </w:t>
      </w:r>
      <w:r>
        <w:rPr>
          <w:rFonts w:cstheme="minorHAnsi"/>
        </w:rPr>
        <w:t>Refer</w:t>
      </w:r>
      <w:r w:rsidRPr="00E76BEC">
        <w:rPr>
          <w:rFonts w:cstheme="minorHAnsi"/>
        </w:rPr>
        <w:t xml:space="preserve">red to </w:t>
      </w:r>
      <w:r w:rsidR="006679E3">
        <w:rPr>
          <w:rFonts w:cstheme="minorHAnsi"/>
        </w:rPr>
        <w:t>Enhanced Services</w:t>
      </w:r>
      <w:r w:rsidRPr="00E76BEC">
        <w:rPr>
          <w:rFonts w:cstheme="minorHAnsi"/>
        </w:rPr>
        <w:t xml:space="preserve">, </w:t>
      </w:r>
      <w:r w:rsidR="00801E0F">
        <w:rPr>
          <w:rFonts w:cstheme="minorHAnsi"/>
        </w:rPr>
        <w:t xml:space="preserve">Trial </w:t>
      </w:r>
      <w:r w:rsidRPr="00E76BEC">
        <w:rPr>
          <w:rFonts w:cstheme="minorHAnsi"/>
        </w:rPr>
        <w:t>Providers will need to schedule/block out time in their Electronic Calendar for a facilitated transfer meeting with the Participant and TWES Provider, using the ‘Provider Event’ functionality.</w:t>
      </w:r>
    </w:p>
    <w:p w14:paraId="7B9136D9" w14:textId="3BAA74DB" w:rsidR="00D021B7" w:rsidRDefault="00D021B7" w:rsidP="00144E07">
      <w:pPr>
        <w:pStyle w:val="guidelinedeedref"/>
      </w:pPr>
      <w:r>
        <w:t xml:space="preserve">(Deed reference: Clauses </w:t>
      </w:r>
      <w:r w:rsidR="00470F5E">
        <w:t>92.5</w:t>
      </w:r>
      <w:r>
        <w:t>)</w:t>
      </w:r>
    </w:p>
    <w:p w14:paraId="568AB3E9" w14:textId="4B3572B8" w:rsidR="008E1E62" w:rsidRDefault="008E1E62" w:rsidP="008E1E62">
      <w:pPr>
        <w:pStyle w:val="Heading1"/>
      </w:pPr>
      <w:bookmarkStart w:id="58" w:name="_Toc86758570"/>
      <w:bookmarkEnd w:id="48"/>
      <w:bookmarkEnd w:id="49"/>
      <w:bookmarkEnd w:id="50"/>
      <w:r>
        <w:t>Eligible Participants not referred by Services Australia</w:t>
      </w:r>
      <w:bookmarkEnd w:id="58"/>
    </w:p>
    <w:p w14:paraId="1590C20D" w14:textId="3A650677" w:rsidR="008E1E62" w:rsidRPr="008E1E62" w:rsidRDefault="008E1E62" w:rsidP="008E1E62">
      <w:pPr>
        <w:rPr>
          <w:rFonts w:asciiTheme="majorHAnsi" w:eastAsiaTheme="majorEastAsia" w:hAnsiTheme="majorHAnsi" w:cstheme="majorBidi"/>
          <w:color w:val="2E74B5" w:themeColor="accent1" w:themeShade="BF"/>
          <w:sz w:val="26"/>
          <w:szCs w:val="26"/>
        </w:rPr>
      </w:pPr>
      <w:r w:rsidRPr="008E1E62">
        <w:rPr>
          <w:rFonts w:asciiTheme="majorHAnsi" w:eastAsiaTheme="majorEastAsia" w:hAnsiTheme="majorHAnsi" w:cstheme="majorBidi"/>
          <w:color w:val="2E74B5" w:themeColor="accent1" w:themeShade="BF"/>
          <w:sz w:val="26"/>
          <w:szCs w:val="26"/>
        </w:rPr>
        <w:t xml:space="preserve">Direct Registration </w:t>
      </w:r>
    </w:p>
    <w:p w14:paraId="3E9A9598" w14:textId="0F5CBD1D" w:rsidR="00627637" w:rsidRDefault="00627637" w:rsidP="00627637">
      <w:pPr>
        <w:pStyle w:val="guidelinetext"/>
      </w:pPr>
      <w:r>
        <w:t>Some e</w:t>
      </w:r>
      <w:r w:rsidRPr="00063F3E">
        <w:t xml:space="preserve">ligible </w:t>
      </w:r>
      <w:r>
        <w:t>individuals</w:t>
      </w:r>
      <w:r w:rsidRPr="00063F3E">
        <w:t xml:space="preserve"> may elect to participate in </w:t>
      </w:r>
      <w:r w:rsidR="007510ED">
        <w:t xml:space="preserve">Trial </w:t>
      </w:r>
      <w:r>
        <w:t>Provider</w:t>
      </w:r>
      <w:r w:rsidRPr="00063F3E">
        <w:t xml:space="preserve"> Services without going to </w:t>
      </w:r>
      <w:r w:rsidR="0090575E">
        <w:t>Services Australia</w:t>
      </w:r>
      <w:r w:rsidRPr="00063F3E">
        <w:t xml:space="preserve"> a</w:t>
      </w:r>
      <w:r>
        <w:t>nd can Directly Register with a</w:t>
      </w:r>
      <w:r w:rsidRPr="00063F3E">
        <w:t xml:space="preserve"> </w:t>
      </w:r>
      <w:r w:rsidR="007510ED">
        <w:t xml:space="preserve">Trial </w:t>
      </w:r>
      <w:r>
        <w:t>Provider</w:t>
      </w:r>
      <w:r w:rsidRPr="00063F3E">
        <w:t xml:space="preserve">. The </w:t>
      </w:r>
      <w:r w:rsidR="007510ED">
        <w:t>Trial</w:t>
      </w:r>
      <w:r w:rsidR="007510ED" w:rsidRPr="00063F3E">
        <w:t xml:space="preserve"> </w:t>
      </w:r>
      <w:r>
        <w:t>Provider is</w:t>
      </w:r>
      <w:r w:rsidRPr="00063F3E">
        <w:t xml:space="preserve"> </w:t>
      </w:r>
      <w:r>
        <w:t xml:space="preserve">responsible for determining </w:t>
      </w:r>
      <w:r w:rsidRPr="00063F3E">
        <w:t xml:space="preserve">a </w:t>
      </w:r>
      <w:r>
        <w:t>person</w:t>
      </w:r>
      <w:r w:rsidRPr="00063F3E">
        <w:t>’s eligibility for Direct Registration and register</w:t>
      </w:r>
      <w:r>
        <w:t>ing</w:t>
      </w:r>
      <w:r w:rsidRPr="00063F3E">
        <w:t xml:space="preserve"> that </w:t>
      </w:r>
      <w:r>
        <w:t>person</w:t>
      </w:r>
      <w:r w:rsidRPr="00063F3E">
        <w:t xml:space="preserve"> for Services.</w:t>
      </w:r>
      <w:r>
        <w:t xml:space="preserve"> Refer to the</w:t>
      </w:r>
      <w:r w:rsidRPr="007A7A10">
        <w:t xml:space="preserve"> </w:t>
      </w:r>
      <w:hyperlink r:id="rId29" w:history="1">
        <w:r w:rsidRPr="008E1E62">
          <w:rPr>
            <w:rStyle w:val="Hyperlink"/>
          </w:rPr>
          <w:t>NEST Direct Registration Guideline.</w:t>
        </w:r>
      </w:hyperlink>
      <w:r>
        <w:t xml:space="preserve"> </w:t>
      </w:r>
    </w:p>
    <w:p w14:paraId="6DEA19A4" w14:textId="14293376" w:rsidR="00627637" w:rsidRDefault="00627637" w:rsidP="00627637">
      <w:pPr>
        <w:pStyle w:val="Heading2"/>
      </w:pPr>
      <w:bookmarkStart w:id="59" w:name="_Toc17275634"/>
      <w:bookmarkStart w:id="60" w:name="_Toc34319195"/>
      <w:bookmarkStart w:id="61" w:name="_Toc86758571"/>
      <w:r>
        <w:t>Retrenched workers and their partners</w:t>
      </w:r>
      <w:bookmarkEnd w:id="59"/>
      <w:bookmarkEnd w:id="60"/>
      <w:bookmarkEnd w:id="61"/>
      <w:r>
        <w:t xml:space="preserve"> </w:t>
      </w:r>
    </w:p>
    <w:p w14:paraId="48E689FC" w14:textId="77777777" w:rsidR="00627637" w:rsidRDefault="00627637" w:rsidP="00627637">
      <w:pPr>
        <w:pStyle w:val="guidelinetext"/>
      </w:pPr>
      <w:r>
        <w:t xml:space="preserve">Retrenched Workers and their partners are eligible for immediate access to Enhanced Services. </w:t>
      </w:r>
    </w:p>
    <w:p w14:paraId="27B6B8D8" w14:textId="6DB6131B" w:rsidR="00627637" w:rsidRDefault="00627637" w:rsidP="0073656E">
      <w:pPr>
        <w:pStyle w:val="guidelinetext"/>
      </w:pPr>
      <w:r>
        <w:t>Some retrenched workers and their partners may be eligible for additional assistance through</w:t>
      </w:r>
      <w:r w:rsidR="00AD6FBB">
        <w:t xml:space="preserve"> </w:t>
      </w:r>
      <w:r w:rsidRPr="00D47D1A">
        <w:t xml:space="preserve">Structural Adjustment </w:t>
      </w:r>
      <w:r w:rsidR="00696267">
        <w:t xml:space="preserve">Packages </w:t>
      </w:r>
      <w:r w:rsidR="00AD6FBB">
        <w:t xml:space="preserve">which </w:t>
      </w:r>
      <w:r>
        <w:t>enable recently retrenched workers from eligible companies or industries to access</w:t>
      </w:r>
      <w:r w:rsidRPr="00063F3E">
        <w:t xml:space="preserve"> </w:t>
      </w:r>
      <w:r w:rsidR="00696267">
        <w:t>Enhanced</w:t>
      </w:r>
      <w:r w:rsidR="00696267" w:rsidRPr="000F5D62">
        <w:t xml:space="preserve"> </w:t>
      </w:r>
      <w:r w:rsidRPr="000F5D62">
        <w:t>Services.</w:t>
      </w:r>
      <w:r>
        <w:t xml:space="preserve"> </w:t>
      </w:r>
      <w:r w:rsidRPr="00D47D1A">
        <w:t xml:space="preserve">Structural Adjustment </w:t>
      </w:r>
      <w:r w:rsidR="00696267">
        <w:t xml:space="preserve">Package </w:t>
      </w:r>
      <w:r>
        <w:t xml:space="preserve">Participants are eligible for immediate access to </w:t>
      </w:r>
      <w:r w:rsidR="00696267">
        <w:t>Enhanced</w:t>
      </w:r>
      <w:r w:rsidR="00696267" w:rsidRPr="000F5D62">
        <w:t xml:space="preserve"> </w:t>
      </w:r>
      <w:r w:rsidRPr="000F5D62">
        <w:t xml:space="preserve">Services </w:t>
      </w:r>
      <w:r>
        <w:t xml:space="preserve">to assist them to find new employment. For information relating to </w:t>
      </w:r>
      <w:r w:rsidRPr="00D47D1A">
        <w:t xml:space="preserve">Structural Adjustment </w:t>
      </w:r>
      <w:r w:rsidR="00696267">
        <w:t xml:space="preserve">Packages </w:t>
      </w:r>
      <w:r>
        <w:t xml:space="preserve">including eligibility and registration, refer to the </w:t>
      </w:r>
      <w:hyperlink r:id="rId30" w:history="1">
        <w:r w:rsidRPr="00AD6FBB">
          <w:rPr>
            <w:rStyle w:val="Hyperlink"/>
          </w:rPr>
          <w:t xml:space="preserve">Structural Adjustment </w:t>
        </w:r>
        <w:r w:rsidR="00696267">
          <w:rPr>
            <w:rStyle w:val="Hyperlink"/>
          </w:rPr>
          <w:t>Package</w:t>
        </w:r>
        <w:r w:rsidR="00696267" w:rsidRPr="00AD6FBB">
          <w:rPr>
            <w:rStyle w:val="Hyperlink"/>
          </w:rPr>
          <w:t xml:space="preserve"> </w:t>
        </w:r>
        <w:r w:rsidRPr="00AD6FBB">
          <w:rPr>
            <w:rStyle w:val="Hyperlink"/>
          </w:rPr>
          <w:t>Guideline</w:t>
        </w:r>
      </w:hyperlink>
      <w:r>
        <w:t>.</w:t>
      </w:r>
    </w:p>
    <w:p w14:paraId="0B52CD53" w14:textId="555E9B31" w:rsidR="00627637" w:rsidRDefault="00B24583" w:rsidP="00627637">
      <w:pPr>
        <w:pStyle w:val="guidelinetext"/>
      </w:pPr>
      <w:r>
        <w:t xml:space="preserve">Trial </w:t>
      </w:r>
      <w:r w:rsidR="00627637">
        <w:t xml:space="preserve">Providers must use the hierarchy of eligibility below to Directly Register any retrenched workers and/or their partners. </w:t>
      </w:r>
    </w:p>
    <w:p w14:paraId="029BAB9E" w14:textId="77777777" w:rsidR="00627637" w:rsidRPr="00B86E90" w:rsidRDefault="00627637" w:rsidP="00B86E90">
      <w:pPr>
        <w:pStyle w:val="Heading3"/>
      </w:pPr>
      <w:r w:rsidRPr="00B86E90">
        <w:t>Retrenched workers and their partners - hierarchy of eligibility</w:t>
      </w:r>
    </w:p>
    <w:p w14:paraId="2913844C" w14:textId="3340AB43" w:rsidR="00627637" w:rsidRDefault="00627637" w:rsidP="00E47A7F">
      <w:pPr>
        <w:pStyle w:val="guidelinetext"/>
        <w:numPr>
          <w:ilvl w:val="0"/>
          <w:numId w:val="6"/>
        </w:numPr>
        <w:ind w:left="1418" w:firstLine="0"/>
      </w:pPr>
      <w:r>
        <w:t xml:space="preserve">Structural Adjustment </w:t>
      </w:r>
      <w:r w:rsidR="00696267">
        <w:t>Package</w:t>
      </w:r>
    </w:p>
    <w:p w14:paraId="2DE6D24D" w14:textId="77777777" w:rsidR="00627637" w:rsidRDefault="00627637" w:rsidP="00E47A7F">
      <w:pPr>
        <w:pStyle w:val="guidelinetext"/>
        <w:numPr>
          <w:ilvl w:val="0"/>
          <w:numId w:val="6"/>
        </w:numPr>
        <w:ind w:left="2160" w:hanging="742"/>
      </w:pPr>
      <w:r>
        <w:t>Enhanced Services.</w:t>
      </w:r>
      <w:r w:rsidDel="00946D54">
        <w:t xml:space="preserve"> </w:t>
      </w:r>
    </w:p>
    <w:p w14:paraId="0B1EAF50" w14:textId="52F70128" w:rsidR="00627637" w:rsidRDefault="00627637" w:rsidP="00627637">
      <w:pPr>
        <w:pStyle w:val="guidelinetext"/>
      </w:pPr>
      <w:r>
        <w:t xml:space="preserve">Retrenched workers and their partners do not need to participate in the same program. Where a retrenched worker and their partner are eligible for a Structural Adjustment </w:t>
      </w:r>
      <w:r w:rsidR="00696267">
        <w:t xml:space="preserve">Package </w:t>
      </w:r>
      <w:r w:rsidR="00AD6FBB">
        <w:t xml:space="preserve">this </w:t>
      </w:r>
      <w:r>
        <w:t xml:space="preserve">will take priority. </w:t>
      </w:r>
    </w:p>
    <w:p w14:paraId="333853A6" w14:textId="5D59C606" w:rsidR="00627637" w:rsidRDefault="00627637" w:rsidP="001F6ED7">
      <w:pPr>
        <w:pStyle w:val="guidelinetext"/>
      </w:pPr>
      <w:r w:rsidRPr="00272823">
        <w:lastRenderedPageBreak/>
        <w:t xml:space="preserve">While a retrenched person and their partner may be eligible to register for </w:t>
      </w:r>
      <w:r w:rsidR="00B24583">
        <w:t xml:space="preserve">Trial </w:t>
      </w:r>
      <w:r>
        <w:t>Provider Services</w:t>
      </w:r>
      <w:r w:rsidRPr="00272823">
        <w:t xml:space="preserve"> under multiple retrenched worker programs, they can only be registered under </w:t>
      </w:r>
      <w:r w:rsidRPr="00272823">
        <w:rPr>
          <w:b/>
          <w:bCs/>
        </w:rPr>
        <w:t>one</w:t>
      </w:r>
      <w:r w:rsidRPr="00272823">
        <w:t xml:space="preserve"> retrenched worker program each. (E.g. A Structural Adjustment </w:t>
      </w:r>
      <w:r w:rsidR="00696267">
        <w:t>Package</w:t>
      </w:r>
      <w:r w:rsidR="00696267" w:rsidRPr="00272823">
        <w:t xml:space="preserve"> </w:t>
      </w:r>
      <w:r>
        <w:t>Participant</w:t>
      </w:r>
      <w:r w:rsidRPr="00272823">
        <w:t xml:space="preserve"> or a general retrenched worker/partner). </w:t>
      </w:r>
      <w:r>
        <w:t xml:space="preserve"> This might mean that in some cases, the retrenched worker and their partner are registered in different retrenched worker programs.</w:t>
      </w:r>
    </w:p>
    <w:p w14:paraId="12EDDB01" w14:textId="01D3C1E3" w:rsidR="00B71262" w:rsidRDefault="00B71262" w:rsidP="00B71262">
      <w:pPr>
        <w:pStyle w:val="Heading2"/>
        <w:rPr>
          <w:rFonts w:cs="Calibri"/>
          <w:color w:val="000000"/>
        </w:rPr>
      </w:pPr>
      <w:bookmarkStart w:id="62" w:name="_Toc34319196"/>
      <w:bookmarkStart w:id="63" w:name="_Toc86758572"/>
      <w:r w:rsidRPr="00B175D7">
        <w:t>Vulnerable Youth or Vulnerable Youth (Student)</w:t>
      </w:r>
      <w:r w:rsidR="005D0E84">
        <w:t>s</w:t>
      </w:r>
      <w:bookmarkEnd w:id="62"/>
      <w:bookmarkEnd w:id="63"/>
    </w:p>
    <w:p w14:paraId="49F764B8" w14:textId="46DD7FFD" w:rsidR="00B71262" w:rsidRDefault="00B71262" w:rsidP="00B71262">
      <w:pPr>
        <w:pStyle w:val="guidelinetext"/>
        <w:rPr>
          <w:rFonts w:cs="Calibri"/>
          <w:color w:val="000000"/>
        </w:rPr>
      </w:pPr>
      <w:r w:rsidRPr="00F11D84">
        <w:rPr>
          <w:rFonts w:cs="Calibri"/>
          <w:color w:val="000000"/>
        </w:rPr>
        <w:t xml:space="preserve">Following the immediate Direct Registration of a Vulnerable Youth or Vulnerable Youth (Student) who presents in crisis, </w:t>
      </w:r>
      <w:r w:rsidR="00B24583">
        <w:t>Trial</w:t>
      </w:r>
      <w:r w:rsidR="00B24583">
        <w:rPr>
          <w:rFonts w:cs="Calibri"/>
          <w:color w:val="000000"/>
        </w:rPr>
        <w:t xml:space="preserve"> </w:t>
      </w:r>
      <w:r>
        <w:rPr>
          <w:rFonts w:cs="Calibri"/>
          <w:color w:val="000000"/>
        </w:rPr>
        <w:t>Provider</w:t>
      </w:r>
      <w:r w:rsidRPr="00C43317">
        <w:rPr>
          <w:rFonts w:cs="Calibri"/>
          <w:color w:val="000000"/>
        </w:rPr>
        <w:t>s must</w:t>
      </w:r>
      <w:r w:rsidRPr="00F11D84">
        <w:rPr>
          <w:rFonts w:cs="Calibri"/>
          <w:color w:val="000000"/>
        </w:rPr>
        <w:t xml:space="preserve"> immediately provide or refer the young person to relevant crisis assistance. The support provided will depend on the nature of the crisis but could include assistance with emergency accommodation, counselling or other non-vocational support.</w:t>
      </w:r>
      <w:r w:rsidDel="008051BE">
        <w:rPr>
          <w:rFonts w:cs="Calibri"/>
          <w:color w:val="000000"/>
        </w:rPr>
        <w:t xml:space="preserve"> </w:t>
      </w:r>
    </w:p>
    <w:p w14:paraId="32DFB8E4" w14:textId="77777777" w:rsidR="00B71262" w:rsidRDefault="00B71262" w:rsidP="00144E07">
      <w:pPr>
        <w:pStyle w:val="guidelinedeedref"/>
        <w:rPr>
          <w:rFonts w:cs="Calibri"/>
          <w:color w:val="000000"/>
        </w:rPr>
      </w:pPr>
      <w:r w:rsidRPr="00324D30">
        <w:t xml:space="preserve">(Deed reference: </w:t>
      </w:r>
      <w:r>
        <w:t xml:space="preserve">Clauses </w:t>
      </w:r>
      <w:r w:rsidRPr="00A65236">
        <w:t>9</w:t>
      </w:r>
      <w:r w:rsidR="00B8210C">
        <w:t>0</w:t>
      </w:r>
      <w:r w:rsidRPr="00A65236">
        <w:t>.2)</w:t>
      </w:r>
    </w:p>
    <w:p w14:paraId="4BC4D8B2" w14:textId="063B0B6D" w:rsidR="00627637" w:rsidRDefault="00627637" w:rsidP="00627637">
      <w:pPr>
        <w:pStyle w:val="Heading2"/>
        <w:rPr>
          <w:rFonts w:eastAsia="Times New Roman"/>
        </w:rPr>
      </w:pPr>
      <w:bookmarkStart w:id="64" w:name="_Toc34319197"/>
      <w:bookmarkStart w:id="65" w:name="_Toc86758573"/>
      <w:r>
        <w:rPr>
          <w:rFonts w:eastAsia="Times New Roman"/>
        </w:rPr>
        <w:t xml:space="preserve">Transition to Work Participants </w:t>
      </w:r>
      <w:r w:rsidR="000C1058">
        <w:rPr>
          <w:rFonts w:eastAsia="Times New Roman"/>
        </w:rPr>
        <w:t>(</w:t>
      </w:r>
      <w:r w:rsidR="00D31D40">
        <w:rPr>
          <w:rFonts w:eastAsia="Times New Roman"/>
        </w:rPr>
        <w:t xml:space="preserve">TtW) </w:t>
      </w:r>
      <w:r>
        <w:rPr>
          <w:rFonts w:eastAsia="Times New Roman"/>
        </w:rPr>
        <w:t>nearing the end of TtW</w:t>
      </w:r>
      <w:bookmarkEnd w:id="64"/>
      <w:bookmarkEnd w:id="65"/>
    </w:p>
    <w:p w14:paraId="59BA04A5" w14:textId="681E410A" w:rsidR="00627637" w:rsidRDefault="00627637" w:rsidP="00627637">
      <w:pPr>
        <w:pStyle w:val="guidelinetext"/>
      </w:pPr>
      <w:r>
        <w:t xml:space="preserve">Transition to Work (TtW) Providers will refer Participants with Mutual Obligation Requirements to a </w:t>
      </w:r>
      <w:r w:rsidR="00B24583">
        <w:t>Trial</w:t>
      </w:r>
      <w:r w:rsidR="00B24583" w:rsidRPr="007F6DAA">
        <w:t xml:space="preserve"> </w:t>
      </w:r>
      <w:r>
        <w:t xml:space="preserve">Provider if they are nearing the end of their </w:t>
      </w:r>
      <w:r w:rsidR="00F95C76">
        <w:t xml:space="preserve">18 </w:t>
      </w:r>
      <w:r>
        <w:t xml:space="preserve">months in Transition to Work and not tracking towards an outcome. The </w:t>
      </w:r>
      <w:r w:rsidR="00B24583">
        <w:t>TtW</w:t>
      </w:r>
      <w:r>
        <w:t xml:space="preserve"> Provider will identify a </w:t>
      </w:r>
      <w:r w:rsidR="00B24583">
        <w:t xml:space="preserve">Trial </w:t>
      </w:r>
      <w:r>
        <w:t>Provider in the Employment Region and offer the Participant a choice of Provider, if applicable.</w:t>
      </w:r>
    </w:p>
    <w:p w14:paraId="505121EE" w14:textId="7E8BE31E" w:rsidR="00627637" w:rsidRDefault="00627637" w:rsidP="00627637">
      <w:pPr>
        <w:pStyle w:val="guidelinetext"/>
        <w:rPr>
          <w:rFonts w:eastAsia="Times New Roman"/>
        </w:rPr>
      </w:pPr>
      <w:r>
        <w:t xml:space="preserve">The </w:t>
      </w:r>
      <w:r w:rsidR="00F67BDF">
        <w:t>TtW</w:t>
      </w:r>
      <w:r>
        <w:t xml:space="preserve"> Provider must then organise and attend an initial planning meeting with the </w:t>
      </w:r>
      <w:r w:rsidR="00F67BDF">
        <w:t>Trial</w:t>
      </w:r>
      <w:r w:rsidR="00F67BDF">
        <w:rPr>
          <w:rFonts w:eastAsia="Times New Roman"/>
        </w:rPr>
        <w:t xml:space="preserve"> </w:t>
      </w:r>
      <w:r>
        <w:rPr>
          <w:rFonts w:eastAsia="Times New Roman"/>
        </w:rPr>
        <w:t xml:space="preserve">Provider </w:t>
      </w:r>
      <w:r>
        <w:t xml:space="preserve">and the Participant, to be held in the </w:t>
      </w:r>
      <w:r w:rsidRPr="00A65236">
        <w:t xml:space="preserve">first week of the Participant’s </w:t>
      </w:r>
      <w:r w:rsidR="00FB5207">
        <w:t>eighteenth</w:t>
      </w:r>
      <w:r w:rsidR="00FB5207" w:rsidRPr="00A65236">
        <w:t xml:space="preserve"> </w:t>
      </w:r>
      <w:r w:rsidRPr="00A65236">
        <w:t xml:space="preserve">month in </w:t>
      </w:r>
      <w:r w:rsidR="00F67BDF">
        <w:t>TtW</w:t>
      </w:r>
      <w:r>
        <w:t xml:space="preserve">. The purpose of this meeting is for the </w:t>
      </w:r>
      <w:r w:rsidR="00F67BDF">
        <w:t>Trial</w:t>
      </w:r>
      <w:r w:rsidR="00F67BDF">
        <w:rPr>
          <w:rFonts w:eastAsia="Times New Roman"/>
        </w:rPr>
        <w:t xml:space="preserve"> </w:t>
      </w:r>
      <w:r>
        <w:rPr>
          <w:rFonts w:eastAsia="Times New Roman"/>
        </w:rPr>
        <w:t xml:space="preserve">Provider </w:t>
      </w:r>
      <w:r>
        <w:t xml:space="preserve">to set out participation expectations and organise an assessment for the participant. </w:t>
      </w:r>
    </w:p>
    <w:p w14:paraId="538F8831" w14:textId="3896C882" w:rsidR="00627637" w:rsidRDefault="00627637" w:rsidP="00627637">
      <w:pPr>
        <w:pStyle w:val="guidelinetext"/>
      </w:pPr>
      <w:r>
        <w:t xml:space="preserve">At this point, the </w:t>
      </w:r>
      <w:r w:rsidR="00F67BDF">
        <w:t>TtW</w:t>
      </w:r>
      <w:r>
        <w:t xml:space="preserve"> Participant </w:t>
      </w:r>
      <w:r w:rsidRPr="00A65236">
        <w:t>has not been referred</w:t>
      </w:r>
      <w:r>
        <w:t xml:space="preserve"> to the </w:t>
      </w:r>
      <w:r w:rsidR="00A44FB9">
        <w:t xml:space="preserve">Trial </w:t>
      </w:r>
      <w:r>
        <w:t xml:space="preserve">Provider. Therefore, a Participant appointment cannot be made in the </w:t>
      </w:r>
      <w:r w:rsidR="00A44FB9">
        <w:t>Trial</w:t>
      </w:r>
      <w:r w:rsidR="00A44FB9" w:rsidRPr="007F6DAA">
        <w:t xml:space="preserve"> </w:t>
      </w:r>
      <w:r>
        <w:t xml:space="preserve">Provider’s calendar. The </w:t>
      </w:r>
      <w:r w:rsidR="00A44FB9">
        <w:t>Trial</w:t>
      </w:r>
      <w:r w:rsidR="00A44FB9" w:rsidRPr="007F6DAA">
        <w:t xml:space="preserve"> </w:t>
      </w:r>
      <w:r>
        <w:t>Provider will need to manually schedule/block out time for this meeting in their calendar.</w:t>
      </w:r>
    </w:p>
    <w:p w14:paraId="4468ACBF" w14:textId="3C2F5F6B" w:rsidR="00627637" w:rsidRDefault="00627637" w:rsidP="00627637">
      <w:pPr>
        <w:pStyle w:val="guidelinetext"/>
      </w:pPr>
      <w:r>
        <w:t xml:space="preserve">The </w:t>
      </w:r>
      <w:r w:rsidR="00A44FB9">
        <w:t>TtW</w:t>
      </w:r>
      <w:r>
        <w:t xml:space="preserve"> Provider will organise the Participant’s </w:t>
      </w:r>
      <w:r w:rsidRPr="00A65236">
        <w:t xml:space="preserve">Initial Interview </w:t>
      </w:r>
      <w:r w:rsidRPr="003554E2">
        <w:t xml:space="preserve">with a </w:t>
      </w:r>
      <w:r w:rsidR="00A44FB9">
        <w:t>Trial</w:t>
      </w:r>
      <w:r w:rsidR="00A44FB9" w:rsidRPr="003554E2">
        <w:t xml:space="preserve"> </w:t>
      </w:r>
      <w:r w:rsidRPr="003554E2">
        <w:t xml:space="preserve">Provider to be held in the </w:t>
      </w:r>
      <w:r w:rsidRPr="00A65236">
        <w:t xml:space="preserve">final week of the </w:t>
      </w:r>
      <w:r w:rsidR="00FB5207">
        <w:t>eighteenth</w:t>
      </w:r>
      <w:r w:rsidR="00FB5207" w:rsidRPr="00A65236">
        <w:t xml:space="preserve"> </w:t>
      </w:r>
      <w:r w:rsidRPr="00A65236">
        <w:t>month</w:t>
      </w:r>
      <w:r w:rsidRPr="003554E2">
        <w:t xml:space="preserve">. This is where the Participant is </w:t>
      </w:r>
      <w:r w:rsidRPr="00A65236">
        <w:t>referred</w:t>
      </w:r>
      <w:r w:rsidRPr="003554E2">
        <w:t xml:space="preserve"> to </w:t>
      </w:r>
      <w:r w:rsidR="00E32731">
        <w:t>a Trial</w:t>
      </w:r>
      <w:r w:rsidR="00E32731" w:rsidRPr="003554E2">
        <w:t xml:space="preserve"> </w:t>
      </w:r>
      <w:r w:rsidRPr="009443F3">
        <w:t xml:space="preserve">Provider by the </w:t>
      </w:r>
      <w:r w:rsidR="00E32731">
        <w:t xml:space="preserve">TtW </w:t>
      </w:r>
      <w:r>
        <w:t xml:space="preserve">Provider and exited from </w:t>
      </w:r>
      <w:r w:rsidR="00E32731">
        <w:t>TtW</w:t>
      </w:r>
      <w:r>
        <w:t>.</w:t>
      </w:r>
    </w:p>
    <w:p w14:paraId="7EB7F945" w14:textId="7AED5F30" w:rsidR="00627637" w:rsidRPr="00C418CF" w:rsidRDefault="00627637" w:rsidP="00627637">
      <w:pPr>
        <w:pStyle w:val="guidelinetext"/>
        <w:rPr>
          <w:color w:val="000000" w:themeColor="text1"/>
        </w:rPr>
      </w:pPr>
      <w:r w:rsidRPr="00C418CF">
        <w:rPr>
          <w:color w:val="000000" w:themeColor="text1"/>
        </w:rPr>
        <w:t xml:space="preserve">If the </w:t>
      </w:r>
      <w:r w:rsidR="00E32731">
        <w:rPr>
          <w:color w:val="000000" w:themeColor="text1"/>
        </w:rPr>
        <w:t>TtW</w:t>
      </w:r>
      <w:r w:rsidRPr="00C418CF">
        <w:rPr>
          <w:color w:val="000000" w:themeColor="text1"/>
        </w:rPr>
        <w:t xml:space="preserve"> </w:t>
      </w:r>
      <w:r>
        <w:rPr>
          <w:color w:val="000000" w:themeColor="text1"/>
        </w:rPr>
        <w:t>Participant</w:t>
      </w:r>
      <w:r w:rsidRPr="00C418CF">
        <w:rPr>
          <w:color w:val="000000" w:themeColor="text1"/>
        </w:rPr>
        <w:t xml:space="preserve"> is transferring to a </w:t>
      </w:r>
      <w:r w:rsidR="00E32731">
        <w:t>Trial</w:t>
      </w:r>
      <w:r w:rsidR="00E32731" w:rsidRPr="00C418CF">
        <w:rPr>
          <w:color w:val="000000" w:themeColor="text1"/>
        </w:rPr>
        <w:t xml:space="preserve"> </w:t>
      </w:r>
      <w:r>
        <w:rPr>
          <w:color w:val="000000" w:themeColor="text1"/>
        </w:rPr>
        <w:t>Provider</w:t>
      </w:r>
      <w:r w:rsidRPr="00C418CF">
        <w:rPr>
          <w:color w:val="000000" w:themeColor="text1"/>
        </w:rPr>
        <w:t xml:space="preserve"> </w:t>
      </w:r>
      <w:r w:rsidRPr="00A65236">
        <w:rPr>
          <w:color w:val="000000" w:themeColor="text1"/>
        </w:rPr>
        <w:t>before</w:t>
      </w:r>
      <w:r w:rsidRPr="00C418CF">
        <w:rPr>
          <w:color w:val="000000" w:themeColor="text1"/>
        </w:rPr>
        <w:t xml:space="preserve"> </w:t>
      </w:r>
      <w:r w:rsidR="00F95C76">
        <w:rPr>
          <w:color w:val="000000" w:themeColor="text1"/>
        </w:rPr>
        <w:t>18</w:t>
      </w:r>
      <w:r w:rsidR="00F95C76" w:rsidRPr="00C418CF">
        <w:rPr>
          <w:color w:val="000000" w:themeColor="text1"/>
        </w:rPr>
        <w:t xml:space="preserve"> </w:t>
      </w:r>
      <w:r w:rsidRPr="00C418CF">
        <w:rPr>
          <w:color w:val="000000" w:themeColor="text1"/>
        </w:rPr>
        <w:t xml:space="preserve">months of service then the </w:t>
      </w:r>
      <w:r w:rsidR="00E32731">
        <w:rPr>
          <w:color w:val="000000" w:themeColor="text1"/>
        </w:rPr>
        <w:t>TtW</w:t>
      </w:r>
      <w:r w:rsidRPr="00C418CF">
        <w:rPr>
          <w:color w:val="000000" w:themeColor="text1"/>
        </w:rPr>
        <w:t xml:space="preserve"> </w:t>
      </w:r>
      <w:r>
        <w:rPr>
          <w:color w:val="000000" w:themeColor="text1"/>
        </w:rPr>
        <w:t>Provider</w:t>
      </w:r>
      <w:r w:rsidRPr="00C418CF">
        <w:rPr>
          <w:color w:val="000000" w:themeColor="text1"/>
        </w:rPr>
        <w:t xml:space="preserve"> must organise and attend one meeting with the </w:t>
      </w:r>
      <w:r>
        <w:rPr>
          <w:color w:val="000000" w:themeColor="text1"/>
        </w:rPr>
        <w:t>Participant</w:t>
      </w:r>
      <w:r w:rsidRPr="00C418CF">
        <w:rPr>
          <w:color w:val="000000" w:themeColor="text1"/>
        </w:rPr>
        <w:t xml:space="preserve"> and the </w:t>
      </w:r>
      <w:r w:rsidR="00E32731">
        <w:t>Trial</w:t>
      </w:r>
      <w:r w:rsidR="00E32731" w:rsidRPr="00C418CF">
        <w:rPr>
          <w:color w:val="000000" w:themeColor="text1"/>
        </w:rPr>
        <w:t xml:space="preserve"> </w:t>
      </w:r>
      <w:r>
        <w:rPr>
          <w:color w:val="000000" w:themeColor="text1"/>
        </w:rPr>
        <w:t>Provider</w:t>
      </w:r>
      <w:r w:rsidRPr="00C418CF">
        <w:rPr>
          <w:color w:val="000000" w:themeColor="text1"/>
        </w:rPr>
        <w:t xml:space="preserve">. This should occur within one month of the decision to move to the </w:t>
      </w:r>
      <w:r w:rsidR="00E32731">
        <w:t>Trial</w:t>
      </w:r>
      <w:r w:rsidR="00E32731" w:rsidRPr="00C418CF">
        <w:rPr>
          <w:color w:val="000000" w:themeColor="text1"/>
        </w:rPr>
        <w:t xml:space="preserve"> </w:t>
      </w:r>
      <w:r>
        <w:rPr>
          <w:color w:val="000000" w:themeColor="text1"/>
        </w:rPr>
        <w:t>Provider</w:t>
      </w:r>
      <w:r w:rsidRPr="00C418CF">
        <w:rPr>
          <w:color w:val="000000" w:themeColor="text1"/>
        </w:rPr>
        <w:t xml:space="preserve">. The exception is if the </w:t>
      </w:r>
      <w:r>
        <w:rPr>
          <w:color w:val="000000" w:themeColor="text1"/>
        </w:rPr>
        <w:t>Participant</w:t>
      </w:r>
      <w:r w:rsidRPr="00C418CF">
        <w:rPr>
          <w:color w:val="000000" w:themeColor="text1"/>
        </w:rPr>
        <w:t xml:space="preserve"> Exited shortly after Commencement in </w:t>
      </w:r>
      <w:r w:rsidR="00E32731">
        <w:rPr>
          <w:color w:val="000000" w:themeColor="text1"/>
        </w:rPr>
        <w:t>TtW</w:t>
      </w:r>
      <w:r w:rsidRPr="00C418CF">
        <w:rPr>
          <w:color w:val="000000" w:themeColor="text1"/>
        </w:rPr>
        <w:t xml:space="preserve">. </w:t>
      </w:r>
    </w:p>
    <w:p w14:paraId="72E2BCC1" w14:textId="1BE41610" w:rsidR="00627637" w:rsidRPr="00C418CF" w:rsidRDefault="00627637" w:rsidP="00627637">
      <w:pPr>
        <w:pStyle w:val="guidelinetext"/>
        <w:ind w:right="-397"/>
        <w:rPr>
          <w:color w:val="000000" w:themeColor="text1"/>
        </w:rPr>
      </w:pPr>
      <w:r w:rsidRPr="00C418CF">
        <w:rPr>
          <w:color w:val="000000" w:themeColor="text1"/>
        </w:rPr>
        <w:t xml:space="preserve">Please note: In all circumstances where a </w:t>
      </w:r>
      <w:r>
        <w:rPr>
          <w:color w:val="000000" w:themeColor="text1"/>
        </w:rPr>
        <w:t>Participant</w:t>
      </w:r>
      <w:r w:rsidRPr="00C418CF">
        <w:rPr>
          <w:color w:val="000000" w:themeColor="text1"/>
        </w:rPr>
        <w:t xml:space="preserve"> is referred from a </w:t>
      </w:r>
      <w:r w:rsidR="00E32731">
        <w:rPr>
          <w:color w:val="000000" w:themeColor="text1"/>
        </w:rPr>
        <w:t>TtW</w:t>
      </w:r>
      <w:r w:rsidRPr="00C418CF">
        <w:rPr>
          <w:color w:val="000000" w:themeColor="text1"/>
        </w:rPr>
        <w:t xml:space="preserve"> </w:t>
      </w:r>
      <w:r>
        <w:rPr>
          <w:color w:val="000000" w:themeColor="text1"/>
        </w:rPr>
        <w:t>Provider</w:t>
      </w:r>
      <w:r w:rsidRPr="00C418CF">
        <w:rPr>
          <w:color w:val="000000" w:themeColor="text1"/>
        </w:rPr>
        <w:t xml:space="preserve">, the </w:t>
      </w:r>
      <w:r w:rsidR="00E32731">
        <w:rPr>
          <w:color w:val="000000" w:themeColor="text1"/>
        </w:rPr>
        <w:t>Trial</w:t>
      </w:r>
      <w:r w:rsidR="00E32731" w:rsidRPr="00C418CF">
        <w:rPr>
          <w:color w:val="000000" w:themeColor="text1"/>
        </w:rPr>
        <w:t xml:space="preserve"> </w:t>
      </w:r>
      <w:r>
        <w:rPr>
          <w:color w:val="000000" w:themeColor="text1"/>
        </w:rPr>
        <w:t>Provider</w:t>
      </w:r>
      <w:r w:rsidRPr="00C418CF">
        <w:rPr>
          <w:color w:val="000000" w:themeColor="text1"/>
        </w:rPr>
        <w:t xml:space="preserve"> must conduct an assessment to determine whether the </w:t>
      </w:r>
      <w:r>
        <w:rPr>
          <w:color w:val="000000" w:themeColor="text1"/>
        </w:rPr>
        <w:t>Participant</w:t>
      </w:r>
      <w:r w:rsidRPr="00C418CF">
        <w:rPr>
          <w:color w:val="000000" w:themeColor="text1"/>
        </w:rPr>
        <w:t xml:space="preserve"> should be referred to Tier 1 or Tier 2 servicing.</w:t>
      </w:r>
    </w:p>
    <w:p w14:paraId="7F703F81" w14:textId="17CAE022" w:rsidR="00627637" w:rsidRDefault="00627637" w:rsidP="00843271">
      <w:pPr>
        <w:pStyle w:val="guidelinedeedref"/>
      </w:pPr>
      <w:r>
        <w:t xml:space="preserve">(Deed reference: Clause </w:t>
      </w:r>
      <w:r w:rsidR="00B8210C">
        <w:t>92.3</w:t>
      </w:r>
      <w:r w:rsidR="00843271">
        <w:t>)</w:t>
      </w:r>
    </w:p>
    <w:p w14:paraId="49EFD295" w14:textId="5D8BFDA5" w:rsidR="00E463DD" w:rsidRPr="00C43317" w:rsidRDefault="008449DD" w:rsidP="00C43317">
      <w:pPr>
        <w:pStyle w:val="Heading1"/>
      </w:pPr>
      <w:bookmarkStart w:id="66" w:name="_Toc17795397"/>
      <w:bookmarkStart w:id="67" w:name="_Toc17796909"/>
      <w:bookmarkStart w:id="68" w:name="_Toc17795399"/>
      <w:bookmarkStart w:id="69" w:name="_Toc17796911"/>
      <w:bookmarkStart w:id="70" w:name="_Toc17795402"/>
      <w:bookmarkStart w:id="71" w:name="_Toc17796914"/>
      <w:bookmarkStart w:id="72" w:name="_Toc17795404"/>
      <w:bookmarkStart w:id="73" w:name="_Toc17796916"/>
      <w:bookmarkStart w:id="74" w:name="_Toc17795409"/>
      <w:bookmarkStart w:id="75" w:name="_Toc17796921"/>
      <w:bookmarkStart w:id="76" w:name="_Toc17795411"/>
      <w:bookmarkStart w:id="77" w:name="_Toc17796923"/>
      <w:bookmarkStart w:id="78" w:name="_Toc17795412"/>
      <w:bookmarkStart w:id="79" w:name="_Toc17796924"/>
      <w:bookmarkStart w:id="80" w:name="_Toc17795420"/>
      <w:bookmarkStart w:id="81" w:name="_Toc17796932"/>
      <w:bookmarkStart w:id="82" w:name="_Toc17795423"/>
      <w:bookmarkStart w:id="83" w:name="_Toc17796935"/>
      <w:bookmarkStart w:id="84" w:name="_Toc17795424"/>
      <w:bookmarkStart w:id="85" w:name="_Toc17796936"/>
      <w:bookmarkStart w:id="86" w:name="_Toc17795425"/>
      <w:bookmarkStart w:id="87" w:name="_Toc17796937"/>
      <w:bookmarkStart w:id="88" w:name="_Toc17795427"/>
      <w:bookmarkStart w:id="89" w:name="_Toc17796939"/>
      <w:bookmarkStart w:id="90" w:name="_Toc17795432"/>
      <w:bookmarkStart w:id="91" w:name="_Toc17796944"/>
      <w:bookmarkStart w:id="92" w:name="_Toc17795433"/>
      <w:bookmarkStart w:id="93" w:name="_Toc17796945"/>
      <w:bookmarkStart w:id="94" w:name="_Toc17795435"/>
      <w:bookmarkStart w:id="95" w:name="_Toc17796947"/>
      <w:bookmarkStart w:id="96" w:name="_Toc14877061"/>
      <w:bookmarkStart w:id="97" w:name="_Toc468976074"/>
      <w:bookmarkStart w:id="98" w:name="_Toc478656141"/>
      <w:bookmarkStart w:id="99" w:name="_Toc34319199"/>
      <w:bookmarkStart w:id="100" w:name="_Toc86758574"/>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C43317">
        <w:lastRenderedPageBreak/>
        <w:t xml:space="preserve">Preparing </w:t>
      </w:r>
      <w:r w:rsidR="00E463DD" w:rsidRPr="00C43317">
        <w:t>for all Appointments</w:t>
      </w:r>
      <w:bookmarkEnd w:id="97"/>
      <w:bookmarkEnd w:id="98"/>
      <w:bookmarkEnd w:id="99"/>
      <w:bookmarkEnd w:id="100"/>
    </w:p>
    <w:p w14:paraId="106E8143" w14:textId="5D2B1678" w:rsidR="00E463DD" w:rsidRPr="00C43317" w:rsidRDefault="00E463DD" w:rsidP="00E463DD">
      <w:pPr>
        <w:pStyle w:val="guidelinetext"/>
      </w:pPr>
      <w:r w:rsidRPr="00C43317">
        <w:t xml:space="preserve">When preparing for all Appointments, including the Initial Interview, </w:t>
      </w:r>
      <w:r w:rsidR="00E47BDB">
        <w:t xml:space="preserve">Trial </w:t>
      </w:r>
      <w:r w:rsidR="00A20B33">
        <w:t>Provider</w:t>
      </w:r>
      <w:r w:rsidRPr="00C43317">
        <w:t xml:space="preserve">s must </w:t>
      </w:r>
      <w:r w:rsidR="008449DD" w:rsidRPr="00C43317">
        <w:t xml:space="preserve">take into consideration </w:t>
      </w:r>
      <w:r w:rsidRPr="00C43317">
        <w:t xml:space="preserve">whether the </w:t>
      </w:r>
      <w:r w:rsidR="00A20B33">
        <w:t>Participant</w:t>
      </w:r>
      <w:r w:rsidR="007755B7" w:rsidRPr="00C43317">
        <w:t xml:space="preserve"> </w:t>
      </w:r>
      <w:r w:rsidRPr="00C43317">
        <w:t>has any special requirements.</w:t>
      </w:r>
    </w:p>
    <w:p w14:paraId="7A61A6BA" w14:textId="3F027D44" w:rsidR="00E463DD" w:rsidRDefault="00E463DD" w:rsidP="00E463DD">
      <w:pPr>
        <w:pStyle w:val="guidelinetext"/>
      </w:pPr>
      <w:r w:rsidRPr="00C43317">
        <w:t xml:space="preserve">For example, when a </w:t>
      </w:r>
      <w:r w:rsidR="00A20B33">
        <w:t>Participant</w:t>
      </w:r>
      <w:r w:rsidRPr="00C43317">
        <w:t xml:space="preserve"> requests or where the </w:t>
      </w:r>
      <w:r w:rsidR="00E47BDB">
        <w:t xml:space="preserve">Trial </w:t>
      </w:r>
      <w:r w:rsidR="00A20B33">
        <w:t>Provider</w:t>
      </w:r>
      <w:r w:rsidRPr="00C43317">
        <w:t xml:space="preserve"> considers it appropriate, </w:t>
      </w:r>
      <w:r w:rsidR="00E47BDB">
        <w:t xml:space="preserve">Trial </w:t>
      </w:r>
      <w:r w:rsidR="00A20B33">
        <w:t>Provider</w:t>
      </w:r>
      <w:r w:rsidRPr="00C43317">
        <w:t xml:space="preserve">s </w:t>
      </w:r>
      <w:r w:rsidRPr="00C43317">
        <w:rPr>
          <w:bCs/>
        </w:rPr>
        <w:t>must</w:t>
      </w:r>
      <w:r w:rsidRPr="00C43317">
        <w:t xml:space="preserve"> use an </w:t>
      </w:r>
      <w:r w:rsidR="00210D35">
        <w:t>i</w:t>
      </w:r>
      <w:r w:rsidRPr="00C43317">
        <w:t>nterpreter to ensure that the</w:t>
      </w:r>
      <w:r w:rsidR="0065727B">
        <w:t xml:space="preserve"> </w:t>
      </w:r>
      <w:r w:rsidR="00A20B33">
        <w:t>Participant</w:t>
      </w:r>
      <w:r w:rsidR="007755B7" w:rsidRPr="00C43317">
        <w:t xml:space="preserve"> </w:t>
      </w:r>
      <w:r w:rsidRPr="00C43317">
        <w:t xml:space="preserve">understands their requirements. </w:t>
      </w:r>
    </w:p>
    <w:p w14:paraId="0F46210A" w14:textId="70676B19" w:rsidR="0043309C" w:rsidRPr="00C43317" w:rsidRDefault="0043309C" w:rsidP="0043309C">
      <w:pPr>
        <w:pStyle w:val="guidelinetext"/>
      </w:pPr>
      <w:r w:rsidRPr="004B3FE1">
        <w:t xml:space="preserve">Humanitarian entrant (refugee) </w:t>
      </w:r>
      <w:r w:rsidR="00A20B33">
        <w:t>Participant</w:t>
      </w:r>
      <w:r w:rsidR="009373AA">
        <w:t>s</w:t>
      </w:r>
      <w:r w:rsidRPr="004B3FE1">
        <w:t xml:space="preserve"> may also be accompanied by their Humanitarian Settlement Program Case Manager, who can provide advice on appropriate employment strategies and activities that can help the </w:t>
      </w:r>
      <w:r w:rsidR="00E47BDB">
        <w:t xml:space="preserve">Trial </w:t>
      </w:r>
      <w:r w:rsidR="00A20B33">
        <w:t>Provider</w:t>
      </w:r>
      <w:r w:rsidR="00586FAB" w:rsidRPr="004B3FE1">
        <w:t xml:space="preserve"> </w:t>
      </w:r>
      <w:r w:rsidRPr="004B3FE1">
        <w:t>to develop a suitable Job Plan. (Note that</w:t>
      </w:r>
      <w:r w:rsidR="00BB01F7">
        <w:t xml:space="preserve"> it is not the</w:t>
      </w:r>
      <w:r w:rsidRPr="004B3FE1">
        <w:t xml:space="preserve"> Case </w:t>
      </w:r>
      <w:r w:rsidR="004140DC" w:rsidRPr="004140DC">
        <w:t xml:space="preserve">Manager’s role </w:t>
      </w:r>
      <w:r w:rsidR="004140DC">
        <w:t xml:space="preserve">to act as </w:t>
      </w:r>
      <w:r w:rsidRPr="004B3FE1">
        <w:t>an interpreter).</w:t>
      </w:r>
    </w:p>
    <w:p w14:paraId="106E2CAA" w14:textId="588618A2" w:rsidR="00E463DD" w:rsidRDefault="00E47BDB" w:rsidP="00E463DD">
      <w:pPr>
        <w:pStyle w:val="guidelinetext"/>
      </w:pPr>
      <w:r>
        <w:t xml:space="preserve">Trial </w:t>
      </w:r>
      <w:r w:rsidR="00A20B33">
        <w:t>Provider</w:t>
      </w:r>
      <w:r w:rsidR="00E463DD" w:rsidRPr="00C43317">
        <w:t xml:space="preserve">s should also deliver services to </w:t>
      </w:r>
      <w:r w:rsidR="00A20B33">
        <w:t>Participant</w:t>
      </w:r>
      <w:r w:rsidR="00BA7479">
        <w:t>s</w:t>
      </w:r>
      <w:r w:rsidR="009F666C" w:rsidRPr="00C43317">
        <w:t xml:space="preserve"> </w:t>
      </w:r>
      <w:r w:rsidR="00E463DD" w:rsidRPr="00C43317">
        <w:t>in a culturally sensitive way</w:t>
      </w:r>
      <w:r w:rsidR="00CE2879" w:rsidRPr="00C43317">
        <w:t>,</w:t>
      </w:r>
      <w:r w:rsidR="00E463DD" w:rsidRPr="00C43317">
        <w:t xml:space="preserve"> based on details in the </w:t>
      </w:r>
      <w:r w:rsidR="00A20B33">
        <w:t>Participant</w:t>
      </w:r>
      <w:r w:rsidR="00BA7479">
        <w:t>’s</w:t>
      </w:r>
      <w:r w:rsidR="009F666C" w:rsidRPr="00C43317">
        <w:t xml:space="preserve"> </w:t>
      </w:r>
      <w:r w:rsidR="00E463DD" w:rsidRPr="00C43317">
        <w:t xml:space="preserve">record in the Department’s IT Systems. </w:t>
      </w:r>
    </w:p>
    <w:p w14:paraId="00AB69F2" w14:textId="4B0C1173" w:rsidR="001F5EFF" w:rsidRPr="009834F0" w:rsidRDefault="001F5EFF" w:rsidP="009834F0">
      <w:pPr>
        <w:pStyle w:val="Heading2"/>
      </w:pPr>
      <w:bookmarkStart w:id="101" w:name="_Toc86758575"/>
      <w:bookmarkStart w:id="102" w:name="_Toc468976076"/>
      <w:bookmarkStart w:id="103" w:name="_Toc478656143"/>
      <w:bookmarkStart w:id="104" w:name="_Toc34319200"/>
      <w:r w:rsidRPr="009834F0">
        <w:t>Location of Appointments</w:t>
      </w:r>
      <w:bookmarkEnd w:id="101"/>
    </w:p>
    <w:p w14:paraId="3C4FA95C" w14:textId="77777777" w:rsidR="001F5EFF" w:rsidRPr="009834F0" w:rsidRDefault="001F5EFF" w:rsidP="009834F0">
      <w:pPr>
        <w:pStyle w:val="guidelinetext"/>
      </w:pPr>
      <w:r w:rsidRPr="009834F0">
        <w:t xml:space="preserve">Appointments must be conducted at the Provider’s premises or another agreed suitable location. Appointments must be held at locations that are accessible, appropriate and safe for Participants, children and Provider staff. </w:t>
      </w:r>
    </w:p>
    <w:p w14:paraId="57210BEE" w14:textId="77777777" w:rsidR="001F5EFF" w:rsidRPr="009834F0" w:rsidRDefault="001F5EFF" w:rsidP="009834F0">
      <w:pPr>
        <w:pStyle w:val="guidelinetext"/>
      </w:pPr>
      <w:r w:rsidRPr="009834F0">
        <w:t xml:space="preserve">Providers must not conduct Appointments or other Contacts at a Participant’s home in any circumstance. </w:t>
      </w:r>
    </w:p>
    <w:p w14:paraId="6BB2A122" w14:textId="31B41BF6" w:rsidR="001F5EFF" w:rsidRPr="00566794" w:rsidRDefault="001F5EFF" w:rsidP="009834F0">
      <w:pPr>
        <w:pStyle w:val="guidelinedeedref"/>
      </w:pPr>
      <w:r w:rsidRPr="009834F0">
        <w:t>(Deed references: Clauses 5.2, 95 and 96</w:t>
      </w:r>
      <w:r w:rsidR="003B3E62" w:rsidRPr="009834F0">
        <w:t>)</w:t>
      </w:r>
    </w:p>
    <w:p w14:paraId="19BD0ECC" w14:textId="428B0E5B" w:rsidR="005C2C1D" w:rsidRPr="007D1009" w:rsidRDefault="005C2C1D" w:rsidP="001F5EFF">
      <w:pPr>
        <w:pStyle w:val="Heading2"/>
      </w:pPr>
      <w:bookmarkStart w:id="105" w:name="_Toc86758576"/>
      <w:r w:rsidRPr="007D1009">
        <w:t>Authorised Nominees</w:t>
      </w:r>
      <w:bookmarkEnd w:id="105"/>
    </w:p>
    <w:p w14:paraId="04ED75AA" w14:textId="177D530F" w:rsidR="00AD2B79" w:rsidRPr="0009404B" w:rsidRDefault="00AD2B79" w:rsidP="00AD2B79">
      <w:pPr>
        <w:pStyle w:val="guidelinetext"/>
      </w:pPr>
      <w:r>
        <w:t xml:space="preserve">The </w:t>
      </w:r>
      <w:r w:rsidRPr="00780892">
        <w:t>Department</w:t>
      </w:r>
      <w:r>
        <w:t xml:space="preserve">’s correspondence and notifications </w:t>
      </w:r>
      <w:r w:rsidRPr="0009404B">
        <w:t xml:space="preserve">to </w:t>
      </w:r>
      <w:r>
        <w:t xml:space="preserve">a Participant </w:t>
      </w:r>
      <w:r w:rsidRPr="0009404B">
        <w:t xml:space="preserve">are also provided to </w:t>
      </w:r>
      <w:r>
        <w:t>that Participant’s</w:t>
      </w:r>
      <w:r w:rsidRPr="0009404B">
        <w:t xml:space="preserve"> authorised </w:t>
      </w:r>
      <w:r>
        <w:t xml:space="preserve">correspondence </w:t>
      </w:r>
      <w:r w:rsidRPr="00A65236">
        <w:t>nominee/s. This</w:t>
      </w:r>
      <w:r w:rsidRPr="00D80B30">
        <w:t xml:space="preserve"> </w:t>
      </w:r>
      <w:r>
        <w:t>includes</w:t>
      </w:r>
      <w:r w:rsidRPr="0009404B">
        <w:t xml:space="preserve"> </w:t>
      </w:r>
      <w:r>
        <w:t>information about their Mutual Obligation Requirements and the need to attend appointments and agreed activities</w:t>
      </w:r>
      <w:r w:rsidRPr="0009404B">
        <w:t>. The nominee can</w:t>
      </w:r>
      <w:r>
        <w:t>,</w:t>
      </w:r>
      <w:r w:rsidRPr="0009404B">
        <w:t xml:space="preserve"> therefore</w:t>
      </w:r>
      <w:r>
        <w:t>,</w:t>
      </w:r>
      <w:r w:rsidRPr="0009404B">
        <w:t xml:space="preserve"> contact the</w:t>
      </w:r>
      <w:r w:rsidRPr="001675AF">
        <w:t xml:space="preserve"> </w:t>
      </w:r>
      <w:r>
        <w:t>Participant’s</w:t>
      </w:r>
      <w:r w:rsidRPr="0009404B">
        <w:t xml:space="preserve"> </w:t>
      </w:r>
      <w:r w:rsidR="00E47BDB">
        <w:t>Trial</w:t>
      </w:r>
      <w:r>
        <w:t xml:space="preserve"> Provider</w:t>
      </w:r>
      <w:r w:rsidRPr="0009404B">
        <w:t xml:space="preserve"> if and when required to reschedule their appointment.</w:t>
      </w:r>
    </w:p>
    <w:p w14:paraId="24C7AE29" w14:textId="0A38A690" w:rsidR="00AD2B79" w:rsidRDefault="00AD2B79" w:rsidP="00AD2B79">
      <w:pPr>
        <w:pStyle w:val="guidelinetext"/>
      </w:pPr>
      <w:r w:rsidRPr="0009404B">
        <w:t xml:space="preserve">When the nominee rebooks appointments for the </w:t>
      </w:r>
      <w:r>
        <w:t>Participant</w:t>
      </w:r>
      <w:r w:rsidRPr="0009404B">
        <w:t xml:space="preserve">, the </w:t>
      </w:r>
      <w:r w:rsidR="00E47BDB">
        <w:t>Trial</w:t>
      </w:r>
      <w:r>
        <w:t xml:space="preserve"> Provider </w:t>
      </w:r>
      <w:r w:rsidRPr="0009404B">
        <w:t xml:space="preserve">should work with the nominee to ensure the </w:t>
      </w:r>
      <w:r>
        <w:t xml:space="preserve">Participant </w:t>
      </w:r>
      <w:r w:rsidRPr="0009404B">
        <w:t xml:space="preserve">is aware of their Mutual Obligation Requirements and what may happen if </w:t>
      </w:r>
      <w:r>
        <w:t>the Participant</w:t>
      </w:r>
      <w:r w:rsidRPr="0009404B">
        <w:t xml:space="preserve"> does</w:t>
      </w:r>
      <w:r>
        <w:t xml:space="preserve"> </w:t>
      </w:r>
      <w:r w:rsidRPr="0009404B">
        <w:t>n</w:t>
      </w:r>
      <w:r>
        <w:t>o</w:t>
      </w:r>
      <w:r w:rsidRPr="0009404B">
        <w:t>t comply with them.</w:t>
      </w:r>
    </w:p>
    <w:p w14:paraId="1B71259A" w14:textId="6FBEFDCF" w:rsidR="005C2C1D" w:rsidRDefault="00AD2B79" w:rsidP="00AD2B79">
      <w:pPr>
        <w:pStyle w:val="guidelinetext"/>
      </w:pPr>
      <w:r w:rsidRPr="0009404B">
        <w:t xml:space="preserve">Best practice for the </w:t>
      </w:r>
      <w:r w:rsidR="00E47BDB">
        <w:t xml:space="preserve">Trial </w:t>
      </w:r>
      <w:r>
        <w:t>Provider</w:t>
      </w:r>
      <w:r w:rsidRPr="0009404B">
        <w:t xml:space="preserve"> is to record details of the conversation with the nominee in the comments screen in </w:t>
      </w:r>
      <w:r>
        <w:t xml:space="preserve">the Department’s IT </w:t>
      </w:r>
      <w:r w:rsidR="00843271">
        <w:t>S</w:t>
      </w:r>
      <w:r>
        <w:t xml:space="preserve">ystems. </w:t>
      </w:r>
      <w:r w:rsidR="00E47BDB">
        <w:t xml:space="preserve">Trial </w:t>
      </w:r>
      <w:r>
        <w:t>Providers should also regularly check with the Participant that nominee details are up to date and correct.</w:t>
      </w:r>
    </w:p>
    <w:p w14:paraId="6DB439CA" w14:textId="484ED056" w:rsidR="00E463DD" w:rsidRPr="00C43317" w:rsidRDefault="00833153" w:rsidP="00C43317">
      <w:pPr>
        <w:pStyle w:val="Heading1"/>
      </w:pPr>
      <w:bookmarkStart w:id="106" w:name="_Toc86758577"/>
      <w:r>
        <w:t xml:space="preserve">Initial Interviews and other meetings with </w:t>
      </w:r>
      <w:bookmarkEnd w:id="102"/>
      <w:bookmarkEnd w:id="103"/>
      <w:r>
        <w:t>Participants</w:t>
      </w:r>
      <w:bookmarkEnd w:id="104"/>
      <w:bookmarkEnd w:id="106"/>
    </w:p>
    <w:p w14:paraId="7E78EA67" w14:textId="10277385" w:rsidR="00C82B39" w:rsidRPr="00C43317" w:rsidRDefault="00C82B39" w:rsidP="00C82B39">
      <w:pPr>
        <w:pStyle w:val="Heading2"/>
      </w:pPr>
      <w:bookmarkStart w:id="107" w:name="_Toc484700420"/>
      <w:bookmarkStart w:id="108" w:name="_Toc22049534"/>
      <w:bookmarkStart w:id="109" w:name="_Toc66266451"/>
      <w:bookmarkStart w:id="110" w:name="_Toc86758578"/>
      <w:r w:rsidRPr="00C43317">
        <w:t xml:space="preserve">All new </w:t>
      </w:r>
      <w:r>
        <w:t>Participant</w:t>
      </w:r>
      <w:r w:rsidRPr="00C43317">
        <w:t>s must have an Initial Interview</w:t>
      </w:r>
      <w:bookmarkEnd w:id="107"/>
      <w:bookmarkEnd w:id="108"/>
      <w:bookmarkEnd w:id="109"/>
      <w:bookmarkEnd w:id="110"/>
    </w:p>
    <w:p w14:paraId="3619F7E3" w14:textId="503C78AD" w:rsidR="00E463DD" w:rsidRPr="00F11D84" w:rsidRDefault="00E463DD" w:rsidP="00E463DD">
      <w:pPr>
        <w:pStyle w:val="guidelinetext"/>
      </w:pPr>
      <w:r w:rsidRPr="00CC1B15">
        <w:t xml:space="preserve">The </w:t>
      </w:r>
      <w:r w:rsidR="00E47BDB">
        <w:t xml:space="preserve">Trial </w:t>
      </w:r>
      <w:r w:rsidR="00A20B33">
        <w:t>Provider</w:t>
      </w:r>
      <w:r w:rsidRPr="00CC1B15">
        <w:t xml:space="preserve"> must conduct</w:t>
      </w:r>
      <w:r w:rsidRPr="00F11D84">
        <w:t xml:space="preserve"> an Initial Interview for all </w:t>
      </w:r>
      <w:r w:rsidR="00A20B33">
        <w:t>Participant</w:t>
      </w:r>
      <w:r w:rsidR="00BA7479">
        <w:t>s</w:t>
      </w:r>
      <w:r w:rsidR="00AA0A6B" w:rsidRPr="00F11D84">
        <w:t xml:space="preserve"> who</w:t>
      </w:r>
      <w:r w:rsidRPr="00F11D84">
        <w:t>:</w:t>
      </w:r>
    </w:p>
    <w:p w14:paraId="1D47A2E6" w14:textId="77777777" w:rsidR="00E463DD" w:rsidRDefault="00E463DD" w:rsidP="00E463DD">
      <w:pPr>
        <w:pStyle w:val="guidelinebullet"/>
      </w:pPr>
      <w:r w:rsidRPr="00F11D84">
        <w:t>were Referred by</w:t>
      </w:r>
      <w:r w:rsidR="0090575E" w:rsidRPr="0090575E">
        <w:t xml:space="preserve"> </w:t>
      </w:r>
      <w:r w:rsidR="0090575E">
        <w:t>Services Australia</w:t>
      </w:r>
    </w:p>
    <w:p w14:paraId="60410674" w14:textId="77777777" w:rsidR="004A5C4E" w:rsidRDefault="004A5C4E" w:rsidP="00E463DD">
      <w:pPr>
        <w:pStyle w:val="guidelinebullet"/>
      </w:pPr>
      <w:r>
        <w:lastRenderedPageBreak/>
        <w:t>were Referred by the Department</w:t>
      </w:r>
    </w:p>
    <w:p w14:paraId="39A1731F" w14:textId="77777777" w:rsidR="000506BA" w:rsidRDefault="00526F01" w:rsidP="00E463DD">
      <w:pPr>
        <w:pStyle w:val="guidelinebullet"/>
      </w:pPr>
      <w:r>
        <w:t xml:space="preserve">were </w:t>
      </w:r>
      <w:r w:rsidR="000506BA">
        <w:t xml:space="preserve">Referred </w:t>
      </w:r>
      <w:r>
        <w:t xml:space="preserve">by </w:t>
      </w:r>
      <w:r w:rsidR="00F97253">
        <w:t xml:space="preserve">a </w:t>
      </w:r>
      <w:r w:rsidR="00C65866">
        <w:t xml:space="preserve">Transition to Work </w:t>
      </w:r>
      <w:r w:rsidR="00A20B33">
        <w:t>Provider</w:t>
      </w:r>
    </w:p>
    <w:p w14:paraId="01CA4415" w14:textId="77777777" w:rsidR="00B35566" w:rsidRPr="00F11D84" w:rsidRDefault="00B35566" w:rsidP="00E463DD">
      <w:pPr>
        <w:pStyle w:val="guidelinebullet"/>
      </w:pPr>
      <w:r>
        <w:t xml:space="preserve">were Referred by a Time to Work Employment Service </w:t>
      </w:r>
      <w:r w:rsidR="00A20B33">
        <w:t>Provider</w:t>
      </w:r>
    </w:p>
    <w:p w14:paraId="47A2889C" w14:textId="77777777" w:rsidR="00E463DD" w:rsidRPr="00F11D84" w:rsidRDefault="008A47B6" w:rsidP="00E463DD">
      <w:pPr>
        <w:pStyle w:val="guidelinebullet"/>
      </w:pPr>
      <w:r>
        <w:t xml:space="preserve">have </w:t>
      </w:r>
      <w:r w:rsidR="00E463DD" w:rsidRPr="00F11D84">
        <w:t>Directly Register</w:t>
      </w:r>
      <w:r>
        <w:t>ed</w:t>
      </w:r>
      <w:r w:rsidR="00E463DD" w:rsidRPr="00F11D84">
        <w:t xml:space="preserve"> for assistance</w:t>
      </w:r>
      <w:r w:rsidR="00E463DD">
        <w:t xml:space="preserve"> (see </w:t>
      </w:r>
      <w:r w:rsidR="00E463DD" w:rsidRPr="007A7A10">
        <w:t>Direct Registration Guideline</w:t>
      </w:r>
      <w:r w:rsidR="00E463DD" w:rsidRPr="008257B8">
        <w:rPr>
          <w:rStyle w:val="Hyperlink"/>
          <w:color w:val="auto"/>
          <w:u w:val="none"/>
        </w:rPr>
        <w:t>)</w:t>
      </w:r>
    </w:p>
    <w:p w14:paraId="415F9E3E" w14:textId="659978C5" w:rsidR="00E463DD" w:rsidRPr="00F11D84" w:rsidRDefault="00F97253" w:rsidP="00E463DD">
      <w:pPr>
        <w:pStyle w:val="guidelinebullet"/>
      </w:pPr>
      <w:r>
        <w:t xml:space="preserve">have </w:t>
      </w:r>
      <w:r w:rsidR="00E463DD" w:rsidRPr="00F11D84">
        <w:t xml:space="preserve">transferred to the </w:t>
      </w:r>
      <w:r w:rsidR="00E47BDB">
        <w:t xml:space="preserve">Trial </w:t>
      </w:r>
      <w:r w:rsidR="00A20B33">
        <w:t>Provider</w:t>
      </w:r>
      <w:r w:rsidR="00E463DD" w:rsidRPr="00F11D84">
        <w:t xml:space="preserve"> (</w:t>
      </w:r>
      <w:r w:rsidR="00E463DD">
        <w:t xml:space="preserve">see </w:t>
      </w:r>
      <w:r w:rsidR="00E463DD" w:rsidRPr="007A7A10">
        <w:t>Transfer Guideline</w:t>
      </w:r>
      <w:r w:rsidR="00E463DD" w:rsidRPr="00F11D84">
        <w:t>).</w:t>
      </w:r>
    </w:p>
    <w:p w14:paraId="0C468BA4" w14:textId="77777777" w:rsidR="00E463DD" w:rsidRDefault="00E463DD" w:rsidP="00E463DD">
      <w:pPr>
        <w:pStyle w:val="guidelinetext"/>
      </w:pPr>
      <w:r w:rsidRPr="00F11D84">
        <w:t>This includes</w:t>
      </w:r>
      <w:r>
        <w:t>:</w:t>
      </w:r>
    </w:p>
    <w:p w14:paraId="0967C143" w14:textId="77777777" w:rsidR="00701591" w:rsidRDefault="00701591" w:rsidP="00701591">
      <w:pPr>
        <w:pStyle w:val="guidelinebullet"/>
      </w:pPr>
      <w:r>
        <w:t>confirm</w:t>
      </w:r>
      <w:r w:rsidR="003125E8">
        <w:t>ing</w:t>
      </w:r>
      <w:r>
        <w:t xml:space="preserve"> the </w:t>
      </w:r>
      <w:r w:rsidR="00A20B33">
        <w:t>Participant</w:t>
      </w:r>
      <w:r>
        <w:t>’s identity;</w:t>
      </w:r>
    </w:p>
    <w:p w14:paraId="6C6DE108" w14:textId="020862EA" w:rsidR="00701591" w:rsidRDefault="00701591" w:rsidP="00701591">
      <w:pPr>
        <w:pStyle w:val="guidelinebullet"/>
      </w:pPr>
      <w:r>
        <w:t>explain</w:t>
      </w:r>
      <w:r w:rsidR="003125E8">
        <w:t>ing</w:t>
      </w:r>
      <w:r>
        <w:t xml:space="preserve"> the Enhanced Services that the </w:t>
      </w:r>
      <w:r w:rsidR="00E47BDB">
        <w:t xml:space="preserve">Trial </w:t>
      </w:r>
      <w:r w:rsidR="00A20B33">
        <w:t>Provider</w:t>
      </w:r>
      <w:r>
        <w:t xml:space="preserve"> will provide to them;</w:t>
      </w:r>
    </w:p>
    <w:p w14:paraId="4E5EEADD" w14:textId="77777777" w:rsidR="00701591" w:rsidRDefault="00701591" w:rsidP="00701591">
      <w:pPr>
        <w:pStyle w:val="guidelinebullet"/>
      </w:pPr>
      <w:r>
        <w:t>undertak</w:t>
      </w:r>
      <w:r w:rsidR="003125E8">
        <w:t xml:space="preserve">ing an </w:t>
      </w:r>
      <w:r>
        <w:t xml:space="preserve">assessment of the </w:t>
      </w:r>
      <w:r w:rsidR="00A20B33">
        <w:t>Participant</w:t>
      </w:r>
      <w:r>
        <w:t xml:space="preserve">'s skills, strengths, circumstances and any issues they may have in relation to finding </w:t>
      </w:r>
      <w:r w:rsidR="003125E8">
        <w:t>e</w:t>
      </w:r>
      <w:r>
        <w:t>mployment</w:t>
      </w:r>
      <w:r w:rsidR="00D23E85">
        <w:t xml:space="preserve"> as well as reviewing their JSCI</w:t>
      </w:r>
      <w:r>
        <w:t>;</w:t>
      </w:r>
    </w:p>
    <w:p w14:paraId="2A64FCF9" w14:textId="77777777" w:rsidR="00701591" w:rsidRDefault="00701591" w:rsidP="00701591">
      <w:pPr>
        <w:pStyle w:val="guidelinebullet"/>
      </w:pPr>
      <w:r>
        <w:t xml:space="preserve">for Enhanced Services </w:t>
      </w:r>
      <w:r w:rsidR="00A20B33">
        <w:t>Participant</w:t>
      </w:r>
      <w:r>
        <w:t>s (Mutual Obligation), explain</w:t>
      </w:r>
      <w:r w:rsidR="00250437">
        <w:t>ing</w:t>
      </w:r>
      <w:r>
        <w:t xml:space="preserve"> their rights and obligations under the Social Security Law and the consequences of not meeting their Mutual Obligation Requirements</w:t>
      </w:r>
      <w:r w:rsidR="003125E8">
        <w:t xml:space="preserve"> (see Managing and Monitoring Mutual Obligation Requirement Guideline)</w:t>
      </w:r>
      <w:r>
        <w:t>;</w:t>
      </w:r>
    </w:p>
    <w:p w14:paraId="7F49AA61" w14:textId="77777777" w:rsidR="00701591" w:rsidRDefault="00701591" w:rsidP="003125E8">
      <w:pPr>
        <w:pStyle w:val="guidelinebullet"/>
      </w:pPr>
      <w:r>
        <w:t>for Disability Support Pension Recipients (Compulsory Requirements), explain</w:t>
      </w:r>
      <w:r w:rsidR="00250437">
        <w:t>ing</w:t>
      </w:r>
      <w:r>
        <w:t xml:space="preserve"> their rights and obligations under the Social Security Law and the consequences of not participating in accordance with their Job Plan</w:t>
      </w:r>
      <w:r w:rsidR="003125E8">
        <w:t xml:space="preserve"> (see </w:t>
      </w:r>
      <w:r w:rsidR="003125E8" w:rsidRPr="003125E8">
        <w:t>Disability Support Pension Recipients (Compulsory Requirements)</w:t>
      </w:r>
      <w:r w:rsidR="003125E8">
        <w:t xml:space="preserve"> Guideline</w:t>
      </w:r>
      <w:r>
        <w:t>;</w:t>
      </w:r>
    </w:p>
    <w:p w14:paraId="481A47D8" w14:textId="1583CC60" w:rsidR="00701591" w:rsidRDefault="00250437" w:rsidP="00701591">
      <w:pPr>
        <w:pStyle w:val="guidelinebullet"/>
      </w:pPr>
      <w:r>
        <w:t xml:space="preserve">preparing </w:t>
      </w:r>
      <w:r w:rsidR="00701591">
        <w:t>or updat</w:t>
      </w:r>
      <w:r>
        <w:t>ing</w:t>
      </w:r>
      <w:r w:rsidR="00701591">
        <w:t xml:space="preserve"> a Job Plan for them; </w:t>
      </w:r>
      <w:r w:rsidR="00640BDE">
        <w:t xml:space="preserve"> </w:t>
      </w:r>
    </w:p>
    <w:p w14:paraId="33430602" w14:textId="77777777" w:rsidR="00250437" w:rsidRDefault="00701591" w:rsidP="00701591">
      <w:pPr>
        <w:pStyle w:val="guidelinebullet"/>
      </w:pPr>
      <w:r>
        <w:t>p</w:t>
      </w:r>
      <w:r w:rsidR="00250437">
        <w:t>roviding</w:t>
      </w:r>
      <w:r>
        <w:t xml:space="preserve"> them with details of the current National Minimum Wage, the Fair Work Ombudsman website (including the Pay and Conditions Tool) and contact details for the Fair Work Ombudsman; </w:t>
      </w:r>
      <w:r w:rsidR="003125E8">
        <w:t xml:space="preserve"> </w:t>
      </w:r>
    </w:p>
    <w:p w14:paraId="2D4A3AB7" w14:textId="642FC336" w:rsidR="00701591" w:rsidRDefault="00250437" w:rsidP="00C12754">
      <w:pPr>
        <w:pStyle w:val="guidelinebullet"/>
      </w:pPr>
      <w:r w:rsidRPr="00232B7A">
        <w:t xml:space="preserve">providing and asking </w:t>
      </w:r>
      <w:r w:rsidR="00C211A7">
        <w:t>the</w:t>
      </w:r>
      <w:r>
        <w:t xml:space="preserve"> </w:t>
      </w:r>
      <w:r w:rsidR="00A20B33">
        <w:t>Participant</w:t>
      </w:r>
      <w:r w:rsidRPr="00232B7A">
        <w:t xml:space="preserve"> to sign the </w:t>
      </w:r>
      <w:r w:rsidRPr="00250437">
        <w:rPr>
          <w:i/>
        </w:rPr>
        <w:t>Privacy Notification and Consent Form</w:t>
      </w:r>
      <w:r w:rsidRPr="000976C6">
        <w:t xml:space="preserve">. </w:t>
      </w:r>
      <w:r w:rsidR="00C12754">
        <w:t>This document n</w:t>
      </w:r>
      <w:r w:rsidR="00C12754" w:rsidRPr="00C12754">
        <w:t xml:space="preserve">otifies the Participant of the collection, use and disclosure of </w:t>
      </w:r>
      <w:r w:rsidR="001559C1">
        <w:t>their</w:t>
      </w:r>
      <w:r w:rsidR="00C12754" w:rsidRPr="00C12754">
        <w:t xml:space="preserve"> personal information in accordance with Australian Privacy Principle</w:t>
      </w:r>
      <w:r w:rsidR="001559C1">
        <w:t>s</w:t>
      </w:r>
      <w:r w:rsidR="00C12754" w:rsidRPr="00C12754">
        <w:t>, and seeks consent to the collection of their sensitive information.</w:t>
      </w:r>
      <w:r w:rsidR="00C12754">
        <w:t xml:space="preserve"> </w:t>
      </w:r>
      <w:r w:rsidR="00A20B33">
        <w:t>Participant</w:t>
      </w:r>
      <w:r w:rsidR="00C211A7">
        <w:t xml:space="preserve">s </w:t>
      </w:r>
      <w:r w:rsidR="00C211A7" w:rsidRPr="00C211A7">
        <w:rPr>
          <w:b/>
          <w:u w:val="single"/>
        </w:rPr>
        <w:t>are not</w:t>
      </w:r>
      <w:r w:rsidR="00C211A7">
        <w:t xml:space="preserve"> required to sign the </w:t>
      </w:r>
      <w:r w:rsidR="00C12754">
        <w:t>Consent Form</w:t>
      </w:r>
      <w:r w:rsidR="00C211A7">
        <w:t xml:space="preserve">. The </w:t>
      </w:r>
      <w:r w:rsidR="00E47BDB">
        <w:t xml:space="preserve">Trial </w:t>
      </w:r>
      <w:r w:rsidR="00A20B33">
        <w:t>Provider</w:t>
      </w:r>
      <w:r w:rsidRPr="00232B7A">
        <w:t xml:space="preserve"> must ensure that </w:t>
      </w:r>
      <w:r w:rsidR="00A20B33">
        <w:t>Participant</w:t>
      </w:r>
      <w:r>
        <w:t xml:space="preserve">s </w:t>
      </w:r>
      <w:r w:rsidRPr="00232B7A">
        <w:t xml:space="preserve">are aware of the types of personal information they may be required to provide and how this information will be used and disclosed (see the </w:t>
      </w:r>
      <w:r w:rsidRPr="007A7A10">
        <w:t>Privacy Guideline</w:t>
      </w:r>
      <w:r>
        <w:t xml:space="preserve">); </w:t>
      </w:r>
      <w:r w:rsidR="003125E8">
        <w:t>and</w:t>
      </w:r>
    </w:p>
    <w:p w14:paraId="13BB5CF8" w14:textId="77777777" w:rsidR="003125E8" w:rsidRDefault="00250437" w:rsidP="003125E8">
      <w:pPr>
        <w:pStyle w:val="guidelinebullet"/>
      </w:pPr>
      <w:r>
        <w:t>undertaking</w:t>
      </w:r>
      <w:r w:rsidR="00701591">
        <w:t xml:space="preserve"> other steps, activities or processes as appropriate to the </w:t>
      </w:r>
      <w:r w:rsidR="00A20B33">
        <w:t>Participant</w:t>
      </w:r>
      <w:r w:rsidR="00701591">
        <w:t>'s individual needs</w:t>
      </w:r>
      <w:r w:rsidR="003125E8">
        <w:t>.</w:t>
      </w:r>
    </w:p>
    <w:p w14:paraId="15EA4B72" w14:textId="77777777" w:rsidR="001704BB" w:rsidRDefault="00B8210C" w:rsidP="00144E07">
      <w:pPr>
        <w:pStyle w:val="guidelinedeedref"/>
      </w:pPr>
      <w:r>
        <w:t>(Deed references: Clause 96</w:t>
      </w:r>
      <w:r w:rsidR="001704BB" w:rsidRPr="00A65236">
        <w:t>)</w:t>
      </w:r>
    </w:p>
    <w:p w14:paraId="3429EF28" w14:textId="1760DA11" w:rsidR="00E42297" w:rsidRDefault="00FA0D3F" w:rsidP="00E42297">
      <w:pPr>
        <w:pStyle w:val="Heading2"/>
      </w:pPr>
      <w:bookmarkStart w:id="111" w:name="_Toc86758579"/>
      <w:bookmarkStart w:id="112" w:name="_Toc17275641"/>
      <w:bookmarkStart w:id="113" w:name="_Toc34319201"/>
      <w:r>
        <w:t>Trial</w:t>
      </w:r>
      <w:r w:rsidR="00E42297">
        <w:t xml:space="preserve"> Providers may conduct an Initial Interview using other modes other than face to face depending on Participant’s circumstances.</w:t>
      </w:r>
      <w:bookmarkEnd w:id="111"/>
    </w:p>
    <w:p w14:paraId="47C8A65A" w14:textId="799A83C8" w:rsidR="00E42297" w:rsidRDefault="00E42297" w:rsidP="00843271">
      <w:pPr>
        <w:pStyle w:val="guidelinetext"/>
      </w:pPr>
      <w:r>
        <w:t xml:space="preserve">A </w:t>
      </w:r>
      <w:r w:rsidR="00E47BDB">
        <w:t xml:space="preserve">Trial </w:t>
      </w:r>
      <w:r>
        <w:t xml:space="preserve">Provider may choose to conduct an Initial Interview using modes other than face to face where this is agreed by the Participant, but </w:t>
      </w:r>
      <w:r w:rsidRPr="00C211A7">
        <w:t xml:space="preserve">must offer, and if requested by the </w:t>
      </w:r>
      <w:r>
        <w:t>Participant</w:t>
      </w:r>
      <w:r w:rsidRPr="00C211A7">
        <w:t>, conduct the Initial Interview face to face.</w:t>
      </w:r>
    </w:p>
    <w:p w14:paraId="77A295D8" w14:textId="5B70D79A" w:rsidR="00E42297" w:rsidRDefault="00E42297" w:rsidP="00843271">
      <w:pPr>
        <w:pStyle w:val="guidelinetext"/>
      </w:pPr>
      <w:r>
        <w:t xml:space="preserve">In cases where a participant is transferring from another Provider, the new </w:t>
      </w:r>
      <w:r w:rsidR="00F86D4A">
        <w:t xml:space="preserve">Trial </w:t>
      </w:r>
      <w:r>
        <w:t xml:space="preserve">Provider should always check if there was a Managed Service Plan (MSP) with servicing restrictions in </w:t>
      </w:r>
      <w:r w:rsidRPr="00A63379">
        <w:t xml:space="preserve">place with the previous </w:t>
      </w:r>
      <w:r w:rsidR="009710D9" w:rsidRPr="00A63379">
        <w:t>Provider</w:t>
      </w:r>
      <w:r>
        <w:t xml:space="preserve">.  While that MSP would no longer be current, </w:t>
      </w:r>
      <w:r w:rsidR="009710D9">
        <w:t xml:space="preserve">Providers </w:t>
      </w:r>
      <w:r>
        <w:t xml:space="preserve">may, if necessary, make </w:t>
      </w:r>
      <w:r>
        <w:lastRenderedPageBreak/>
        <w:t xml:space="preserve">appropriate arrangements for the Initial Interview. Please refer to the </w:t>
      </w:r>
      <w:r w:rsidRPr="007A7A10">
        <w:t>Servicing Participants with Challenging Behaviour Guideline</w:t>
      </w:r>
      <w:r>
        <w:t>.</w:t>
      </w:r>
    </w:p>
    <w:p w14:paraId="585D147A" w14:textId="7EC4B5CC" w:rsidR="008A47B6" w:rsidRPr="00713618" w:rsidRDefault="008A47B6" w:rsidP="008A47B6">
      <w:pPr>
        <w:pStyle w:val="Heading2"/>
      </w:pPr>
      <w:bookmarkStart w:id="114" w:name="_Facilitated_transfer_meeting"/>
      <w:bookmarkStart w:id="115" w:name="_Toc86758580"/>
      <w:bookmarkEnd w:id="114"/>
      <w:r>
        <w:t xml:space="preserve">Facilitated </w:t>
      </w:r>
      <w:r w:rsidR="000B5C1F">
        <w:t xml:space="preserve">transfer </w:t>
      </w:r>
      <w:r>
        <w:t>meeting for Participants</w:t>
      </w:r>
      <w:r w:rsidRPr="00713618">
        <w:t xml:space="preserve"> exiting from Time to Work Employment Services (TWES)</w:t>
      </w:r>
      <w:bookmarkEnd w:id="112"/>
      <w:bookmarkEnd w:id="113"/>
      <w:bookmarkEnd w:id="115"/>
    </w:p>
    <w:p w14:paraId="05E771C7" w14:textId="23292D8A" w:rsidR="008A47B6" w:rsidRPr="00713618" w:rsidRDefault="008A47B6" w:rsidP="008A47B6">
      <w:pPr>
        <w:pStyle w:val="guidelinetext"/>
      </w:pPr>
      <w:r w:rsidRPr="00713618">
        <w:t xml:space="preserve">A TWES </w:t>
      </w:r>
      <w:r>
        <w:t>Participant</w:t>
      </w:r>
      <w:r w:rsidRPr="00713618">
        <w:t xml:space="preserve"> </w:t>
      </w:r>
      <w:r>
        <w:t>may</w:t>
      </w:r>
      <w:r w:rsidRPr="00713618">
        <w:t xml:space="preserve"> be Referred to </w:t>
      </w:r>
      <w:r>
        <w:t xml:space="preserve">a </w:t>
      </w:r>
      <w:r w:rsidR="009710D9">
        <w:t xml:space="preserve">Trial </w:t>
      </w:r>
      <w:r>
        <w:t>Provider</w:t>
      </w:r>
      <w:r w:rsidRPr="00713618">
        <w:t xml:space="preserve"> before the TWES </w:t>
      </w:r>
      <w:r>
        <w:t>Participant’s release from prison</w:t>
      </w:r>
      <w:r w:rsidRPr="00713618">
        <w:t xml:space="preserve"> where they </w:t>
      </w:r>
      <w:r>
        <w:t>are eligible for Trial Provider Services.</w:t>
      </w:r>
    </w:p>
    <w:p w14:paraId="1B049086" w14:textId="7DC4BCEE" w:rsidR="008A47B6" w:rsidRDefault="008A47B6" w:rsidP="008A47B6">
      <w:pPr>
        <w:pStyle w:val="guidelinetext"/>
      </w:pPr>
      <w:r w:rsidRPr="00713618">
        <w:t xml:space="preserve">To assist the TWES </w:t>
      </w:r>
      <w:r>
        <w:t>Participant</w:t>
      </w:r>
      <w:r w:rsidRPr="00713618">
        <w:t xml:space="preserve">’s move to </w:t>
      </w:r>
      <w:r>
        <w:t xml:space="preserve">Trial </w:t>
      </w:r>
      <w:r w:rsidR="000B5C1F">
        <w:t xml:space="preserve">Provider </w:t>
      </w:r>
      <w:r>
        <w:t>Services</w:t>
      </w:r>
      <w:r w:rsidRPr="00713618">
        <w:t xml:space="preserve">, the TWES </w:t>
      </w:r>
      <w:r>
        <w:t>Provider</w:t>
      </w:r>
      <w:r w:rsidRPr="00713618">
        <w:t xml:space="preserve"> must organise a facilitated transfer meeting with the</w:t>
      </w:r>
      <w:r>
        <w:t xml:space="preserve"> </w:t>
      </w:r>
      <w:r w:rsidR="00A94107">
        <w:t xml:space="preserve">Trial </w:t>
      </w:r>
      <w:r>
        <w:t>Provider</w:t>
      </w:r>
      <w:r w:rsidRPr="00713618">
        <w:t xml:space="preserve"> and TWES </w:t>
      </w:r>
      <w:r>
        <w:t>Participant</w:t>
      </w:r>
      <w:r w:rsidRPr="00713618">
        <w:t xml:space="preserve"> before the TWES </w:t>
      </w:r>
      <w:r>
        <w:t>Participant</w:t>
      </w:r>
      <w:r w:rsidRPr="00713618">
        <w:t>’s release from prison</w:t>
      </w:r>
      <w:r w:rsidR="000B5C1F">
        <w:t>, where possible</w:t>
      </w:r>
      <w:r w:rsidRPr="00713618">
        <w:t>.</w:t>
      </w:r>
      <w:r>
        <w:t xml:space="preserve"> However, in some cases the </w:t>
      </w:r>
      <w:r w:rsidR="00A23253">
        <w:t xml:space="preserve">facilitated transfer meeting </w:t>
      </w:r>
      <w:r>
        <w:t>may need to happen after the Participant’s release from Prison.</w:t>
      </w:r>
    </w:p>
    <w:p w14:paraId="1929251F" w14:textId="7248CA54" w:rsidR="008A47B6" w:rsidRPr="00713618" w:rsidRDefault="008A47B6" w:rsidP="0076747C">
      <w:pPr>
        <w:pStyle w:val="guidelinetext"/>
        <w:ind w:right="-340"/>
      </w:pPr>
      <w:r w:rsidRPr="00713618">
        <w:t xml:space="preserve">The purpose of the facilitated transfer meeting is to introduce the TWES </w:t>
      </w:r>
      <w:r>
        <w:t>Participant</w:t>
      </w:r>
      <w:r w:rsidRPr="00713618">
        <w:t xml:space="preserve"> to their </w:t>
      </w:r>
      <w:r w:rsidR="00A94107">
        <w:t xml:space="preserve">Trial </w:t>
      </w:r>
      <w:r>
        <w:t>provider</w:t>
      </w:r>
      <w:r w:rsidR="000B5C1F">
        <w:t>, where possible,</w:t>
      </w:r>
      <w:r w:rsidRPr="00713618">
        <w:t xml:space="preserve"> and to discuss the TWES </w:t>
      </w:r>
      <w:r>
        <w:t>Participant</w:t>
      </w:r>
      <w:r w:rsidRPr="00713618">
        <w:t xml:space="preserve">’s Transition Plan and their transition to </w:t>
      </w:r>
      <w:r>
        <w:t>Trial Provider Services</w:t>
      </w:r>
      <w:r w:rsidRPr="00713618">
        <w:t xml:space="preserve"> following their release from prison. The </w:t>
      </w:r>
      <w:r w:rsidR="00A94107">
        <w:t xml:space="preserve">Trial </w:t>
      </w:r>
      <w:r>
        <w:t>Provider</w:t>
      </w:r>
      <w:r w:rsidRPr="00713618">
        <w:t xml:space="preserve"> must attend the facilitated transfer meeting, in person or by telephone, and explain the Services that will be available to the TWES </w:t>
      </w:r>
      <w:r>
        <w:t>Participant</w:t>
      </w:r>
      <w:r w:rsidRPr="00713618">
        <w:t xml:space="preserve"> w</w:t>
      </w:r>
      <w:r>
        <w:t>hen they Commence in Trial Provider Services</w:t>
      </w:r>
      <w:r w:rsidR="002E42C4">
        <w:t>, where the TWES Participant is present</w:t>
      </w:r>
      <w:r>
        <w:t>.</w:t>
      </w:r>
    </w:p>
    <w:p w14:paraId="5A81D1D4" w14:textId="5C2E01CD" w:rsidR="008A47B6" w:rsidRPr="00713618" w:rsidRDefault="008A47B6" w:rsidP="008A47B6">
      <w:pPr>
        <w:pStyle w:val="guidelinetext"/>
        <w:rPr>
          <w:rFonts w:cstheme="minorHAnsi"/>
        </w:rPr>
      </w:pPr>
      <w:r w:rsidRPr="00713618">
        <w:rPr>
          <w:rFonts w:cstheme="minorHAnsi"/>
        </w:rPr>
        <w:t xml:space="preserve">The Transition Plan will be developed by the TWES </w:t>
      </w:r>
      <w:r>
        <w:rPr>
          <w:rFonts w:cstheme="minorHAnsi"/>
        </w:rPr>
        <w:t>Provider</w:t>
      </w:r>
      <w:r w:rsidRPr="00713618">
        <w:rPr>
          <w:rFonts w:cstheme="minorHAnsi"/>
        </w:rPr>
        <w:t xml:space="preserve"> in consultation with the TWES </w:t>
      </w:r>
      <w:r>
        <w:rPr>
          <w:rFonts w:cstheme="minorHAnsi"/>
        </w:rPr>
        <w:t>Participant</w:t>
      </w:r>
      <w:r w:rsidRPr="00713618">
        <w:rPr>
          <w:rFonts w:cstheme="minorHAnsi"/>
        </w:rPr>
        <w:t xml:space="preserve"> and will outline actions to help address any barriers that the </w:t>
      </w:r>
      <w:r>
        <w:rPr>
          <w:rFonts w:cstheme="minorHAnsi"/>
        </w:rPr>
        <w:t>Participant</w:t>
      </w:r>
      <w:r w:rsidRPr="00713618">
        <w:rPr>
          <w:rFonts w:cstheme="minorHAnsi"/>
        </w:rPr>
        <w:t xml:space="preserve"> will face following their release from prison and detail their plan for employment. The </w:t>
      </w:r>
      <w:r w:rsidR="00A94107">
        <w:t xml:space="preserve">Trial </w:t>
      </w:r>
      <w:r>
        <w:rPr>
          <w:rFonts w:cstheme="minorHAnsi"/>
        </w:rPr>
        <w:t>Provider</w:t>
      </w:r>
      <w:r w:rsidRPr="00713618">
        <w:rPr>
          <w:rFonts w:cstheme="minorHAnsi"/>
        </w:rPr>
        <w:t xml:space="preserve"> should use the Transition Plan to identify any support or services that the </w:t>
      </w:r>
      <w:r>
        <w:rPr>
          <w:rFonts w:cstheme="minorHAnsi"/>
        </w:rPr>
        <w:t>Participant</w:t>
      </w:r>
      <w:r w:rsidRPr="00713618">
        <w:rPr>
          <w:rFonts w:cstheme="minorHAnsi"/>
        </w:rPr>
        <w:t xml:space="preserve"> may require to address these barriers and assist the</w:t>
      </w:r>
      <w:r>
        <w:rPr>
          <w:rFonts w:cstheme="minorHAnsi"/>
        </w:rPr>
        <w:t xml:space="preserve"> Participant</w:t>
      </w:r>
      <w:r w:rsidRPr="00713618">
        <w:rPr>
          <w:rFonts w:cstheme="minorHAnsi"/>
        </w:rPr>
        <w:t xml:space="preserve"> to move into employment. The </w:t>
      </w:r>
      <w:r w:rsidR="00A94107">
        <w:t xml:space="preserve">Trial </w:t>
      </w:r>
      <w:r>
        <w:rPr>
          <w:rFonts w:cstheme="minorHAnsi"/>
        </w:rPr>
        <w:t>Provider</w:t>
      </w:r>
      <w:r w:rsidRPr="00713618">
        <w:rPr>
          <w:rFonts w:cstheme="minorHAnsi"/>
        </w:rPr>
        <w:t xml:space="preserve"> must consider any comments or recommendations that are contained in the Transition Plan when setting the terms of a Job Plan. </w:t>
      </w:r>
    </w:p>
    <w:p w14:paraId="415B9B5D" w14:textId="77777777" w:rsidR="008A47B6" w:rsidRPr="00713618" w:rsidRDefault="008A47B6" w:rsidP="008A47B6">
      <w:pPr>
        <w:pStyle w:val="guidelinetext"/>
      </w:pPr>
      <w:r w:rsidRPr="00713618">
        <w:t xml:space="preserve">Where possible, the staff member who will be providing Services to the </w:t>
      </w:r>
      <w:r>
        <w:t>Participant</w:t>
      </w:r>
      <w:r w:rsidRPr="00713618">
        <w:t xml:space="preserve"> upon their release from prison should attend the meeting.</w:t>
      </w:r>
    </w:p>
    <w:p w14:paraId="72642775" w14:textId="0C234BCF" w:rsidR="008A47B6" w:rsidRDefault="008A47B6" w:rsidP="008A47B6">
      <w:pPr>
        <w:pStyle w:val="guidelinetext"/>
        <w:rPr>
          <w:rFonts w:cstheme="minorHAnsi"/>
        </w:rPr>
      </w:pPr>
      <w:r>
        <w:rPr>
          <w:rFonts w:cstheme="minorHAnsi"/>
        </w:rPr>
        <w:t>W</w:t>
      </w:r>
      <w:r w:rsidRPr="00713618">
        <w:rPr>
          <w:rFonts w:cstheme="minorHAnsi"/>
        </w:rPr>
        <w:t xml:space="preserve">here a TWES </w:t>
      </w:r>
      <w:r>
        <w:rPr>
          <w:rFonts w:cstheme="minorHAnsi"/>
        </w:rPr>
        <w:t>Participant</w:t>
      </w:r>
      <w:r w:rsidRPr="00713618">
        <w:rPr>
          <w:rFonts w:cstheme="minorHAnsi"/>
        </w:rPr>
        <w:t xml:space="preserve"> Commences in </w:t>
      </w:r>
      <w:r>
        <w:rPr>
          <w:rFonts w:cstheme="minorHAnsi"/>
        </w:rPr>
        <w:t>Trial Provider Services</w:t>
      </w:r>
      <w:r w:rsidRPr="00713618">
        <w:rPr>
          <w:rFonts w:cstheme="minorHAnsi"/>
        </w:rPr>
        <w:t xml:space="preserve"> and the </w:t>
      </w:r>
      <w:r>
        <w:rPr>
          <w:rFonts w:cstheme="minorHAnsi"/>
        </w:rPr>
        <w:t>TWES Provider</w:t>
      </w:r>
      <w:r w:rsidRPr="00713618">
        <w:rPr>
          <w:rFonts w:cstheme="minorHAnsi"/>
        </w:rPr>
        <w:t xml:space="preserve"> has not </w:t>
      </w:r>
      <w:r w:rsidR="002E42C4">
        <w:rPr>
          <w:rFonts w:cstheme="minorHAnsi"/>
        </w:rPr>
        <w:t>held</w:t>
      </w:r>
      <w:r w:rsidR="002E42C4" w:rsidRPr="00713618">
        <w:rPr>
          <w:rFonts w:cstheme="minorHAnsi"/>
        </w:rPr>
        <w:t xml:space="preserve"> </w:t>
      </w:r>
      <w:r w:rsidRPr="00713618">
        <w:rPr>
          <w:rFonts w:cstheme="minorHAnsi"/>
        </w:rPr>
        <w:t xml:space="preserve">a facilitated transfer meeting, the </w:t>
      </w:r>
      <w:r w:rsidR="00A94107">
        <w:t xml:space="preserve">Trial </w:t>
      </w:r>
      <w:r>
        <w:rPr>
          <w:rFonts w:cstheme="minorHAnsi"/>
        </w:rPr>
        <w:t>Provider</w:t>
      </w:r>
      <w:r w:rsidRPr="00713618">
        <w:rPr>
          <w:rFonts w:cstheme="minorHAnsi"/>
        </w:rPr>
        <w:t xml:space="preserve"> should contact the TWES </w:t>
      </w:r>
      <w:r>
        <w:rPr>
          <w:rFonts w:cstheme="minorHAnsi"/>
        </w:rPr>
        <w:t>Provider</w:t>
      </w:r>
      <w:r w:rsidRPr="00713618">
        <w:rPr>
          <w:rFonts w:cstheme="minorHAnsi"/>
        </w:rPr>
        <w:t xml:space="preserve"> to discuss the TWES </w:t>
      </w:r>
      <w:r>
        <w:rPr>
          <w:rFonts w:cstheme="minorHAnsi"/>
        </w:rPr>
        <w:t>Participant</w:t>
      </w:r>
      <w:r w:rsidRPr="00713618">
        <w:rPr>
          <w:rFonts w:cstheme="minorHAnsi"/>
        </w:rPr>
        <w:t xml:space="preserve">’s participation in the TWES program and their Transition Plan. </w:t>
      </w:r>
    </w:p>
    <w:p w14:paraId="074AAA32" w14:textId="1EB28E42" w:rsidR="008A47B6" w:rsidRPr="00713618" w:rsidRDefault="008A47B6" w:rsidP="008A47B6">
      <w:pPr>
        <w:pStyle w:val="guidelinetext"/>
        <w:rPr>
          <w:rFonts w:cstheme="minorHAnsi"/>
        </w:rPr>
      </w:pPr>
      <w:r>
        <w:t xml:space="preserve">Where a Participant is referred to a </w:t>
      </w:r>
      <w:r w:rsidR="00A94107">
        <w:t xml:space="preserve">Trial </w:t>
      </w:r>
      <w:r>
        <w:t xml:space="preserve">Provider which is the same organisation that delivered Time to Work Employment Services to the Participant, the TWES Provider must still arrange a Facilitated Transfer Meeting. This will ensure that the Participant has the opportunity to meet the </w:t>
      </w:r>
      <w:r w:rsidR="00A94107">
        <w:t xml:space="preserve">Trial </w:t>
      </w:r>
      <w:r w:rsidR="00D66396">
        <w:t>Provider</w:t>
      </w:r>
      <w:r>
        <w:t xml:space="preserve"> staff who will service them post-release and understand the post-release services they will receive.</w:t>
      </w:r>
    </w:p>
    <w:p w14:paraId="566FE8D9" w14:textId="09770C8B" w:rsidR="008A47B6" w:rsidRDefault="008A47B6" w:rsidP="008A47B6">
      <w:pPr>
        <w:pStyle w:val="Heading2"/>
      </w:pPr>
      <w:bookmarkStart w:id="116" w:name="_Toc17275642"/>
      <w:bookmarkStart w:id="117" w:name="_Toc34319202"/>
      <w:bookmarkStart w:id="118" w:name="_Toc86758581"/>
      <w:r>
        <w:t>Participants exiting from Transition to Work</w:t>
      </w:r>
      <w:bookmarkEnd w:id="116"/>
      <w:bookmarkEnd w:id="117"/>
      <w:bookmarkEnd w:id="118"/>
    </w:p>
    <w:p w14:paraId="1E44BEE0" w14:textId="1E2AD797" w:rsidR="008A47B6" w:rsidRDefault="008A47B6" w:rsidP="00843271">
      <w:pPr>
        <w:pStyle w:val="guidelinebullet"/>
      </w:pPr>
      <w:r w:rsidRPr="00381F2F">
        <w:t xml:space="preserve">In the first week of the Participant’s </w:t>
      </w:r>
      <w:r w:rsidR="00E253BF">
        <w:t>eighteenth</w:t>
      </w:r>
      <w:r w:rsidR="00006002" w:rsidRPr="00381F2F">
        <w:t xml:space="preserve"> </w:t>
      </w:r>
      <w:r w:rsidRPr="00381F2F">
        <w:t>month in TtW, the TtW</w:t>
      </w:r>
      <w:r w:rsidRPr="0010663E">
        <w:t xml:space="preserve"> </w:t>
      </w:r>
      <w:r>
        <w:t>Provider</w:t>
      </w:r>
      <w:r w:rsidRPr="0010663E">
        <w:t xml:space="preserve"> </w:t>
      </w:r>
      <w:r>
        <w:t xml:space="preserve">will </w:t>
      </w:r>
      <w:r w:rsidRPr="0010663E">
        <w:t xml:space="preserve">organise and attend an initial planning meeting with the </w:t>
      </w:r>
      <w:r>
        <w:t>jobactive Provider</w:t>
      </w:r>
      <w:r w:rsidRPr="0010663E">
        <w:t xml:space="preserve"> and the </w:t>
      </w:r>
      <w:r>
        <w:t xml:space="preserve">Participant. </w:t>
      </w:r>
      <w:r w:rsidRPr="0010663E">
        <w:t>The purpose of this meeting is</w:t>
      </w:r>
      <w:r>
        <w:t xml:space="preserve"> </w:t>
      </w:r>
      <w:r w:rsidRPr="0010663E">
        <w:t xml:space="preserve">for the </w:t>
      </w:r>
      <w:r w:rsidR="00A94107">
        <w:t xml:space="preserve">Trial </w:t>
      </w:r>
      <w:r>
        <w:t>Provider</w:t>
      </w:r>
      <w:r w:rsidRPr="0010663E">
        <w:t xml:space="preserve"> to set out the expectations of</w:t>
      </w:r>
      <w:r>
        <w:t xml:space="preserve"> participation in</w:t>
      </w:r>
      <w:r w:rsidRPr="0010663E">
        <w:t xml:space="preserve"> </w:t>
      </w:r>
      <w:r w:rsidR="00D66396">
        <w:t>Trial Provider</w:t>
      </w:r>
      <w:r>
        <w:t xml:space="preserve"> Services</w:t>
      </w:r>
      <w:r w:rsidR="00D66396">
        <w:t>. T</w:t>
      </w:r>
      <w:r>
        <w:t xml:space="preserve">he TtW Provider will not be able to make this </w:t>
      </w:r>
      <w:r>
        <w:lastRenderedPageBreak/>
        <w:t xml:space="preserve">appointment directly to </w:t>
      </w:r>
      <w:r w:rsidR="00A94107">
        <w:t xml:space="preserve">Trial </w:t>
      </w:r>
      <w:r>
        <w:t xml:space="preserve">Provider’s calendar and timing should be negotiated between all parties. </w:t>
      </w:r>
    </w:p>
    <w:p w14:paraId="4E5B5C62" w14:textId="49136FDD" w:rsidR="008A47B6" w:rsidRDefault="008A47B6" w:rsidP="00843271">
      <w:pPr>
        <w:pStyle w:val="guidelinebullet"/>
      </w:pPr>
      <w:r>
        <w:t xml:space="preserve">In the final week of the </w:t>
      </w:r>
      <w:r w:rsidR="00E253BF">
        <w:t>eighteenth</w:t>
      </w:r>
      <w:r w:rsidR="00006002">
        <w:t xml:space="preserve"> </w:t>
      </w:r>
      <w:r>
        <w:t>month in TtW, the</w:t>
      </w:r>
      <w:r w:rsidRPr="0010663E">
        <w:t xml:space="preserve"> </w:t>
      </w:r>
      <w:r w:rsidRPr="00735C99">
        <w:t xml:space="preserve">TtW </w:t>
      </w:r>
      <w:r>
        <w:t>Provider</w:t>
      </w:r>
      <w:r w:rsidRPr="0010663E">
        <w:t xml:space="preserve"> will also organise </w:t>
      </w:r>
      <w:r>
        <w:t xml:space="preserve">the Participant’s Initial Interview for </w:t>
      </w:r>
      <w:r w:rsidR="00D66396">
        <w:t xml:space="preserve">Trial Provider </w:t>
      </w:r>
      <w:r>
        <w:t xml:space="preserve">Services. </w:t>
      </w:r>
      <w:r w:rsidRPr="0010663E">
        <w:t xml:space="preserve">This is where the </w:t>
      </w:r>
      <w:r>
        <w:t>Participant</w:t>
      </w:r>
      <w:r w:rsidRPr="0010663E">
        <w:t xml:space="preserve"> is </w:t>
      </w:r>
      <w:r>
        <w:t>R</w:t>
      </w:r>
      <w:r w:rsidRPr="0010663E">
        <w:t xml:space="preserve">eferred to </w:t>
      </w:r>
      <w:r w:rsidR="00D66396">
        <w:t>Trial Provider</w:t>
      </w:r>
      <w:r>
        <w:t xml:space="preserve"> Services by the TtW Provider and exited from TtW.</w:t>
      </w:r>
    </w:p>
    <w:p w14:paraId="21F4009B" w14:textId="5BA035B7" w:rsidR="008A47B6" w:rsidRDefault="008A47B6" w:rsidP="008A47B6">
      <w:pPr>
        <w:pStyle w:val="guidelinetext"/>
        <w:rPr>
          <w:color w:val="000000" w:themeColor="text1"/>
        </w:rPr>
      </w:pPr>
      <w:r>
        <w:rPr>
          <w:color w:val="000000" w:themeColor="text1"/>
        </w:rPr>
        <w:t xml:space="preserve">If the TtW Participant is transferring to a </w:t>
      </w:r>
      <w:r w:rsidR="00A94107">
        <w:t xml:space="preserve">Trial </w:t>
      </w:r>
      <w:r w:rsidR="00D66396">
        <w:rPr>
          <w:color w:val="000000" w:themeColor="text1"/>
        </w:rPr>
        <w:t>Provider</w:t>
      </w:r>
      <w:r>
        <w:rPr>
          <w:color w:val="000000" w:themeColor="text1"/>
        </w:rPr>
        <w:t xml:space="preserve"> </w:t>
      </w:r>
      <w:r>
        <w:rPr>
          <w:b/>
          <w:i/>
          <w:color w:val="000000" w:themeColor="text1"/>
        </w:rPr>
        <w:t>before</w:t>
      </w:r>
      <w:r>
        <w:rPr>
          <w:color w:val="000000" w:themeColor="text1"/>
        </w:rPr>
        <w:t xml:space="preserve"> </w:t>
      </w:r>
      <w:r w:rsidR="00F95C76">
        <w:rPr>
          <w:color w:val="000000" w:themeColor="text1"/>
        </w:rPr>
        <w:t xml:space="preserve">18 </w:t>
      </w:r>
      <w:r>
        <w:rPr>
          <w:color w:val="000000" w:themeColor="text1"/>
        </w:rPr>
        <w:t xml:space="preserve">months of service then the TTW Provider must organise and attend one meeting with the Participant and the </w:t>
      </w:r>
      <w:r w:rsidR="00A94107">
        <w:t xml:space="preserve">Trial </w:t>
      </w:r>
      <w:r>
        <w:rPr>
          <w:color w:val="000000" w:themeColor="text1"/>
        </w:rPr>
        <w:t xml:space="preserve">Provider. This should occur within one month of the decision to move to the </w:t>
      </w:r>
      <w:r w:rsidR="00A94107">
        <w:t xml:space="preserve">Trial </w:t>
      </w:r>
      <w:r>
        <w:rPr>
          <w:color w:val="000000" w:themeColor="text1"/>
        </w:rPr>
        <w:t xml:space="preserve">Provider. The exception is if the Participant Exited shortly after Commencement in TtW. </w:t>
      </w:r>
    </w:p>
    <w:p w14:paraId="28C80E74" w14:textId="1DB7DDC9" w:rsidR="008A47B6" w:rsidRDefault="008A47B6" w:rsidP="008A47B6">
      <w:pPr>
        <w:pStyle w:val="Heading2"/>
        <w:rPr>
          <w:rFonts w:cs="Calibri"/>
          <w:color w:val="000000"/>
        </w:rPr>
      </w:pPr>
      <w:bookmarkStart w:id="119" w:name="_Toc17275643"/>
      <w:bookmarkStart w:id="120" w:name="_Toc34319203"/>
      <w:bookmarkStart w:id="121" w:name="_Toc86758582"/>
      <w:r w:rsidRPr="00B175D7">
        <w:t>Vulnerable Youth or Vulnerable Youth (Student)</w:t>
      </w:r>
      <w:bookmarkEnd w:id="119"/>
      <w:r w:rsidR="00D66396">
        <w:t>s</w:t>
      </w:r>
      <w:bookmarkEnd w:id="120"/>
      <w:bookmarkEnd w:id="121"/>
    </w:p>
    <w:p w14:paraId="1DDF514F" w14:textId="77777777" w:rsidR="008A47B6" w:rsidRDefault="008A47B6" w:rsidP="008A47B6">
      <w:pPr>
        <w:pStyle w:val="guidelinetext"/>
        <w:rPr>
          <w:rFonts w:cs="Calibri"/>
          <w:color w:val="000000"/>
        </w:rPr>
      </w:pPr>
      <w:r w:rsidRPr="00F11D84">
        <w:rPr>
          <w:rFonts w:cs="Calibri"/>
          <w:color w:val="000000"/>
        </w:rPr>
        <w:t xml:space="preserve">Following the immediate Direct Registration of a Vulnerable Youth or Vulnerable Youth (Student) who presents in crisis, </w:t>
      </w:r>
      <w:r>
        <w:rPr>
          <w:rFonts w:cs="Calibri"/>
          <w:color w:val="000000"/>
        </w:rPr>
        <w:t>Provider</w:t>
      </w:r>
      <w:r w:rsidRPr="00C43317">
        <w:rPr>
          <w:rFonts w:cs="Calibri"/>
          <w:color w:val="000000"/>
        </w:rPr>
        <w:t>s must</w:t>
      </w:r>
      <w:r w:rsidRPr="00F11D84">
        <w:rPr>
          <w:rFonts w:cs="Calibri"/>
          <w:color w:val="000000"/>
        </w:rPr>
        <w:t xml:space="preserve"> immediately provide or refer the young person to relevant crisis assistance. The support provided will depend on the nature of the crisis but could include assistance with emergency accommodation, counselling or other non-vocational support.</w:t>
      </w:r>
      <w:r>
        <w:rPr>
          <w:rFonts w:cs="Calibri"/>
          <w:color w:val="000000"/>
        </w:rPr>
        <w:t xml:space="preserve"> Refer to the </w:t>
      </w:r>
      <w:r w:rsidRPr="007A7A10">
        <w:rPr>
          <w:rFonts w:cs="Calibri"/>
        </w:rPr>
        <w:t>Direct Registration Guideline</w:t>
      </w:r>
    </w:p>
    <w:p w14:paraId="448147B0" w14:textId="4DCD808C" w:rsidR="00E1190E" w:rsidRPr="00232B7A" w:rsidRDefault="00E1190E" w:rsidP="00F46104">
      <w:pPr>
        <w:pStyle w:val="guidelinedeedref"/>
      </w:pPr>
      <w:r>
        <w:t>(Deed reference: Clause 10</w:t>
      </w:r>
      <w:r w:rsidR="00F66853">
        <w:t>3</w:t>
      </w:r>
      <w:r>
        <w:t xml:space="preserve">.5) </w:t>
      </w:r>
    </w:p>
    <w:p w14:paraId="42AF8796" w14:textId="77777777" w:rsidR="00007F80" w:rsidRDefault="00007F80" w:rsidP="00007F80">
      <w:pPr>
        <w:pStyle w:val="Heading1"/>
      </w:pPr>
      <w:bookmarkStart w:id="122" w:name="_Toc66266456"/>
      <w:bookmarkStart w:id="123" w:name="_Toc86758583"/>
      <w:bookmarkStart w:id="124" w:name="_Toc468976078"/>
      <w:bookmarkStart w:id="125" w:name="_Toc478656146"/>
      <w:bookmarkStart w:id="126" w:name="_Toc34319206"/>
      <w:r>
        <w:t>Participants must be commenced in a timely manner</w:t>
      </w:r>
      <w:bookmarkEnd w:id="122"/>
      <w:bookmarkEnd w:id="123"/>
    </w:p>
    <w:p w14:paraId="26F1A44C" w14:textId="53EECE02" w:rsidR="000B0EA2" w:rsidRDefault="000B0EA2" w:rsidP="000B0EA2">
      <w:pPr>
        <w:pStyle w:val="guidelinetext"/>
      </w:pPr>
      <w:r>
        <w:t xml:space="preserve">Trial </w:t>
      </w:r>
      <w:r w:rsidRPr="00A512B3">
        <w:t>Providers must ensure that Participants are Commenced in a timely manner, by ensuring they conduct the Initial Interview, enter into or update (as relevant) and approve the Job Plan, in accordance with any timeframes in the Deed, guidelines and any direction issued by the Department.</w:t>
      </w:r>
      <w:r>
        <w:t xml:space="preserve"> </w:t>
      </w:r>
    </w:p>
    <w:p w14:paraId="1F38C876" w14:textId="77777777" w:rsidR="000B0EA2" w:rsidRDefault="000B0EA2" w:rsidP="000B0EA2">
      <w:pPr>
        <w:pStyle w:val="guidelinetext"/>
      </w:pPr>
      <w:r>
        <w:t>Participants who are referred to the provider on or after 12 April 2021 must be Commenced within 10 business days of the Referral. This provides sufficient time for Providers to review their caseloads, schedule and conduct an Initial Interview (including re-scheduling if required), and think-time for Participants to agree to their Job Plan.</w:t>
      </w:r>
    </w:p>
    <w:p w14:paraId="631EC926" w14:textId="1CC1F6FE" w:rsidR="00007F80" w:rsidRDefault="00007F80" w:rsidP="00144E07">
      <w:pPr>
        <w:pStyle w:val="guidelinedeedref"/>
        <w:rPr>
          <w:rFonts w:cs="Calibri"/>
          <w:color w:val="000000"/>
        </w:rPr>
      </w:pPr>
      <w:r w:rsidRPr="00324D30">
        <w:t xml:space="preserve">(Deed references: </w:t>
      </w:r>
      <w:r>
        <w:t>Clauses</w:t>
      </w:r>
      <w:r w:rsidRPr="00134780">
        <w:t xml:space="preserve"> </w:t>
      </w:r>
      <w:r w:rsidR="00B511FB">
        <w:t>93</w:t>
      </w:r>
      <w:r>
        <w:t xml:space="preserve"> and </w:t>
      </w:r>
      <w:r w:rsidR="00D63D0E">
        <w:t>95.2</w:t>
      </w:r>
      <w:r w:rsidRPr="00134780">
        <w:t>(a</w:t>
      </w:r>
      <w:r>
        <w:t>)</w:t>
      </w:r>
      <w:r w:rsidRPr="00324D30">
        <w:t>)</w:t>
      </w:r>
    </w:p>
    <w:p w14:paraId="2EA8071A" w14:textId="14206A98" w:rsidR="00E463DD" w:rsidRPr="00C43317" w:rsidRDefault="00A20B33" w:rsidP="00C43317">
      <w:pPr>
        <w:pStyle w:val="Heading1"/>
      </w:pPr>
      <w:bookmarkStart w:id="127" w:name="_Toc86758584"/>
      <w:r>
        <w:t>Participant</w:t>
      </w:r>
      <w:r w:rsidR="00554505">
        <w:t>s</w:t>
      </w:r>
      <w:r w:rsidR="007755B7">
        <w:t xml:space="preserve"> </w:t>
      </w:r>
      <w:r w:rsidR="00E463DD">
        <w:t xml:space="preserve">are automatically </w:t>
      </w:r>
      <w:r w:rsidR="00C43317">
        <w:t>C</w:t>
      </w:r>
      <w:r w:rsidR="00E463DD">
        <w:t>ommenced in the Department’s IT systems</w:t>
      </w:r>
      <w:bookmarkEnd w:id="124"/>
      <w:bookmarkEnd w:id="125"/>
      <w:bookmarkEnd w:id="126"/>
      <w:bookmarkEnd w:id="127"/>
    </w:p>
    <w:p w14:paraId="7F2533F4" w14:textId="3EA3E47B" w:rsidR="00E463DD" w:rsidRDefault="00CE658D" w:rsidP="00E463DD">
      <w:pPr>
        <w:pStyle w:val="guidelinetext"/>
      </w:pPr>
      <w:r>
        <w:t xml:space="preserve">A </w:t>
      </w:r>
      <w:r w:rsidR="00A20B33">
        <w:t>Participant</w:t>
      </w:r>
      <w:r w:rsidR="007755B7" w:rsidRPr="00F11D84">
        <w:t xml:space="preserve"> </w:t>
      </w:r>
      <w:r w:rsidR="008B4C52">
        <w:t xml:space="preserve">in </w:t>
      </w:r>
      <w:r w:rsidR="005E4C15">
        <w:t xml:space="preserve">Enhanced Services </w:t>
      </w:r>
      <w:r>
        <w:t>is</w:t>
      </w:r>
      <w:r w:rsidR="00E463DD" w:rsidRPr="00F11D84">
        <w:t xml:space="preserve"> automatically Commenced</w:t>
      </w:r>
      <w:r w:rsidR="00E463DD">
        <w:t xml:space="preserve"> in the Department’s IT </w:t>
      </w:r>
      <w:r w:rsidR="00AA29A7">
        <w:t>S</w:t>
      </w:r>
      <w:r w:rsidR="00E463DD">
        <w:t xml:space="preserve">ystems when </w:t>
      </w:r>
      <w:r w:rsidR="00E463DD" w:rsidRPr="00F11D84">
        <w:t xml:space="preserve">the </w:t>
      </w:r>
      <w:r w:rsidR="006C71A4">
        <w:t xml:space="preserve">Trial </w:t>
      </w:r>
      <w:r w:rsidR="00A20B33">
        <w:t>Provider</w:t>
      </w:r>
      <w:r w:rsidR="00E463DD" w:rsidRPr="00F11D84">
        <w:t xml:space="preserve"> records attendance at the Initial Interview and the </w:t>
      </w:r>
      <w:r w:rsidR="00A20B33">
        <w:t>Participant</w:t>
      </w:r>
      <w:r w:rsidR="00E463DD" w:rsidRPr="00F11D84">
        <w:t xml:space="preserve"> has an approved Job Plan.</w:t>
      </w:r>
      <w:r w:rsidR="00E463DD">
        <w:t xml:space="preserve"> </w:t>
      </w:r>
      <w:r w:rsidR="00E54595">
        <w:t>In the case of Enhanced Services, they will be commenced in Tier 1.</w:t>
      </w:r>
    </w:p>
    <w:p w14:paraId="51470ABB" w14:textId="6591A271" w:rsidR="00E463DD" w:rsidRPr="00CC1B15" w:rsidRDefault="007755B7" w:rsidP="00E463DD">
      <w:pPr>
        <w:pStyle w:val="guidelinetext"/>
      </w:pPr>
      <w:r w:rsidRPr="00CC1B15">
        <w:t>T</w:t>
      </w:r>
      <w:r w:rsidR="00E463DD" w:rsidRPr="00CC1B15">
        <w:t xml:space="preserve">he </w:t>
      </w:r>
      <w:r w:rsidR="006C71A4">
        <w:t xml:space="preserve">Trial </w:t>
      </w:r>
      <w:r w:rsidR="00A20B33">
        <w:t>Provider</w:t>
      </w:r>
      <w:r w:rsidR="00E463DD" w:rsidRPr="00CC1B15">
        <w:t xml:space="preserve"> must deliver </w:t>
      </w:r>
      <w:r w:rsidR="00EB6D14">
        <w:t xml:space="preserve">Trial </w:t>
      </w:r>
      <w:r w:rsidR="00A20B33">
        <w:t>Provider</w:t>
      </w:r>
      <w:r w:rsidR="004450F4">
        <w:t xml:space="preserve"> </w:t>
      </w:r>
      <w:r w:rsidR="00E463DD" w:rsidRPr="00CC1B15">
        <w:t>Services in accordance with the Deed, Guidelines</w:t>
      </w:r>
      <w:r w:rsidR="00CB0FA6" w:rsidRPr="00CC1B15">
        <w:t>,</w:t>
      </w:r>
      <w:r w:rsidR="00E463DD" w:rsidRPr="00CC1B15">
        <w:t xml:space="preserve"> </w:t>
      </w:r>
      <w:r w:rsidR="00CB0FA6" w:rsidRPr="00CC1B15">
        <w:t>Job Plan</w:t>
      </w:r>
      <w:r w:rsidR="00820739" w:rsidRPr="00CC1B15">
        <w:t xml:space="preserve"> and </w:t>
      </w:r>
      <w:r w:rsidR="00A20B33">
        <w:t>Participant</w:t>
      </w:r>
      <w:r w:rsidR="00820739" w:rsidRPr="00CC1B15">
        <w:t xml:space="preserve"> circumstances</w:t>
      </w:r>
      <w:r w:rsidRPr="00CC1B15">
        <w:t xml:space="preserve"> once the </w:t>
      </w:r>
      <w:r w:rsidR="00A20B33">
        <w:t>Participant</w:t>
      </w:r>
      <w:r w:rsidRPr="00CC1B15">
        <w:t xml:space="preserve"> is Commenced</w:t>
      </w:r>
      <w:r w:rsidR="00E463DD" w:rsidRPr="00CC1B15">
        <w:t>.</w:t>
      </w:r>
    </w:p>
    <w:p w14:paraId="2D7381C6" w14:textId="07A84474" w:rsidR="00EB6D14" w:rsidRDefault="00EB6D14" w:rsidP="00C43317">
      <w:pPr>
        <w:pStyle w:val="Heading1"/>
      </w:pPr>
      <w:bookmarkStart w:id="128" w:name="_Toc34319207"/>
      <w:bookmarkStart w:id="129" w:name="_Toc86758585"/>
      <w:bookmarkStart w:id="130" w:name="_Toc468976080"/>
      <w:bookmarkStart w:id="131" w:name="_Toc478656148"/>
      <w:r>
        <w:lastRenderedPageBreak/>
        <w:t xml:space="preserve">Engagement Fees </w:t>
      </w:r>
      <w:r w:rsidR="00AF150A">
        <w:t xml:space="preserve">are calculated and paid automatically by the Department’s IT </w:t>
      </w:r>
      <w:r w:rsidR="00AA29A7">
        <w:t>S</w:t>
      </w:r>
      <w:r w:rsidR="00AF150A">
        <w:t>ystems</w:t>
      </w:r>
      <w:bookmarkEnd w:id="128"/>
      <w:bookmarkEnd w:id="129"/>
    </w:p>
    <w:p w14:paraId="43465A9A" w14:textId="3F3DFC7C" w:rsidR="008C100B" w:rsidRDefault="006C71A4" w:rsidP="00D253B5">
      <w:pPr>
        <w:pStyle w:val="guidelinetext"/>
      </w:pPr>
      <w:r>
        <w:t xml:space="preserve">Trial </w:t>
      </w:r>
      <w:r w:rsidR="00A20B33">
        <w:t>Provider</w:t>
      </w:r>
      <w:r w:rsidR="00D253B5">
        <w:t xml:space="preserve">s </w:t>
      </w:r>
      <w:r w:rsidR="00F66853">
        <w:t>are eligible for</w:t>
      </w:r>
      <w:r w:rsidR="00D253B5">
        <w:t xml:space="preserve"> a one-off Engagement Fee for </w:t>
      </w:r>
      <w:r w:rsidR="00EE01D3">
        <w:t xml:space="preserve">each </w:t>
      </w:r>
      <w:r w:rsidR="00D253B5">
        <w:t xml:space="preserve">Enhanced Services </w:t>
      </w:r>
      <w:r w:rsidR="00A20B33">
        <w:t>Participant</w:t>
      </w:r>
      <w:r w:rsidR="00D253B5">
        <w:t xml:space="preserve"> on Commencement. </w:t>
      </w:r>
      <w:r w:rsidR="008C100B">
        <w:t xml:space="preserve">Payment of this fee is included in Advance Trial Payments paid to the </w:t>
      </w:r>
      <w:r w:rsidR="00697EE5">
        <w:t xml:space="preserve">Trial Provider </w:t>
      </w:r>
      <w:r w:rsidR="008C100B">
        <w:t>after the start of each Payment Period. Refer to the NEST Payment Guideline.</w:t>
      </w:r>
    </w:p>
    <w:p w14:paraId="7D0E9F55" w14:textId="77777777" w:rsidR="00EB6D14" w:rsidRPr="004978B6" w:rsidRDefault="00C20F3C" w:rsidP="00144E07">
      <w:pPr>
        <w:pStyle w:val="guidelinedeedref"/>
        <w:rPr>
          <w:color w:val="385623" w:themeColor="accent6" w:themeShade="80"/>
        </w:rPr>
      </w:pPr>
      <w:r w:rsidRPr="00324D30">
        <w:t xml:space="preserve">(Deed references: </w:t>
      </w:r>
      <w:r>
        <w:t>Clauses 13</w:t>
      </w:r>
      <w:r w:rsidR="008C100B">
        <w:t xml:space="preserve">4, 135 </w:t>
      </w:r>
      <w:r w:rsidR="00A77413">
        <w:t>6</w:t>
      </w:r>
      <w:r>
        <w:t xml:space="preserve">, </w:t>
      </w:r>
      <w:r w:rsidR="00A77413">
        <w:t xml:space="preserve">Table 4 of </w:t>
      </w:r>
      <w:r>
        <w:t xml:space="preserve">Annexure </w:t>
      </w:r>
      <w:r w:rsidR="00A77413">
        <w:t>E</w:t>
      </w:r>
      <w:r>
        <w:t>1)</w:t>
      </w:r>
    </w:p>
    <w:p w14:paraId="29699495" w14:textId="439D6664" w:rsidR="00D03BDA" w:rsidRDefault="00D03BDA" w:rsidP="00D03BDA">
      <w:pPr>
        <w:pStyle w:val="Heading1"/>
      </w:pPr>
      <w:bookmarkStart w:id="132" w:name="_Toc478656145"/>
      <w:bookmarkStart w:id="133" w:name="_Toc34319209"/>
      <w:bookmarkStart w:id="134" w:name="_Toc86758586"/>
      <w:bookmarkEnd w:id="130"/>
      <w:bookmarkEnd w:id="131"/>
      <w:r>
        <w:t xml:space="preserve">Referral to another program </w:t>
      </w:r>
      <w:r w:rsidR="00931CB1">
        <w:t>or service level</w:t>
      </w:r>
      <w:bookmarkEnd w:id="132"/>
      <w:bookmarkEnd w:id="133"/>
      <w:bookmarkEnd w:id="134"/>
    </w:p>
    <w:p w14:paraId="4AD5E060" w14:textId="4219FC00" w:rsidR="0029647C" w:rsidRPr="00696267" w:rsidRDefault="000B5D01" w:rsidP="00696267">
      <w:pPr>
        <w:pStyle w:val="Heading2"/>
        <w:rPr>
          <w:rFonts w:eastAsia="Times New Roman"/>
        </w:rPr>
      </w:pPr>
      <w:bookmarkStart w:id="135" w:name="_Toc86758587"/>
      <w:r w:rsidRPr="00696267">
        <w:rPr>
          <w:rFonts w:eastAsia="Times New Roman"/>
        </w:rPr>
        <w:t>Moving Participants to Digital Services</w:t>
      </w:r>
      <w:bookmarkEnd w:id="135"/>
    </w:p>
    <w:p w14:paraId="14AE6ACA" w14:textId="5D606586" w:rsidR="000B5D01" w:rsidRDefault="00697EE5" w:rsidP="00381CFE">
      <w:pPr>
        <w:pStyle w:val="guidelinetext"/>
      </w:pPr>
      <w:r>
        <w:t xml:space="preserve">Trial </w:t>
      </w:r>
      <w:r w:rsidR="0051148E">
        <w:t xml:space="preserve">Providers </w:t>
      </w:r>
      <w:r w:rsidR="006A4AB1">
        <w:t>are</w:t>
      </w:r>
      <w:r w:rsidR="0051148E">
        <w:t xml:space="preserve"> able to move Participants to Digital Services at their discretion based on their assessment of the Participant’s needs.</w:t>
      </w:r>
      <w:r w:rsidR="00691918">
        <w:t xml:space="preserve"> </w:t>
      </w:r>
      <w:r w:rsidR="000B5D01">
        <w:t xml:space="preserve">Refer to </w:t>
      </w:r>
      <w:r w:rsidR="00AA29A7">
        <w:t xml:space="preserve">the </w:t>
      </w:r>
      <w:hyperlink r:id="rId31" w:history="1">
        <w:r w:rsidR="000B5D01" w:rsidRPr="008E1884">
          <w:rPr>
            <w:rStyle w:val="Hyperlink"/>
          </w:rPr>
          <w:t>NEST Assessment Guideline</w:t>
        </w:r>
      </w:hyperlink>
      <w:r w:rsidR="000B5D01">
        <w:t>.</w:t>
      </w:r>
    </w:p>
    <w:p w14:paraId="70D23D4E" w14:textId="14272EBA" w:rsidR="00696853" w:rsidRPr="00696267" w:rsidRDefault="00696853" w:rsidP="00696267">
      <w:pPr>
        <w:pStyle w:val="Heading2"/>
        <w:rPr>
          <w:rFonts w:eastAsia="Times New Roman"/>
        </w:rPr>
      </w:pPr>
      <w:bookmarkStart w:id="136" w:name="_Toc86758588"/>
      <w:r w:rsidRPr="00696267">
        <w:rPr>
          <w:rFonts w:eastAsia="Times New Roman"/>
        </w:rPr>
        <w:t>Change of Circumstances Reassessment</w:t>
      </w:r>
      <w:bookmarkEnd w:id="136"/>
    </w:p>
    <w:p w14:paraId="3D9D319F" w14:textId="77777777" w:rsidR="00032C02" w:rsidRDefault="00D03BDA" w:rsidP="00D03BDA">
      <w:pPr>
        <w:pStyle w:val="guidelinetext"/>
      </w:pPr>
      <w:r w:rsidRPr="00CC1B15">
        <w:t xml:space="preserve">In some instances, a </w:t>
      </w:r>
      <w:r>
        <w:t>Participant</w:t>
      </w:r>
      <w:r w:rsidRPr="00CC1B15">
        <w:t xml:space="preserve"> may be referred to an ESAt after a JSCI Change of Circumstances Reassessment. </w:t>
      </w:r>
    </w:p>
    <w:p w14:paraId="5275ECA6" w14:textId="2EFF3C7A" w:rsidR="00D03BDA" w:rsidRDefault="00D03BDA" w:rsidP="00D03BDA">
      <w:pPr>
        <w:pStyle w:val="guidelinetext"/>
        <w:rPr>
          <w:rStyle w:val="Hyperlink"/>
          <w:color w:val="auto"/>
          <w:u w:val="none"/>
        </w:rPr>
      </w:pPr>
      <w:r w:rsidRPr="00CC1B15">
        <w:t xml:space="preserve">If, as a result of the ESAt, the </w:t>
      </w:r>
      <w:r>
        <w:t>Participant</w:t>
      </w:r>
      <w:r w:rsidRPr="00CC1B15">
        <w:t xml:space="preserve"> is referred to </w:t>
      </w:r>
      <w:r>
        <w:t>Disability Employment Services (</w:t>
      </w:r>
      <w:r w:rsidRPr="00CC1B15">
        <w:t>DES</w:t>
      </w:r>
      <w:r>
        <w:t xml:space="preserve">), </w:t>
      </w:r>
      <w:r w:rsidRPr="00CC1B15">
        <w:t xml:space="preserve">the </w:t>
      </w:r>
      <w:r w:rsidR="00697EE5">
        <w:t xml:space="preserve">Trial </w:t>
      </w:r>
      <w:r>
        <w:t>Provider</w:t>
      </w:r>
      <w:r w:rsidRPr="00CC1B15">
        <w:t xml:space="preserve"> must continue to deliver Services to the </w:t>
      </w:r>
      <w:r>
        <w:t>Participant</w:t>
      </w:r>
      <w:r w:rsidRPr="00CC1B15">
        <w:t xml:space="preserve"> until they have commenced in that program. Once the </w:t>
      </w:r>
      <w:r>
        <w:t>Participant</w:t>
      </w:r>
      <w:r w:rsidRPr="00CC1B15">
        <w:t xml:space="preserve"> has commenced in the new program, they will be Exited from</w:t>
      </w:r>
      <w:r w:rsidRPr="00F72E95">
        <w:t xml:space="preserve"> </w:t>
      </w:r>
      <w:r>
        <w:t>the NEST</w:t>
      </w:r>
      <w:r w:rsidRPr="00F72E95">
        <w:t>.</w:t>
      </w:r>
      <w:r>
        <w:t xml:space="preserve"> </w:t>
      </w:r>
      <w:r w:rsidR="006211FE">
        <w:t xml:space="preserve">Refer to </w:t>
      </w:r>
      <w:hyperlink r:id="rId32" w:history="1">
        <w:r w:rsidR="006211FE" w:rsidRPr="006211FE">
          <w:rPr>
            <w:rStyle w:val="Hyperlink"/>
          </w:rPr>
          <w:t xml:space="preserve">NEST </w:t>
        </w:r>
        <w:r w:rsidR="006211FE" w:rsidRPr="00C04744">
          <w:rPr>
            <w:rStyle w:val="Hyperlink"/>
          </w:rPr>
          <w:t>Assessment Guideline</w:t>
        </w:r>
      </w:hyperlink>
      <w:r w:rsidR="006211FE" w:rsidRPr="00696267">
        <w:t>.</w:t>
      </w:r>
    </w:p>
    <w:p w14:paraId="0ED2051C" w14:textId="424B3628" w:rsidR="005C30F5" w:rsidRPr="00F71543" w:rsidRDefault="00D03BDA" w:rsidP="00843271">
      <w:pPr>
        <w:pStyle w:val="guidelinedeedref"/>
      </w:pPr>
      <w:r w:rsidRPr="00324D30">
        <w:t xml:space="preserve">(Deed reference: </w:t>
      </w:r>
      <w:r>
        <w:t>Clause 10</w:t>
      </w:r>
      <w:r w:rsidR="008C100B">
        <w:t>3</w:t>
      </w:r>
      <w:r>
        <w:t>)</w:t>
      </w:r>
    </w:p>
    <w:p w14:paraId="7294425A" w14:textId="0B64DAAD" w:rsidR="00D03BDA" w:rsidRDefault="00D03BDA" w:rsidP="00D03BDA">
      <w:pPr>
        <w:pStyle w:val="Heading2"/>
        <w:rPr>
          <w:rFonts w:eastAsia="Times New Roman"/>
        </w:rPr>
      </w:pPr>
      <w:bookmarkStart w:id="137" w:name="_Toc34319210"/>
      <w:bookmarkStart w:id="138" w:name="_Toc86758589"/>
      <w:r>
        <w:rPr>
          <w:rFonts w:eastAsia="Times New Roman"/>
        </w:rPr>
        <w:t>Referral of a Participant to Transition to Work</w:t>
      </w:r>
      <w:bookmarkEnd w:id="137"/>
      <w:bookmarkEnd w:id="138"/>
    </w:p>
    <w:p w14:paraId="3CC2770C" w14:textId="2749209A" w:rsidR="00D03BDA" w:rsidRDefault="00913C0D" w:rsidP="00D03BDA">
      <w:pPr>
        <w:pStyle w:val="guidelinetext"/>
      </w:pPr>
      <w:r>
        <w:t xml:space="preserve">A New Employment Service </w:t>
      </w:r>
      <w:r w:rsidR="00697EE5">
        <w:t xml:space="preserve">Trial </w:t>
      </w:r>
      <w:r w:rsidR="00D03BDA">
        <w:t>Provider</w:t>
      </w:r>
      <w:r w:rsidR="00D03BDA" w:rsidRPr="00C418CF">
        <w:t xml:space="preserve"> may refer Tier 2 </w:t>
      </w:r>
      <w:r w:rsidR="00D03BDA">
        <w:t>Participant</w:t>
      </w:r>
      <w:r w:rsidR="00D03BDA" w:rsidRPr="00C418CF">
        <w:t>s to Transition to Work if they meet eligibility requirements and would benefit from the service.</w:t>
      </w:r>
    </w:p>
    <w:p w14:paraId="0B5DE70C" w14:textId="77777777" w:rsidR="00D03BDA" w:rsidRPr="0061200D" w:rsidRDefault="00D03BDA" w:rsidP="00D03BDA">
      <w:pPr>
        <w:pStyle w:val="guidelinetext"/>
      </w:pPr>
      <w:r w:rsidRPr="0061200D">
        <w:t>The eligibility requirements are:</w:t>
      </w:r>
    </w:p>
    <w:p w14:paraId="2C75691D" w14:textId="77777777" w:rsidR="00D03BDA" w:rsidRDefault="00D03BDA" w:rsidP="00D03BDA">
      <w:pPr>
        <w:pStyle w:val="guidelinebullet"/>
      </w:pPr>
      <w:r>
        <w:t>aged 15</w:t>
      </w:r>
      <w:r w:rsidR="00780892">
        <w:t>-</w:t>
      </w:r>
      <w:r>
        <w:t>24 years on Commencement in the Transition to Work Service, and</w:t>
      </w:r>
    </w:p>
    <w:p w14:paraId="2F4E4864" w14:textId="2F48C8F2" w:rsidR="00D03BDA" w:rsidRDefault="00D03BDA" w:rsidP="00D03BDA">
      <w:pPr>
        <w:pStyle w:val="guidelinebullet"/>
      </w:pPr>
      <w:r>
        <w:t>a Tier 2 Participant in the New Employment Services Trial, and</w:t>
      </w:r>
    </w:p>
    <w:p w14:paraId="693BE969" w14:textId="00D210CF" w:rsidR="00D03BDA" w:rsidRDefault="00D03BDA" w:rsidP="00D03BDA">
      <w:pPr>
        <w:pStyle w:val="guidelinebullet"/>
      </w:pPr>
      <w:r>
        <w:t xml:space="preserve">identified by their </w:t>
      </w:r>
      <w:r w:rsidR="00697EE5">
        <w:t xml:space="preserve">Trial </w:t>
      </w:r>
      <w:r>
        <w:t>Provider as having a capacity to benefit from Transition to Work Services: for example, a young Participant who has addressed their unstable housing or mental health issues, and</w:t>
      </w:r>
    </w:p>
    <w:p w14:paraId="3A764D1E" w14:textId="77777777" w:rsidR="00D03BDA" w:rsidRDefault="00D03BDA" w:rsidP="00D03BDA">
      <w:pPr>
        <w:pStyle w:val="guidelinebullet"/>
      </w:pPr>
      <w:r>
        <w:t>an Australian citizen, or</w:t>
      </w:r>
    </w:p>
    <w:p w14:paraId="677947EB" w14:textId="77777777" w:rsidR="00D03BDA" w:rsidRDefault="00D03BDA" w:rsidP="00D03BDA">
      <w:pPr>
        <w:pStyle w:val="guidelinebullet"/>
      </w:pPr>
      <w:r>
        <w:t>the holder of a permanent visa, or</w:t>
      </w:r>
    </w:p>
    <w:p w14:paraId="32C90246" w14:textId="77777777" w:rsidR="00D03BDA" w:rsidRDefault="00D03BDA" w:rsidP="00D03BDA">
      <w:pPr>
        <w:pStyle w:val="guidelinebullet"/>
      </w:pPr>
      <w:r>
        <w:t>New Zealand Special Category Visa holders (a protected Special Category Visa holder; or non-protected Special Category Visa holder), or</w:t>
      </w:r>
    </w:p>
    <w:p w14:paraId="64691397" w14:textId="77777777" w:rsidR="00D03BDA" w:rsidRDefault="00D03BDA" w:rsidP="00D03BDA">
      <w:pPr>
        <w:pStyle w:val="guidelinebullet"/>
      </w:pPr>
      <w:r>
        <w:t>nominated Visa Holders (including Temporary Protection Visa Holders and Safe Haven Visa Holders).</w:t>
      </w:r>
    </w:p>
    <w:p w14:paraId="2E2171BB" w14:textId="77777777" w:rsidR="00D03BDA" w:rsidRPr="003A6F78" w:rsidRDefault="00D03BDA" w:rsidP="00AA29A7">
      <w:pPr>
        <w:pStyle w:val="guidelinedeedref"/>
      </w:pPr>
      <w:r w:rsidRPr="00C418CF">
        <w:t>(Deed references: clause 8</w:t>
      </w:r>
      <w:r w:rsidR="008C100B">
        <w:t>0</w:t>
      </w:r>
      <w:r w:rsidRPr="00C418CF">
        <w:t>.1(b)</w:t>
      </w:r>
      <w:r>
        <w:t>)</w:t>
      </w:r>
    </w:p>
    <w:p w14:paraId="5414DFA9" w14:textId="6460D820" w:rsidR="00E463DD" w:rsidRPr="00C43317" w:rsidRDefault="00E463DD" w:rsidP="00C43317">
      <w:pPr>
        <w:pStyle w:val="Heading1"/>
      </w:pPr>
      <w:bookmarkStart w:id="139" w:name="_Toc468976081"/>
      <w:bookmarkStart w:id="140" w:name="_Toc478656149"/>
      <w:bookmarkStart w:id="141" w:name="_Toc34319211"/>
      <w:bookmarkStart w:id="142" w:name="_Toc86758590"/>
      <w:r>
        <w:lastRenderedPageBreak/>
        <w:t xml:space="preserve">Services to </w:t>
      </w:r>
      <w:r w:rsidR="00A20B33">
        <w:t>Participant</w:t>
      </w:r>
      <w:r>
        <w:t>s who return after Exiting</w:t>
      </w:r>
      <w:bookmarkEnd w:id="139"/>
      <w:bookmarkEnd w:id="140"/>
      <w:bookmarkEnd w:id="141"/>
      <w:bookmarkEnd w:id="142"/>
    </w:p>
    <w:p w14:paraId="3FD5303C" w14:textId="217ECD61" w:rsidR="007755B7" w:rsidRPr="00CC1B15" w:rsidRDefault="00E463DD" w:rsidP="00F96A84">
      <w:pPr>
        <w:pStyle w:val="guidelinetext"/>
      </w:pPr>
      <w:r w:rsidRPr="00CC1B15">
        <w:t xml:space="preserve">Where a </w:t>
      </w:r>
      <w:r w:rsidR="00A20B33">
        <w:t>Participant</w:t>
      </w:r>
      <w:r w:rsidR="00CE658D" w:rsidRPr="00CC1B15">
        <w:t xml:space="preserve"> </w:t>
      </w:r>
      <w:r w:rsidRPr="00CC1B15">
        <w:t xml:space="preserve">Exits and returns to </w:t>
      </w:r>
      <w:r w:rsidR="007E44E4">
        <w:t>T</w:t>
      </w:r>
      <w:r w:rsidR="00CC6485">
        <w:t xml:space="preserve">rial </w:t>
      </w:r>
      <w:r w:rsidR="00A20B33">
        <w:t>Provider</w:t>
      </w:r>
      <w:r w:rsidR="00CC6485">
        <w:t xml:space="preserve"> </w:t>
      </w:r>
      <w:r w:rsidR="00F96A84">
        <w:t>S</w:t>
      </w:r>
      <w:r w:rsidRPr="00CC1B15">
        <w:t>ervices within 13</w:t>
      </w:r>
      <w:r w:rsidR="00883F4D">
        <w:t xml:space="preserve"> consecutive</w:t>
      </w:r>
      <w:r w:rsidRPr="00CC1B15">
        <w:t xml:space="preserve"> weeks of Exit, the </w:t>
      </w:r>
      <w:r w:rsidR="00697EE5">
        <w:t xml:space="preserve">Trial </w:t>
      </w:r>
      <w:r w:rsidR="00A20B33">
        <w:t>Provider</w:t>
      </w:r>
      <w:r w:rsidRPr="00CC1B15">
        <w:t xml:space="preserve"> must resume providing </w:t>
      </w:r>
      <w:r w:rsidR="00F96A84">
        <w:t>T</w:t>
      </w:r>
      <w:r w:rsidR="00CC6485">
        <w:t xml:space="preserve">rial </w:t>
      </w:r>
      <w:r w:rsidR="00A20B33">
        <w:t>Provider</w:t>
      </w:r>
      <w:r w:rsidR="00CC6485">
        <w:t xml:space="preserve"> </w:t>
      </w:r>
      <w:r w:rsidR="00453BD5">
        <w:t>S</w:t>
      </w:r>
      <w:r w:rsidRPr="00CC1B15">
        <w:t xml:space="preserve">ervices to </w:t>
      </w:r>
      <w:r w:rsidR="00204620">
        <w:t>the</w:t>
      </w:r>
      <w:r w:rsidR="007755B7" w:rsidRPr="00CC1B15">
        <w:t xml:space="preserve"> </w:t>
      </w:r>
      <w:r w:rsidR="00A20B33">
        <w:t>Participant</w:t>
      </w:r>
      <w:r w:rsidR="007755B7" w:rsidRPr="00CC1B15">
        <w:t xml:space="preserve"> </w:t>
      </w:r>
      <w:r w:rsidRPr="00CC1B15">
        <w:t xml:space="preserve">in accordance with the </w:t>
      </w:r>
      <w:r w:rsidR="00CC6485">
        <w:t xml:space="preserve">NEST </w:t>
      </w:r>
      <w:r w:rsidRPr="00CC1B15">
        <w:t>Deed</w:t>
      </w:r>
      <w:r w:rsidR="00CC6485">
        <w:t xml:space="preserve"> 2019-2022</w:t>
      </w:r>
      <w:r w:rsidR="00271581">
        <w:t>.</w:t>
      </w:r>
      <w:r w:rsidR="00BA2747" w:rsidRPr="00CC1B15">
        <w:t xml:space="preserve"> </w:t>
      </w:r>
      <w:r w:rsidRPr="00CC1B15">
        <w:t xml:space="preserve">When a </w:t>
      </w:r>
      <w:r w:rsidR="00A20B33">
        <w:t>Participant</w:t>
      </w:r>
      <w:r w:rsidR="00272823">
        <w:t xml:space="preserve"> </w:t>
      </w:r>
      <w:r w:rsidR="007755B7" w:rsidRPr="00CC1B15">
        <w:t xml:space="preserve">returns to </w:t>
      </w:r>
      <w:r w:rsidR="00332C36">
        <w:t xml:space="preserve">Trial </w:t>
      </w:r>
      <w:r w:rsidR="00A20B33">
        <w:t>Provider</w:t>
      </w:r>
      <w:r w:rsidR="00CC6485">
        <w:t xml:space="preserve"> </w:t>
      </w:r>
      <w:r w:rsidR="007755B7" w:rsidRPr="00CC1B15">
        <w:t xml:space="preserve">Services </w:t>
      </w:r>
      <w:r w:rsidR="00971C85">
        <w:t>at</w:t>
      </w:r>
      <w:r w:rsidR="007755B7" w:rsidRPr="00CC1B15">
        <w:t xml:space="preserve"> 13 </w:t>
      </w:r>
      <w:r w:rsidR="00883F4D">
        <w:t xml:space="preserve">consecutive </w:t>
      </w:r>
      <w:r w:rsidR="007755B7" w:rsidRPr="00CC1B15">
        <w:t xml:space="preserve">weeks </w:t>
      </w:r>
      <w:r w:rsidRPr="00CC1B15">
        <w:t xml:space="preserve">or more </w:t>
      </w:r>
      <w:r w:rsidR="00CE507A">
        <w:t>from</w:t>
      </w:r>
      <w:r w:rsidRPr="00CC1B15">
        <w:t xml:space="preserve"> their date </w:t>
      </w:r>
      <w:r w:rsidR="007755B7" w:rsidRPr="00CC1B15">
        <w:t>of Exit</w:t>
      </w:r>
      <w:r w:rsidRPr="00CC1B15">
        <w:t xml:space="preserve">, they will need to be </w:t>
      </w:r>
      <w:r w:rsidR="00CC6485">
        <w:t xml:space="preserve">referred to </w:t>
      </w:r>
      <w:r w:rsidR="0090575E">
        <w:t>Services Australia</w:t>
      </w:r>
      <w:r w:rsidR="00CC6485">
        <w:t xml:space="preserve"> for an assessment, unless they are eligible to </w:t>
      </w:r>
      <w:r w:rsidR="00C20F3C">
        <w:t>D</w:t>
      </w:r>
      <w:r w:rsidR="00CC6485">
        <w:t xml:space="preserve">irect </w:t>
      </w:r>
      <w:r w:rsidR="00C20F3C">
        <w:t>R</w:t>
      </w:r>
      <w:r w:rsidR="00CC6485">
        <w:t xml:space="preserve">egister. Refer to </w:t>
      </w:r>
      <w:r w:rsidR="00332C36">
        <w:t xml:space="preserve">the </w:t>
      </w:r>
      <w:r w:rsidR="00CC6485">
        <w:t>NEST Direct Registration Guideline.</w:t>
      </w:r>
    </w:p>
    <w:p w14:paraId="70A83F77" w14:textId="77777777" w:rsidR="00E463DD" w:rsidRDefault="00370CD1" w:rsidP="00E463DD">
      <w:pPr>
        <w:pStyle w:val="guidelinetext"/>
      </w:pPr>
      <w:r>
        <w:t>A</w:t>
      </w:r>
      <w:r w:rsidR="00E463DD" w:rsidRPr="006E1A90">
        <w:t xml:space="preserve"> new JSCI will need to be conducted</w:t>
      </w:r>
      <w:r w:rsidR="00E463DD">
        <w:t xml:space="preserve"> prior to the </w:t>
      </w:r>
      <w:r w:rsidR="00A20B33">
        <w:t>Participant</w:t>
      </w:r>
      <w:r w:rsidR="00CC6485">
        <w:t xml:space="preserve"> being referred to NEST </w:t>
      </w:r>
      <w:r w:rsidR="00F96A84">
        <w:t>S</w:t>
      </w:r>
      <w:r w:rsidR="00CC6485">
        <w:t xml:space="preserve">ervices as </w:t>
      </w:r>
      <w:r>
        <w:t>their previous JSCI will be inactive as a result of the Exit.</w:t>
      </w:r>
    </w:p>
    <w:p w14:paraId="0197B7FD" w14:textId="77777777" w:rsidR="00E463DD" w:rsidRDefault="00E463DD" w:rsidP="009834F0">
      <w:pPr>
        <w:pStyle w:val="Heading1"/>
      </w:pPr>
      <w:bookmarkStart w:id="143" w:name="_Toc478656150"/>
      <w:bookmarkStart w:id="144" w:name="_Toc34319212"/>
      <w:bookmarkStart w:id="145" w:name="_Toc86758591"/>
      <w:bookmarkStart w:id="146" w:name="_Toc468976083"/>
      <w:r>
        <w:t>Summary of required Documentary Evidence</w:t>
      </w:r>
      <w:bookmarkEnd w:id="143"/>
      <w:bookmarkEnd w:id="144"/>
      <w:bookmarkEnd w:id="145"/>
    </w:p>
    <w:p w14:paraId="347A0CD9" w14:textId="5CEB66BA" w:rsidR="00E463DD" w:rsidRPr="009834F0" w:rsidRDefault="00E463DD" w:rsidP="009834F0">
      <w:pPr>
        <w:pStyle w:val="Heading2"/>
      </w:pPr>
      <w:bookmarkStart w:id="147" w:name="_Toc478656151"/>
      <w:bookmarkStart w:id="148" w:name="_Toc34319213"/>
      <w:bookmarkStart w:id="149" w:name="_Toc86758592"/>
      <w:r w:rsidRPr="009834F0">
        <w:t>Direct Registration</w:t>
      </w:r>
      <w:bookmarkEnd w:id="146"/>
      <w:bookmarkEnd w:id="147"/>
      <w:bookmarkEnd w:id="148"/>
      <w:bookmarkEnd w:id="149"/>
    </w:p>
    <w:p w14:paraId="402A6C00" w14:textId="17853725" w:rsidR="00971C85" w:rsidRDefault="004D1BE9" w:rsidP="0073656E">
      <w:pPr>
        <w:pStyle w:val="docev"/>
        <w:ind w:left="1440" w:hanging="1440"/>
      </w:pPr>
      <w:r>
        <w:rPr>
          <w:b/>
        </w:rPr>
        <w:t xml:space="preserve">Documentary </w:t>
      </w:r>
      <w:r w:rsidR="00AA29A7">
        <w:rPr>
          <w:b/>
        </w:rPr>
        <w:t>E</w:t>
      </w:r>
      <w:r>
        <w:rPr>
          <w:b/>
        </w:rPr>
        <w:t xml:space="preserve">vidence: </w:t>
      </w:r>
      <w:r w:rsidR="00AD6FBB">
        <w:t xml:space="preserve">Please refer to the </w:t>
      </w:r>
      <w:hyperlink r:id="rId33" w:history="1">
        <w:r w:rsidR="00AD6FBB" w:rsidRPr="00AD6FBB">
          <w:rPr>
            <w:rStyle w:val="Hyperlink"/>
          </w:rPr>
          <w:t>Direct Registration Guideline</w:t>
        </w:r>
      </w:hyperlink>
      <w:r w:rsidR="00AD6FBB">
        <w:t>.</w:t>
      </w:r>
    </w:p>
    <w:p w14:paraId="367E08E1" w14:textId="1C53E556" w:rsidR="00E463DD" w:rsidRPr="0075704A" w:rsidRDefault="00E463DD" w:rsidP="00E463DD">
      <w:pPr>
        <w:pStyle w:val="Heading2"/>
      </w:pPr>
      <w:bookmarkStart w:id="150" w:name="_Toc468976085"/>
      <w:bookmarkStart w:id="151" w:name="_Toc478656152"/>
      <w:bookmarkStart w:id="152" w:name="_Toc34319214"/>
      <w:bookmarkStart w:id="153" w:name="_Toc86758593"/>
      <w:r w:rsidRPr="0075704A">
        <w:t>Job Plan</w:t>
      </w:r>
      <w:bookmarkEnd w:id="150"/>
      <w:bookmarkEnd w:id="151"/>
      <w:bookmarkEnd w:id="152"/>
      <w:bookmarkEnd w:id="153"/>
    </w:p>
    <w:p w14:paraId="1C277828" w14:textId="5BC1B061" w:rsidR="002D1607" w:rsidRPr="00C43317" w:rsidRDefault="008B175C" w:rsidP="00CC7449">
      <w:pPr>
        <w:pStyle w:val="docev"/>
        <w:ind w:left="1440" w:hanging="1440"/>
        <w:rPr>
          <w:color w:val="385623" w:themeColor="accent6" w:themeShade="80"/>
        </w:rPr>
      </w:pPr>
      <w:r>
        <w:rPr>
          <w:b/>
        </w:rPr>
        <w:t xml:space="preserve">Documentary </w:t>
      </w:r>
      <w:r w:rsidR="00AA29A7">
        <w:rPr>
          <w:b/>
        </w:rPr>
        <w:t>E</w:t>
      </w:r>
      <w:r>
        <w:rPr>
          <w:b/>
        </w:rPr>
        <w:t xml:space="preserve">vidence: </w:t>
      </w:r>
      <w:r w:rsidR="00E463DD" w:rsidRPr="00CC1B15">
        <w:t>Where</w:t>
      </w:r>
      <w:r w:rsidR="007755B7" w:rsidRPr="00CC1B15">
        <w:t xml:space="preserve"> the</w:t>
      </w:r>
      <w:r w:rsidR="00100782">
        <w:t xml:space="preserve"> </w:t>
      </w:r>
      <w:r w:rsidR="00A20B33">
        <w:t>Participant</w:t>
      </w:r>
      <w:r w:rsidR="00CE658D" w:rsidRPr="00CC1B15">
        <w:t xml:space="preserve"> </w:t>
      </w:r>
      <w:r w:rsidR="00E463DD" w:rsidRPr="00CC1B15">
        <w:t xml:space="preserve">has agreed to a Job Plan by signing a hard copy version, a copy </w:t>
      </w:r>
      <w:r w:rsidR="00E463DD" w:rsidRPr="00CC1B15">
        <w:rPr>
          <w:bCs/>
        </w:rPr>
        <w:t xml:space="preserve">must </w:t>
      </w:r>
      <w:r w:rsidR="00E463DD" w:rsidRPr="00CC1B15">
        <w:t xml:space="preserve">be retained by the </w:t>
      </w:r>
      <w:r w:rsidR="007622F8">
        <w:t>Trial</w:t>
      </w:r>
      <w:r w:rsidR="00841C27">
        <w:t xml:space="preserve"> </w:t>
      </w:r>
      <w:r w:rsidR="00A20B33">
        <w:t>Provider</w:t>
      </w:r>
      <w:r w:rsidR="00E463DD" w:rsidRPr="00CC1B15">
        <w:t>.</w:t>
      </w:r>
    </w:p>
    <w:p w14:paraId="313956E5" w14:textId="77777777" w:rsidR="003028D3" w:rsidRDefault="003028D3" w:rsidP="00BE2F93">
      <w:pPr>
        <w:jc w:val="center"/>
        <w:rPr>
          <w:b/>
          <w:sz w:val="36"/>
          <w:szCs w:val="36"/>
        </w:rPr>
        <w:sectPr w:rsidR="003028D3" w:rsidSect="001423A6">
          <w:headerReference w:type="even" r:id="rId34"/>
          <w:headerReference w:type="default" r:id="rId35"/>
          <w:headerReference w:type="first" r:id="rId36"/>
          <w:pgSz w:w="11907" w:h="16839" w:code="9"/>
          <w:pgMar w:top="120" w:right="2097" w:bottom="1440" w:left="1440" w:header="142" w:footer="708" w:gutter="0"/>
          <w:cols w:space="708"/>
          <w:docGrid w:linePitch="360"/>
        </w:sectPr>
      </w:pPr>
      <w:bookmarkStart w:id="154" w:name="Eligibility_Tables"/>
    </w:p>
    <w:p w14:paraId="7FC76A27" w14:textId="1A0C3667" w:rsidR="00BE2F93" w:rsidRPr="009834F0" w:rsidRDefault="00BE2F93" w:rsidP="009834F0">
      <w:pPr>
        <w:pStyle w:val="Heading1"/>
      </w:pPr>
      <w:bookmarkStart w:id="155" w:name="_Toc17467333"/>
      <w:bookmarkStart w:id="156" w:name="_Toc34319215"/>
      <w:bookmarkStart w:id="157" w:name="_Toc86758594"/>
      <w:r w:rsidRPr="009834F0">
        <w:lastRenderedPageBreak/>
        <w:t xml:space="preserve">Eligibility </w:t>
      </w:r>
      <w:r w:rsidR="00AD30AA" w:rsidRPr="009834F0">
        <w:t>for</w:t>
      </w:r>
      <w:r w:rsidRPr="009834F0">
        <w:t xml:space="preserve"> </w:t>
      </w:r>
      <w:bookmarkEnd w:id="154"/>
      <w:r w:rsidR="00204620" w:rsidRPr="009834F0">
        <w:t>Trial</w:t>
      </w:r>
      <w:r w:rsidR="00B444BB" w:rsidRPr="009834F0">
        <w:t xml:space="preserve"> </w:t>
      </w:r>
      <w:r w:rsidR="00A848FD" w:rsidRPr="009834F0">
        <w:t>Services</w:t>
      </w:r>
      <w:r w:rsidR="00AD30AA" w:rsidRPr="009834F0">
        <w:t xml:space="preserve"> and the Volunteer Online Employment Services Trial (VOEST)</w:t>
      </w:r>
      <w:bookmarkEnd w:id="155"/>
      <w:bookmarkEnd w:id="156"/>
      <w:bookmarkEnd w:id="157"/>
    </w:p>
    <w:p w14:paraId="204047A4" w14:textId="58B42A48" w:rsidR="00AC3E3E" w:rsidRPr="00460F1D" w:rsidRDefault="00AC3E3E" w:rsidP="00AA29A7">
      <w:pPr>
        <w:pStyle w:val="guidelinetext"/>
        <w:ind w:left="0"/>
        <w:rPr>
          <w:rFonts w:ascii="Times New Roman" w:hAnsi="Times New Roman"/>
          <w:sz w:val="24"/>
        </w:rPr>
      </w:pPr>
      <w:r w:rsidRPr="00F844D5">
        <w:t xml:space="preserve">This table identifies who is eligible for </w:t>
      </w:r>
      <w:r w:rsidR="008051BE">
        <w:t>Trial Services</w:t>
      </w:r>
      <w:r w:rsidRPr="00F844D5">
        <w:t xml:space="preserve"> </w:t>
      </w:r>
      <w:r w:rsidR="00674A87">
        <w:t xml:space="preserve">(Digital or Enhanced) </w:t>
      </w:r>
      <w:r w:rsidRPr="00F844D5">
        <w:t xml:space="preserve">and VOEST, and who is not eligible for any of these services. </w:t>
      </w:r>
      <w:r w:rsidRPr="00F844D5">
        <w:rPr>
          <w:rFonts w:ascii="Times New Roman" w:hAnsi="Times New Roman" w:cs="Times New Roman"/>
          <w:sz w:val="24"/>
          <w:szCs w:val="24"/>
          <w:lang w:eastAsia="en-AU"/>
        </w:rPr>
        <w:t xml:space="preserve"> </w:t>
      </w:r>
    </w:p>
    <w:p w14:paraId="5D092097" w14:textId="77777777" w:rsidR="009D2D60" w:rsidRPr="00F844D5" w:rsidRDefault="009D2D60" w:rsidP="00AA29A7">
      <w:pPr>
        <w:pStyle w:val="guidelinetext"/>
        <w:ind w:left="0"/>
        <w:rPr>
          <w:rFonts w:ascii="Times New Roman" w:hAnsi="Times New Roman" w:cs="Times New Roman"/>
          <w:color w:val="1F497D"/>
          <w:sz w:val="24"/>
          <w:szCs w:val="24"/>
          <w:lang w:eastAsia="en-AU"/>
        </w:rPr>
      </w:pPr>
      <w:r w:rsidRPr="00611BD7">
        <w:t>Most</w:t>
      </w:r>
      <w:r>
        <w:t xml:space="preserve"> job seekers who are eligible for assistance through the New Employment Services Trial will have their service level (i.e. Digital First, Digital Plus or Enhanced Services) determined by their JSCI. In some cases (highlighted in the table below), job seekers are directly eligible for Enhanced Services.</w:t>
      </w:r>
      <w:r>
        <w:rPr>
          <w:rFonts w:ascii="Times New Roman" w:hAnsi="Times New Roman" w:cs="Times New Roman"/>
          <w:sz w:val="24"/>
          <w:szCs w:val="24"/>
          <w:lang w:eastAsia="en-AU"/>
        </w:rPr>
        <w:t xml:space="preserve"> </w:t>
      </w:r>
    </w:p>
    <w:p w14:paraId="42341BAB" w14:textId="77777777" w:rsidR="00BE2F93" w:rsidRPr="00F844D5" w:rsidRDefault="00BE2F93" w:rsidP="00AA29A7">
      <w:pPr>
        <w:pStyle w:val="guidelinetext"/>
        <w:ind w:left="0"/>
      </w:pPr>
      <w:r w:rsidRPr="00F844D5">
        <w:t xml:space="preserve">The sections below are not mutually exclusive and sections of this table should be considered in combination according to </w:t>
      </w:r>
      <w:r w:rsidR="00A20B33">
        <w:t>Participant</w:t>
      </w:r>
      <w:r w:rsidR="00D9736B" w:rsidRPr="00F844D5">
        <w:t>’s</w:t>
      </w:r>
      <w:r w:rsidRPr="00F844D5">
        <w:t xml:space="preserve"> individual circumstances.</w:t>
      </w:r>
    </w:p>
    <w:p w14:paraId="64164EA7" w14:textId="77777777" w:rsidR="00BE2F93" w:rsidRPr="00F844D5" w:rsidRDefault="00BE2F93" w:rsidP="00AA29A7">
      <w:pPr>
        <w:pStyle w:val="guidelinetext"/>
        <w:ind w:left="0"/>
      </w:pPr>
      <w:r w:rsidRPr="00F844D5">
        <w:t xml:space="preserve">For example, </w:t>
      </w:r>
      <w:r w:rsidR="00A20B33">
        <w:t>Participant</w:t>
      </w:r>
      <w:r w:rsidRPr="00F844D5">
        <w:t>s may be in receipt of</w:t>
      </w:r>
      <w:r w:rsidR="009D7358">
        <w:t xml:space="preserve"> JobSeeker Payment</w:t>
      </w:r>
      <w:r w:rsidRPr="00F844D5">
        <w:t>, be Mature Age (55+) and have a Partial Capacity to Work; or be in receipt of Disability Support Pension, be a Vulnerable Youth and a Parent.</w:t>
      </w:r>
    </w:p>
    <w:tbl>
      <w:tblPr>
        <w:tblStyle w:val="TableGrid"/>
        <w:tblW w:w="0" w:type="auto"/>
        <w:jc w:val="center"/>
        <w:tblLayout w:type="fixed"/>
        <w:tblLook w:val="04A0" w:firstRow="1" w:lastRow="0" w:firstColumn="1" w:lastColumn="0" w:noHBand="0" w:noVBand="1"/>
        <w:tblDescription w:val="Eligibility table"/>
      </w:tblPr>
      <w:tblGrid>
        <w:gridCol w:w="1413"/>
        <w:gridCol w:w="8618"/>
        <w:gridCol w:w="7087"/>
        <w:gridCol w:w="4536"/>
      </w:tblGrid>
      <w:tr w:rsidR="00914945" w14:paraId="6F2205A2" w14:textId="77777777" w:rsidTr="00462D22">
        <w:trPr>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6D44D36" w14:textId="77777777" w:rsidR="00914945" w:rsidRPr="006B6A55" w:rsidRDefault="00BD7AD4" w:rsidP="00B80CBF">
            <w:pPr>
              <w:rPr>
                <w:sz w:val="24"/>
                <w:szCs w:val="24"/>
              </w:rPr>
            </w:pPr>
            <w:r w:rsidRPr="006B6A55">
              <w:rPr>
                <w:sz w:val="24"/>
                <w:szCs w:val="24"/>
              </w:rPr>
              <w:t>Type</w:t>
            </w:r>
          </w:p>
        </w:tc>
        <w:tc>
          <w:tcPr>
            <w:tcW w:w="861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59A2E3B6" w14:textId="5DD6EED3" w:rsidR="00914945" w:rsidRPr="006B6A55" w:rsidRDefault="00914945" w:rsidP="0070058F">
            <w:pPr>
              <w:rPr>
                <w:sz w:val="24"/>
                <w:szCs w:val="24"/>
              </w:rPr>
            </w:pPr>
            <w:r w:rsidRPr="006B6A55">
              <w:rPr>
                <w:sz w:val="24"/>
                <w:szCs w:val="24"/>
              </w:rPr>
              <w:t>Eligible</w:t>
            </w:r>
            <w:r w:rsidR="0039545B" w:rsidRPr="006B6A55">
              <w:rPr>
                <w:sz w:val="24"/>
                <w:szCs w:val="24"/>
              </w:rPr>
              <w:t xml:space="preserve"> for </w:t>
            </w:r>
            <w:r w:rsidR="0070058F">
              <w:rPr>
                <w:sz w:val="24"/>
                <w:szCs w:val="24"/>
              </w:rPr>
              <w:t>New Employment Services Trial</w:t>
            </w:r>
          </w:p>
        </w:tc>
        <w:tc>
          <w:tcPr>
            <w:tcW w:w="708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906A7D0" w14:textId="350152FA" w:rsidR="00914945" w:rsidRPr="006B6A55" w:rsidRDefault="00544F99" w:rsidP="006B6A55">
            <w:pPr>
              <w:rPr>
                <w:sz w:val="24"/>
                <w:szCs w:val="24"/>
              </w:rPr>
            </w:pPr>
            <w:r w:rsidRPr="006B6A55">
              <w:rPr>
                <w:sz w:val="24"/>
                <w:szCs w:val="24"/>
              </w:rPr>
              <w:t xml:space="preserve">Eligible for VOEST </w:t>
            </w:r>
          </w:p>
        </w:tc>
        <w:tc>
          <w:tcPr>
            <w:tcW w:w="453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6F60C993" w14:textId="73F6735B" w:rsidR="00914945" w:rsidRPr="006B6A55" w:rsidRDefault="00914945" w:rsidP="006B6A55">
            <w:pPr>
              <w:rPr>
                <w:sz w:val="24"/>
                <w:szCs w:val="24"/>
              </w:rPr>
            </w:pPr>
            <w:r w:rsidRPr="006B6A55">
              <w:rPr>
                <w:sz w:val="24"/>
                <w:szCs w:val="24"/>
              </w:rPr>
              <w:t>Not Eligible</w:t>
            </w:r>
            <w:r w:rsidR="000338D9" w:rsidRPr="006B6A55">
              <w:rPr>
                <w:sz w:val="24"/>
                <w:szCs w:val="24"/>
              </w:rPr>
              <w:t xml:space="preserve"> for </w:t>
            </w:r>
            <w:r w:rsidR="00674A87">
              <w:rPr>
                <w:sz w:val="24"/>
                <w:szCs w:val="24"/>
              </w:rPr>
              <w:t>New Employment Services Trial</w:t>
            </w:r>
            <w:r w:rsidR="008E2243" w:rsidRPr="006B6A55">
              <w:rPr>
                <w:sz w:val="24"/>
                <w:szCs w:val="24"/>
              </w:rPr>
              <w:t xml:space="preserve"> or VOEST</w:t>
            </w:r>
          </w:p>
        </w:tc>
      </w:tr>
      <w:tr w:rsidR="00914945" w14:paraId="02436662" w14:textId="77777777" w:rsidTr="00462D22">
        <w:trPr>
          <w:trHeight w:val="1211"/>
          <w:jc w:val="center"/>
        </w:trPr>
        <w:tc>
          <w:tcPr>
            <w:tcW w:w="1413" w:type="dxa"/>
            <w:tcBorders>
              <w:top w:val="single" w:sz="4" w:space="0" w:color="auto"/>
              <w:left w:val="single" w:sz="4" w:space="0" w:color="auto"/>
              <w:bottom w:val="single" w:sz="4" w:space="0" w:color="auto"/>
              <w:right w:val="single" w:sz="4" w:space="0" w:color="auto"/>
            </w:tcBorders>
            <w:textDirection w:val="btLr"/>
            <w:hideMark/>
          </w:tcPr>
          <w:p w14:paraId="19F5298F" w14:textId="199503D9" w:rsidR="0007544D" w:rsidRDefault="00914945" w:rsidP="00462D22">
            <w:pPr>
              <w:ind w:left="113" w:right="113"/>
              <w:rPr>
                <w:rFonts w:eastAsia="Times New Roman" w:cstheme="minorHAnsi"/>
                <w:b/>
                <w:lang w:eastAsia="en-AU"/>
              </w:rPr>
            </w:pPr>
            <w:r>
              <w:rPr>
                <w:rFonts w:eastAsia="Times New Roman" w:cstheme="minorHAnsi"/>
                <w:b/>
                <w:lang w:eastAsia="en-AU"/>
              </w:rPr>
              <w:t xml:space="preserve"> </w:t>
            </w:r>
            <w:r w:rsidR="0007544D">
              <w:rPr>
                <w:rFonts w:eastAsia="Times New Roman" w:cstheme="minorHAnsi"/>
                <w:b/>
                <w:lang w:eastAsia="en-AU"/>
              </w:rPr>
              <w:t>JobSeeker Payment</w:t>
            </w:r>
          </w:p>
        </w:tc>
        <w:tc>
          <w:tcPr>
            <w:tcW w:w="8618" w:type="dxa"/>
            <w:tcBorders>
              <w:top w:val="single" w:sz="4" w:space="0" w:color="auto"/>
              <w:left w:val="single" w:sz="4" w:space="0" w:color="auto"/>
              <w:bottom w:val="single" w:sz="4" w:space="0" w:color="auto"/>
              <w:right w:val="single" w:sz="4" w:space="0" w:color="auto"/>
            </w:tcBorders>
            <w:vAlign w:val="center"/>
          </w:tcPr>
          <w:p w14:paraId="6D48236B" w14:textId="77777777" w:rsidR="00914945" w:rsidRDefault="0007544D" w:rsidP="004302D9">
            <w:pPr>
              <w:rPr>
                <w:rFonts w:eastAsia="Times New Roman" w:cstheme="minorHAnsi"/>
                <w:b/>
                <w:lang w:eastAsia="en-AU"/>
              </w:rPr>
            </w:pPr>
            <w:r>
              <w:rPr>
                <w:rFonts w:eastAsia="Times New Roman" w:cstheme="minorHAnsi"/>
                <w:b/>
                <w:lang w:eastAsia="en-AU"/>
              </w:rPr>
              <w:t xml:space="preserve">JobSeeker Payment </w:t>
            </w:r>
            <w:r w:rsidR="004302D9">
              <w:rPr>
                <w:rFonts w:eastAsia="Times New Roman" w:cstheme="minorHAnsi"/>
                <w:b/>
                <w:lang w:eastAsia="en-AU"/>
              </w:rPr>
              <w:t>recipient</w:t>
            </w:r>
          </w:p>
          <w:p w14:paraId="0383C339" w14:textId="77777777" w:rsidR="00AF09E8" w:rsidRPr="00AF09E8" w:rsidRDefault="00AF09E8" w:rsidP="004302D9">
            <w:pPr>
              <w:rPr>
                <w:rFonts w:eastAsia="Times New Roman" w:cstheme="minorHAnsi"/>
                <w:sz w:val="20"/>
                <w:szCs w:val="20"/>
                <w:lang w:eastAsia="en-AU"/>
              </w:rPr>
            </w:pPr>
            <w:r w:rsidRPr="00611BD7">
              <w:rPr>
                <w:rFonts w:eastAsia="Times New Roman" w:cstheme="minorHAnsi"/>
                <w:lang w:eastAsia="en-AU"/>
              </w:rPr>
              <w:t>Eligible for either Digital or Enhanced Services</w:t>
            </w:r>
          </w:p>
        </w:tc>
        <w:tc>
          <w:tcPr>
            <w:tcW w:w="708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0E52537" w14:textId="77777777" w:rsidR="00914945" w:rsidRPr="006B6A55" w:rsidRDefault="00BD7AD4" w:rsidP="003E0F99">
            <w:r w:rsidRPr="006B6A55">
              <w:t>Not applicable</w:t>
            </w:r>
          </w:p>
        </w:tc>
        <w:tc>
          <w:tcPr>
            <w:tcW w:w="453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1D1A213" w14:textId="77777777" w:rsidR="000338D9" w:rsidRPr="006B6A55" w:rsidRDefault="00B80CBF" w:rsidP="000338D9">
            <w:r w:rsidRPr="006B6A55">
              <w:t>Not applicable</w:t>
            </w:r>
          </w:p>
        </w:tc>
      </w:tr>
      <w:tr w:rsidR="00B80CBF" w14:paraId="518F95B8" w14:textId="77777777" w:rsidTr="00462D22">
        <w:trPr>
          <w:jc w:val="center"/>
        </w:trPr>
        <w:tc>
          <w:tcPr>
            <w:tcW w:w="1413" w:type="dxa"/>
            <w:tcBorders>
              <w:top w:val="single" w:sz="4" w:space="0" w:color="auto"/>
              <w:left w:val="single" w:sz="4" w:space="0" w:color="auto"/>
              <w:bottom w:val="single" w:sz="4" w:space="0" w:color="auto"/>
              <w:right w:val="single" w:sz="4" w:space="0" w:color="auto"/>
            </w:tcBorders>
            <w:textDirection w:val="btLr"/>
            <w:hideMark/>
          </w:tcPr>
          <w:p w14:paraId="6EBB68E8" w14:textId="77777777" w:rsidR="00B80CBF" w:rsidRDefault="00B80CBF" w:rsidP="00B80CBF">
            <w:pPr>
              <w:ind w:left="284" w:right="113"/>
              <w:jc w:val="center"/>
              <w:rPr>
                <w:rFonts w:eastAsia="Times New Roman" w:cstheme="minorHAnsi"/>
                <w:b/>
                <w:lang w:eastAsia="en-AU"/>
              </w:rPr>
            </w:pPr>
            <w:r>
              <w:rPr>
                <w:rFonts w:eastAsia="Times New Roman" w:cstheme="minorHAnsi"/>
                <w:b/>
                <w:lang w:eastAsia="en-AU"/>
              </w:rPr>
              <w:t>Parents</w:t>
            </w:r>
          </w:p>
        </w:tc>
        <w:tc>
          <w:tcPr>
            <w:tcW w:w="8618" w:type="dxa"/>
            <w:tcBorders>
              <w:top w:val="single" w:sz="4" w:space="0" w:color="auto"/>
              <w:left w:val="single" w:sz="4" w:space="0" w:color="auto"/>
              <w:bottom w:val="single" w:sz="4" w:space="0" w:color="auto"/>
              <w:right w:val="single" w:sz="4" w:space="0" w:color="auto"/>
            </w:tcBorders>
          </w:tcPr>
          <w:p w14:paraId="26B48C0A" w14:textId="77777777" w:rsidR="00B80CBF" w:rsidRPr="00460F1D" w:rsidRDefault="00B80CBF" w:rsidP="00B80CBF">
            <w:pPr>
              <w:rPr>
                <w:b/>
              </w:rPr>
            </w:pPr>
            <w:r w:rsidRPr="000B05D8">
              <w:rPr>
                <w:rFonts w:eastAsia="Times New Roman" w:cstheme="minorHAnsi"/>
                <w:b/>
                <w:lang w:eastAsia="en-AU"/>
              </w:rPr>
              <w:t>Parenting Payment recipient</w:t>
            </w:r>
            <w:r w:rsidR="00204620">
              <w:rPr>
                <w:rFonts w:eastAsia="Times New Roman" w:cstheme="minorHAnsi"/>
                <w:b/>
                <w:lang w:eastAsia="en-AU"/>
              </w:rPr>
              <w:t>s</w:t>
            </w:r>
            <w:r w:rsidRPr="000B05D8">
              <w:rPr>
                <w:rFonts w:eastAsia="Times New Roman" w:cstheme="minorHAnsi"/>
                <w:b/>
                <w:lang w:eastAsia="en-AU"/>
              </w:rPr>
              <w:t xml:space="preserve"> with participation requirements</w:t>
            </w:r>
          </w:p>
          <w:p w14:paraId="776D1A7F" w14:textId="77777777" w:rsidR="00AF09E8" w:rsidRDefault="00AF09E8" w:rsidP="00B80CBF">
            <w:pPr>
              <w:rPr>
                <w:rFonts w:eastAsia="Times New Roman" w:cstheme="minorHAnsi"/>
                <w:lang w:eastAsia="en-AU"/>
              </w:rPr>
            </w:pPr>
            <w:r w:rsidRPr="00F9767D">
              <w:rPr>
                <w:rFonts w:eastAsia="Times New Roman" w:cstheme="minorHAnsi"/>
                <w:lang w:eastAsia="en-AU"/>
              </w:rPr>
              <w:t>Eligible for either Digital or Enhanced Services</w:t>
            </w:r>
          </w:p>
          <w:p w14:paraId="2F9E6330" w14:textId="77777777" w:rsidR="00AF09E8" w:rsidRPr="000B05D8" w:rsidRDefault="00AF09E8" w:rsidP="00B80CBF">
            <w:pPr>
              <w:rPr>
                <w:rFonts w:eastAsia="Times New Roman" w:cstheme="minorHAnsi"/>
                <w:b/>
                <w:sz w:val="20"/>
                <w:szCs w:val="20"/>
                <w:lang w:eastAsia="en-AU"/>
              </w:rPr>
            </w:pPr>
          </w:p>
          <w:p w14:paraId="6A4FF563" w14:textId="0A3CB6A5" w:rsidR="00B80CBF" w:rsidRPr="000B05D8" w:rsidRDefault="00B80CBF" w:rsidP="00B80CBF">
            <w:pPr>
              <w:rPr>
                <w:rFonts w:eastAsia="Times New Roman" w:cstheme="minorHAnsi"/>
                <w:lang w:eastAsia="en-AU"/>
              </w:rPr>
            </w:pPr>
            <w:r w:rsidRPr="000B05D8">
              <w:rPr>
                <w:rFonts w:eastAsia="Times New Roman" w:cstheme="minorHAnsi"/>
                <w:lang w:eastAsia="en-AU"/>
              </w:rPr>
              <w:t xml:space="preserve">Principal Carer parents who are </w:t>
            </w:r>
            <w:r>
              <w:rPr>
                <w:rFonts w:eastAsia="Times New Roman" w:cstheme="minorHAnsi"/>
                <w:lang w:eastAsia="en-AU"/>
              </w:rPr>
              <w:t>not</w:t>
            </w:r>
            <w:r w:rsidRPr="000B05D8">
              <w:rPr>
                <w:rFonts w:eastAsia="Times New Roman" w:cstheme="minorHAnsi"/>
                <w:lang w:eastAsia="en-AU"/>
              </w:rPr>
              <w:t xml:space="preserve"> fully meeting their requirements through part-time paid employment or study</w:t>
            </w:r>
            <w:r w:rsidR="00913C0D">
              <w:rPr>
                <w:rFonts w:eastAsia="Times New Roman" w:cstheme="minorHAnsi"/>
                <w:lang w:eastAsia="en-AU"/>
              </w:rPr>
              <w:t xml:space="preserve"> may be referred to NEST</w:t>
            </w:r>
            <w:r>
              <w:rPr>
                <w:rFonts w:eastAsia="Times New Roman" w:cstheme="minorHAnsi"/>
                <w:lang w:eastAsia="en-AU"/>
              </w:rPr>
              <w:t xml:space="preserve"> </w:t>
            </w:r>
            <w:r w:rsidR="0070058F">
              <w:rPr>
                <w:rFonts w:eastAsia="Times New Roman" w:cstheme="minorHAnsi"/>
                <w:lang w:eastAsia="en-AU"/>
              </w:rPr>
              <w:t xml:space="preserve">for either Digital or </w:t>
            </w:r>
            <w:r>
              <w:rPr>
                <w:rFonts w:eastAsia="Times New Roman" w:cstheme="minorHAnsi"/>
                <w:lang w:eastAsia="en-AU"/>
              </w:rPr>
              <w:t>Enhanced Services.</w:t>
            </w:r>
            <w:r w:rsidRPr="000B05D8">
              <w:rPr>
                <w:rFonts w:eastAsia="Times New Roman" w:cstheme="minorHAnsi"/>
                <w:lang w:eastAsia="en-AU"/>
              </w:rPr>
              <w:t xml:space="preserve"> </w:t>
            </w:r>
          </w:p>
          <w:p w14:paraId="1885C5B6" w14:textId="77777777" w:rsidR="00B80CBF" w:rsidRDefault="00B80CBF" w:rsidP="00B80CBF">
            <w:pPr>
              <w:rPr>
                <w:rFonts w:eastAsia="Times New Roman" w:cstheme="minorHAnsi"/>
                <w:b/>
                <w:lang w:eastAsia="en-AU"/>
              </w:rPr>
            </w:pPr>
          </w:p>
          <w:p w14:paraId="5EFE9C6D" w14:textId="56379DD9" w:rsidR="00B80CBF" w:rsidRPr="000B05D8" w:rsidRDefault="00B80CBF" w:rsidP="007622F8">
            <w:pPr>
              <w:rPr>
                <w:rFonts w:eastAsia="Times New Roman" w:cstheme="minorHAnsi"/>
                <w:lang w:eastAsia="en-AU"/>
              </w:rPr>
            </w:pPr>
            <w:r>
              <w:rPr>
                <w:rFonts w:eastAsia="Times New Roman" w:cstheme="minorHAnsi"/>
                <w:i/>
                <w:lang w:eastAsia="en-AU"/>
              </w:rPr>
              <w:t xml:space="preserve">Note: Participants who are fully meeting their part-time Mutual Obligation Requirements or are currently subject to </w:t>
            </w:r>
            <w:r w:rsidRPr="00A63379">
              <w:rPr>
                <w:rFonts w:eastAsia="Times New Roman" w:cstheme="minorHAnsi"/>
                <w:i/>
                <w:lang w:eastAsia="en-AU"/>
              </w:rPr>
              <w:t xml:space="preserve">a </w:t>
            </w:r>
            <w:r w:rsidR="0090575E" w:rsidRPr="00CF7880">
              <w:rPr>
                <w:i/>
              </w:rPr>
              <w:t>Services Australia</w:t>
            </w:r>
            <w:r w:rsidR="0090575E">
              <w:t xml:space="preserve"> </w:t>
            </w:r>
            <w:r>
              <w:rPr>
                <w:rFonts w:eastAsia="Times New Roman" w:cstheme="minorHAnsi"/>
                <w:i/>
                <w:lang w:eastAsia="en-AU"/>
              </w:rPr>
              <w:t>granted Exemption may voluntarily elect to participate in NEST. They would not be referred to VOEST or limited to 12 months of service.</w:t>
            </w:r>
          </w:p>
        </w:tc>
        <w:tc>
          <w:tcPr>
            <w:tcW w:w="7087" w:type="dxa"/>
            <w:tcBorders>
              <w:top w:val="single" w:sz="4" w:space="0" w:color="auto"/>
              <w:left w:val="single" w:sz="4" w:space="0" w:color="auto"/>
              <w:bottom w:val="single" w:sz="4" w:space="0" w:color="auto"/>
              <w:right w:val="single" w:sz="4" w:space="0" w:color="auto"/>
            </w:tcBorders>
          </w:tcPr>
          <w:p w14:paraId="68C3DC1C" w14:textId="77777777" w:rsidR="00B80CBF" w:rsidRDefault="00B80CBF" w:rsidP="00B80CBF">
            <w:pPr>
              <w:rPr>
                <w:rFonts w:eastAsia="Times New Roman" w:cstheme="minorHAnsi"/>
                <w:b/>
                <w:lang w:eastAsia="en-AU"/>
              </w:rPr>
            </w:pPr>
            <w:r>
              <w:rPr>
                <w:rFonts w:eastAsia="Times New Roman" w:cstheme="minorHAnsi"/>
                <w:b/>
                <w:lang w:eastAsia="en-AU"/>
              </w:rPr>
              <w:t>Parenting Payment recipients without participation requirements</w:t>
            </w:r>
          </w:p>
          <w:p w14:paraId="3CE00832" w14:textId="77777777" w:rsidR="00B80CBF" w:rsidRDefault="00B80CBF" w:rsidP="00B80CBF">
            <w:pPr>
              <w:rPr>
                <w:rFonts w:eastAsia="Times New Roman" w:cstheme="minorHAnsi"/>
                <w:lang w:eastAsia="en-AU"/>
              </w:rPr>
            </w:pPr>
            <w:r w:rsidRPr="00EB6988">
              <w:rPr>
                <w:rFonts w:eastAsia="Times New Roman" w:cstheme="minorHAnsi"/>
                <w:lang w:eastAsia="en-AU"/>
              </w:rPr>
              <w:t>Parents (with a youngest child under six years old)</w:t>
            </w:r>
            <w:r>
              <w:rPr>
                <w:rFonts w:eastAsia="Times New Roman" w:cstheme="minorHAnsi"/>
                <w:lang w:eastAsia="en-AU"/>
              </w:rPr>
              <w:t xml:space="preserve"> in receipt of </w:t>
            </w:r>
            <w:r w:rsidRPr="00EB6988">
              <w:rPr>
                <w:rFonts w:eastAsia="Times New Roman" w:cstheme="minorHAnsi"/>
                <w:lang w:eastAsia="en-AU"/>
              </w:rPr>
              <w:t>Parenting Payment (Partnered)/Parenting Payment (Single)</w:t>
            </w:r>
            <w:r>
              <w:rPr>
                <w:rFonts w:eastAsia="Times New Roman" w:cstheme="minorHAnsi"/>
                <w:lang w:eastAsia="en-AU"/>
              </w:rPr>
              <w:t>.</w:t>
            </w:r>
          </w:p>
          <w:p w14:paraId="79A740D3" w14:textId="77777777" w:rsidR="00B80CBF" w:rsidRDefault="00B80CBF" w:rsidP="00B80CBF">
            <w:pPr>
              <w:rPr>
                <w:rFonts w:eastAsia="Times New Roman" w:cstheme="minorHAnsi"/>
                <w:lang w:eastAsia="en-AU"/>
              </w:rPr>
            </w:pPr>
          </w:p>
          <w:p w14:paraId="206ED69D" w14:textId="77777777" w:rsidR="00B80CBF" w:rsidRPr="009D5EBE" w:rsidRDefault="00B80CBF" w:rsidP="00C74450">
            <w:pPr>
              <w:rPr>
                <w:rFonts w:eastAsia="Times New Roman" w:cstheme="minorHAnsi"/>
                <w:lang w:eastAsia="en-AU"/>
              </w:rPr>
            </w:pPr>
            <w:r>
              <w:rPr>
                <w:rFonts w:eastAsia="Times New Roman" w:cstheme="minorHAnsi"/>
                <w:lang w:eastAsia="en-AU"/>
              </w:rPr>
              <w:t>ParentsNext Intensive Stream volunteers and ParentsNext compulsory participants.</w:t>
            </w:r>
          </w:p>
        </w:tc>
        <w:tc>
          <w:tcPr>
            <w:tcW w:w="453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72C1788" w14:textId="77777777" w:rsidR="00B80CBF" w:rsidRPr="006B6A55" w:rsidRDefault="00B80CBF" w:rsidP="00B80CBF">
            <w:pPr>
              <w:rPr>
                <w:b/>
              </w:rPr>
            </w:pPr>
            <w:r w:rsidRPr="006B6A55">
              <w:t>Not applicable</w:t>
            </w:r>
          </w:p>
        </w:tc>
      </w:tr>
      <w:tr w:rsidR="00B80CBF" w14:paraId="26868E5E" w14:textId="77777777" w:rsidTr="00462D22">
        <w:trPr>
          <w:jc w:val="center"/>
        </w:trPr>
        <w:tc>
          <w:tcPr>
            <w:tcW w:w="1413" w:type="dxa"/>
            <w:tcBorders>
              <w:top w:val="single" w:sz="4" w:space="0" w:color="auto"/>
              <w:left w:val="single" w:sz="4" w:space="0" w:color="auto"/>
              <w:bottom w:val="single" w:sz="4" w:space="0" w:color="auto"/>
              <w:right w:val="single" w:sz="4" w:space="0" w:color="auto"/>
            </w:tcBorders>
            <w:textDirection w:val="btLr"/>
            <w:hideMark/>
          </w:tcPr>
          <w:p w14:paraId="0C6FA178" w14:textId="77777777" w:rsidR="00B80CBF" w:rsidRDefault="00B80CBF" w:rsidP="00B80CBF">
            <w:pPr>
              <w:ind w:left="284" w:right="113"/>
              <w:jc w:val="center"/>
              <w:rPr>
                <w:rFonts w:eastAsia="Times New Roman" w:cstheme="minorHAnsi"/>
                <w:b/>
                <w:lang w:eastAsia="en-AU"/>
              </w:rPr>
            </w:pPr>
            <w:r>
              <w:rPr>
                <w:rFonts w:eastAsia="Times New Roman" w:cstheme="minorHAnsi"/>
                <w:b/>
                <w:lang w:eastAsia="en-AU"/>
              </w:rPr>
              <w:t>Disability Support Pension</w:t>
            </w:r>
          </w:p>
        </w:tc>
        <w:tc>
          <w:tcPr>
            <w:tcW w:w="8618" w:type="dxa"/>
            <w:tcBorders>
              <w:top w:val="single" w:sz="4" w:space="0" w:color="auto"/>
              <w:left w:val="single" w:sz="4" w:space="0" w:color="auto"/>
              <w:bottom w:val="single" w:sz="4" w:space="0" w:color="auto"/>
              <w:right w:val="single" w:sz="4" w:space="0" w:color="auto"/>
            </w:tcBorders>
          </w:tcPr>
          <w:p w14:paraId="3192221B" w14:textId="77777777" w:rsidR="00B80CBF" w:rsidRPr="00460F1D" w:rsidRDefault="00B80CBF" w:rsidP="00B80CBF">
            <w:pPr>
              <w:rPr>
                <w:b/>
              </w:rPr>
            </w:pPr>
            <w:r w:rsidRPr="000B05D8">
              <w:rPr>
                <w:rFonts w:eastAsia="Times New Roman" w:cstheme="minorHAnsi"/>
                <w:b/>
                <w:lang w:eastAsia="en-AU"/>
              </w:rPr>
              <w:t>Disability Support Pension recipient</w:t>
            </w:r>
            <w:r>
              <w:rPr>
                <w:rFonts w:eastAsia="Times New Roman" w:cstheme="minorHAnsi"/>
                <w:b/>
                <w:lang w:eastAsia="en-AU"/>
              </w:rPr>
              <w:t>s</w:t>
            </w:r>
            <w:r w:rsidRPr="000B05D8">
              <w:rPr>
                <w:rFonts w:eastAsia="Times New Roman" w:cstheme="minorHAnsi"/>
                <w:b/>
                <w:lang w:eastAsia="en-AU"/>
              </w:rPr>
              <w:t xml:space="preserve"> with compulsory requirements</w:t>
            </w:r>
          </w:p>
          <w:p w14:paraId="4E333169" w14:textId="77777777" w:rsidR="00AF09E8" w:rsidRPr="00611BD7" w:rsidRDefault="00AF09E8" w:rsidP="00B80CBF">
            <w:pPr>
              <w:rPr>
                <w:rFonts w:eastAsia="Times New Roman" w:cstheme="minorHAnsi"/>
                <w:lang w:eastAsia="en-AU"/>
              </w:rPr>
            </w:pPr>
            <w:r>
              <w:rPr>
                <w:rFonts w:eastAsia="Times New Roman" w:cstheme="minorHAnsi"/>
                <w:lang w:eastAsia="en-AU"/>
              </w:rPr>
              <w:t>Directly Eligible for Enhanced Services</w:t>
            </w:r>
          </w:p>
          <w:p w14:paraId="1CFB6D8D" w14:textId="77777777" w:rsidR="00AF09E8" w:rsidRPr="000B05D8" w:rsidRDefault="00AF09E8" w:rsidP="00B80CBF">
            <w:pPr>
              <w:rPr>
                <w:rFonts w:eastAsia="Times New Roman" w:cstheme="minorHAnsi"/>
                <w:lang w:eastAsia="en-AU"/>
              </w:rPr>
            </w:pPr>
          </w:p>
          <w:p w14:paraId="74A67CFB" w14:textId="77777777" w:rsidR="00B80CBF" w:rsidRDefault="00B80CBF" w:rsidP="00B80CBF">
            <w:pPr>
              <w:ind w:right="113"/>
              <w:rPr>
                <w:rFonts w:eastAsia="Times New Roman" w:cstheme="minorHAnsi"/>
                <w:lang w:eastAsia="en-AU"/>
              </w:rPr>
            </w:pPr>
            <w:r>
              <w:rPr>
                <w:rFonts w:eastAsia="Times New Roman" w:cstheme="minorHAnsi"/>
                <w:lang w:eastAsia="en-AU"/>
              </w:rPr>
              <w:t xml:space="preserve">Disability Support Pension recipients aged under 35 years with a work capacity of eight or more hours per week (without a youngest child under six years) will have compulsory activity requirements and are eligible for </w:t>
            </w:r>
            <w:r w:rsidRPr="00AF09E8">
              <w:rPr>
                <w:rFonts w:eastAsia="Times New Roman" w:cstheme="minorHAnsi"/>
                <w:lang w:eastAsia="en-AU"/>
              </w:rPr>
              <w:t>NEST Enhanced Services</w:t>
            </w:r>
            <w:r>
              <w:rPr>
                <w:rFonts w:eastAsia="Times New Roman" w:cstheme="minorHAnsi"/>
                <w:lang w:eastAsia="en-AU"/>
              </w:rPr>
              <w:t>.</w:t>
            </w:r>
          </w:p>
          <w:p w14:paraId="3215A351" w14:textId="77777777" w:rsidR="00B80CBF" w:rsidRDefault="00B80CBF" w:rsidP="00B80CBF">
            <w:pPr>
              <w:ind w:right="113"/>
              <w:rPr>
                <w:rFonts w:eastAsia="Times New Roman" w:cstheme="minorHAnsi"/>
                <w:lang w:eastAsia="en-AU"/>
              </w:rPr>
            </w:pPr>
          </w:p>
          <w:p w14:paraId="03273744" w14:textId="77777777" w:rsidR="00B80CBF" w:rsidRDefault="00B80CBF" w:rsidP="00B80CBF">
            <w:pPr>
              <w:rPr>
                <w:rFonts w:eastAsia="Times New Roman" w:cstheme="minorHAnsi"/>
                <w:b/>
                <w:lang w:eastAsia="en-AU"/>
              </w:rPr>
            </w:pPr>
            <w:r>
              <w:rPr>
                <w:rFonts w:eastAsia="Times New Roman" w:cstheme="minorHAnsi"/>
                <w:b/>
                <w:lang w:eastAsia="en-AU"/>
              </w:rPr>
              <w:t>Disability Support Pension applicants and recipients subject to review (without compulsory requirements) undertaking a Program of Support (not eligible for Disability Employment Services or Community Development Programme)</w:t>
            </w:r>
          </w:p>
          <w:p w14:paraId="127FE134" w14:textId="77777777" w:rsidR="00B80CBF" w:rsidRPr="000976C6" w:rsidRDefault="00AF09E8" w:rsidP="00B80CBF">
            <w:pPr>
              <w:ind w:right="113"/>
            </w:pPr>
            <w:r>
              <w:rPr>
                <w:rFonts w:eastAsia="Times New Roman" w:cstheme="minorHAnsi"/>
                <w:lang w:eastAsia="en-AU"/>
              </w:rPr>
              <w:t xml:space="preserve">Directly </w:t>
            </w:r>
            <w:r w:rsidR="00B80CBF">
              <w:rPr>
                <w:rFonts w:eastAsia="Times New Roman" w:cstheme="minorHAnsi"/>
                <w:lang w:eastAsia="en-AU"/>
              </w:rPr>
              <w:t xml:space="preserve">Eligible for </w:t>
            </w:r>
            <w:r w:rsidR="00B80CBF" w:rsidRPr="00AF09E8">
              <w:rPr>
                <w:rFonts w:eastAsia="Times New Roman" w:cstheme="minorHAnsi"/>
                <w:lang w:eastAsia="en-AU"/>
              </w:rPr>
              <w:t>NEST Enhanced Services</w:t>
            </w:r>
            <w:r w:rsidR="00B80CBF">
              <w:rPr>
                <w:rFonts w:eastAsia="Times New Roman" w:cstheme="minorHAnsi"/>
                <w:lang w:eastAsia="en-AU"/>
              </w:rPr>
              <w:t xml:space="preserve"> while they undertake their Program of Support requirement provided they remain connected or do not Exit for more than 13 weeks. If they do not remain connected or Exit for more than 13 weeks, they will be eligible for VOEST.</w:t>
            </w:r>
          </w:p>
        </w:tc>
        <w:tc>
          <w:tcPr>
            <w:tcW w:w="7087" w:type="dxa"/>
            <w:tcBorders>
              <w:top w:val="single" w:sz="4" w:space="0" w:color="auto"/>
              <w:left w:val="single" w:sz="4" w:space="0" w:color="auto"/>
              <w:bottom w:val="single" w:sz="4" w:space="0" w:color="auto"/>
              <w:right w:val="single" w:sz="4" w:space="0" w:color="auto"/>
            </w:tcBorders>
          </w:tcPr>
          <w:p w14:paraId="4EEF55E5" w14:textId="77777777" w:rsidR="00B80CBF" w:rsidRDefault="00B80CBF" w:rsidP="00B80CBF">
            <w:pPr>
              <w:rPr>
                <w:rFonts w:eastAsia="Times New Roman" w:cstheme="minorHAnsi"/>
                <w:lang w:eastAsia="en-AU"/>
              </w:rPr>
            </w:pPr>
            <w:r>
              <w:rPr>
                <w:rFonts w:eastAsia="Times New Roman" w:cstheme="minorHAnsi"/>
                <w:b/>
                <w:lang w:eastAsia="en-AU"/>
              </w:rPr>
              <w:t xml:space="preserve">Disability Support Pension applicants and recipients subject to review (without compulsory requirements) undertaking a Program of Support (not eligible for Disability Employment Services or Community Development Programme) </w:t>
            </w:r>
            <w:r w:rsidRPr="00C418CF">
              <w:rPr>
                <w:rFonts w:eastAsia="Times New Roman" w:cstheme="minorHAnsi"/>
                <w:b/>
                <w:lang w:eastAsia="en-AU"/>
              </w:rPr>
              <w:t>who do not remain connected or Exit for more than 13 weeks</w:t>
            </w:r>
            <w:r>
              <w:rPr>
                <w:rFonts w:eastAsia="Times New Roman" w:cstheme="minorHAnsi"/>
                <w:lang w:eastAsia="en-AU"/>
              </w:rPr>
              <w:t>.</w:t>
            </w:r>
          </w:p>
          <w:p w14:paraId="4EBF000B" w14:textId="77777777" w:rsidR="00B80CBF" w:rsidRDefault="00B80CBF" w:rsidP="00B80CBF">
            <w:pPr>
              <w:ind w:right="113"/>
              <w:rPr>
                <w:rFonts w:eastAsia="Times New Roman" w:cstheme="minorHAnsi"/>
                <w:b/>
                <w:lang w:eastAsia="en-AU"/>
              </w:rPr>
            </w:pPr>
          </w:p>
          <w:p w14:paraId="10717546" w14:textId="77777777" w:rsidR="00B80CBF" w:rsidRDefault="00B80CBF" w:rsidP="00B80CBF">
            <w:pPr>
              <w:ind w:right="113"/>
              <w:rPr>
                <w:rFonts w:eastAsia="Times New Roman" w:cstheme="minorHAnsi"/>
                <w:b/>
                <w:lang w:eastAsia="en-AU"/>
              </w:rPr>
            </w:pPr>
            <w:r>
              <w:rPr>
                <w:rFonts w:eastAsia="Times New Roman" w:cstheme="minorHAnsi"/>
                <w:b/>
                <w:lang w:eastAsia="en-AU"/>
              </w:rPr>
              <w:t>Disability Support Pension recipients without compulsory requirements</w:t>
            </w:r>
          </w:p>
          <w:p w14:paraId="6BACB8A6" w14:textId="77777777" w:rsidR="00B80CBF" w:rsidRDefault="00B80CBF" w:rsidP="00B80CBF">
            <w:pPr>
              <w:ind w:left="284" w:right="113"/>
              <w:rPr>
                <w:rFonts w:eastAsia="Times New Roman" w:cstheme="minorHAnsi"/>
                <w:b/>
                <w:lang w:eastAsia="en-AU"/>
              </w:rPr>
            </w:pPr>
          </w:p>
          <w:p w14:paraId="5C349750" w14:textId="77777777" w:rsidR="00B80CBF" w:rsidRDefault="00B80CBF" w:rsidP="00B80CBF">
            <w:pPr>
              <w:ind w:right="113"/>
              <w:rPr>
                <w:rFonts w:eastAsia="Times New Roman" w:cstheme="minorHAnsi"/>
                <w:b/>
                <w:lang w:eastAsia="en-AU"/>
              </w:rPr>
            </w:pPr>
            <w:r>
              <w:rPr>
                <w:rFonts w:eastAsia="Times New Roman" w:cstheme="minorHAnsi"/>
                <w:b/>
                <w:lang w:eastAsia="en-AU"/>
              </w:rPr>
              <w:t>Australian Disability Enterprises Participant</w:t>
            </w:r>
          </w:p>
          <w:p w14:paraId="689DBE30" w14:textId="77777777" w:rsidR="00B80CBF" w:rsidRDefault="00B80CBF" w:rsidP="00B80CBF">
            <w:pPr>
              <w:ind w:left="284" w:right="113"/>
              <w:rPr>
                <w:rFonts w:eastAsia="Times New Roman" w:cstheme="minorHAnsi"/>
                <w:b/>
                <w:lang w:eastAsia="en-AU"/>
              </w:rPr>
            </w:pPr>
          </w:p>
          <w:p w14:paraId="06962762" w14:textId="77777777" w:rsidR="00B80CBF" w:rsidRDefault="00B80CBF" w:rsidP="00B80CBF">
            <w:pPr>
              <w:ind w:right="113"/>
              <w:rPr>
                <w:rFonts w:eastAsia="Times New Roman" w:cstheme="minorHAnsi"/>
                <w:b/>
                <w:lang w:eastAsia="en-AU"/>
              </w:rPr>
            </w:pPr>
            <w:r>
              <w:rPr>
                <w:rFonts w:eastAsia="Times New Roman" w:cstheme="minorHAnsi"/>
                <w:b/>
                <w:lang w:eastAsia="en-AU"/>
              </w:rPr>
              <w:t>Disability Pensioner (DVA)</w:t>
            </w:r>
          </w:p>
        </w:tc>
        <w:tc>
          <w:tcPr>
            <w:tcW w:w="453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9719C50" w14:textId="77777777" w:rsidR="00B80CBF" w:rsidRPr="006B6A55" w:rsidRDefault="00B80CBF" w:rsidP="006B6A55">
            <w:pPr>
              <w:ind w:right="113"/>
              <w:rPr>
                <w:rFonts w:eastAsia="Times New Roman" w:cstheme="minorHAnsi"/>
                <w:b/>
                <w:lang w:eastAsia="en-AU"/>
              </w:rPr>
            </w:pPr>
            <w:r w:rsidRPr="006B6A55">
              <w:t>Not applicable</w:t>
            </w:r>
          </w:p>
        </w:tc>
      </w:tr>
      <w:tr w:rsidR="00544F99" w14:paraId="792C8956" w14:textId="77777777" w:rsidTr="00462D22">
        <w:trPr>
          <w:jc w:val="center"/>
        </w:trPr>
        <w:tc>
          <w:tcPr>
            <w:tcW w:w="1413" w:type="dxa"/>
            <w:tcBorders>
              <w:top w:val="single" w:sz="4" w:space="0" w:color="auto"/>
              <w:left w:val="single" w:sz="4" w:space="0" w:color="auto"/>
              <w:bottom w:val="single" w:sz="4" w:space="0" w:color="auto"/>
              <w:right w:val="single" w:sz="4" w:space="0" w:color="auto"/>
            </w:tcBorders>
            <w:textDirection w:val="btLr"/>
            <w:hideMark/>
          </w:tcPr>
          <w:p w14:paraId="131075CE" w14:textId="77777777" w:rsidR="00544F99" w:rsidRDefault="00544F99" w:rsidP="00544F99">
            <w:pPr>
              <w:ind w:left="284" w:right="113"/>
              <w:jc w:val="center"/>
              <w:rPr>
                <w:rFonts w:eastAsia="Times New Roman" w:cstheme="minorHAnsi"/>
                <w:b/>
                <w:lang w:eastAsia="en-AU"/>
              </w:rPr>
            </w:pPr>
            <w:r>
              <w:rPr>
                <w:rFonts w:eastAsia="Times New Roman" w:cstheme="minorHAnsi"/>
                <w:b/>
                <w:lang w:eastAsia="en-AU"/>
              </w:rPr>
              <w:t>Youth and students</w:t>
            </w:r>
          </w:p>
        </w:tc>
        <w:tc>
          <w:tcPr>
            <w:tcW w:w="8618" w:type="dxa"/>
            <w:tcBorders>
              <w:top w:val="single" w:sz="4" w:space="0" w:color="auto"/>
              <w:left w:val="single" w:sz="4" w:space="0" w:color="auto"/>
              <w:bottom w:val="single" w:sz="4" w:space="0" w:color="auto"/>
              <w:right w:val="single" w:sz="4" w:space="0" w:color="auto"/>
            </w:tcBorders>
            <w:vAlign w:val="center"/>
          </w:tcPr>
          <w:p w14:paraId="79842883" w14:textId="77777777" w:rsidR="00544F99" w:rsidRDefault="00544F99" w:rsidP="00460F1D">
            <w:pPr>
              <w:spacing w:after="240"/>
              <w:ind w:right="113"/>
              <w:contextualSpacing/>
              <w:rPr>
                <w:rFonts w:eastAsia="Times New Roman" w:cstheme="minorHAnsi"/>
                <w:b/>
                <w:lang w:eastAsia="en-AU"/>
              </w:rPr>
            </w:pPr>
            <w:r w:rsidRPr="000B05D8">
              <w:rPr>
                <w:rFonts w:eastAsia="Times New Roman" w:cstheme="minorHAnsi"/>
                <w:b/>
                <w:lang w:eastAsia="en-AU"/>
              </w:rPr>
              <w:t>Youth Allowance (other) recipient</w:t>
            </w:r>
          </w:p>
          <w:p w14:paraId="2150D5D2" w14:textId="6A3E3ECF" w:rsidR="00C62C4D" w:rsidRPr="00AF09E8" w:rsidRDefault="00AF09E8" w:rsidP="00544F99">
            <w:pPr>
              <w:spacing w:after="240"/>
              <w:ind w:right="113"/>
              <w:rPr>
                <w:rFonts w:eastAsia="Times New Roman" w:cstheme="minorHAnsi"/>
                <w:lang w:eastAsia="en-AU"/>
              </w:rPr>
            </w:pPr>
            <w:r w:rsidRPr="00F9767D">
              <w:rPr>
                <w:rFonts w:eastAsia="Times New Roman" w:cstheme="minorHAnsi"/>
                <w:lang w:eastAsia="en-AU"/>
              </w:rPr>
              <w:t>Eligible for either Digital or Enhanced Services</w:t>
            </w:r>
            <w:r w:rsidRPr="00AF09E8" w:rsidDel="00AF09E8">
              <w:rPr>
                <w:rFonts w:eastAsia="Times New Roman" w:cstheme="minorHAnsi"/>
                <w:lang w:eastAsia="en-AU"/>
              </w:rPr>
              <w:t xml:space="preserve"> </w:t>
            </w:r>
          </w:p>
          <w:p w14:paraId="3527A56B" w14:textId="77777777" w:rsidR="00544F99" w:rsidRDefault="00544F99" w:rsidP="00544F99">
            <w:pPr>
              <w:ind w:right="113"/>
              <w:rPr>
                <w:rFonts w:eastAsia="Times New Roman" w:cstheme="minorHAnsi"/>
                <w:b/>
                <w:lang w:eastAsia="en-AU"/>
              </w:rPr>
            </w:pPr>
            <w:r w:rsidRPr="000B05D8">
              <w:rPr>
                <w:rFonts w:eastAsia="Times New Roman" w:cstheme="minorHAnsi"/>
                <w:b/>
                <w:lang w:eastAsia="en-AU"/>
              </w:rPr>
              <w:t>Vulnerable Youth and Vulnerable Youth (Student)</w:t>
            </w:r>
          </w:p>
          <w:p w14:paraId="4D01C254" w14:textId="77777777" w:rsidR="00AF09E8" w:rsidRPr="00AF09E8" w:rsidRDefault="00AF09E8" w:rsidP="00544F99">
            <w:pPr>
              <w:ind w:right="113"/>
              <w:rPr>
                <w:rFonts w:eastAsia="Times New Roman" w:cstheme="minorHAnsi"/>
                <w:lang w:eastAsia="en-AU"/>
              </w:rPr>
            </w:pPr>
            <w:r w:rsidRPr="00AF09E8">
              <w:rPr>
                <w:rFonts w:eastAsia="Times New Roman" w:cstheme="minorHAnsi"/>
                <w:lang w:eastAsia="en-AU"/>
              </w:rPr>
              <w:t>Directly Eligible for Enhanced Services</w:t>
            </w:r>
          </w:p>
          <w:p w14:paraId="5788DCCB" w14:textId="30986699" w:rsidR="004978B6" w:rsidRDefault="00544F99" w:rsidP="004978B6">
            <w:pPr>
              <w:spacing w:after="240"/>
              <w:ind w:right="113"/>
              <w:rPr>
                <w:rFonts w:eastAsia="Times New Roman" w:cstheme="minorHAnsi"/>
                <w:lang w:eastAsia="en-AU"/>
              </w:rPr>
            </w:pPr>
            <w:r w:rsidRPr="000B05D8">
              <w:rPr>
                <w:rFonts w:eastAsia="Times New Roman" w:cstheme="minorHAnsi"/>
                <w:lang w:eastAsia="en-AU"/>
              </w:rPr>
              <w:t xml:space="preserve">Young people who are not in receipt of Income Support Payments aged 15 to 21 who are not working 15 hours or more per week, who are not in Full-time Study and who have at least one serious Non-vocational Barrier are eligible for immediate </w:t>
            </w:r>
            <w:r>
              <w:rPr>
                <w:rFonts w:eastAsia="Times New Roman" w:cstheme="minorHAnsi"/>
                <w:lang w:eastAsia="en-AU"/>
              </w:rPr>
              <w:t xml:space="preserve">provision of </w:t>
            </w:r>
            <w:r w:rsidRPr="00AF09E8">
              <w:rPr>
                <w:rFonts w:eastAsia="Times New Roman" w:cstheme="minorHAnsi"/>
                <w:lang w:eastAsia="en-AU"/>
              </w:rPr>
              <w:t xml:space="preserve">Enhanced Services </w:t>
            </w:r>
            <w:r w:rsidRPr="000B05D8">
              <w:rPr>
                <w:rFonts w:eastAsia="Times New Roman" w:cstheme="minorHAnsi"/>
                <w:lang w:eastAsia="en-AU"/>
              </w:rPr>
              <w:t xml:space="preserve">as Vulnerable Youth. </w:t>
            </w:r>
            <w:r w:rsidR="005E7F90">
              <w:rPr>
                <w:rFonts w:eastAsia="Times New Roman" w:cstheme="minorHAnsi"/>
                <w:lang w:eastAsia="en-AU"/>
              </w:rPr>
              <w:t>Trial</w:t>
            </w:r>
            <w:r w:rsidR="004978B6" w:rsidRPr="004978B6">
              <w:rPr>
                <w:rFonts w:eastAsia="Times New Roman" w:cstheme="minorHAnsi"/>
                <w:lang w:eastAsia="en-AU"/>
              </w:rPr>
              <w:t xml:space="preserve"> </w:t>
            </w:r>
            <w:r w:rsidR="00A20B33">
              <w:rPr>
                <w:rFonts w:eastAsia="Times New Roman" w:cstheme="minorHAnsi"/>
                <w:lang w:eastAsia="en-AU"/>
              </w:rPr>
              <w:t>Provider</w:t>
            </w:r>
            <w:r w:rsidR="004978B6" w:rsidRPr="004978B6">
              <w:rPr>
                <w:rFonts w:eastAsia="Times New Roman" w:cstheme="minorHAnsi"/>
                <w:lang w:eastAsia="en-AU"/>
              </w:rPr>
              <w:t>s will be required to service vulnerable youth for up to four weeks and refer them to other local and relevant crisis support services until</w:t>
            </w:r>
            <w:r w:rsidR="0090575E">
              <w:t xml:space="preserve"> Services Australia</w:t>
            </w:r>
            <w:r w:rsidR="004978B6" w:rsidRPr="004978B6">
              <w:rPr>
                <w:rFonts w:eastAsia="Times New Roman" w:cstheme="minorHAnsi"/>
                <w:lang w:eastAsia="en-AU"/>
              </w:rPr>
              <w:t xml:space="preserve"> assess </w:t>
            </w:r>
            <w:r w:rsidR="004978B6">
              <w:rPr>
                <w:rFonts w:eastAsia="Times New Roman" w:cstheme="minorHAnsi"/>
                <w:lang w:eastAsia="en-AU"/>
              </w:rPr>
              <w:t xml:space="preserve">the </w:t>
            </w:r>
            <w:r w:rsidR="00A20B33">
              <w:rPr>
                <w:rFonts w:eastAsia="Times New Roman" w:cstheme="minorHAnsi"/>
                <w:lang w:eastAsia="en-AU"/>
              </w:rPr>
              <w:t>Participant</w:t>
            </w:r>
            <w:r w:rsidR="004978B6">
              <w:rPr>
                <w:rFonts w:eastAsia="Times New Roman" w:cstheme="minorHAnsi"/>
                <w:lang w:eastAsia="en-AU"/>
              </w:rPr>
              <w:t>’s</w:t>
            </w:r>
            <w:r w:rsidR="004978B6" w:rsidRPr="004978B6">
              <w:rPr>
                <w:rFonts w:eastAsia="Times New Roman" w:cstheme="minorHAnsi"/>
                <w:lang w:eastAsia="en-AU"/>
              </w:rPr>
              <w:t xml:space="preserve"> eligibility for services. </w:t>
            </w:r>
          </w:p>
          <w:p w14:paraId="388B2E24" w14:textId="61A4C635" w:rsidR="00544F99" w:rsidRPr="000B05D8" w:rsidRDefault="00544F99" w:rsidP="00CC4589">
            <w:pPr>
              <w:spacing w:after="240"/>
              <w:ind w:right="113"/>
              <w:rPr>
                <w:rFonts w:eastAsia="Times New Roman" w:cstheme="minorHAnsi"/>
                <w:lang w:eastAsia="en-AU"/>
              </w:rPr>
            </w:pPr>
            <w:r w:rsidRPr="000B05D8">
              <w:rPr>
                <w:rFonts w:eastAsia="Times New Roman" w:cstheme="minorHAnsi"/>
                <w:lang w:eastAsia="en-AU"/>
              </w:rPr>
              <w:lastRenderedPageBreak/>
              <w:t xml:space="preserve">Full-Time students aged 15 to 21 years who present in crisis and have at least one Non-vocational Barrier are eligible for </w:t>
            </w:r>
            <w:r w:rsidR="004E6572" w:rsidRPr="000B05D8">
              <w:rPr>
                <w:rFonts w:eastAsia="Times New Roman" w:cstheme="minorHAnsi"/>
                <w:lang w:eastAsia="en-AU"/>
              </w:rPr>
              <w:t xml:space="preserve">immediate </w:t>
            </w:r>
            <w:r w:rsidR="004E6572">
              <w:rPr>
                <w:rFonts w:eastAsia="Times New Roman" w:cstheme="minorHAnsi"/>
                <w:lang w:eastAsia="en-AU"/>
              </w:rPr>
              <w:t xml:space="preserve">provision of </w:t>
            </w:r>
            <w:r w:rsidR="004E6572" w:rsidRPr="00460F1D">
              <w:rPr>
                <w:u w:val="single"/>
              </w:rPr>
              <w:t>Enhanced Service</w:t>
            </w:r>
            <w:r w:rsidR="004E6572">
              <w:rPr>
                <w:rFonts w:eastAsia="Times New Roman" w:cstheme="minorHAnsi"/>
                <w:lang w:eastAsia="en-AU"/>
              </w:rPr>
              <w:t>s</w:t>
            </w:r>
            <w:r w:rsidR="004E6572" w:rsidRPr="000B05D8">
              <w:rPr>
                <w:rFonts w:eastAsia="Times New Roman" w:cstheme="minorHAnsi"/>
                <w:lang w:eastAsia="en-AU"/>
              </w:rPr>
              <w:t xml:space="preserve"> </w:t>
            </w:r>
            <w:r w:rsidRPr="000B05D8">
              <w:rPr>
                <w:rFonts w:eastAsia="Times New Roman" w:cstheme="minorHAnsi"/>
                <w:lang w:eastAsia="en-AU"/>
              </w:rPr>
              <w:t xml:space="preserve">as Vulnerable Youth (Student) if no appropriate youth services are available in the local area. </w:t>
            </w:r>
            <w:r w:rsidR="00D3735F">
              <w:rPr>
                <w:rFonts w:eastAsia="Times New Roman" w:cstheme="minorHAnsi"/>
                <w:lang w:eastAsia="en-AU"/>
              </w:rPr>
              <w:t>Trial</w:t>
            </w:r>
            <w:r w:rsidR="004978B6" w:rsidRPr="004978B6">
              <w:rPr>
                <w:rFonts w:eastAsia="Times New Roman" w:cstheme="minorHAnsi"/>
                <w:lang w:eastAsia="en-AU"/>
              </w:rPr>
              <w:t xml:space="preserve"> </w:t>
            </w:r>
            <w:r w:rsidR="00A20B33">
              <w:rPr>
                <w:rFonts w:eastAsia="Times New Roman" w:cstheme="minorHAnsi"/>
                <w:lang w:eastAsia="en-AU"/>
              </w:rPr>
              <w:t>Provider</w:t>
            </w:r>
            <w:r w:rsidR="004978B6" w:rsidRPr="004978B6">
              <w:rPr>
                <w:rFonts w:eastAsia="Times New Roman" w:cstheme="minorHAnsi"/>
                <w:lang w:eastAsia="en-AU"/>
              </w:rPr>
              <w:t>s will be required to service vulnerable youth</w:t>
            </w:r>
            <w:r w:rsidR="004978B6">
              <w:rPr>
                <w:rFonts w:eastAsia="Times New Roman" w:cstheme="minorHAnsi"/>
                <w:lang w:eastAsia="en-AU"/>
              </w:rPr>
              <w:t xml:space="preserve"> (Student)s</w:t>
            </w:r>
            <w:r w:rsidR="004978B6" w:rsidRPr="004978B6">
              <w:rPr>
                <w:rFonts w:eastAsia="Times New Roman" w:cstheme="minorHAnsi"/>
                <w:lang w:eastAsia="en-AU"/>
              </w:rPr>
              <w:t xml:space="preserve"> for up to four weeks and refer them to other local and relevant crisis support services until </w:t>
            </w:r>
            <w:r w:rsidR="0090575E">
              <w:t>Services Australia</w:t>
            </w:r>
            <w:r w:rsidR="004978B6" w:rsidRPr="004978B6">
              <w:rPr>
                <w:rFonts w:eastAsia="Times New Roman" w:cstheme="minorHAnsi"/>
                <w:lang w:eastAsia="en-AU"/>
              </w:rPr>
              <w:t xml:space="preserve"> assess </w:t>
            </w:r>
            <w:r w:rsidR="004978B6">
              <w:rPr>
                <w:rFonts w:eastAsia="Times New Roman" w:cstheme="minorHAnsi"/>
                <w:lang w:eastAsia="en-AU"/>
              </w:rPr>
              <w:t xml:space="preserve">the </w:t>
            </w:r>
            <w:r w:rsidR="00A20B33">
              <w:rPr>
                <w:rFonts w:eastAsia="Times New Roman" w:cstheme="minorHAnsi"/>
                <w:lang w:eastAsia="en-AU"/>
              </w:rPr>
              <w:t>Participant</w:t>
            </w:r>
            <w:r w:rsidR="004978B6">
              <w:rPr>
                <w:rFonts w:eastAsia="Times New Roman" w:cstheme="minorHAnsi"/>
                <w:lang w:eastAsia="en-AU"/>
              </w:rPr>
              <w:t>’s eligibility for services.</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Pr>
          <w:p w14:paraId="4E75DF1D" w14:textId="77777777" w:rsidR="00544F99" w:rsidRDefault="00544F99" w:rsidP="00544F99">
            <w:pPr>
              <w:spacing w:after="240"/>
              <w:ind w:right="113"/>
              <w:rPr>
                <w:rFonts w:eastAsia="Times New Roman" w:cstheme="minorHAnsi"/>
                <w:lang w:eastAsia="en-AU"/>
              </w:rPr>
            </w:pPr>
            <w:r>
              <w:rPr>
                <w:rFonts w:eastAsia="Times New Roman" w:cstheme="minorHAnsi"/>
                <w:b/>
                <w:lang w:eastAsia="en-AU"/>
              </w:rPr>
              <w:lastRenderedPageBreak/>
              <w:t>Full-time students seeking an apprenticeship or traineeship</w:t>
            </w:r>
          </w:p>
          <w:p w14:paraId="1AFD32AE" w14:textId="77777777" w:rsidR="00544F99" w:rsidRDefault="00544F99" w:rsidP="00544F99">
            <w:pPr>
              <w:ind w:right="113"/>
              <w:rPr>
                <w:rFonts w:eastAsia="Times New Roman" w:cstheme="minorHAnsi"/>
                <w:b/>
                <w:lang w:eastAsia="en-AU"/>
              </w:rPr>
            </w:pPr>
            <w:r>
              <w:rPr>
                <w:rFonts w:eastAsia="Times New Roman" w:cstheme="minorHAnsi"/>
                <w:lang w:eastAsia="en-AU"/>
              </w:rPr>
              <w:t>Young people who are not in receipt of Income Support Payments who are under school-leaving age, including those under 17 years, are Eligible only if they have permission to leave school</w:t>
            </w:r>
          </w:p>
        </w:tc>
        <w:tc>
          <w:tcPr>
            <w:tcW w:w="4536" w:type="dxa"/>
            <w:tcBorders>
              <w:top w:val="single" w:sz="4" w:space="0" w:color="auto"/>
              <w:left w:val="single" w:sz="4" w:space="0" w:color="auto"/>
              <w:bottom w:val="single" w:sz="4" w:space="0" w:color="auto"/>
              <w:right w:val="single" w:sz="4" w:space="0" w:color="auto"/>
            </w:tcBorders>
          </w:tcPr>
          <w:p w14:paraId="7E8DFA33" w14:textId="77777777" w:rsidR="00544F99" w:rsidRDefault="00544F99" w:rsidP="00544F99">
            <w:pPr>
              <w:spacing w:after="240"/>
              <w:ind w:right="113"/>
              <w:rPr>
                <w:rFonts w:eastAsia="Times New Roman" w:cstheme="minorHAnsi"/>
                <w:b/>
                <w:lang w:eastAsia="en-AU"/>
              </w:rPr>
            </w:pPr>
            <w:r>
              <w:rPr>
                <w:rFonts w:eastAsia="Times New Roman" w:cstheme="minorHAnsi"/>
                <w:b/>
                <w:lang w:eastAsia="en-AU"/>
              </w:rPr>
              <w:t>Youth Allowance (full-time Student) recipient</w:t>
            </w:r>
          </w:p>
          <w:p w14:paraId="27C47130" w14:textId="77777777" w:rsidR="00544F99" w:rsidRDefault="00544F99" w:rsidP="00544F99">
            <w:pPr>
              <w:ind w:right="113"/>
              <w:rPr>
                <w:rFonts w:eastAsia="Times New Roman" w:cstheme="minorHAnsi"/>
                <w:b/>
                <w:lang w:eastAsia="en-AU"/>
              </w:rPr>
            </w:pPr>
            <w:r>
              <w:rPr>
                <w:rFonts w:eastAsia="Times New Roman" w:cstheme="minorHAnsi"/>
                <w:b/>
                <w:lang w:eastAsia="en-AU"/>
              </w:rPr>
              <w:t>ABSTUDY recipient</w:t>
            </w:r>
          </w:p>
          <w:p w14:paraId="3636FF40" w14:textId="77777777" w:rsidR="00544F99" w:rsidRDefault="00544F99" w:rsidP="00544F99">
            <w:pPr>
              <w:ind w:right="113"/>
              <w:rPr>
                <w:rFonts w:eastAsia="Times New Roman" w:cstheme="minorHAnsi"/>
                <w:b/>
                <w:lang w:eastAsia="en-AU"/>
              </w:rPr>
            </w:pPr>
          </w:p>
          <w:p w14:paraId="76EB18A8" w14:textId="77777777" w:rsidR="00544F99" w:rsidRDefault="00544F99" w:rsidP="00544F99">
            <w:pPr>
              <w:ind w:right="113"/>
              <w:rPr>
                <w:rFonts w:eastAsia="Times New Roman" w:cstheme="minorHAnsi"/>
                <w:b/>
                <w:lang w:eastAsia="en-AU"/>
              </w:rPr>
            </w:pPr>
            <w:r>
              <w:rPr>
                <w:rFonts w:eastAsia="Times New Roman" w:cstheme="minorHAnsi"/>
                <w:b/>
                <w:lang w:eastAsia="en-AU"/>
              </w:rPr>
              <w:t>Austudy recipient</w:t>
            </w:r>
          </w:p>
          <w:p w14:paraId="341DE024" w14:textId="77777777" w:rsidR="00544F99" w:rsidRDefault="00544F99" w:rsidP="00544F99">
            <w:pPr>
              <w:ind w:left="284" w:right="113"/>
              <w:rPr>
                <w:rFonts w:eastAsia="Times New Roman" w:cstheme="minorHAnsi"/>
                <w:b/>
                <w:lang w:eastAsia="en-AU"/>
              </w:rPr>
            </w:pPr>
          </w:p>
        </w:tc>
      </w:tr>
      <w:tr w:rsidR="00544F99" w:rsidRPr="000B05D8" w14:paraId="3AC2D23D" w14:textId="77777777" w:rsidTr="00462D22">
        <w:trPr>
          <w:trHeight w:val="3303"/>
          <w:jc w:val="center"/>
        </w:trPr>
        <w:tc>
          <w:tcPr>
            <w:tcW w:w="1413" w:type="dxa"/>
            <w:tcBorders>
              <w:top w:val="single" w:sz="4" w:space="0" w:color="auto"/>
              <w:left w:val="single" w:sz="4" w:space="0" w:color="auto"/>
              <w:bottom w:val="single" w:sz="4" w:space="0" w:color="auto"/>
              <w:right w:val="single" w:sz="4" w:space="0" w:color="auto"/>
            </w:tcBorders>
            <w:textDirection w:val="btLr"/>
            <w:hideMark/>
          </w:tcPr>
          <w:p w14:paraId="3C9D944A" w14:textId="77777777" w:rsidR="00544F99" w:rsidRPr="000B05D8" w:rsidRDefault="00544F99" w:rsidP="00544F99">
            <w:pPr>
              <w:ind w:left="284" w:right="113"/>
              <w:jc w:val="center"/>
              <w:rPr>
                <w:rFonts w:eastAsia="Times New Roman" w:cstheme="minorHAnsi"/>
                <w:b/>
                <w:lang w:eastAsia="en-AU"/>
              </w:rPr>
            </w:pPr>
            <w:r w:rsidRPr="000B05D8">
              <w:rPr>
                <w:rFonts w:eastAsia="Times New Roman" w:cstheme="minorHAnsi"/>
                <w:b/>
                <w:lang w:eastAsia="en-AU"/>
              </w:rPr>
              <w:t>Visa holders and migrants</w:t>
            </w:r>
          </w:p>
        </w:tc>
        <w:tc>
          <w:tcPr>
            <w:tcW w:w="8618" w:type="dxa"/>
            <w:tcBorders>
              <w:top w:val="single" w:sz="4" w:space="0" w:color="auto"/>
              <w:left w:val="single" w:sz="4" w:space="0" w:color="auto"/>
              <w:bottom w:val="single" w:sz="4" w:space="0" w:color="auto"/>
              <w:right w:val="single" w:sz="4" w:space="0" w:color="auto"/>
            </w:tcBorders>
          </w:tcPr>
          <w:p w14:paraId="044EB207" w14:textId="77777777" w:rsidR="00544F99" w:rsidRDefault="00544F99" w:rsidP="00544F99">
            <w:pPr>
              <w:ind w:right="113"/>
              <w:rPr>
                <w:rFonts w:eastAsia="Times New Roman" w:cstheme="minorHAnsi"/>
                <w:b/>
                <w:lang w:eastAsia="en-AU"/>
              </w:rPr>
            </w:pPr>
            <w:r w:rsidRPr="000B05D8">
              <w:rPr>
                <w:rFonts w:eastAsia="Times New Roman" w:cstheme="minorHAnsi"/>
                <w:b/>
                <w:lang w:eastAsia="en-AU"/>
              </w:rPr>
              <w:t>Visa holders with working rights attached, on income support</w:t>
            </w:r>
          </w:p>
          <w:p w14:paraId="5A107389" w14:textId="77777777" w:rsidR="00AF09E8" w:rsidRDefault="00AF09E8" w:rsidP="00544F99">
            <w:pPr>
              <w:ind w:right="113"/>
              <w:rPr>
                <w:rFonts w:eastAsia="Times New Roman" w:cstheme="minorHAnsi"/>
                <w:lang w:eastAsia="en-AU"/>
              </w:rPr>
            </w:pPr>
            <w:r w:rsidRPr="00F9767D">
              <w:rPr>
                <w:rFonts w:eastAsia="Times New Roman" w:cstheme="minorHAnsi"/>
                <w:lang w:eastAsia="en-AU"/>
              </w:rPr>
              <w:t>Eligible for either Digital or Enhanced Services</w:t>
            </w:r>
          </w:p>
          <w:p w14:paraId="442D2310" w14:textId="77777777" w:rsidR="00AF09E8" w:rsidRPr="000B05D8" w:rsidRDefault="00AF09E8" w:rsidP="00544F99">
            <w:pPr>
              <w:ind w:right="113"/>
              <w:rPr>
                <w:rFonts w:eastAsia="Times New Roman" w:cstheme="minorHAnsi"/>
                <w:b/>
                <w:lang w:eastAsia="en-AU"/>
              </w:rPr>
            </w:pPr>
          </w:p>
          <w:p w14:paraId="12A703EB" w14:textId="1CDDC3FE" w:rsidR="00544F99" w:rsidRPr="000B05D8" w:rsidRDefault="00544F99" w:rsidP="00544F99">
            <w:pPr>
              <w:ind w:right="113"/>
              <w:rPr>
                <w:rFonts w:eastAsia="Times New Roman" w:cstheme="minorHAnsi"/>
                <w:lang w:eastAsia="en-AU"/>
              </w:rPr>
            </w:pPr>
            <w:r w:rsidRPr="000B05D8">
              <w:rPr>
                <w:rFonts w:eastAsia="Times New Roman" w:cstheme="minorHAnsi"/>
                <w:lang w:eastAsia="en-AU"/>
              </w:rPr>
              <w:t>Visa holders with working rights attached</w:t>
            </w:r>
            <w:r w:rsidR="00204620">
              <w:rPr>
                <w:rFonts w:eastAsia="Times New Roman" w:cstheme="minorHAnsi"/>
                <w:lang w:eastAsia="en-AU"/>
              </w:rPr>
              <w:t xml:space="preserve"> are eligible for </w:t>
            </w:r>
            <w:r w:rsidR="000D56B8">
              <w:rPr>
                <w:rFonts w:eastAsia="Times New Roman" w:cstheme="minorHAnsi"/>
                <w:lang w:eastAsia="en-AU"/>
              </w:rPr>
              <w:t>the New Employment Services Trial</w:t>
            </w:r>
            <w:r w:rsidR="00204620">
              <w:rPr>
                <w:rFonts w:eastAsia="Times New Roman" w:cstheme="minorHAnsi"/>
                <w:lang w:eastAsia="en-AU"/>
              </w:rPr>
              <w:t xml:space="preserve"> if they are</w:t>
            </w:r>
            <w:r w:rsidR="004E6572">
              <w:rPr>
                <w:rFonts w:eastAsia="Times New Roman" w:cstheme="minorHAnsi"/>
                <w:lang w:eastAsia="en-AU"/>
              </w:rPr>
              <w:t xml:space="preserve"> in receipt of</w:t>
            </w:r>
            <w:r w:rsidRPr="000B05D8">
              <w:rPr>
                <w:rFonts w:eastAsia="Times New Roman" w:cstheme="minorHAnsi"/>
                <w:lang w:eastAsia="en-AU"/>
              </w:rPr>
              <w:t xml:space="preserve"> an income support payment </w:t>
            </w:r>
            <w:r w:rsidR="004E6572">
              <w:rPr>
                <w:rFonts w:eastAsia="Times New Roman" w:cstheme="minorHAnsi"/>
                <w:lang w:eastAsia="en-AU"/>
              </w:rPr>
              <w:t>type that would otherwise</w:t>
            </w:r>
            <w:r>
              <w:rPr>
                <w:rFonts w:eastAsia="Times New Roman" w:cstheme="minorHAnsi"/>
                <w:lang w:eastAsia="en-AU"/>
              </w:rPr>
              <w:t xml:space="preserve"> </w:t>
            </w:r>
            <w:r w:rsidR="004E6572">
              <w:rPr>
                <w:rFonts w:eastAsia="Times New Roman" w:cstheme="minorHAnsi"/>
                <w:lang w:eastAsia="en-AU"/>
              </w:rPr>
              <w:t xml:space="preserve">make them eligible for Enhanced Services. </w:t>
            </w:r>
            <w:r w:rsidR="004E6572" w:rsidRPr="00A62B48">
              <w:rPr>
                <w:rFonts w:eastAsia="Times New Roman" w:cstheme="minorHAnsi"/>
                <w:lang w:eastAsia="en-AU"/>
              </w:rPr>
              <w:t>Other rows in this tab</w:t>
            </w:r>
            <w:r w:rsidR="004E6572">
              <w:rPr>
                <w:rFonts w:eastAsia="Times New Roman" w:cstheme="minorHAnsi"/>
                <w:lang w:eastAsia="en-AU"/>
              </w:rPr>
              <w:t xml:space="preserve">le specify </w:t>
            </w:r>
            <w:r w:rsidR="004E6572" w:rsidRPr="00B77FC8">
              <w:rPr>
                <w:rFonts w:eastAsia="Times New Roman" w:cstheme="minorHAnsi"/>
                <w:lang w:eastAsia="en-AU"/>
              </w:rPr>
              <w:t xml:space="preserve">income support </w:t>
            </w:r>
            <w:r w:rsidR="004E6572" w:rsidRPr="00463869">
              <w:rPr>
                <w:rFonts w:eastAsia="Times New Roman" w:cstheme="minorHAnsi"/>
                <w:lang w:eastAsia="en-AU"/>
              </w:rPr>
              <w:t xml:space="preserve">payment </w:t>
            </w:r>
            <w:r w:rsidR="004E6572">
              <w:rPr>
                <w:rFonts w:eastAsia="Times New Roman" w:cstheme="minorHAnsi"/>
                <w:lang w:eastAsia="en-AU"/>
              </w:rPr>
              <w:t>types that</w:t>
            </w:r>
            <w:r w:rsidR="004E6572" w:rsidRPr="001D3FE9">
              <w:rPr>
                <w:rFonts w:eastAsia="Times New Roman" w:cstheme="minorHAnsi"/>
                <w:lang w:eastAsia="en-AU"/>
              </w:rPr>
              <w:t xml:space="preserve"> </w:t>
            </w:r>
            <w:r w:rsidR="004E6572">
              <w:rPr>
                <w:rFonts w:eastAsia="Times New Roman" w:cstheme="minorHAnsi"/>
                <w:lang w:eastAsia="en-AU"/>
              </w:rPr>
              <w:t xml:space="preserve">make </w:t>
            </w:r>
            <w:r w:rsidR="00A20B33">
              <w:rPr>
                <w:rFonts w:eastAsia="Times New Roman" w:cstheme="minorHAnsi"/>
                <w:lang w:eastAsia="en-AU"/>
              </w:rPr>
              <w:t>Participant</w:t>
            </w:r>
            <w:r w:rsidR="004E6572">
              <w:rPr>
                <w:rFonts w:eastAsia="Times New Roman" w:cstheme="minorHAnsi"/>
                <w:lang w:eastAsia="en-AU"/>
              </w:rPr>
              <w:t xml:space="preserve">s eligible for </w:t>
            </w:r>
            <w:r w:rsidR="000D56B8">
              <w:rPr>
                <w:rFonts w:eastAsia="Times New Roman" w:cstheme="minorHAnsi"/>
                <w:lang w:eastAsia="en-AU"/>
              </w:rPr>
              <w:t>NEST</w:t>
            </w:r>
            <w:r>
              <w:rPr>
                <w:rFonts w:eastAsia="Times New Roman" w:cstheme="minorHAnsi"/>
                <w:lang w:eastAsia="en-AU"/>
              </w:rPr>
              <w:t>.</w:t>
            </w:r>
          </w:p>
          <w:p w14:paraId="2C4DFF73" w14:textId="77777777" w:rsidR="00544F99" w:rsidRPr="000B05D8" w:rsidRDefault="00544F99" w:rsidP="00544F99">
            <w:pPr>
              <w:ind w:right="113"/>
              <w:rPr>
                <w:rFonts w:eastAsia="Times New Roman" w:cstheme="minorHAnsi"/>
                <w:lang w:eastAsia="en-AU"/>
              </w:rPr>
            </w:pPr>
          </w:p>
          <w:p w14:paraId="474DB7A4" w14:textId="77777777" w:rsidR="00544F99" w:rsidRDefault="00544F99" w:rsidP="004302D9">
            <w:pPr>
              <w:ind w:right="113"/>
              <w:rPr>
                <w:rFonts w:eastAsia="Times New Roman" w:cstheme="minorHAnsi"/>
                <w:b/>
                <w:lang w:eastAsia="en-AU"/>
              </w:rPr>
            </w:pPr>
            <w:r w:rsidRPr="000B05D8">
              <w:rPr>
                <w:rFonts w:eastAsia="Times New Roman" w:cstheme="minorHAnsi"/>
                <w:b/>
                <w:lang w:eastAsia="en-AU"/>
              </w:rPr>
              <w:t xml:space="preserve">New Zealand non-protected Special Category Visa holders in receipt of </w:t>
            </w:r>
            <w:r w:rsidR="004302D9">
              <w:rPr>
                <w:rFonts w:eastAsia="Times New Roman" w:cstheme="minorHAnsi"/>
                <w:b/>
                <w:lang w:eastAsia="en-AU"/>
              </w:rPr>
              <w:t>JobSeeker Payment</w:t>
            </w:r>
            <w:r w:rsidRPr="000B05D8">
              <w:rPr>
                <w:rFonts w:eastAsia="Times New Roman" w:cstheme="minorHAnsi"/>
                <w:b/>
                <w:lang w:eastAsia="en-AU"/>
              </w:rPr>
              <w:t xml:space="preserve"> or Youth Allowance (Other)</w:t>
            </w:r>
            <w:r>
              <w:rPr>
                <w:rFonts w:eastAsia="Times New Roman" w:cstheme="minorHAnsi"/>
                <w:b/>
                <w:lang w:eastAsia="en-AU"/>
              </w:rPr>
              <w:t xml:space="preserve"> </w:t>
            </w:r>
          </w:p>
          <w:p w14:paraId="0B8AF8C1" w14:textId="77777777" w:rsidR="00AF09E8" w:rsidRDefault="00AF09E8" w:rsidP="00AF09E8">
            <w:pPr>
              <w:ind w:right="113"/>
              <w:rPr>
                <w:rFonts w:eastAsia="Times New Roman" w:cstheme="minorHAnsi"/>
                <w:lang w:eastAsia="en-AU"/>
              </w:rPr>
            </w:pPr>
            <w:r w:rsidRPr="00F9767D">
              <w:rPr>
                <w:rFonts w:eastAsia="Times New Roman" w:cstheme="minorHAnsi"/>
                <w:lang w:eastAsia="en-AU"/>
              </w:rPr>
              <w:t>Eligible for either Digital or Enhanced Services</w:t>
            </w:r>
          </w:p>
          <w:p w14:paraId="6D75C659" w14:textId="77777777" w:rsidR="00AF09E8" w:rsidRPr="000B05D8" w:rsidRDefault="00AF09E8" w:rsidP="004302D9">
            <w:pPr>
              <w:ind w:right="113"/>
              <w:rPr>
                <w:rFonts w:eastAsia="Times New Roman" w:cstheme="minorHAnsi"/>
                <w:lang w:eastAsia="en-AU"/>
              </w:rPr>
            </w:pPr>
          </w:p>
        </w:tc>
        <w:tc>
          <w:tcPr>
            <w:tcW w:w="7087" w:type="dxa"/>
            <w:tcBorders>
              <w:top w:val="single" w:sz="4" w:space="0" w:color="auto"/>
              <w:left w:val="single" w:sz="4" w:space="0" w:color="auto"/>
              <w:bottom w:val="single" w:sz="4" w:space="0" w:color="auto"/>
              <w:right w:val="single" w:sz="4" w:space="0" w:color="auto"/>
            </w:tcBorders>
          </w:tcPr>
          <w:p w14:paraId="5A47340D" w14:textId="77777777" w:rsidR="004E6572" w:rsidRDefault="004E6572" w:rsidP="004E6572">
            <w:pPr>
              <w:ind w:right="113"/>
              <w:rPr>
                <w:rFonts w:eastAsia="Times New Roman" w:cstheme="minorHAnsi"/>
                <w:b/>
                <w:lang w:eastAsia="en-AU"/>
              </w:rPr>
            </w:pPr>
            <w:r>
              <w:rPr>
                <w:rFonts w:eastAsia="Times New Roman" w:cstheme="minorHAnsi"/>
                <w:b/>
                <w:lang w:eastAsia="en-AU"/>
              </w:rPr>
              <w:t>Visa holders with working rights attached, not on income support, including temporary residents</w:t>
            </w:r>
          </w:p>
          <w:p w14:paraId="78A4A9F7" w14:textId="77777777" w:rsidR="004E6572" w:rsidRDefault="004E6572" w:rsidP="004E6572">
            <w:pPr>
              <w:ind w:right="113"/>
              <w:rPr>
                <w:rFonts w:eastAsia="Times New Roman" w:cstheme="minorHAnsi"/>
                <w:lang w:eastAsia="en-AU"/>
              </w:rPr>
            </w:pPr>
            <w:r>
              <w:rPr>
                <w:rFonts w:eastAsia="Times New Roman" w:cstheme="minorHAnsi"/>
                <w:lang w:eastAsia="en-AU"/>
              </w:rPr>
              <w:t>With the exception of working holiday visas.</w:t>
            </w:r>
          </w:p>
          <w:p w14:paraId="6019615D" w14:textId="77777777" w:rsidR="004E6572" w:rsidRDefault="004E6572" w:rsidP="004E6572">
            <w:pPr>
              <w:ind w:right="113"/>
              <w:rPr>
                <w:rFonts w:eastAsia="Times New Roman" w:cstheme="minorHAnsi"/>
                <w:lang w:eastAsia="en-AU"/>
              </w:rPr>
            </w:pPr>
          </w:p>
          <w:p w14:paraId="48B917B5" w14:textId="77777777" w:rsidR="004E6572" w:rsidRDefault="004E6572" w:rsidP="004E6572">
            <w:pPr>
              <w:ind w:right="113"/>
              <w:rPr>
                <w:rFonts w:eastAsia="Times New Roman" w:cstheme="minorHAnsi"/>
                <w:b/>
                <w:lang w:eastAsia="en-AU"/>
              </w:rPr>
            </w:pPr>
            <w:r>
              <w:rPr>
                <w:rFonts w:eastAsia="Times New Roman" w:cstheme="minorHAnsi"/>
                <w:b/>
                <w:lang w:eastAsia="en-AU"/>
              </w:rPr>
              <w:t>Visa holders with working rights attached, who are on an income support payment listed in the section of this table titled Other Income Support without Participation requirements</w:t>
            </w:r>
          </w:p>
          <w:p w14:paraId="7FCF5C4F" w14:textId="77777777" w:rsidR="004E6572" w:rsidRDefault="004E6572" w:rsidP="004E6572">
            <w:pPr>
              <w:ind w:right="113"/>
              <w:rPr>
                <w:rFonts w:eastAsia="Times New Roman" w:cstheme="minorHAnsi"/>
                <w:lang w:eastAsia="en-AU"/>
              </w:rPr>
            </w:pPr>
          </w:p>
          <w:p w14:paraId="51152F92" w14:textId="77777777" w:rsidR="004E6572" w:rsidRDefault="004E6572" w:rsidP="004E6572">
            <w:pPr>
              <w:ind w:left="284" w:right="113"/>
              <w:rPr>
                <w:rFonts w:eastAsia="Times New Roman" w:cstheme="minorHAnsi"/>
                <w:b/>
                <w:lang w:eastAsia="en-AU"/>
              </w:rPr>
            </w:pPr>
          </w:p>
          <w:p w14:paraId="34CECB08" w14:textId="77777777" w:rsidR="00544F99" w:rsidRPr="000B05D8" w:rsidRDefault="004E6572" w:rsidP="00544F99">
            <w:pPr>
              <w:ind w:right="113"/>
              <w:rPr>
                <w:rFonts w:eastAsia="Times New Roman" w:cstheme="minorHAnsi"/>
                <w:b/>
                <w:lang w:eastAsia="en-AU"/>
              </w:rPr>
            </w:pPr>
            <w:r w:rsidRPr="00F8683E">
              <w:rPr>
                <w:rFonts w:eastAsia="Times New Roman" w:cstheme="minorHAnsi"/>
                <w:b/>
                <w:lang w:eastAsia="en-AU"/>
              </w:rPr>
              <w:t>Migrants serving a Newly Arrived Residents Waiting Period</w:t>
            </w:r>
          </w:p>
        </w:tc>
        <w:tc>
          <w:tcPr>
            <w:tcW w:w="4536" w:type="dxa"/>
            <w:tcBorders>
              <w:top w:val="single" w:sz="4" w:space="0" w:color="auto"/>
              <w:left w:val="single" w:sz="4" w:space="0" w:color="auto"/>
              <w:bottom w:val="single" w:sz="4" w:space="0" w:color="auto"/>
              <w:right w:val="single" w:sz="4" w:space="0" w:color="auto"/>
            </w:tcBorders>
          </w:tcPr>
          <w:p w14:paraId="7C4FC752" w14:textId="77777777" w:rsidR="00544F99" w:rsidRPr="000B05D8" w:rsidRDefault="00544F99" w:rsidP="00544F99">
            <w:pPr>
              <w:ind w:right="113"/>
              <w:rPr>
                <w:rFonts w:eastAsia="Times New Roman" w:cstheme="minorHAnsi"/>
                <w:b/>
                <w:lang w:eastAsia="en-AU"/>
              </w:rPr>
            </w:pPr>
            <w:r w:rsidRPr="000B05D8">
              <w:rPr>
                <w:rFonts w:eastAsia="Times New Roman" w:cstheme="minorHAnsi"/>
                <w:b/>
                <w:lang w:eastAsia="en-AU"/>
              </w:rPr>
              <w:t>Visa holders without working rights (including temporary residents)</w:t>
            </w:r>
          </w:p>
          <w:p w14:paraId="1B9E97B1" w14:textId="77777777" w:rsidR="00544F99" w:rsidRPr="000B05D8" w:rsidRDefault="00544F99" w:rsidP="00544F99">
            <w:pPr>
              <w:ind w:left="284" w:right="113"/>
              <w:rPr>
                <w:rFonts w:eastAsia="Times New Roman" w:cstheme="minorHAnsi"/>
                <w:b/>
                <w:lang w:eastAsia="en-AU"/>
              </w:rPr>
            </w:pPr>
          </w:p>
          <w:p w14:paraId="2E2E215E" w14:textId="02B49E93" w:rsidR="00544F99" w:rsidRPr="000B05D8" w:rsidRDefault="00544F99" w:rsidP="00D87BD7">
            <w:pPr>
              <w:ind w:right="113"/>
              <w:rPr>
                <w:rFonts w:eastAsia="Times New Roman" w:cstheme="minorHAnsi"/>
                <w:lang w:eastAsia="en-AU"/>
              </w:rPr>
            </w:pPr>
            <w:r w:rsidRPr="000B05D8">
              <w:rPr>
                <w:rFonts w:eastAsia="Times New Roman" w:cstheme="minorHAnsi"/>
                <w:b/>
                <w:lang w:eastAsia="en-AU"/>
              </w:rPr>
              <w:t xml:space="preserve">Overseas visitors on working holiday visas </w:t>
            </w:r>
            <w:r w:rsidRPr="000B05D8">
              <w:rPr>
                <w:rFonts w:eastAsia="Times New Roman" w:cstheme="minorHAnsi"/>
                <w:lang w:eastAsia="en-AU"/>
              </w:rPr>
              <w:t>are</w:t>
            </w:r>
            <w:r>
              <w:rPr>
                <w:rFonts w:eastAsia="Times New Roman" w:cstheme="minorHAnsi"/>
                <w:lang w:eastAsia="en-AU"/>
              </w:rPr>
              <w:t xml:space="preserve"> </w:t>
            </w:r>
            <w:r w:rsidRPr="000B05D8">
              <w:rPr>
                <w:rFonts w:eastAsia="Times New Roman" w:cstheme="minorHAnsi"/>
                <w:lang w:eastAsia="en-AU"/>
              </w:rPr>
              <w:t xml:space="preserve">Eligible for Harvest </w:t>
            </w:r>
            <w:r w:rsidR="00D87BD7">
              <w:rPr>
                <w:rFonts w:eastAsia="Times New Roman" w:cstheme="minorHAnsi"/>
                <w:lang w:eastAsia="en-AU"/>
              </w:rPr>
              <w:t>Trail</w:t>
            </w:r>
            <w:r w:rsidR="00D87BD7" w:rsidRPr="000B05D8">
              <w:rPr>
                <w:rFonts w:eastAsia="Times New Roman" w:cstheme="minorHAnsi"/>
                <w:lang w:eastAsia="en-AU"/>
              </w:rPr>
              <w:t xml:space="preserve"> </w:t>
            </w:r>
            <w:r w:rsidRPr="000B05D8">
              <w:rPr>
                <w:rFonts w:eastAsia="Times New Roman" w:cstheme="minorHAnsi"/>
                <w:lang w:eastAsia="en-AU"/>
              </w:rPr>
              <w:t>Services only</w:t>
            </w:r>
          </w:p>
        </w:tc>
      </w:tr>
      <w:tr w:rsidR="00B80CBF" w:rsidRPr="000B05D8" w14:paraId="29B38B9D" w14:textId="77777777" w:rsidTr="00462D22">
        <w:trPr>
          <w:trHeight w:val="1147"/>
          <w:jc w:val="center"/>
        </w:trPr>
        <w:tc>
          <w:tcPr>
            <w:tcW w:w="1413" w:type="dxa"/>
            <w:tcBorders>
              <w:top w:val="single" w:sz="4" w:space="0" w:color="auto"/>
              <w:left w:val="single" w:sz="4" w:space="0" w:color="auto"/>
              <w:bottom w:val="single" w:sz="4" w:space="0" w:color="auto"/>
              <w:right w:val="single" w:sz="4" w:space="0" w:color="auto"/>
            </w:tcBorders>
            <w:textDirection w:val="btLr"/>
          </w:tcPr>
          <w:p w14:paraId="5F0845C0" w14:textId="77777777" w:rsidR="00B80CBF" w:rsidRPr="000B05D8" w:rsidRDefault="00B80CBF" w:rsidP="00B80CBF">
            <w:pPr>
              <w:ind w:left="284" w:right="113"/>
              <w:rPr>
                <w:rFonts w:eastAsia="Times New Roman" w:cstheme="minorHAnsi"/>
                <w:b/>
                <w:lang w:eastAsia="en-AU"/>
              </w:rPr>
            </w:pPr>
            <w:r w:rsidRPr="000B05D8">
              <w:rPr>
                <w:rFonts w:eastAsia="Times New Roman" w:cstheme="minorHAnsi"/>
                <w:b/>
                <w:lang w:eastAsia="en-AU"/>
              </w:rPr>
              <w:t>Newly Arrived Refugees</w:t>
            </w:r>
          </w:p>
        </w:tc>
        <w:tc>
          <w:tcPr>
            <w:tcW w:w="8618" w:type="dxa"/>
            <w:tcBorders>
              <w:top w:val="single" w:sz="4" w:space="0" w:color="auto"/>
              <w:left w:val="single" w:sz="4" w:space="0" w:color="auto"/>
              <w:bottom w:val="single" w:sz="4" w:space="0" w:color="auto"/>
              <w:right w:val="single" w:sz="4" w:space="0" w:color="auto"/>
            </w:tcBorders>
          </w:tcPr>
          <w:p w14:paraId="5B68BD8D" w14:textId="77777777" w:rsidR="00AF09E8" w:rsidRPr="004032D0" w:rsidRDefault="00AF09E8" w:rsidP="00AF09E8">
            <w:pPr>
              <w:ind w:right="113"/>
              <w:rPr>
                <w:rFonts w:eastAsia="Times New Roman" w:cstheme="minorHAnsi"/>
                <w:b/>
                <w:bCs/>
                <w:lang w:eastAsia="en-AU"/>
              </w:rPr>
            </w:pPr>
            <w:r w:rsidRPr="004032D0">
              <w:rPr>
                <w:rFonts w:eastAsia="Times New Roman" w:cstheme="minorHAnsi"/>
                <w:b/>
                <w:bCs/>
                <w:lang w:eastAsia="en-AU"/>
              </w:rPr>
              <w:t>Eligible for either Digital or Enhanced Services</w:t>
            </w:r>
          </w:p>
          <w:p w14:paraId="5C3CAC27" w14:textId="77777777" w:rsidR="00AF09E8" w:rsidRPr="004032D0" w:rsidRDefault="00AF09E8" w:rsidP="004302D9">
            <w:pPr>
              <w:ind w:right="113"/>
              <w:rPr>
                <w:rFonts w:eastAsia="Times New Roman" w:cstheme="minorHAnsi"/>
                <w:b/>
                <w:bCs/>
                <w:lang w:eastAsia="en-AU"/>
              </w:rPr>
            </w:pPr>
          </w:p>
          <w:p w14:paraId="1EA53D85" w14:textId="77777777" w:rsidR="00B80CBF" w:rsidRPr="008A6EFF" w:rsidRDefault="004302D9" w:rsidP="004302D9">
            <w:pPr>
              <w:ind w:right="113"/>
              <w:rPr>
                <w:rFonts w:eastAsia="Times New Roman" w:cstheme="minorHAnsi"/>
                <w:lang w:eastAsia="en-AU"/>
              </w:rPr>
            </w:pPr>
            <w:r>
              <w:rPr>
                <w:rFonts w:eastAsia="Times New Roman" w:cstheme="minorHAnsi"/>
                <w:lang w:eastAsia="en-AU"/>
              </w:rPr>
              <w:t>N</w:t>
            </w:r>
            <w:r w:rsidR="00B80CBF" w:rsidRPr="008A6EFF">
              <w:rPr>
                <w:rFonts w:eastAsia="Times New Roman" w:cstheme="minorHAnsi"/>
                <w:lang w:eastAsia="en-AU"/>
              </w:rPr>
              <w:t xml:space="preserve">ewly arrived refugees </w:t>
            </w:r>
            <w:r>
              <w:rPr>
                <w:rFonts w:eastAsia="Times New Roman" w:cstheme="minorHAnsi"/>
                <w:lang w:eastAsia="en-AU"/>
              </w:rPr>
              <w:t xml:space="preserve">are </w:t>
            </w:r>
            <w:r w:rsidR="00B80CBF" w:rsidRPr="008A6EFF">
              <w:rPr>
                <w:rFonts w:eastAsia="Times New Roman" w:cstheme="minorHAnsi"/>
                <w:lang w:eastAsia="en-AU"/>
              </w:rPr>
              <w:t xml:space="preserve">able to voluntarily participate in the appropriate level of service based on their assessment (Digital Services or Enhanced Services) </w:t>
            </w:r>
            <w:r w:rsidR="00B80CBF" w:rsidRPr="008A6EFF">
              <w:t xml:space="preserve">for 12 months after they have started on income support. During this </w:t>
            </w:r>
            <w:r w:rsidR="00B80CBF">
              <w:t>12 months</w:t>
            </w:r>
            <w:r w:rsidR="00B80CBF" w:rsidRPr="008A6EFF">
              <w:t xml:space="preserve"> they are not required to participate in NEST. Standard eligibility and Mutual Obligation rules would apply after the end of this period.</w:t>
            </w:r>
            <w:r w:rsidR="00B80CBF" w:rsidRPr="008A6EFF">
              <w:rPr>
                <w:rFonts w:eastAsia="Times New Roman" w:cstheme="minorHAnsi"/>
                <w:lang w:eastAsia="en-AU"/>
              </w:rPr>
              <w:t xml:space="preserve"> </w:t>
            </w:r>
          </w:p>
        </w:tc>
        <w:tc>
          <w:tcPr>
            <w:tcW w:w="708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435D9A1" w14:textId="77777777" w:rsidR="00B80CBF" w:rsidRPr="006B6A55" w:rsidRDefault="00B80CBF" w:rsidP="00B80CBF">
            <w:pPr>
              <w:ind w:right="113"/>
            </w:pPr>
            <w:r w:rsidRPr="006B6A55">
              <w:t>Not applicable</w:t>
            </w:r>
          </w:p>
        </w:tc>
        <w:tc>
          <w:tcPr>
            <w:tcW w:w="453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0EAC5CF" w14:textId="77777777" w:rsidR="00B80CBF" w:rsidRPr="006B6A55" w:rsidRDefault="00B80CBF" w:rsidP="006B6A55">
            <w:pPr>
              <w:ind w:right="113"/>
            </w:pPr>
            <w:r w:rsidRPr="006B6A55">
              <w:t>Not applicable</w:t>
            </w:r>
          </w:p>
        </w:tc>
      </w:tr>
      <w:tr w:rsidR="00B80CBF" w:rsidRPr="000B05D8" w14:paraId="2AC407EF" w14:textId="77777777" w:rsidTr="00462D22">
        <w:trPr>
          <w:trHeight w:val="1147"/>
          <w:jc w:val="center"/>
        </w:trPr>
        <w:tc>
          <w:tcPr>
            <w:tcW w:w="1413" w:type="dxa"/>
            <w:tcBorders>
              <w:top w:val="single" w:sz="4" w:space="0" w:color="auto"/>
              <w:left w:val="single" w:sz="4" w:space="0" w:color="auto"/>
              <w:bottom w:val="single" w:sz="4" w:space="0" w:color="auto"/>
              <w:right w:val="single" w:sz="4" w:space="0" w:color="auto"/>
            </w:tcBorders>
            <w:textDirection w:val="btLr"/>
            <w:hideMark/>
          </w:tcPr>
          <w:p w14:paraId="67FFD1B6" w14:textId="77777777" w:rsidR="00B80CBF" w:rsidRPr="000B05D8" w:rsidRDefault="00B80CBF" w:rsidP="00B80CBF">
            <w:pPr>
              <w:ind w:left="284" w:right="113"/>
              <w:rPr>
                <w:rFonts w:eastAsia="Times New Roman" w:cstheme="minorHAnsi"/>
                <w:b/>
                <w:lang w:eastAsia="en-AU"/>
              </w:rPr>
            </w:pPr>
            <w:r>
              <w:rPr>
                <w:rFonts w:eastAsia="Times New Roman" w:cstheme="minorHAnsi"/>
                <w:b/>
                <w:lang w:eastAsia="en-AU"/>
              </w:rPr>
              <w:t>Special Benefit</w:t>
            </w:r>
          </w:p>
        </w:tc>
        <w:tc>
          <w:tcPr>
            <w:tcW w:w="8618" w:type="dxa"/>
            <w:tcBorders>
              <w:top w:val="single" w:sz="4" w:space="0" w:color="auto"/>
              <w:left w:val="single" w:sz="4" w:space="0" w:color="auto"/>
              <w:bottom w:val="single" w:sz="4" w:space="0" w:color="auto"/>
              <w:right w:val="single" w:sz="4" w:space="0" w:color="auto"/>
            </w:tcBorders>
          </w:tcPr>
          <w:p w14:paraId="5C1D1E7D" w14:textId="77777777" w:rsidR="00AF09E8" w:rsidRPr="004032D0" w:rsidRDefault="00AF09E8" w:rsidP="00AF09E8">
            <w:pPr>
              <w:ind w:right="113"/>
              <w:rPr>
                <w:rFonts w:eastAsia="Times New Roman" w:cstheme="minorHAnsi"/>
                <w:b/>
                <w:bCs/>
                <w:lang w:eastAsia="en-AU"/>
              </w:rPr>
            </w:pPr>
            <w:r w:rsidRPr="004032D0">
              <w:rPr>
                <w:rFonts w:eastAsia="Times New Roman" w:cstheme="minorHAnsi"/>
                <w:b/>
                <w:bCs/>
                <w:lang w:eastAsia="en-AU"/>
              </w:rPr>
              <w:t>Eligible for either Digital or Enhanced Services</w:t>
            </w:r>
          </w:p>
          <w:p w14:paraId="64278669" w14:textId="77777777" w:rsidR="00AF09E8" w:rsidRDefault="00AF09E8" w:rsidP="000D56B8">
            <w:pPr>
              <w:ind w:right="113"/>
              <w:rPr>
                <w:rFonts w:eastAsia="Times New Roman" w:cstheme="minorHAnsi"/>
                <w:lang w:eastAsia="en-AU"/>
              </w:rPr>
            </w:pPr>
          </w:p>
          <w:p w14:paraId="66FAB828" w14:textId="2ED0D4A6" w:rsidR="00392FD3" w:rsidRDefault="00392FD3" w:rsidP="00392FD3">
            <w:pPr>
              <w:ind w:right="113"/>
              <w:rPr>
                <w:rFonts w:eastAsia="Times New Roman" w:cstheme="minorHAnsi"/>
                <w:lang w:eastAsia="en-AU"/>
              </w:rPr>
            </w:pPr>
            <w:r>
              <w:rPr>
                <w:rFonts w:eastAsia="Times New Roman" w:cstheme="minorHAnsi"/>
                <w:lang w:eastAsia="en-AU"/>
              </w:rPr>
              <w:t>S</w:t>
            </w:r>
            <w:r w:rsidRPr="00392FD3">
              <w:rPr>
                <w:rFonts w:eastAsia="Times New Roman" w:cstheme="minorHAnsi"/>
                <w:lang w:eastAsia="en-AU"/>
              </w:rPr>
              <w:t xml:space="preserve">pecial Benefit recipients who are Nominated Visa Holders have the same mutual obligation requirements, and consequences for non-compliance as Job Seeker Payment and Youth Allowance (Other) recipients. </w:t>
            </w:r>
          </w:p>
          <w:p w14:paraId="77771796" w14:textId="77777777" w:rsidR="00392FD3" w:rsidRPr="00392FD3" w:rsidRDefault="00392FD3" w:rsidP="00392FD3">
            <w:pPr>
              <w:ind w:right="113"/>
              <w:rPr>
                <w:rFonts w:eastAsia="Times New Roman" w:cstheme="minorHAnsi"/>
                <w:lang w:eastAsia="en-AU"/>
              </w:rPr>
            </w:pPr>
          </w:p>
          <w:p w14:paraId="32A9FA7D" w14:textId="53893FBA" w:rsidR="00F05F5E" w:rsidRDefault="00392FD3" w:rsidP="007622F8">
            <w:pPr>
              <w:ind w:right="113"/>
              <w:rPr>
                <w:rFonts w:eastAsia="Times New Roman" w:cstheme="minorHAnsi"/>
                <w:lang w:eastAsia="en-AU"/>
              </w:rPr>
            </w:pPr>
            <w:r w:rsidRPr="00392FD3">
              <w:rPr>
                <w:rFonts w:eastAsia="Times New Roman" w:cstheme="minorHAnsi"/>
                <w:lang w:eastAsia="en-AU"/>
              </w:rPr>
              <w:t>Special Benefit recipients, who are not Nominated Visa Holders, but are capable of looking for and undertaking work must be connected to employment services and have voluntary requirements.</w:t>
            </w:r>
            <w:r w:rsidR="00934732">
              <w:rPr>
                <w:rFonts w:eastAsia="Times New Roman" w:cstheme="minorHAnsi"/>
                <w:lang w:eastAsia="en-AU"/>
              </w:rPr>
              <w:t xml:space="preserve"> </w:t>
            </w:r>
            <w:r w:rsidR="00934732" w:rsidRPr="00934732">
              <w:rPr>
                <w:rFonts w:eastAsia="Times New Roman" w:cstheme="minorHAnsi"/>
                <w:lang w:eastAsia="en-AU"/>
              </w:rPr>
              <w:t>In order to remain qualified for their income support payment, these Participants must remain connected to employment services either through Digital Services or with a Trial Provider.</w:t>
            </w:r>
          </w:p>
          <w:p w14:paraId="5B5C64A7" w14:textId="12D28E4E" w:rsidR="00B80CBF" w:rsidRPr="008A6EFF" w:rsidRDefault="00B80CBF" w:rsidP="007622F8">
            <w:pPr>
              <w:ind w:right="113"/>
              <w:rPr>
                <w:rFonts w:eastAsia="Times New Roman" w:cstheme="minorHAnsi"/>
                <w:lang w:eastAsia="en-AU"/>
              </w:rPr>
            </w:pPr>
          </w:p>
        </w:tc>
        <w:tc>
          <w:tcPr>
            <w:tcW w:w="708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28E33D6" w14:textId="77777777" w:rsidR="00B80CBF" w:rsidRPr="006B6A55" w:rsidRDefault="00B80CBF" w:rsidP="006B6A55">
            <w:pPr>
              <w:ind w:right="113"/>
            </w:pPr>
            <w:r w:rsidRPr="006B6A55">
              <w:t>Not applicable</w:t>
            </w:r>
          </w:p>
        </w:tc>
        <w:tc>
          <w:tcPr>
            <w:tcW w:w="453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4675210" w14:textId="77777777" w:rsidR="00B80CBF" w:rsidRPr="006B6A55" w:rsidRDefault="00B80CBF" w:rsidP="006B6A55">
            <w:pPr>
              <w:ind w:right="113"/>
            </w:pPr>
            <w:r w:rsidRPr="006B6A55">
              <w:t>Not applicable</w:t>
            </w:r>
          </w:p>
        </w:tc>
      </w:tr>
      <w:tr w:rsidR="00B80CBF" w:rsidRPr="000B05D8" w14:paraId="7F894C6C" w14:textId="77777777" w:rsidTr="00462D22">
        <w:trPr>
          <w:trHeight w:val="1988"/>
          <w:jc w:val="center"/>
        </w:trPr>
        <w:tc>
          <w:tcPr>
            <w:tcW w:w="1413" w:type="dxa"/>
            <w:tcBorders>
              <w:top w:val="single" w:sz="4" w:space="0" w:color="auto"/>
              <w:left w:val="single" w:sz="4" w:space="0" w:color="auto"/>
              <w:bottom w:val="single" w:sz="4" w:space="0" w:color="auto"/>
              <w:right w:val="single" w:sz="4" w:space="0" w:color="auto"/>
            </w:tcBorders>
            <w:textDirection w:val="btLr"/>
            <w:hideMark/>
          </w:tcPr>
          <w:p w14:paraId="3D711751" w14:textId="77777777" w:rsidR="00B80CBF" w:rsidRPr="000B05D8" w:rsidRDefault="00B80CBF" w:rsidP="00B80CBF">
            <w:pPr>
              <w:ind w:left="284" w:right="113"/>
              <w:jc w:val="center"/>
              <w:rPr>
                <w:rFonts w:eastAsia="Times New Roman" w:cstheme="minorHAnsi"/>
                <w:b/>
                <w:lang w:eastAsia="en-AU"/>
              </w:rPr>
            </w:pPr>
            <w:r>
              <w:rPr>
                <w:rFonts w:eastAsia="Times New Roman" w:cstheme="minorHAnsi"/>
                <w:b/>
                <w:lang w:eastAsia="en-AU"/>
              </w:rPr>
              <w:t>Mature Age</w:t>
            </w:r>
            <w:r w:rsidRPr="000B05D8" w:rsidDel="003404AB">
              <w:rPr>
                <w:rFonts w:eastAsia="Times New Roman" w:cstheme="minorHAnsi"/>
                <w:b/>
                <w:lang w:eastAsia="en-AU"/>
              </w:rPr>
              <w:t xml:space="preserve"> </w:t>
            </w:r>
          </w:p>
        </w:tc>
        <w:tc>
          <w:tcPr>
            <w:tcW w:w="8618" w:type="dxa"/>
            <w:tcBorders>
              <w:top w:val="single" w:sz="4" w:space="0" w:color="auto"/>
              <w:left w:val="single" w:sz="4" w:space="0" w:color="auto"/>
              <w:bottom w:val="single" w:sz="4" w:space="0" w:color="auto"/>
              <w:right w:val="single" w:sz="4" w:space="0" w:color="auto"/>
            </w:tcBorders>
          </w:tcPr>
          <w:p w14:paraId="369860CF" w14:textId="6BBA37F6" w:rsidR="00B80CBF" w:rsidRDefault="00B80CBF" w:rsidP="00B80CBF">
            <w:pPr>
              <w:ind w:right="113"/>
              <w:rPr>
                <w:rFonts w:eastAsia="Times New Roman" w:cstheme="minorHAnsi"/>
                <w:b/>
                <w:lang w:eastAsia="en-AU"/>
              </w:rPr>
            </w:pPr>
            <w:r>
              <w:rPr>
                <w:rFonts w:eastAsia="Times New Roman" w:cstheme="minorHAnsi"/>
                <w:b/>
                <w:lang w:eastAsia="en-AU"/>
              </w:rPr>
              <w:t xml:space="preserve">Mature-age (aged 55 years and over) Participants </w:t>
            </w:r>
            <w:r w:rsidR="002454A8">
              <w:rPr>
                <w:rFonts w:eastAsia="Times New Roman" w:cstheme="minorHAnsi"/>
                <w:b/>
                <w:lang w:eastAsia="en-AU"/>
              </w:rPr>
              <w:t xml:space="preserve">in </w:t>
            </w:r>
            <w:r w:rsidR="008131FE" w:rsidRPr="00A87097">
              <w:rPr>
                <w:rFonts w:eastAsia="Times New Roman" w:cstheme="minorHAnsi"/>
                <w:b/>
                <w:lang w:eastAsia="en-AU"/>
              </w:rPr>
              <w:t>receipt of income support with participation requirements</w:t>
            </w:r>
            <w:r w:rsidR="00C4285E">
              <w:rPr>
                <w:rFonts w:eastAsia="Times New Roman" w:cstheme="minorHAnsi"/>
                <w:b/>
                <w:lang w:eastAsia="en-AU"/>
              </w:rPr>
              <w:t xml:space="preserve"> </w:t>
            </w:r>
            <w:r>
              <w:rPr>
                <w:rFonts w:eastAsia="Times New Roman" w:cstheme="minorHAnsi"/>
                <w:b/>
                <w:lang w:eastAsia="en-AU"/>
              </w:rPr>
              <w:t>who are meeting their Mutual Obligation Requirements may elect to participate in NEST Services.</w:t>
            </w:r>
          </w:p>
          <w:p w14:paraId="0EC6ABA3" w14:textId="77777777" w:rsidR="00AF09E8" w:rsidRDefault="00AF09E8" w:rsidP="00AF09E8">
            <w:pPr>
              <w:ind w:right="113"/>
              <w:rPr>
                <w:rFonts w:eastAsia="Times New Roman" w:cstheme="minorHAnsi"/>
                <w:lang w:eastAsia="en-AU"/>
              </w:rPr>
            </w:pPr>
            <w:r w:rsidRPr="00F9767D">
              <w:rPr>
                <w:rFonts w:eastAsia="Times New Roman" w:cstheme="minorHAnsi"/>
                <w:lang w:eastAsia="en-AU"/>
              </w:rPr>
              <w:t>Eligible for either Digital or Enhanced Services</w:t>
            </w:r>
          </w:p>
          <w:p w14:paraId="76B335CC" w14:textId="77777777" w:rsidR="00B80CBF" w:rsidRDefault="00B80CBF" w:rsidP="00460F1D">
            <w:pPr>
              <w:ind w:right="113"/>
              <w:rPr>
                <w:rFonts w:eastAsia="Times New Roman" w:cstheme="minorHAnsi"/>
                <w:b/>
                <w:lang w:eastAsia="en-AU"/>
              </w:rPr>
            </w:pPr>
          </w:p>
          <w:p w14:paraId="5423CC0B" w14:textId="0CEFC470" w:rsidR="00B80CBF" w:rsidRPr="000976C6" w:rsidRDefault="00B80CBF" w:rsidP="000D56B8">
            <w:pPr>
              <w:ind w:right="113"/>
            </w:pPr>
            <w:r>
              <w:rPr>
                <w:rFonts w:eastAsia="Times New Roman" w:cstheme="minorHAnsi"/>
                <w:i/>
                <w:lang w:eastAsia="en-AU"/>
              </w:rPr>
              <w:t>Note: Participants who are fully meeting their part-time Mutual Obligation Requirements or are currently subject to a</w:t>
            </w:r>
            <w:r w:rsidR="0090575E">
              <w:t xml:space="preserve"> </w:t>
            </w:r>
            <w:r w:rsidR="0090575E" w:rsidRPr="00CF7880">
              <w:rPr>
                <w:i/>
              </w:rPr>
              <w:t>Services Australia</w:t>
            </w:r>
            <w:r w:rsidR="0090575E">
              <w:t xml:space="preserve"> </w:t>
            </w:r>
            <w:r>
              <w:rPr>
                <w:rFonts w:eastAsia="Times New Roman" w:cstheme="minorHAnsi"/>
                <w:i/>
                <w:lang w:eastAsia="en-AU"/>
              </w:rPr>
              <w:t xml:space="preserve">granted Exemption may voluntarily elect to participate in </w:t>
            </w:r>
            <w:r w:rsidR="000D56B8">
              <w:rPr>
                <w:rFonts w:eastAsia="Times New Roman" w:cstheme="minorHAnsi"/>
                <w:i/>
                <w:lang w:eastAsia="en-AU"/>
              </w:rPr>
              <w:t>the New Employment Services Trial</w:t>
            </w:r>
            <w:r>
              <w:rPr>
                <w:rFonts w:eastAsia="Times New Roman" w:cstheme="minorHAnsi"/>
                <w:i/>
                <w:lang w:eastAsia="en-AU"/>
              </w:rPr>
              <w:t>. They would not be referred to VOEST or limited to 12 months of service.</w:t>
            </w:r>
          </w:p>
        </w:tc>
        <w:tc>
          <w:tcPr>
            <w:tcW w:w="708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C57A26D" w14:textId="77777777" w:rsidR="00B80CBF" w:rsidRPr="006B6A55" w:rsidRDefault="00B80CBF" w:rsidP="006B6A55">
            <w:pPr>
              <w:ind w:right="113"/>
            </w:pPr>
            <w:r w:rsidRPr="006B6A55">
              <w:t>Not applicable</w:t>
            </w:r>
          </w:p>
        </w:tc>
        <w:tc>
          <w:tcPr>
            <w:tcW w:w="453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8FF2708" w14:textId="77777777" w:rsidR="00B80CBF" w:rsidRPr="006B6A55" w:rsidRDefault="00B80CBF" w:rsidP="006B6A55">
            <w:pPr>
              <w:ind w:right="113"/>
            </w:pPr>
            <w:r w:rsidRPr="006B6A55">
              <w:t>Not applicable</w:t>
            </w:r>
          </w:p>
        </w:tc>
      </w:tr>
      <w:tr w:rsidR="00934732" w:rsidRPr="000B05D8" w14:paraId="2C9BF8FA" w14:textId="77777777" w:rsidTr="00462D22">
        <w:trPr>
          <w:trHeight w:val="1988"/>
          <w:jc w:val="center"/>
        </w:trPr>
        <w:tc>
          <w:tcPr>
            <w:tcW w:w="1413" w:type="dxa"/>
            <w:tcBorders>
              <w:top w:val="single" w:sz="4" w:space="0" w:color="auto"/>
              <w:left w:val="single" w:sz="4" w:space="0" w:color="auto"/>
              <w:bottom w:val="single" w:sz="4" w:space="0" w:color="auto"/>
              <w:right w:val="single" w:sz="4" w:space="0" w:color="auto"/>
            </w:tcBorders>
            <w:textDirection w:val="btLr"/>
          </w:tcPr>
          <w:p w14:paraId="1C6FF4EC" w14:textId="22533878" w:rsidR="00934732" w:rsidRDefault="00934732" w:rsidP="00934732">
            <w:pPr>
              <w:ind w:left="284" w:right="113"/>
              <w:jc w:val="center"/>
              <w:rPr>
                <w:rFonts w:eastAsia="Times New Roman" w:cstheme="minorHAnsi"/>
                <w:b/>
                <w:lang w:eastAsia="en-AU"/>
              </w:rPr>
            </w:pPr>
            <w:r>
              <w:rPr>
                <w:rFonts w:eastAsia="Times New Roman" w:cstheme="minorHAnsi"/>
                <w:b/>
                <w:lang w:eastAsia="en-AU"/>
              </w:rPr>
              <w:lastRenderedPageBreak/>
              <w:t>Pre-release Prisoners</w:t>
            </w:r>
          </w:p>
        </w:tc>
        <w:tc>
          <w:tcPr>
            <w:tcW w:w="8618" w:type="dxa"/>
            <w:tcBorders>
              <w:top w:val="single" w:sz="4" w:space="0" w:color="auto"/>
              <w:left w:val="single" w:sz="4" w:space="0" w:color="auto"/>
              <w:bottom w:val="single" w:sz="4" w:space="0" w:color="auto"/>
              <w:right w:val="single" w:sz="4" w:space="0" w:color="auto"/>
            </w:tcBorders>
          </w:tcPr>
          <w:p w14:paraId="17840BA2" w14:textId="77777777" w:rsidR="00934732" w:rsidRPr="000B05D8" w:rsidRDefault="00934732" w:rsidP="00934732">
            <w:pPr>
              <w:ind w:right="113"/>
              <w:rPr>
                <w:rFonts w:eastAsia="Times New Roman" w:cstheme="minorHAnsi"/>
                <w:b/>
                <w:lang w:eastAsia="en-AU"/>
              </w:rPr>
            </w:pPr>
            <w:r w:rsidRPr="000B05D8">
              <w:rPr>
                <w:rFonts w:eastAsia="Times New Roman" w:cstheme="minorHAnsi"/>
                <w:b/>
                <w:lang w:eastAsia="en-AU"/>
              </w:rPr>
              <w:t>Pre-release Prisoners</w:t>
            </w:r>
          </w:p>
          <w:p w14:paraId="3FBEF7AE" w14:textId="77777777" w:rsidR="00934732" w:rsidRPr="00AF09E8" w:rsidRDefault="00934732" w:rsidP="00934732">
            <w:pPr>
              <w:ind w:right="113"/>
              <w:rPr>
                <w:rFonts w:eastAsia="Times New Roman" w:cstheme="minorHAnsi"/>
                <w:lang w:eastAsia="en-AU"/>
              </w:rPr>
            </w:pPr>
            <w:r w:rsidRPr="00AF09E8">
              <w:rPr>
                <w:rFonts w:eastAsia="Times New Roman" w:cstheme="minorHAnsi"/>
                <w:lang w:eastAsia="en-AU"/>
              </w:rPr>
              <w:t>Directly Eligible for Enhanced Services</w:t>
            </w:r>
          </w:p>
          <w:p w14:paraId="1C30A009" w14:textId="77777777" w:rsidR="00934732" w:rsidRDefault="00934732" w:rsidP="00934732">
            <w:pPr>
              <w:ind w:right="113"/>
              <w:rPr>
                <w:rFonts w:eastAsia="Times New Roman" w:cstheme="minorHAnsi"/>
                <w:lang w:eastAsia="en-AU"/>
              </w:rPr>
            </w:pPr>
          </w:p>
          <w:p w14:paraId="0E13CE17" w14:textId="10783A3C" w:rsidR="00934732" w:rsidRDefault="00934732" w:rsidP="00934732">
            <w:pPr>
              <w:ind w:right="113"/>
              <w:rPr>
                <w:rFonts w:eastAsia="Times New Roman" w:cstheme="minorHAnsi"/>
                <w:b/>
                <w:lang w:eastAsia="en-AU"/>
              </w:rPr>
            </w:pPr>
            <w:r w:rsidRPr="000B05D8">
              <w:rPr>
                <w:rFonts w:eastAsia="Times New Roman" w:cstheme="minorHAnsi"/>
                <w:lang w:eastAsia="en-AU"/>
              </w:rPr>
              <w:t xml:space="preserve">Prisoners or detainees must be in the final 12 months of their sentence and be approved by corrective services or youth justice case managers. They must be prisoners or detainees aged 15 years and over (including those not in receipt of income support) who have been referred to </w:t>
            </w:r>
            <w:r w:rsidRPr="005169B2">
              <w:rPr>
                <w:rFonts w:eastAsia="Times New Roman" w:cstheme="minorHAnsi"/>
                <w:lang w:eastAsia="en-AU"/>
              </w:rPr>
              <w:t>Enhanced Services</w:t>
            </w:r>
            <w:r>
              <w:rPr>
                <w:rFonts w:eastAsia="Times New Roman" w:cstheme="minorHAnsi"/>
                <w:lang w:eastAsia="en-AU"/>
              </w:rPr>
              <w:t xml:space="preserve"> with </w:t>
            </w:r>
            <w:r w:rsidRPr="000B05D8">
              <w:rPr>
                <w:rFonts w:eastAsia="Times New Roman" w:cstheme="minorHAnsi"/>
                <w:lang w:eastAsia="en-AU"/>
              </w:rPr>
              <w:t xml:space="preserve">a </w:t>
            </w:r>
            <w:r>
              <w:t xml:space="preserve">Trial </w:t>
            </w:r>
            <w:r>
              <w:rPr>
                <w:rFonts w:eastAsia="Times New Roman" w:cstheme="minorHAnsi"/>
                <w:lang w:eastAsia="en-AU"/>
              </w:rPr>
              <w:t>Provider</w:t>
            </w:r>
            <w:r w:rsidRPr="000B05D8">
              <w:rPr>
                <w:rFonts w:eastAsia="Times New Roman" w:cstheme="minorHAnsi"/>
                <w:lang w:eastAsia="en-AU"/>
              </w:rPr>
              <w:t xml:space="preserve"> by state or territory corrective or youth justice services and Directly Registered by the </w:t>
            </w:r>
            <w:r>
              <w:t xml:space="preserve">Trial </w:t>
            </w:r>
            <w:r>
              <w:rPr>
                <w:rFonts w:eastAsia="Times New Roman" w:cstheme="minorHAnsi"/>
                <w:lang w:eastAsia="en-AU"/>
              </w:rPr>
              <w:t>Provider for Enhanced Services</w:t>
            </w:r>
            <w:r w:rsidRPr="000B05D8">
              <w:rPr>
                <w:rFonts w:eastAsia="Times New Roman" w:cstheme="minorHAnsi"/>
                <w:lang w:eastAsia="en-AU"/>
              </w:rPr>
              <w:t>.</w:t>
            </w:r>
          </w:p>
        </w:tc>
        <w:tc>
          <w:tcPr>
            <w:tcW w:w="708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8D5FF5B" w14:textId="451DBAE6" w:rsidR="00934732" w:rsidRPr="006B6A55" w:rsidRDefault="00934732" w:rsidP="00934732">
            <w:pPr>
              <w:ind w:right="113"/>
            </w:pPr>
            <w:r w:rsidRPr="006B6A55">
              <w:t>Not applicable</w:t>
            </w:r>
          </w:p>
        </w:tc>
        <w:tc>
          <w:tcPr>
            <w:tcW w:w="453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4B205F9" w14:textId="2097D011" w:rsidR="00934732" w:rsidRPr="006B6A55" w:rsidRDefault="00934732" w:rsidP="00934732">
            <w:pPr>
              <w:ind w:right="113"/>
            </w:pPr>
            <w:r w:rsidRPr="006B6A55">
              <w:t>Not applicable</w:t>
            </w:r>
          </w:p>
        </w:tc>
      </w:tr>
      <w:tr w:rsidR="00934732" w:rsidRPr="000B05D8" w14:paraId="4248443A" w14:textId="77777777" w:rsidTr="00462D22">
        <w:trPr>
          <w:trHeight w:val="2331"/>
          <w:jc w:val="center"/>
        </w:trPr>
        <w:tc>
          <w:tcPr>
            <w:tcW w:w="1413" w:type="dxa"/>
            <w:tcBorders>
              <w:top w:val="single" w:sz="4" w:space="0" w:color="auto"/>
              <w:left w:val="single" w:sz="4" w:space="0" w:color="auto"/>
              <w:bottom w:val="single" w:sz="4" w:space="0" w:color="auto"/>
              <w:right w:val="single" w:sz="4" w:space="0" w:color="auto"/>
            </w:tcBorders>
            <w:textDirection w:val="btLr"/>
          </w:tcPr>
          <w:p w14:paraId="7F321F2D" w14:textId="77777777" w:rsidR="00934732" w:rsidRDefault="00934732" w:rsidP="00934732">
            <w:pPr>
              <w:ind w:left="113" w:right="113"/>
              <w:rPr>
                <w:rFonts w:eastAsia="Times New Roman" w:cstheme="minorHAnsi"/>
                <w:b/>
                <w:lang w:eastAsia="en-AU"/>
              </w:rPr>
            </w:pPr>
            <w:r>
              <w:rPr>
                <w:rFonts w:eastAsia="Times New Roman" w:cstheme="minorHAnsi"/>
                <w:b/>
                <w:lang w:eastAsia="en-AU"/>
              </w:rPr>
              <w:t>Early School Leavers</w:t>
            </w:r>
          </w:p>
          <w:p w14:paraId="40E2F9AF" w14:textId="77777777" w:rsidR="00934732" w:rsidRPr="000B05D8" w:rsidRDefault="00934732" w:rsidP="00934732">
            <w:pPr>
              <w:ind w:left="284" w:right="113"/>
              <w:jc w:val="center"/>
              <w:rPr>
                <w:rFonts w:eastAsia="Times New Roman" w:cstheme="minorHAnsi"/>
                <w:b/>
                <w:lang w:eastAsia="en-AU"/>
              </w:rPr>
            </w:pPr>
          </w:p>
        </w:tc>
        <w:tc>
          <w:tcPr>
            <w:tcW w:w="8618" w:type="dxa"/>
            <w:tcBorders>
              <w:top w:val="single" w:sz="4" w:space="0" w:color="auto"/>
              <w:left w:val="single" w:sz="4" w:space="0" w:color="auto"/>
              <w:bottom w:val="single" w:sz="4" w:space="0" w:color="auto"/>
              <w:right w:val="single" w:sz="4" w:space="0" w:color="auto"/>
            </w:tcBorders>
          </w:tcPr>
          <w:p w14:paraId="5E917D9F" w14:textId="77777777" w:rsidR="00934732" w:rsidRDefault="00934732" w:rsidP="00934732">
            <w:pPr>
              <w:ind w:right="113"/>
              <w:rPr>
                <w:rFonts w:eastAsia="Times New Roman" w:cstheme="minorHAnsi"/>
                <w:b/>
                <w:lang w:eastAsia="en-AU"/>
              </w:rPr>
            </w:pPr>
            <w:r w:rsidRPr="006B6A55">
              <w:rPr>
                <w:rFonts w:eastAsia="Times New Roman" w:cstheme="minorHAnsi"/>
                <w:b/>
                <w:lang w:eastAsia="en-AU"/>
              </w:rPr>
              <w:t xml:space="preserve">Early School Leavers </w:t>
            </w:r>
          </w:p>
          <w:p w14:paraId="0E8D2ECE" w14:textId="77777777" w:rsidR="00934732" w:rsidRPr="00AF09E8" w:rsidRDefault="00934732" w:rsidP="00934732">
            <w:pPr>
              <w:ind w:right="113"/>
              <w:rPr>
                <w:rFonts w:eastAsia="Times New Roman" w:cstheme="minorHAnsi"/>
                <w:lang w:eastAsia="en-AU"/>
              </w:rPr>
            </w:pPr>
            <w:r w:rsidRPr="00AF09E8">
              <w:rPr>
                <w:rFonts w:eastAsia="Times New Roman" w:cstheme="minorHAnsi"/>
                <w:lang w:eastAsia="en-AU"/>
              </w:rPr>
              <w:t>Directly Eligible for Enhanced Services</w:t>
            </w:r>
          </w:p>
          <w:p w14:paraId="594959D8" w14:textId="77777777" w:rsidR="00934732" w:rsidRPr="006B6A55" w:rsidRDefault="00934732" w:rsidP="00934732">
            <w:pPr>
              <w:ind w:right="113"/>
              <w:rPr>
                <w:rFonts w:eastAsia="Times New Roman" w:cstheme="minorHAnsi"/>
                <w:b/>
                <w:lang w:eastAsia="en-AU"/>
              </w:rPr>
            </w:pPr>
          </w:p>
          <w:p w14:paraId="6E089878" w14:textId="77777777" w:rsidR="00934732" w:rsidRPr="000B05D8" w:rsidRDefault="00934732" w:rsidP="00934732">
            <w:pPr>
              <w:ind w:right="113"/>
              <w:rPr>
                <w:rFonts w:eastAsia="Times New Roman" w:cstheme="minorHAnsi"/>
                <w:b/>
                <w:lang w:eastAsia="en-AU"/>
              </w:rPr>
            </w:pPr>
            <w:r w:rsidRPr="006B6A55">
              <w:rPr>
                <w:rFonts w:eastAsia="Times New Roman" w:cstheme="minorHAnsi"/>
                <w:lang w:eastAsia="en-AU"/>
              </w:rPr>
              <w:t xml:space="preserve">Early School Leavers unable to access Transition to Work will be referred by </w:t>
            </w:r>
            <w:r>
              <w:t xml:space="preserve">Services Australia </w:t>
            </w:r>
            <w:r w:rsidRPr="006B6A55">
              <w:rPr>
                <w:rFonts w:eastAsia="Times New Roman" w:cstheme="minorHAnsi"/>
                <w:lang w:eastAsia="en-AU"/>
              </w:rPr>
              <w:t xml:space="preserve">to NEST </w:t>
            </w:r>
            <w:r w:rsidRPr="005169B2">
              <w:rPr>
                <w:rFonts w:eastAsia="Times New Roman" w:cstheme="minorHAnsi"/>
                <w:lang w:eastAsia="en-AU"/>
              </w:rPr>
              <w:t>Enhanced Services</w:t>
            </w:r>
            <w:r w:rsidRPr="006B6A55">
              <w:rPr>
                <w:rFonts w:eastAsia="Times New Roman" w:cstheme="minorHAnsi"/>
                <w:lang w:eastAsia="en-AU"/>
              </w:rPr>
              <w:t>.</w:t>
            </w:r>
          </w:p>
        </w:tc>
        <w:tc>
          <w:tcPr>
            <w:tcW w:w="708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ACE2E1A" w14:textId="77777777" w:rsidR="00934732" w:rsidRPr="006B6A55" w:rsidRDefault="00934732" w:rsidP="00934732">
            <w:pPr>
              <w:ind w:right="113"/>
            </w:pPr>
            <w:r w:rsidRPr="006B6A55">
              <w:t>Not applicable</w:t>
            </w:r>
          </w:p>
        </w:tc>
        <w:tc>
          <w:tcPr>
            <w:tcW w:w="453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2CB74B0" w14:textId="77777777" w:rsidR="00934732" w:rsidRPr="006B6A55" w:rsidRDefault="00934732" w:rsidP="00934732">
            <w:pPr>
              <w:ind w:right="113"/>
            </w:pPr>
            <w:r>
              <w:t>Not applicable</w:t>
            </w:r>
          </w:p>
        </w:tc>
      </w:tr>
      <w:tr w:rsidR="00934732" w:rsidRPr="000B05D8" w14:paraId="535B73FB" w14:textId="77777777" w:rsidTr="00462D22">
        <w:trPr>
          <w:trHeight w:val="2179"/>
          <w:jc w:val="center"/>
        </w:trPr>
        <w:tc>
          <w:tcPr>
            <w:tcW w:w="1413" w:type="dxa"/>
            <w:tcBorders>
              <w:top w:val="single" w:sz="4" w:space="0" w:color="auto"/>
              <w:left w:val="single" w:sz="4" w:space="0" w:color="auto"/>
              <w:bottom w:val="single" w:sz="4" w:space="0" w:color="auto"/>
              <w:right w:val="single" w:sz="4" w:space="0" w:color="auto"/>
            </w:tcBorders>
            <w:textDirection w:val="btLr"/>
          </w:tcPr>
          <w:p w14:paraId="696E3910" w14:textId="77777777" w:rsidR="00934732" w:rsidRDefault="00934732" w:rsidP="00934732">
            <w:pPr>
              <w:ind w:left="113" w:right="113"/>
              <w:jc w:val="center"/>
              <w:rPr>
                <w:rFonts w:eastAsia="Times New Roman" w:cstheme="minorHAnsi"/>
                <w:b/>
                <w:lang w:eastAsia="en-AU"/>
              </w:rPr>
            </w:pPr>
            <w:r>
              <w:rPr>
                <w:rFonts w:eastAsia="Times New Roman" w:cstheme="minorHAnsi"/>
                <w:b/>
                <w:lang w:eastAsia="en-AU"/>
              </w:rPr>
              <w:t xml:space="preserve">Retrenched worker or </w:t>
            </w:r>
            <w:r w:rsidRPr="00734417">
              <w:rPr>
                <w:rFonts w:eastAsia="Times New Roman" w:cstheme="minorHAnsi"/>
                <w:b/>
                <w:lang w:eastAsia="en-AU"/>
              </w:rPr>
              <w:t xml:space="preserve">partner of a </w:t>
            </w:r>
            <w:r>
              <w:rPr>
                <w:rFonts w:eastAsia="Times New Roman" w:cstheme="minorHAnsi"/>
                <w:b/>
                <w:lang w:eastAsia="en-AU"/>
              </w:rPr>
              <w:t xml:space="preserve">retrenched </w:t>
            </w:r>
            <w:r w:rsidRPr="00734417">
              <w:rPr>
                <w:rFonts w:eastAsia="Times New Roman" w:cstheme="minorHAnsi"/>
                <w:b/>
                <w:lang w:eastAsia="en-AU"/>
              </w:rPr>
              <w:t xml:space="preserve"> worker</w:t>
            </w:r>
          </w:p>
        </w:tc>
        <w:tc>
          <w:tcPr>
            <w:tcW w:w="8618" w:type="dxa"/>
            <w:tcBorders>
              <w:top w:val="single" w:sz="4" w:space="0" w:color="auto"/>
              <w:left w:val="single" w:sz="4" w:space="0" w:color="auto"/>
              <w:bottom w:val="single" w:sz="4" w:space="0" w:color="auto"/>
              <w:right w:val="single" w:sz="4" w:space="0" w:color="auto"/>
            </w:tcBorders>
            <w:shd w:val="clear" w:color="auto" w:fill="auto"/>
          </w:tcPr>
          <w:p w14:paraId="44900C67" w14:textId="198A4929" w:rsidR="00934732" w:rsidRDefault="00934732" w:rsidP="00934732">
            <w:pPr>
              <w:pStyle w:val="guidelinetext"/>
              <w:ind w:left="0"/>
            </w:pPr>
            <w:r>
              <w:rPr>
                <w:rFonts w:eastAsia="Times New Roman" w:cstheme="minorHAnsi"/>
                <w:b/>
                <w:lang w:eastAsia="en-AU"/>
              </w:rPr>
              <w:t>Retrenched</w:t>
            </w:r>
            <w:r w:rsidRPr="00734417">
              <w:rPr>
                <w:rFonts w:eastAsia="Times New Roman" w:cstheme="minorHAnsi"/>
                <w:b/>
                <w:lang w:eastAsia="en-AU"/>
              </w:rPr>
              <w:t xml:space="preserve"> workers and their partners </w:t>
            </w:r>
            <w:r>
              <w:rPr>
                <w:rFonts w:eastAsia="Times New Roman" w:cstheme="minorHAnsi"/>
                <w:lang w:eastAsia="en-AU"/>
              </w:rPr>
              <w:t xml:space="preserve">People who have been retrenched in the last six months or who have received notification from their employer in the three months prior to their retrenchment date are eligible for immediate access to </w:t>
            </w:r>
            <w:r w:rsidRPr="005169B2">
              <w:rPr>
                <w:rFonts w:eastAsia="Times New Roman" w:cstheme="minorHAnsi"/>
                <w:lang w:eastAsia="en-AU"/>
              </w:rPr>
              <w:t>Enhanced Services</w:t>
            </w:r>
            <w:r>
              <w:rPr>
                <w:rFonts w:eastAsia="Times New Roman" w:cstheme="minorHAnsi"/>
                <w:lang w:eastAsia="en-AU"/>
              </w:rPr>
              <w:t xml:space="preserve">. </w:t>
            </w:r>
            <w:r>
              <w:t xml:space="preserve">Retrenched workers and their partners may be eligible for assistance through the following programs. </w:t>
            </w:r>
          </w:p>
          <w:p w14:paraId="6538B357" w14:textId="77777777" w:rsidR="00934732" w:rsidRDefault="00934732" w:rsidP="00934732">
            <w:pPr>
              <w:ind w:right="113"/>
              <w:rPr>
                <w:rFonts w:eastAsia="Times New Roman" w:cstheme="minorHAnsi"/>
                <w:lang w:eastAsia="en-AU"/>
              </w:rPr>
            </w:pPr>
          </w:p>
          <w:p w14:paraId="4B450E56" w14:textId="77777777" w:rsidR="00934732" w:rsidRDefault="00934732" w:rsidP="00934732">
            <w:pPr>
              <w:pStyle w:val="guidelinetext"/>
              <w:ind w:left="0"/>
            </w:pPr>
            <w:r>
              <w:t>Hierarchy of eligibility</w:t>
            </w:r>
          </w:p>
          <w:p w14:paraId="3343CB24" w14:textId="77777777" w:rsidR="00934732" w:rsidRDefault="00934732" w:rsidP="00934732">
            <w:pPr>
              <w:pStyle w:val="guidelinetext"/>
              <w:numPr>
                <w:ilvl w:val="0"/>
                <w:numId w:val="7"/>
              </w:numPr>
            </w:pPr>
            <w:r>
              <w:t xml:space="preserve">Structural Adjustment Programme. </w:t>
            </w:r>
          </w:p>
          <w:p w14:paraId="656EF0F3" w14:textId="77777777" w:rsidR="00934732" w:rsidRDefault="00934732" w:rsidP="00934732">
            <w:pPr>
              <w:pStyle w:val="guidelinetext"/>
              <w:numPr>
                <w:ilvl w:val="0"/>
                <w:numId w:val="7"/>
              </w:numPr>
              <w:ind w:left="354" w:hanging="354"/>
            </w:pPr>
            <w:r>
              <w:t xml:space="preserve">Enhanced Services. </w:t>
            </w:r>
          </w:p>
          <w:p w14:paraId="6C1E8D84" w14:textId="77777777" w:rsidR="00934732" w:rsidRDefault="00934732" w:rsidP="00934732">
            <w:pPr>
              <w:pStyle w:val="guidelinetext"/>
              <w:ind w:left="0"/>
            </w:pPr>
          </w:p>
          <w:p w14:paraId="6B27E8BA" w14:textId="77777777" w:rsidR="00934732" w:rsidRDefault="00934732" w:rsidP="00934732">
            <w:pPr>
              <w:pStyle w:val="guidelinetext"/>
              <w:ind w:left="0"/>
            </w:pPr>
            <w:r>
              <w:t>Partners of retrenched workers are eligible for access to NEST Services through either:</w:t>
            </w:r>
          </w:p>
          <w:p w14:paraId="7518176F" w14:textId="77777777" w:rsidR="00934732" w:rsidRDefault="00934732" w:rsidP="00934732">
            <w:pPr>
              <w:pStyle w:val="guidelinetext"/>
              <w:numPr>
                <w:ilvl w:val="0"/>
                <w:numId w:val="8"/>
              </w:numPr>
            </w:pPr>
            <w:r>
              <w:t xml:space="preserve">A Structural Adjustment Programme. </w:t>
            </w:r>
          </w:p>
          <w:p w14:paraId="384804DF" w14:textId="77777777" w:rsidR="00934732" w:rsidRDefault="00934732" w:rsidP="00934732">
            <w:pPr>
              <w:pStyle w:val="guidelinetext"/>
              <w:numPr>
                <w:ilvl w:val="0"/>
                <w:numId w:val="8"/>
              </w:numPr>
            </w:pPr>
            <w:r>
              <w:t>As a Participant in the NEST service appropriate to their level of labour market disadvantage as determined by the Job Seeker Classification Instrument.</w:t>
            </w:r>
          </w:p>
          <w:p w14:paraId="3DEFA91E" w14:textId="77777777" w:rsidR="00934732" w:rsidRDefault="00934732" w:rsidP="00934732">
            <w:pPr>
              <w:pStyle w:val="guidelinetext"/>
              <w:ind w:left="0"/>
            </w:pPr>
          </w:p>
          <w:p w14:paraId="2E37B007" w14:textId="52CB9E9A" w:rsidR="00934732" w:rsidRDefault="00934732" w:rsidP="00934732">
            <w:pPr>
              <w:pStyle w:val="guidelinetext"/>
              <w:ind w:left="0"/>
            </w:pPr>
            <w:r>
              <w:t xml:space="preserve">Where a Structural Adjustment Programme provides Services for a retrenched worker but not their partner, then the worker should commence with the appropriate program and the partner can receive Services </w:t>
            </w:r>
            <w:r w:rsidRPr="007931F7">
              <w:t>appropriate to their level of labour market disadvantage</w:t>
            </w:r>
            <w:r>
              <w:t xml:space="preserve"> as determined by the Job Seeker Classification Instrument. </w:t>
            </w:r>
          </w:p>
          <w:p w14:paraId="2968C500" w14:textId="77777777" w:rsidR="00934732" w:rsidRDefault="00934732" w:rsidP="00934732">
            <w:pPr>
              <w:pStyle w:val="guidelinetext"/>
              <w:ind w:left="0"/>
            </w:pPr>
          </w:p>
          <w:p w14:paraId="335A5D47" w14:textId="77777777" w:rsidR="00934732" w:rsidRDefault="00934732" w:rsidP="00934732">
            <w:pPr>
              <w:ind w:right="113"/>
            </w:pPr>
            <w:r>
              <w:t>A retrenched worker and their partner must only be registered in one of the above retrenched worker programs.</w:t>
            </w:r>
          </w:p>
          <w:p w14:paraId="2CB94330" w14:textId="77777777" w:rsidR="00934732" w:rsidRDefault="00934732" w:rsidP="00934732">
            <w:pPr>
              <w:ind w:right="113"/>
              <w:rPr>
                <w:rFonts w:eastAsia="Times New Roman" w:cstheme="minorHAnsi"/>
                <w:lang w:eastAsia="en-AU"/>
              </w:rPr>
            </w:pPr>
          </w:p>
          <w:p w14:paraId="5A534C79" w14:textId="4DF04E6D" w:rsidR="00934732" w:rsidRDefault="00934732" w:rsidP="00934732">
            <w:pPr>
              <w:ind w:right="113"/>
              <w:rPr>
                <w:rFonts w:eastAsia="Times New Roman" w:cstheme="minorHAnsi"/>
                <w:b/>
                <w:lang w:eastAsia="en-AU"/>
              </w:rPr>
            </w:pPr>
            <w:r>
              <w:rPr>
                <w:rFonts w:eastAsia="Times New Roman" w:cstheme="minorHAnsi"/>
                <w:lang w:eastAsia="en-AU"/>
              </w:rPr>
              <w:t xml:space="preserve">A special placement flag will identify whether a Participant is registered </w:t>
            </w:r>
            <w:r w:rsidRPr="00CC67E1">
              <w:rPr>
                <w:rFonts w:eastAsia="Times New Roman" w:cstheme="minorHAnsi"/>
                <w:lang w:eastAsia="en-AU"/>
              </w:rPr>
              <w:t xml:space="preserve">as a </w:t>
            </w:r>
            <w:r>
              <w:rPr>
                <w:rFonts w:eastAsia="Times New Roman" w:cstheme="minorHAnsi"/>
                <w:lang w:eastAsia="en-AU"/>
              </w:rPr>
              <w:t xml:space="preserve">Retrenched Worker/Partner, or as a </w:t>
            </w:r>
            <w:r w:rsidRPr="009F17F2">
              <w:rPr>
                <w:rFonts w:eastAsia="Times New Roman" w:cstheme="minorHAnsi"/>
                <w:lang w:eastAsia="en-AU"/>
              </w:rPr>
              <w:t>Structural Adju</w:t>
            </w:r>
            <w:r>
              <w:rPr>
                <w:rFonts w:eastAsia="Times New Roman" w:cstheme="minorHAnsi"/>
                <w:lang w:eastAsia="en-AU"/>
              </w:rPr>
              <w:t xml:space="preserve">stment Programme Participant. Eligibility requirements are outlined in the relevant Structural Adjustment Programme guidelines. </w:t>
            </w:r>
            <w:r w:rsidRPr="009F17F2">
              <w:rPr>
                <w:rFonts w:eastAsia="Times New Roman" w:cstheme="minorHAnsi"/>
                <w:lang w:eastAsia="en-AU"/>
              </w:rPr>
              <w:t xml:space="preserve"> </w:t>
            </w:r>
          </w:p>
        </w:tc>
        <w:tc>
          <w:tcPr>
            <w:tcW w:w="708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8A99519" w14:textId="77777777" w:rsidR="00934732" w:rsidRPr="006B6A55" w:rsidDel="00DC5FE1" w:rsidRDefault="00934732" w:rsidP="00934732">
            <w:pPr>
              <w:ind w:right="113"/>
            </w:pPr>
            <w:r w:rsidRPr="006B6A55">
              <w:t>Not applicable</w:t>
            </w:r>
          </w:p>
        </w:tc>
        <w:tc>
          <w:tcPr>
            <w:tcW w:w="453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CC9C370" w14:textId="77777777" w:rsidR="00934732" w:rsidRPr="006B6A55" w:rsidRDefault="00934732" w:rsidP="00934732">
            <w:pPr>
              <w:ind w:right="113"/>
            </w:pPr>
            <w:r w:rsidRPr="006B6A55">
              <w:t>Not applicable</w:t>
            </w:r>
          </w:p>
        </w:tc>
      </w:tr>
      <w:tr w:rsidR="00934732" w:rsidRPr="000B05D8" w14:paraId="48F51AF1" w14:textId="77777777" w:rsidTr="00462D22">
        <w:trPr>
          <w:trHeight w:val="2179"/>
          <w:jc w:val="center"/>
        </w:trPr>
        <w:tc>
          <w:tcPr>
            <w:tcW w:w="1413" w:type="dxa"/>
            <w:tcBorders>
              <w:top w:val="single" w:sz="4" w:space="0" w:color="auto"/>
              <w:left w:val="single" w:sz="4" w:space="0" w:color="auto"/>
              <w:bottom w:val="single" w:sz="4" w:space="0" w:color="auto"/>
              <w:right w:val="single" w:sz="4" w:space="0" w:color="auto"/>
            </w:tcBorders>
            <w:textDirection w:val="btLr"/>
          </w:tcPr>
          <w:p w14:paraId="767D4B48" w14:textId="77777777" w:rsidR="00934732" w:rsidRDefault="00934732" w:rsidP="00934732">
            <w:pPr>
              <w:ind w:left="113" w:right="113"/>
              <w:jc w:val="center"/>
              <w:rPr>
                <w:rFonts w:eastAsia="Times New Roman" w:cstheme="minorHAnsi"/>
                <w:b/>
                <w:lang w:eastAsia="en-AU"/>
              </w:rPr>
            </w:pPr>
            <w:r>
              <w:rPr>
                <w:rFonts w:eastAsia="Times New Roman" w:cstheme="minorHAnsi"/>
                <w:b/>
                <w:lang w:eastAsia="en-AU"/>
              </w:rPr>
              <w:lastRenderedPageBreak/>
              <w:t>Other Income Support without Participation requirements</w:t>
            </w:r>
          </w:p>
        </w:tc>
        <w:tc>
          <w:tcPr>
            <w:tcW w:w="861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FBE06F6" w14:textId="77777777" w:rsidR="00934732" w:rsidRPr="006B6A55" w:rsidRDefault="00934732" w:rsidP="00934732">
            <w:pPr>
              <w:ind w:right="113"/>
              <w:rPr>
                <w:rFonts w:eastAsia="Times New Roman" w:cstheme="minorHAnsi"/>
                <w:b/>
                <w:lang w:eastAsia="en-AU"/>
              </w:rPr>
            </w:pPr>
            <w:r w:rsidRPr="006B6A55">
              <w:t>Not applicable</w:t>
            </w:r>
          </w:p>
        </w:tc>
        <w:tc>
          <w:tcPr>
            <w:tcW w:w="7087" w:type="dxa"/>
            <w:tcBorders>
              <w:top w:val="single" w:sz="4" w:space="0" w:color="auto"/>
              <w:left w:val="single" w:sz="4" w:space="0" w:color="auto"/>
              <w:bottom w:val="single" w:sz="4" w:space="0" w:color="auto"/>
              <w:right w:val="single" w:sz="4" w:space="0" w:color="auto"/>
            </w:tcBorders>
          </w:tcPr>
          <w:p w14:paraId="781DE44E" w14:textId="77777777" w:rsidR="00934732" w:rsidRPr="006B6A55" w:rsidRDefault="00934732" w:rsidP="00934732">
            <w:pPr>
              <w:ind w:right="113"/>
              <w:rPr>
                <w:rFonts w:eastAsia="Times New Roman" w:cstheme="minorHAnsi"/>
                <w:b/>
                <w:lang w:eastAsia="en-AU"/>
              </w:rPr>
            </w:pPr>
            <w:r w:rsidRPr="006B6A55">
              <w:rPr>
                <w:rFonts w:eastAsia="Times New Roman" w:cstheme="minorHAnsi"/>
                <w:b/>
                <w:lang w:eastAsia="en-AU"/>
              </w:rPr>
              <w:t>Participants in receipt of Income Support Payments without participation requirements</w:t>
            </w:r>
          </w:p>
          <w:p w14:paraId="2DCC757B" w14:textId="1DD4251E" w:rsidR="00934732" w:rsidRPr="006B6A55" w:rsidDel="00DC5FE1" w:rsidRDefault="00934732" w:rsidP="00934732">
            <w:pPr>
              <w:ind w:right="113"/>
              <w:rPr>
                <w:rFonts w:eastAsia="Times New Roman" w:cstheme="minorHAnsi"/>
                <w:b/>
                <w:lang w:eastAsia="en-AU"/>
              </w:rPr>
            </w:pPr>
            <w:r w:rsidRPr="006B6A55">
              <w:rPr>
                <w:rFonts w:eastAsia="Times New Roman" w:cstheme="minorHAnsi"/>
                <w:lang w:eastAsia="en-AU"/>
              </w:rPr>
              <w:t>Carer Payment recipient, Carer Allowance recipient, Aged Pension recipient, Low Income Card holder, Widow Allowance recipient, Farm Household Allowance recipient, Service Pensioner (DVA), Partner Service Pensioners (DVA), War Widow(er)s Pensioner (DVA), Rehabilitation Allowance recipient, Widows B Pensioner, Partner Allowance recipient, Assistance for Isolated Children recipient, Child Care Assistance recipient, Double Orphan Pension recipient, Family Payment recipient, Mobility Allowance recipient</w:t>
            </w:r>
            <w:r>
              <w:rPr>
                <w:rFonts w:eastAsia="Times New Roman" w:cstheme="minorHAnsi"/>
                <w:lang w:eastAsia="en-AU"/>
              </w:rPr>
              <w:t>, Special Benefit (without participation requirements)</w:t>
            </w:r>
          </w:p>
        </w:tc>
        <w:tc>
          <w:tcPr>
            <w:tcW w:w="453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7C3ADF4" w14:textId="77777777" w:rsidR="00934732" w:rsidRPr="006B6A55" w:rsidRDefault="00934732" w:rsidP="00934732">
            <w:pPr>
              <w:ind w:right="113"/>
              <w:rPr>
                <w:rFonts w:eastAsia="Times New Roman" w:cstheme="minorHAnsi"/>
                <w:b/>
                <w:lang w:eastAsia="en-AU"/>
              </w:rPr>
            </w:pPr>
            <w:r w:rsidRPr="006B6A55">
              <w:t>Not applicable</w:t>
            </w:r>
          </w:p>
        </w:tc>
      </w:tr>
      <w:tr w:rsidR="00934732" w:rsidRPr="000B05D8" w14:paraId="43AFD139" w14:textId="77777777" w:rsidTr="00462D22">
        <w:trPr>
          <w:trHeight w:val="385"/>
          <w:jc w:val="center"/>
        </w:trPr>
        <w:tc>
          <w:tcPr>
            <w:tcW w:w="1413" w:type="dxa"/>
            <w:tcBorders>
              <w:top w:val="single" w:sz="4" w:space="0" w:color="auto"/>
              <w:left w:val="single" w:sz="4" w:space="0" w:color="auto"/>
              <w:bottom w:val="single" w:sz="4" w:space="0" w:color="auto"/>
              <w:right w:val="single" w:sz="4" w:space="0" w:color="auto"/>
            </w:tcBorders>
            <w:textDirection w:val="btLr"/>
            <w:hideMark/>
          </w:tcPr>
          <w:p w14:paraId="7E177D51" w14:textId="77777777" w:rsidR="00934732" w:rsidRPr="000B05D8" w:rsidRDefault="00934732" w:rsidP="00934732">
            <w:pPr>
              <w:ind w:left="284" w:right="113"/>
              <w:jc w:val="center"/>
              <w:rPr>
                <w:rFonts w:eastAsia="Times New Roman" w:cstheme="minorHAnsi"/>
                <w:b/>
                <w:lang w:eastAsia="en-AU"/>
              </w:rPr>
            </w:pPr>
            <w:r w:rsidRPr="000B05D8">
              <w:rPr>
                <w:rFonts w:eastAsia="Times New Roman" w:cstheme="minorHAnsi"/>
                <w:b/>
                <w:lang w:eastAsia="en-AU"/>
              </w:rPr>
              <w:t>Not in receipt of Income Support</w:t>
            </w:r>
          </w:p>
        </w:tc>
        <w:tc>
          <w:tcPr>
            <w:tcW w:w="8618" w:type="dxa"/>
            <w:tcBorders>
              <w:top w:val="single" w:sz="4" w:space="0" w:color="auto"/>
              <w:left w:val="single" w:sz="4" w:space="0" w:color="auto"/>
              <w:bottom w:val="single" w:sz="4" w:space="0" w:color="auto"/>
              <w:right w:val="single" w:sz="4" w:space="0" w:color="auto"/>
            </w:tcBorders>
            <w:shd w:val="clear" w:color="auto" w:fill="auto"/>
          </w:tcPr>
          <w:p w14:paraId="11AFC07E" w14:textId="3D47EE18" w:rsidR="00934732" w:rsidRDefault="00934732" w:rsidP="00934732">
            <w:pPr>
              <w:ind w:right="113"/>
              <w:rPr>
                <w:rFonts w:eastAsia="Times New Roman" w:cstheme="minorHAnsi"/>
                <w:lang w:eastAsia="en-AU"/>
              </w:rPr>
            </w:pPr>
            <w:r w:rsidRPr="006B6A55">
              <w:rPr>
                <w:rFonts w:eastAsia="Times New Roman" w:cstheme="minorHAnsi"/>
                <w:lang w:eastAsia="en-AU"/>
              </w:rPr>
              <w:t xml:space="preserve"> </w:t>
            </w:r>
          </w:p>
          <w:p w14:paraId="1E785D7E" w14:textId="77777777" w:rsidR="00934732" w:rsidRPr="006B6A55" w:rsidRDefault="00934732" w:rsidP="00934732">
            <w:pPr>
              <w:ind w:right="113"/>
              <w:rPr>
                <w:rFonts w:eastAsia="Times New Roman" w:cstheme="minorHAnsi"/>
                <w:b/>
                <w:lang w:eastAsia="en-AU"/>
              </w:rPr>
            </w:pPr>
            <w:r>
              <w:rPr>
                <w:rFonts w:eastAsia="Times New Roman" w:cstheme="minorHAnsi"/>
                <w:lang w:eastAsia="en-AU"/>
              </w:rPr>
              <w:t>Not eligible for NEST, unless eligible under another category of eligibility (e.g. as a Retrenched Worker or their partner, Pre-Release Prisoner, Vulnerable Youth or Vulnerable Youth (Student)).</w:t>
            </w:r>
          </w:p>
        </w:tc>
        <w:tc>
          <w:tcPr>
            <w:tcW w:w="7087" w:type="dxa"/>
            <w:tcBorders>
              <w:top w:val="single" w:sz="4" w:space="0" w:color="auto"/>
              <w:left w:val="single" w:sz="4" w:space="0" w:color="auto"/>
              <w:bottom w:val="single" w:sz="4" w:space="0" w:color="auto"/>
              <w:right w:val="single" w:sz="4" w:space="0" w:color="auto"/>
            </w:tcBorders>
          </w:tcPr>
          <w:p w14:paraId="0AA77BB3" w14:textId="77777777" w:rsidR="00934732" w:rsidRPr="006B6A55" w:rsidRDefault="00934732" w:rsidP="00934732">
            <w:pPr>
              <w:ind w:right="113"/>
              <w:rPr>
                <w:rFonts w:eastAsia="Times New Roman" w:cstheme="minorHAnsi"/>
                <w:b/>
                <w:lang w:eastAsia="en-AU"/>
              </w:rPr>
            </w:pPr>
            <w:r w:rsidRPr="006B6A55">
              <w:rPr>
                <w:rFonts w:eastAsia="Times New Roman" w:cstheme="minorHAnsi"/>
                <w:b/>
                <w:lang w:eastAsia="en-AU"/>
              </w:rPr>
              <w:t>Participants not in receipt of Income Support Payments</w:t>
            </w:r>
          </w:p>
          <w:p w14:paraId="56413C19" w14:textId="77777777" w:rsidR="00934732" w:rsidRPr="006B6A55" w:rsidRDefault="00934732" w:rsidP="00934732">
            <w:pPr>
              <w:ind w:right="113"/>
              <w:rPr>
                <w:rFonts w:eastAsia="Times New Roman" w:cstheme="minorHAnsi"/>
                <w:b/>
                <w:lang w:eastAsia="en-AU"/>
              </w:rPr>
            </w:pPr>
            <w:r w:rsidRPr="006B6A55">
              <w:rPr>
                <w:rFonts w:eastAsia="Times New Roman" w:cstheme="minorHAnsi"/>
                <w:b/>
                <w:lang w:eastAsia="en-AU"/>
              </w:rPr>
              <w:t>Subject to them not being:</w:t>
            </w:r>
          </w:p>
          <w:p w14:paraId="1FAB5C28" w14:textId="77777777" w:rsidR="00934732" w:rsidRPr="006B6A55" w:rsidRDefault="00934732" w:rsidP="00934732">
            <w:pPr>
              <w:ind w:left="284" w:right="113"/>
              <w:rPr>
                <w:rFonts w:eastAsia="Times New Roman" w:cstheme="minorHAnsi"/>
                <w:lang w:eastAsia="en-AU"/>
              </w:rPr>
            </w:pPr>
            <w:r w:rsidRPr="006B6A55">
              <w:rPr>
                <w:rFonts w:eastAsia="Times New Roman" w:cstheme="minorHAnsi"/>
                <w:lang w:eastAsia="en-AU"/>
              </w:rPr>
              <w:t>• full-time students</w:t>
            </w:r>
          </w:p>
          <w:p w14:paraId="0BFB328A" w14:textId="77777777" w:rsidR="00934732" w:rsidRPr="006B6A55" w:rsidRDefault="00934732" w:rsidP="00934732">
            <w:pPr>
              <w:ind w:left="284" w:right="113"/>
              <w:rPr>
                <w:rFonts w:eastAsia="Times New Roman" w:cstheme="minorHAnsi"/>
                <w:lang w:eastAsia="en-AU"/>
              </w:rPr>
            </w:pPr>
            <w:r w:rsidRPr="006B6A55">
              <w:rPr>
                <w:rFonts w:eastAsia="Times New Roman" w:cstheme="minorHAnsi"/>
                <w:lang w:eastAsia="en-AU"/>
              </w:rPr>
              <w:t>• working in paid employment for 15 hours or more per week and not on an Income Support Payment</w:t>
            </w:r>
          </w:p>
          <w:p w14:paraId="3ECEA0F7" w14:textId="77777777" w:rsidR="00934732" w:rsidRPr="006B6A55" w:rsidRDefault="00934732" w:rsidP="00934732">
            <w:pPr>
              <w:ind w:left="284" w:right="113"/>
              <w:rPr>
                <w:rFonts w:eastAsia="Times New Roman" w:cstheme="minorHAnsi"/>
                <w:lang w:eastAsia="en-AU"/>
              </w:rPr>
            </w:pPr>
            <w:r w:rsidRPr="006B6A55">
              <w:rPr>
                <w:rFonts w:eastAsia="Times New Roman" w:cstheme="minorHAnsi"/>
                <w:lang w:eastAsia="en-AU"/>
              </w:rPr>
              <w:t>• overseas visitors on working holiday visas or overseas students studying in Australia, or</w:t>
            </w:r>
          </w:p>
          <w:p w14:paraId="1801EC7D" w14:textId="77777777" w:rsidR="00934732" w:rsidRPr="006B6A55" w:rsidRDefault="00934732" w:rsidP="00934732">
            <w:pPr>
              <w:ind w:left="284" w:right="113"/>
              <w:rPr>
                <w:rFonts w:eastAsia="Times New Roman" w:cstheme="minorHAnsi"/>
                <w:lang w:eastAsia="en-AU"/>
              </w:rPr>
            </w:pPr>
            <w:r w:rsidRPr="006B6A55">
              <w:rPr>
                <w:rFonts w:eastAsia="Times New Roman" w:cstheme="minorHAnsi"/>
                <w:lang w:eastAsia="en-AU"/>
              </w:rPr>
              <w:t>• prohibited by law from working in Australia.</w:t>
            </w:r>
          </w:p>
          <w:p w14:paraId="1CDA3933" w14:textId="77777777" w:rsidR="00934732" w:rsidRPr="006B6A55" w:rsidRDefault="00934732" w:rsidP="00934732">
            <w:pPr>
              <w:ind w:right="113"/>
              <w:rPr>
                <w:rFonts w:eastAsia="Times New Roman" w:cstheme="minorHAnsi"/>
                <w:b/>
                <w:lang w:eastAsia="en-AU"/>
              </w:rPr>
            </w:pPr>
          </w:p>
        </w:tc>
        <w:tc>
          <w:tcPr>
            <w:tcW w:w="453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AD11F6F" w14:textId="77777777" w:rsidR="00934732" w:rsidRPr="006B6A55" w:rsidRDefault="00934732" w:rsidP="00934732">
            <w:pPr>
              <w:ind w:right="113"/>
              <w:rPr>
                <w:rFonts w:eastAsia="Times New Roman" w:cstheme="minorHAnsi"/>
                <w:b/>
                <w:lang w:eastAsia="en-AU"/>
              </w:rPr>
            </w:pPr>
            <w:r w:rsidRPr="006B6A55">
              <w:t>Not applicable</w:t>
            </w:r>
          </w:p>
        </w:tc>
      </w:tr>
      <w:tr w:rsidR="00934732" w:rsidRPr="000B05D8" w14:paraId="5846A336" w14:textId="77777777" w:rsidTr="00462D22">
        <w:trPr>
          <w:trHeight w:val="2552"/>
          <w:jc w:val="center"/>
        </w:trPr>
        <w:tc>
          <w:tcPr>
            <w:tcW w:w="1413" w:type="dxa"/>
            <w:tcBorders>
              <w:top w:val="single" w:sz="4" w:space="0" w:color="auto"/>
              <w:left w:val="single" w:sz="4" w:space="0" w:color="auto"/>
              <w:bottom w:val="single" w:sz="4" w:space="0" w:color="auto"/>
              <w:right w:val="single" w:sz="4" w:space="0" w:color="auto"/>
            </w:tcBorders>
            <w:textDirection w:val="btLr"/>
          </w:tcPr>
          <w:p w14:paraId="4AFA40C3" w14:textId="77777777" w:rsidR="00934732" w:rsidRPr="000B05D8" w:rsidRDefault="00934732" w:rsidP="00934732">
            <w:pPr>
              <w:ind w:left="284" w:right="113"/>
              <w:jc w:val="center"/>
              <w:rPr>
                <w:rFonts w:eastAsia="Times New Roman" w:cstheme="minorHAnsi"/>
                <w:b/>
                <w:lang w:eastAsia="en-AU"/>
              </w:rPr>
            </w:pPr>
            <w:r>
              <w:rPr>
                <w:rFonts w:eastAsia="Times New Roman" w:cstheme="minorHAnsi"/>
                <w:b/>
                <w:lang w:eastAsia="en-AU"/>
              </w:rPr>
              <w:t>Australian Government Disaster Recovery payment</w:t>
            </w:r>
          </w:p>
        </w:tc>
        <w:tc>
          <w:tcPr>
            <w:tcW w:w="861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D93567F" w14:textId="77777777" w:rsidR="00934732" w:rsidRPr="006B6A55" w:rsidRDefault="00934732" w:rsidP="00934732">
            <w:pPr>
              <w:ind w:right="113"/>
              <w:rPr>
                <w:rFonts w:eastAsia="Times New Roman" w:cstheme="minorHAnsi"/>
                <w:b/>
                <w:lang w:eastAsia="en-AU"/>
              </w:rPr>
            </w:pPr>
            <w:r w:rsidRPr="006B6A55">
              <w:t>Not applicable</w:t>
            </w:r>
          </w:p>
        </w:tc>
        <w:tc>
          <w:tcPr>
            <w:tcW w:w="708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86A484A" w14:textId="77777777" w:rsidR="00934732" w:rsidRPr="006B6A55" w:rsidRDefault="00934732" w:rsidP="00934732">
            <w:pPr>
              <w:ind w:right="113"/>
              <w:rPr>
                <w:rFonts w:eastAsia="Times New Roman" w:cstheme="minorHAnsi"/>
                <w:b/>
                <w:lang w:eastAsia="en-AU"/>
              </w:rPr>
            </w:pPr>
            <w:r w:rsidRPr="006B6A55">
              <w:t>Not applicable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06405FD" w14:textId="77777777" w:rsidR="00934732" w:rsidRPr="000B05D8" w:rsidRDefault="00934732" w:rsidP="00934732">
            <w:pPr>
              <w:ind w:right="113"/>
              <w:rPr>
                <w:rFonts w:eastAsia="Times New Roman" w:cstheme="minorHAnsi"/>
                <w:b/>
                <w:lang w:eastAsia="en-AU"/>
              </w:rPr>
            </w:pPr>
            <w:r>
              <w:rPr>
                <w:rFonts w:eastAsia="Times New Roman" w:cstheme="minorHAnsi"/>
                <w:b/>
                <w:lang w:eastAsia="en-AU"/>
              </w:rPr>
              <w:t xml:space="preserve">Australian Government Disaster Recovery Payment recipient: </w:t>
            </w:r>
            <w:r>
              <w:rPr>
                <w:rFonts w:eastAsia="Times New Roman" w:cstheme="minorHAnsi"/>
                <w:lang w:eastAsia="en-AU"/>
              </w:rPr>
              <w:t>except if they fall into any of the categories that would otherwise make them eligible for Enhanced Services.</w:t>
            </w:r>
          </w:p>
        </w:tc>
      </w:tr>
      <w:tr w:rsidR="00934732" w:rsidRPr="000B05D8" w14:paraId="5B891BB2" w14:textId="77777777" w:rsidTr="00462D22">
        <w:trPr>
          <w:trHeight w:val="1871"/>
          <w:jc w:val="center"/>
        </w:trPr>
        <w:tc>
          <w:tcPr>
            <w:tcW w:w="1413" w:type="dxa"/>
            <w:tcBorders>
              <w:top w:val="single" w:sz="4" w:space="0" w:color="auto"/>
              <w:left w:val="single" w:sz="4" w:space="0" w:color="auto"/>
              <w:bottom w:val="single" w:sz="4" w:space="0" w:color="auto"/>
              <w:right w:val="single" w:sz="4" w:space="0" w:color="auto"/>
            </w:tcBorders>
            <w:textDirection w:val="btLr"/>
          </w:tcPr>
          <w:p w14:paraId="28F02277" w14:textId="77777777" w:rsidR="00934732" w:rsidRPr="000B05D8" w:rsidRDefault="00934732" w:rsidP="00934732">
            <w:pPr>
              <w:ind w:left="284" w:right="113"/>
              <w:jc w:val="center"/>
              <w:rPr>
                <w:rFonts w:eastAsia="Times New Roman" w:cstheme="minorHAnsi"/>
                <w:b/>
                <w:lang w:eastAsia="en-AU"/>
              </w:rPr>
            </w:pPr>
            <w:r>
              <w:rPr>
                <w:rFonts w:eastAsia="Times New Roman" w:cstheme="minorHAnsi"/>
                <w:b/>
                <w:lang w:eastAsia="en-AU"/>
              </w:rPr>
              <w:t>Workers Compensation</w:t>
            </w:r>
          </w:p>
        </w:tc>
        <w:tc>
          <w:tcPr>
            <w:tcW w:w="861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F66EC86" w14:textId="77777777" w:rsidR="00934732" w:rsidRPr="006B6A55" w:rsidRDefault="00934732" w:rsidP="00934732">
            <w:pPr>
              <w:ind w:right="113"/>
              <w:rPr>
                <w:rFonts w:eastAsia="Times New Roman" w:cstheme="minorHAnsi"/>
                <w:b/>
                <w:lang w:eastAsia="en-AU"/>
              </w:rPr>
            </w:pPr>
            <w:r w:rsidRPr="006B6A55">
              <w:t>Not applicable</w:t>
            </w:r>
          </w:p>
        </w:tc>
        <w:tc>
          <w:tcPr>
            <w:tcW w:w="708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A8C9A7C" w14:textId="77777777" w:rsidR="00934732" w:rsidRPr="006B6A55" w:rsidRDefault="00934732" w:rsidP="00934732">
            <w:pPr>
              <w:ind w:right="113"/>
              <w:rPr>
                <w:rFonts w:eastAsia="Times New Roman" w:cstheme="minorHAnsi"/>
                <w:b/>
                <w:lang w:eastAsia="en-AU"/>
              </w:rPr>
            </w:pPr>
            <w:r w:rsidRPr="006B6A55">
              <w:t>Not applicable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F0F5DAB" w14:textId="77777777" w:rsidR="00934732" w:rsidRPr="000B05D8" w:rsidRDefault="00934732" w:rsidP="00934732">
            <w:pPr>
              <w:ind w:right="113"/>
              <w:rPr>
                <w:rFonts w:eastAsia="Times New Roman" w:cstheme="minorHAnsi"/>
                <w:b/>
                <w:lang w:eastAsia="en-AU"/>
              </w:rPr>
            </w:pPr>
            <w:r>
              <w:rPr>
                <w:rFonts w:eastAsia="Times New Roman" w:cstheme="minorHAnsi"/>
                <w:b/>
                <w:lang w:eastAsia="en-AU"/>
              </w:rPr>
              <w:t>People receiving workers compensation</w:t>
            </w:r>
          </w:p>
        </w:tc>
      </w:tr>
    </w:tbl>
    <w:p w14:paraId="35F86CCF" w14:textId="77777777" w:rsidR="003F4BF8" w:rsidRPr="000B05D8" w:rsidRDefault="003F4BF8" w:rsidP="000976C6">
      <w:pPr>
        <w:pStyle w:val="guidelinechanges"/>
      </w:pPr>
    </w:p>
    <w:p w14:paraId="1672FF51" w14:textId="77777777" w:rsidR="003F4BF8" w:rsidRDefault="003F4BF8" w:rsidP="003F4BF8">
      <w:pPr>
        <w:sectPr w:rsidR="003F4BF8" w:rsidSect="003028D3">
          <w:pgSz w:w="23814" w:h="16839" w:orient="landscape" w:code="8"/>
          <w:pgMar w:top="709" w:right="120" w:bottom="2097" w:left="1440" w:header="142" w:footer="708" w:gutter="0"/>
          <w:cols w:space="708"/>
          <w:docGrid w:linePitch="360"/>
        </w:sectPr>
      </w:pPr>
    </w:p>
    <w:p w14:paraId="54B99027" w14:textId="16FD95D9" w:rsidR="00155A2A" w:rsidRPr="0011207E" w:rsidRDefault="00155A2A" w:rsidP="00155A2A">
      <w:pPr>
        <w:pBdr>
          <w:top w:val="single" w:sz="4" w:space="1" w:color="auto"/>
        </w:pBdr>
        <w:ind w:right="-23"/>
        <w:rPr>
          <w:sz w:val="20"/>
          <w:szCs w:val="20"/>
        </w:rPr>
      </w:pPr>
      <w:r w:rsidRPr="00FF0859">
        <w:rPr>
          <w:sz w:val="20"/>
          <w:szCs w:val="20"/>
        </w:rPr>
        <w:lastRenderedPageBreak/>
        <w:t xml:space="preserve">All capitalised terms in this </w:t>
      </w:r>
      <w:r w:rsidR="00AA29A7" w:rsidRPr="00FF0859">
        <w:rPr>
          <w:sz w:val="20"/>
          <w:szCs w:val="20"/>
        </w:rPr>
        <w:t>G</w:t>
      </w:r>
      <w:r w:rsidRPr="00FF0859">
        <w:rPr>
          <w:sz w:val="20"/>
          <w:szCs w:val="20"/>
        </w:rPr>
        <w:t xml:space="preserve">uideline have the same meaning as in the New Employment Services Trial </w:t>
      </w:r>
      <w:r w:rsidRPr="006639D8">
        <w:rPr>
          <w:sz w:val="20"/>
          <w:szCs w:val="20"/>
        </w:rPr>
        <w:t xml:space="preserve">Deed 2019–2022 (the Deed). </w:t>
      </w:r>
    </w:p>
    <w:p w14:paraId="307EA7C6" w14:textId="233297DE" w:rsidR="003F4BF8" w:rsidRPr="00566794" w:rsidRDefault="005512B3" w:rsidP="00460F1D">
      <w:pPr>
        <w:rPr>
          <w:sz w:val="20"/>
          <w:szCs w:val="20"/>
        </w:rPr>
      </w:pPr>
      <w:r w:rsidRPr="00566794">
        <w:rPr>
          <w:sz w:val="20"/>
          <w:szCs w:val="20"/>
        </w:rPr>
        <w:t xml:space="preserve">In this guideline, references to </w:t>
      </w:r>
      <w:r w:rsidR="00C16617" w:rsidRPr="00FF0859">
        <w:rPr>
          <w:sz w:val="20"/>
          <w:szCs w:val="20"/>
        </w:rPr>
        <w:t xml:space="preserve">Trial </w:t>
      </w:r>
      <w:r w:rsidRPr="00FF0859">
        <w:rPr>
          <w:sz w:val="20"/>
          <w:szCs w:val="20"/>
        </w:rPr>
        <w:t xml:space="preserve">Provider means a New Employment Services Trial </w:t>
      </w:r>
      <w:r w:rsidR="00913C0D" w:rsidRPr="00FF0859">
        <w:rPr>
          <w:sz w:val="20"/>
          <w:szCs w:val="20"/>
        </w:rPr>
        <w:t>Provider</w:t>
      </w:r>
      <w:r w:rsidRPr="00FF0859">
        <w:rPr>
          <w:sz w:val="20"/>
          <w:szCs w:val="20"/>
        </w:rPr>
        <w:t xml:space="preserve"> and references to Participants means Enhanced Services Participants as defined in the Deed. </w:t>
      </w:r>
      <w:r w:rsidR="00155A2A" w:rsidRPr="006639D8">
        <w:rPr>
          <w:sz w:val="20"/>
          <w:szCs w:val="20"/>
        </w:rPr>
        <w:t>This Guideline is not a stand-alone docum</w:t>
      </w:r>
      <w:r w:rsidR="00155A2A" w:rsidRPr="0011207E">
        <w:rPr>
          <w:sz w:val="20"/>
          <w:szCs w:val="20"/>
        </w:rPr>
        <w:t xml:space="preserve">ent and does not contain the entirety of </w:t>
      </w:r>
      <w:r w:rsidR="00F33FB0" w:rsidRPr="00FF0859">
        <w:rPr>
          <w:sz w:val="20"/>
          <w:szCs w:val="20"/>
        </w:rPr>
        <w:t xml:space="preserve">Trial </w:t>
      </w:r>
      <w:r w:rsidR="00155A2A" w:rsidRPr="00FF0859">
        <w:rPr>
          <w:sz w:val="20"/>
          <w:szCs w:val="20"/>
        </w:rPr>
        <w:t xml:space="preserve">Providers’ obligations. It must be read in conjunction with the Deed and any relevant Guidelines or reference material issued </w:t>
      </w:r>
      <w:r w:rsidR="00780892" w:rsidRPr="006639D8">
        <w:rPr>
          <w:sz w:val="20"/>
          <w:szCs w:val="20"/>
        </w:rPr>
        <w:t xml:space="preserve">Department of Education, Skills and Employment </w:t>
      </w:r>
      <w:r w:rsidR="00155A2A" w:rsidRPr="0011207E">
        <w:rPr>
          <w:sz w:val="20"/>
          <w:szCs w:val="20"/>
        </w:rPr>
        <w:t>under or in connection with the Deed.</w:t>
      </w:r>
    </w:p>
    <w:sectPr w:rsidR="003F4BF8" w:rsidRPr="00566794" w:rsidSect="00155A2A">
      <w:headerReference w:type="even" r:id="rId37"/>
      <w:headerReference w:type="default" r:id="rId38"/>
      <w:headerReference w:type="first" r:id="rId39"/>
      <w:footerReference w:type="first" r:id="rId40"/>
      <w:pgSz w:w="11907" w:h="16839" w:code="9"/>
      <w:pgMar w:top="120" w:right="1440"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61F73" w14:textId="77777777" w:rsidR="002B414A" w:rsidRDefault="002B414A" w:rsidP="008A194F">
      <w:pPr>
        <w:spacing w:before="0"/>
      </w:pPr>
      <w:r>
        <w:separator/>
      </w:r>
    </w:p>
  </w:endnote>
  <w:endnote w:type="continuationSeparator" w:id="0">
    <w:p w14:paraId="2C7A01E1" w14:textId="77777777" w:rsidR="002B414A" w:rsidRDefault="002B414A" w:rsidP="008A194F">
      <w:pPr>
        <w:spacing w:before="0"/>
      </w:pPr>
      <w:r>
        <w:continuationSeparator/>
      </w:r>
    </w:p>
  </w:endnote>
  <w:endnote w:type="continuationNotice" w:id="1">
    <w:p w14:paraId="1F7DB393" w14:textId="77777777" w:rsidR="002B414A" w:rsidRDefault="002B414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76DA5" w14:textId="37F4A711" w:rsidR="002B414A" w:rsidRPr="001F19A3" w:rsidRDefault="002B414A" w:rsidP="00D1245D">
    <w:pPr>
      <w:pStyle w:val="Footer"/>
      <w:pBdr>
        <w:top w:val="single" w:sz="4" w:space="1" w:color="767171" w:themeColor="background2" w:themeShade="80"/>
      </w:pBdr>
      <w:tabs>
        <w:tab w:val="left" w:pos="6600"/>
      </w:tabs>
      <w:rPr>
        <w:sz w:val="20"/>
        <w:szCs w:val="20"/>
      </w:rPr>
    </w:pPr>
    <w:r w:rsidRPr="001F19A3">
      <w:rPr>
        <w:sz w:val="20"/>
        <w:szCs w:val="20"/>
      </w:rPr>
      <w:t>Effective from</w:t>
    </w:r>
    <w:r w:rsidRPr="00C43317">
      <w:rPr>
        <w:sz w:val="20"/>
        <w:szCs w:val="20"/>
      </w:rPr>
      <w:t xml:space="preserve">: </w:t>
    </w:r>
    <w:r>
      <w:rPr>
        <w:sz w:val="20"/>
        <w:szCs w:val="20"/>
      </w:rPr>
      <w:t xml:space="preserve">4 December 2021 </w:t>
    </w:r>
    <w:r w:rsidRPr="001F19A3">
      <w:rPr>
        <w:sz w:val="20"/>
        <w:szCs w:val="20"/>
      </w:rPr>
      <w:tab/>
    </w:r>
    <w:r w:rsidRPr="00467ADE">
      <w:rPr>
        <w:sz w:val="20"/>
      </w:rPr>
      <w:t>TRIM ID:</w:t>
    </w:r>
    <w:r w:rsidRPr="001F19A3">
      <w:rPr>
        <w:sz w:val="20"/>
        <w:szCs w:val="20"/>
      </w:rPr>
      <w:tab/>
    </w:r>
    <w:r>
      <w:rPr>
        <w:sz w:val="20"/>
        <w:szCs w:val="20"/>
      </w:rPr>
      <w:tab/>
    </w:r>
    <w:r w:rsidRPr="001F19A3">
      <w:rPr>
        <w:sz w:val="20"/>
        <w:szCs w:val="20"/>
      </w:rPr>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Pr>
        <w:noProof/>
        <w:sz w:val="20"/>
        <w:szCs w:val="20"/>
      </w:rPr>
      <w:t>15</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Pr>
        <w:noProof/>
        <w:sz w:val="20"/>
        <w:szCs w:val="20"/>
      </w:rPr>
      <w:t>18</w:t>
    </w:r>
    <w:r w:rsidRPr="001F19A3">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5C78E" w14:textId="5319A943" w:rsidR="002B414A" w:rsidRPr="001F19A3" w:rsidRDefault="002B414A" w:rsidP="004D1BE9">
    <w:pPr>
      <w:pStyle w:val="Footer"/>
      <w:pBdr>
        <w:top w:val="single" w:sz="4" w:space="1" w:color="767171" w:themeColor="background2" w:themeShade="80"/>
      </w:pBd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6B1A2" w14:textId="77777777" w:rsidR="002B414A" w:rsidRPr="001F19A3" w:rsidRDefault="002B414A" w:rsidP="004D1BE9">
    <w:pPr>
      <w:pStyle w:val="Footer"/>
      <w:pBdr>
        <w:top w:val="single" w:sz="4" w:space="1" w:color="767171" w:themeColor="background2" w:themeShade="80"/>
      </w:pBd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42737" w14:textId="77777777" w:rsidR="002B414A" w:rsidRDefault="002B414A" w:rsidP="008A194F">
      <w:pPr>
        <w:spacing w:before="0"/>
      </w:pPr>
      <w:r>
        <w:separator/>
      </w:r>
    </w:p>
  </w:footnote>
  <w:footnote w:type="continuationSeparator" w:id="0">
    <w:p w14:paraId="32DBC299" w14:textId="77777777" w:rsidR="002B414A" w:rsidRDefault="002B414A" w:rsidP="008A194F">
      <w:pPr>
        <w:spacing w:before="0"/>
      </w:pPr>
      <w:r>
        <w:continuationSeparator/>
      </w:r>
    </w:p>
  </w:footnote>
  <w:footnote w:type="continuationNotice" w:id="1">
    <w:p w14:paraId="305A8A32" w14:textId="77777777" w:rsidR="002B414A" w:rsidRDefault="002B414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90E2B" w14:textId="77777777" w:rsidR="002B414A" w:rsidRPr="00AA29A7" w:rsidRDefault="002B414A" w:rsidP="00B444BB">
    <w:pPr>
      <w:pStyle w:val="Header"/>
      <w:pBdr>
        <w:bottom w:val="single" w:sz="4" w:space="1" w:color="767171" w:themeColor="background2" w:themeShade="80"/>
      </w:pBdr>
      <w:tabs>
        <w:tab w:val="clear" w:pos="4513"/>
        <w:tab w:val="clear" w:pos="9026"/>
        <w:tab w:val="right" w:pos="21688"/>
      </w:tabs>
      <w:rPr>
        <w:bCs/>
        <w:color w:val="808080" w:themeColor="background1" w:themeShade="80"/>
      </w:rPr>
    </w:pPr>
    <w:r>
      <w:t xml:space="preserve">New Employment Services Trial Guideline </w:t>
    </w:r>
    <w:r>
      <w:tab/>
    </w:r>
    <w:r w:rsidRPr="00AA29A7">
      <w:t>Eligibility Referral and Commencement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87FC8" w14:textId="77777777" w:rsidR="002B414A" w:rsidRDefault="002B414A" w:rsidP="007D5437">
    <w:pPr>
      <w:pStyle w:val="Header"/>
      <w:pBdr>
        <w:bottom w:val="single" w:sz="4" w:space="1" w:color="767171" w:themeColor="background2" w:themeShade="80"/>
      </w:pBdr>
      <w:tabs>
        <w:tab w:val="clear" w:pos="4513"/>
      </w:tabs>
    </w:pPr>
    <w:r>
      <w:t>jobactive guideline</w:t>
    </w:r>
    <w:r>
      <w:tab/>
    </w:r>
    <w:r>
      <w:rPr>
        <w:b/>
      </w:rPr>
      <w:t>Eligibility, Referral and Commencement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707F2" w14:textId="77777777" w:rsidR="002B414A" w:rsidRDefault="002B41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A260F" w14:textId="77777777" w:rsidR="002B414A" w:rsidRDefault="002B41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4072E" w14:textId="77777777" w:rsidR="002B414A" w:rsidRDefault="002B41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ADD74" w14:textId="77777777" w:rsidR="002B414A" w:rsidRDefault="002B41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13A94" w14:textId="09F25A71" w:rsidR="002B414A" w:rsidRDefault="002B414A">
    <w:pPr>
      <w:pStyle w:val="Header"/>
    </w:pPr>
    <w:r>
      <w:t>New Employment Services Trial guideline</w:t>
    </w:r>
    <w:r>
      <w:tab/>
    </w:r>
    <w:r>
      <w:tab/>
      <w:t>Eligibility, Referral and Commencement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315A7" w14:textId="77777777" w:rsidR="002B414A" w:rsidRPr="003028D3" w:rsidRDefault="002B414A" w:rsidP="003028D3">
    <w:pPr>
      <w:pStyle w:val="Header"/>
      <w:pBdr>
        <w:bottom w:val="single" w:sz="4" w:space="1" w:color="767171" w:themeColor="background2" w:themeShade="80"/>
      </w:pBdr>
      <w:tabs>
        <w:tab w:val="clear" w:pos="4513"/>
        <w:tab w:val="clear" w:pos="9026"/>
        <w:tab w:val="right" w:pos="21688"/>
      </w:tabs>
    </w:pPr>
    <w:r>
      <w:t>New Employment Services Trial Guideline</w:t>
    </w:r>
    <w:r>
      <w:tab/>
    </w:r>
    <w:r w:rsidRPr="00D47C82">
      <w:t>Eligibility, Referral and Commencement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4A780" w14:textId="77777777" w:rsidR="002B414A" w:rsidRDefault="002B41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CC540" w14:textId="77777777" w:rsidR="002B414A" w:rsidRDefault="002B41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704A0E"/>
    <w:multiLevelType w:val="hybridMultilevel"/>
    <w:tmpl w:val="F22C3D9A"/>
    <w:lvl w:ilvl="0" w:tplc="CBC023C8">
      <w:start w:val="1"/>
      <w:numFmt w:val="bullet"/>
      <w:pStyle w:val="docev"/>
      <w:lvlText w:val=""/>
      <w:lvlJc w:val="left"/>
      <w:pPr>
        <w:ind w:left="720" w:hanging="360"/>
      </w:pPr>
      <w:rPr>
        <w:rFonts w:ascii="Wingdings" w:hAnsi="Wingdings"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B111CA"/>
    <w:multiLevelType w:val="hybridMultilevel"/>
    <w:tmpl w:val="2EE8C472"/>
    <w:lvl w:ilvl="0" w:tplc="E9AE60E4">
      <w:start w:val="1"/>
      <w:numFmt w:val="bullet"/>
      <w:pStyle w:val="WHS"/>
      <w:lvlText w:val=""/>
      <w:lvlJc w:val="left"/>
      <w:pPr>
        <w:ind w:left="360" w:hanging="360"/>
      </w:pPr>
      <w:rPr>
        <w:rFonts w:ascii="Webdings" w:hAnsi="Webdings" w:hint="default"/>
        <w:b/>
        <w:i w:val="0"/>
        <w:color w:val="FF000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512B78"/>
    <w:multiLevelType w:val="multilevel"/>
    <w:tmpl w:val="9C64133C"/>
    <w:lvl w:ilvl="0">
      <w:start w:val="1"/>
      <w:numFmt w:val="decimal"/>
      <w:pStyle w:val="2Clause1"/>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3Cls11"/>
      <w:lvlText w:val="%1.%2"/>
      <w:lvlJc w:val="left"/>
      <w:pPr>
        <w:tabs>
          <w:tab w:val="num" w:pos="1021"/>
        </w:tabs>
        <w:ind w:left="1021" w:hanging="737"/>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Clsa"/>
      <w:lvlText w:val="(%3)"/>
      <w:lvlJc w:val="left"/>
      <w:pPr>
        <w:tabs>
          <w:tab w:val="num" w:pos="1021"/>
        </w:tabs>
        <w:ind w:left="1503" w:hanging="510"/>
      </w:pPr>
      <w:rPr>
        <w:rFonts w:asciiTheme="minorHAnsi" w:eastAsia="Times New Roman" w:hAnsiTheme="minorHAnsi" w:cstheme="minorHAnsi"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304"/>
        </w:tabs>
        <w:ind w:left="1758" w:hanging="454"/>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3" w15:restartNumberingAfterBreak="0">
    <w:nsid w:val="55DF1F44"/>
    <w:multiLevelType w:val="hybridMultilevel"/>
    <w:tmpl w:val="7DF6EBC4"/>
    <w:lvl w:ilvl="0" w:tplc="EFA64B3A">
      <w:start w:val="1"/>
      <w:numFmt w:val="bullet"/>
      <w:pStyle w:val="Systemstep"/>
      <w:lvlText w:val=""/>
      <w:lvlJc w:val="left"/>
      <w:pPr>
        <w:ind w:left="360" w:hanging="360"/>
      </w:pPr>
      <w:rPr>
        <w:rFonts w:ascii="Wingdings" w:hAnsi="Wingdings" w:hint="default"/>
        <w:b w:val="0"/>
        <w:i w:val="0"/>
        <w:sz w:val="28"/>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 w15:restartNumberingAfterBreak="0">
    <w:nsid w:val="5B6579FD"/>
    <w:multiLevelType w:val="hybridMultilevel"/>
    <w:tmpl w:val="61E8758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E3A3090"/>
    <w:multiLevelType w:val="hybridMultilevel"/>
    <w:tmpl w:val="5286541A"/>
    <w:lvl w:ilvl="0" w:tplc="FF00279E">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4CC3525"/>
    <w:multiLevelType w:val="hybridMultilevel"/>
    <w:tmpl w:val="F648AF6E"/>
    <w:lvl w:ilvl="0" w:tplc="204C760A">
      <w:start w:val="1"/>
      <w:numFmt w:val="decimal"/>
      <w:lvlText w:val="%1."/>
      <w:lvlJc w:val="left"/>
      <w:pPr>
        <w:ind w:left="36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7" w15:restartNumberingAfterBreak="0">
    <w:nsid w:val="661F0FA6"/>
    <w:multiLevelType w:val="hybridMultilevel"/>
    <w:tmpl w:val="16729B5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7C727836"/>
    <w:multiLevelType w:val="hybridMultilevel"/>
    <w:tmpl w:val="04A68DDC"/>
    <w:lvl w:ilvl="0" w:tplc="29EEE73C">
      <w:start w:val="1"/>
      <w:numFmt w:val="bullet"/>
      <w:pStyle w:val="guidelinebullet"/>
      <w:lvlText w:val=""/>
      <w:lvlJc w:val="left"/>
      <w:pPr>
        <w:ind w:left="2061" w:hanging="360"/>
      </w:pPr>
      <w:rPr>
        <w:rFonts w:ascii="Symbol" w:hAnsi="Symbol" w:hint="default"/>
      </w:rPr>
    </w:lvl>
    <w:lvl w:ilvl="1" w:tplc="EBB8AED6">
      <w:numFmt w:val="bullet"/>
      <w:lvlText w:val="-"/>
      <w:lvlJc w:val="left"/>
      <w:pPr>
        <w:ind w:left="2520" w:hanging="360"/>
      </w:pPr>
      <w:rPr>
        <w:rFonts w:ascii="Garamond" w:eastAsiaTheme="minorHAnsi" w:hAnsi="Garamond" w:cs="Garamond"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8"/>
  </w:num>
  <w:num w:numId="2">
    <w:abstractNumId w:val="5"/>
  </w:num>
  <w:num w:numId="3">
    <w:abstractNumId w:val="3"/>
  </w:num>
  <w:num w:numId="4">
    <w:abstractNumId w:val="0"/>
  </w:num>
  <w:num w:numId="5">
    <w:abstractNumId w:val="1"/>
  </w:num>
  <w:num w:numId="6">
    <w:abstractNumId w:val="7"/>
  </w:num>
  <w:num w:numId="7">
    <w:abstractNumId w:val="6"/>
  </w:num>
  <w:num w:numId="8">
    <w:abstractNumId w:val="4"/>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87795B"/>
    <w:rsid w:val="000012E5"/>
    <w:rsid w:val="000012FA"/>
    <w:rsid w:val="000040D4"/>
    <w:rsid w:val="00004895"/>
    <w:rsid w:val="00006002"/>
    <w:rsid w:val="00006FF1"/>
    <w:rsid w:val="00007F80"/>
    <w:rsid w:val="000104AE"/>
    <w:rsid w:val="00010CA3"/>
    <w:rsid w:val="00010F5A"/>
    <w:rsid w:val="0001148B"/>
    <w:rsid w:val="00012EF8"/>
    <w:rsid w:val="00014995"/>
    <w:rsid w:val="00014A5E"/>
    <w:rsid w:val="00014C3D"/>
    <w:rsid w:val="00022507"/>
    <w:rsid w:val="000226DF"/>
    <w:rsid w:val="00023792"/>
    <w:rsid w:val="00030FCE"/>
    <w:rsid w:val="000319C6"/>
    <w:rsid w:val="00031BB5"/>
    <w:rsid w:val="00032C02"/>
    <w:rsid w:val="00032E1C"/>
    <w:rsid w:val="000338D9"/>
    <w:rsid w:val="00034737"/>
    <w:rsid w:val="00037E40"/>
    <w:rsid w:val="00040018"/>
    <w:rsid w:val="00040915"/>
    <w:rsid w:val="00045BB7"/>
    <w:rsid w:val="000506BA"/>
    <w:rsid w:val="0005073D"/>
    <w:rsid w:val="00050AE1"/>
    <w:rsid w:val="000532FF"/>
    <w:rsid w:val="00055610"/>
    <w:rsid w:val="00056913"/>
    <w:rsid w:val="00061366"/>
    <w:rsid w:val="00062519"/>
    <w:rsid w:val="00062965"/>
    <w:rsid w:val="0006332F"/>
    <w:rsid w:val="0006704B"/>
    <w:rsid w:val="00070756"/>
    <w:rsid w:val="00071E80"/>
    <w:rsid w:val="000724FE"/>
    <w:rsid w:val="00072B3C"/>
    <w:rsid w:val="00072B6D"/>
    <w:rsid w:val="00073484"/>
    <w:rsid w:val="00074207"/>
    <w:rsid w:val="00074484"/>
    <w:rsid w:val="0007464C"/>
    <w:rsid w:val="0007544D"/>
    <w:rsid w:val="000757A5"/>
    <w:rsid w:val="000762FB"/>
    <w:rsid w:val="000831F9"/>
    <w:rsid w:val="00084518"/>
    <w:rsid w:val="000850E1"/>
    <w:rsid w:val="000866FE"/>
    <w:rsid w:val="00087153"/>
    <w:rsid w:val="00091152"/>
    <w:rsid w:val="00093A11"/>
    <w:rsid w:val="00093A7F"/>
    <w:rsid w:val="000944AD"/>
    <w:rsid w:val="000976C6"/>
    <w:rsid w:val="000A05D9"/>
    <w:rsid w:val="000A0CEB"/>
    <w:rsid w:val="000A1C8B"/>
    <w:rsid w:val="000A52EA"/>
    <w:rsid w:val="000B05D8"/>
    <w:rsid w:val="000B0EA2"/>
    <w:rsid w:val="000B5C1F"/>
    <w:rsid w:val="000B5D01"/>
    <w:rsid w:val="000B6198"/>
    <w:rsid w:val="000B660E"/>
    <w:rsid w:val="000B6B42"/>
    <w:rsid w:val="000B6D97"/>
    <w:rsid w:val="000B732B"/>
    <w:rsid w:val="000C1058"/>
    <w:rsid w:val="000C3412"/>
    <w:rsid w:val="000D071C"/>
    <w:rsid w:val="000D0D72"/>
    <w:rsid w:val="000D27B3"/>
    <w:rsid w:val="000D56B8"/>
    <w:rsid w:val="000D59F0"/>
    <w:rsid w:val="000D679A"/>
    <w:rsid w:val="000D79A5"/>
    <w:rsid w:val="000D7BE3"/>
    <w:rsid w:val="000D7D9E"/>
    <w:rsid w:val="000E121A"/>
    <w:rsid w:val="000E1AA5"/>
    <w:rsid w:val="000E3597"/>
    <w:rsid w:val="000E42D1"/>
    <w:rsid w:val="000E5A81"/>
    <w:rsid w:val="000E61EC"/>
    <w:rsid w:val="000F1F17"/>
    <w:rsid w:val="000F5D62"/>
    <w:rsid w:val="000F6864"/>
    <w:rsid w:val="000F79C5"/>
    <w:rsid w:val="00100782"/>
    <w:rsid w:val="0010113D"/>
    <w:rsid w:val="00101280"/>
    <w:rsid w:val="00101EFD"/>
    <w:rsid w:val="00101FC4"/>
    <w:rsid w:val="00103482"/>
    <w:rsid w:val="00110014"/>
    <w:rsid w:val="00110633"/>
    <w:rsid w:val="00110EE7"/>
    <w:rsid w:val="001118F8"/>
    <w:rsid w:val="0011207E"/>
    <w:rsid w:val="001128EF"/>
    <w:rsid w:val="001132DA"/>
    <w:rsid w:val="00114C63"/>
    <w:rsid w:val="00114E08"/>
    <w:rsid w:val="001169A4"/>
    <w:rsid w:val="001177A5"/>
    <w:rsid w:val="00120DED"/>
    <w:rsid w:val="00121588"/>
    <w:rsid w:val="00121CF2"/>
    <w:rsid w:val="00124266"/>
    <w:rsid w:val="001244A9"/>
    <w:rsid w:val="00125FF2"/>
    <w:rsid w:val="00127323"/>
    <w:rsid w:val="001370F9"/>
    <w:rsid w:val="00137C21"/>
    <w:rsid w:val="00141C29"/>
    <w:rsid w:val="001421E2"/>
    <w:rsid w:val="001423A6"/>
    <w:rsid w:val="00142920"/>
    <w:rsid w:val="00144E07"/>
    <w:rsid w:val="00146FF3"/>
    <w:rsid w:val="00151E96"/>
    <w:rsid w:val="0015426A"/>
    <w:rsid w:val="00154968"/>
    <w:rsid w:val="001559C1"/>
    <w:rsid w:val="00155A2A"/>
    <w:rsid w:val="001560E1"/>
    <w:rsid w:val="001577D4"/>
    <w:rsid w:val="001632A5"/>
    <w:rsid w:val="00163817"/>
    <w:rsid w:val="00164426"/>
    <w:rsid w:val="001647E0"/>
    <w:rsid w:val="0016585A"/>
    <w:rsid w:val="00166E23"/>
    <w:rsid w:val="001704BB"/>
    <w:rsid w:val="0017064A"/>
    <w:rsid w:val="001747A7"/>
    <w:rsid w:val="00176D73"/>
    <w:rsid w:val="00181F93"/>
    <w:rsid w:val="001846C2"/>
    <w:rsid w:val="00187BB2"/>
    <w:rsid w:val="00192280"/>
    <w:rsid w:val="00192A1A"/>
    <w:rsid w:val="0019586C"/>
    <w:rsid w:val="001967AD"/>
    <w:rsid w:val="001A0951"/>
    <w:rsid w:val="001A1BBF"/>
    <w:rsid w:val="001A5345"/>
    <w:rsid w:val="001A591A"/>
    <w:rsid w:val="001A6C4E"/>
    <w:rsid w:val="001B05EB"/>
    <w:rsid w:val="001B0865"/>
    <w:rsid w:val="001B2C7D"/>
    <w:rsid w:val="001B48F1"/>
    <w:rsid w:val="001B6514"/>
    <w:rsid w:val="001C06F9"/>
    <w:rsid w:val="001C0B8F"/>
    <w:rsid w:val="001C3658"/>
    <w:rsid w:val="001C3C28"/>
    <w:rsid w:val="001C504D"/>
    <w:rsid w:val="001D045D"/>
    <w:rsid w:val="001D15D4"/>
    <w:rsid w:val="001D3FA7"/>
    <w:rsid w:val="001D600D"/>
    <w:rsid w:val="001D70D4"/>
    <w:rsid w:val="001D7CE7"/>
    <w:rsid w:val="001E1114"/>
    <w:rsid w:val="001E1C1A"/>
    <w:rsid w:val="001E1D4A"/>
    <w:rsid w:val="001E3E93"/>
    <w:rsid w:val="001E4142"/>
    <w:rsid w:val="001E71CF"/>
    <w:rsid w:val="001E7BE4"/>
    <w:rsid w:val="001E7C58"/>
    <w:rsid w:val="001F19A3"/>
    <w:rsid w:val="001F5EFF"/>
    <w:rsid w:val="001F5FF6"/>
    <w:rsid w:val="001F6ED7"/>
    <w:rsid w:val="001F719D"/>
    <w:rsid w:val="002003FE"/>
    <w:rsid w:val="00202E74"/>
    <w:rsid w:val="00204620"/>
    <w:rsid w:val="002051E3"/>
    <w:rsid w:val="00210D35"/>
    <w:rsid w:val="00212591"/>
    <w:rsid w:val="00212F3E"/>
    <w:rsid w:val="00213403"/>
    <w:rsid w:val="00213D42"/>
    <w:rsid w:val="0021796A"/>
    <w:rsid w:val="002213E2"/>
    <w:rsid w:val="00221E97"/>
    <w:rsid w:val="0022253C"/>
    <w:rsid w:val="00222593"/>
    <w:rsid w:val="00223A10"/>
    <w:rsid w:val="002320E4"/>
    <w:rsid w:val="00232B7A"/>
    <w:rsid w:val="00234A06"/>
    <w:rsid w:val="00237C98"/>
    <w:rsid w:val="00240D08"/>
    <w:rsid w:val="002450E1"/>
    <w:rsid w:val="002454A8"/>
    <w:rsid w:val="00245720"/>
    <w:rsid w:val="00250437"/>
    <w:rsid w:val="00250949"/>
    <w:rsid w:val="00251A0D"/>
    <w:rsid w:val="00253D43"/>
    <w:rsid w:val="00254178"/>
    <w:rsid w:val="00256480"/>
    <w:rsid w:val="00265A0D"/>
    <w:rsid w:val="00270C5C"/>
    <w:rsid w:val="00271581"/>
    <w:rsid w:val="00272823"/>
    <w:rsid w:val="00273160"/>
    <w:rsid w:val="002739A8"/>
    <w:rsid w:val="0027592B"/>
    <w:rsid w:val="002778F0"/>
    <w:rsid w:val="002801BA"/>
    <w:rsid w:val="00281BAD"/>
    <w:rsid w:val="00283F6A"/>
    <w:rsid w:val="00285B11"/>
    <w:rsid w:val="00285FD4"/>
    <w:rsid w:val="002867BB"/>
    <w:rsid w:val="00292688"/>
    <w:rsid w:val="00294743"/>
    <w:rsid w:val="00294E49"/>
    <w:rsid w:val="002958A7"/>
    <w:rsid w:val="0029610F"/>
    <w:rsid w:val="0029647C"/>
    <w:rsid w:val="00297890"/>
    <w:rsid w:val="002A0810"/>
    <w:rsid w:val="002A14A3"/>
    <w:rsid w:val="002A2F9E"/>
    <w:rsid w:val="002A4B57"/>
    <w:rsid w:val="002A5F0F"/>
    <w:rsid w:val="002A6AF5"/>
    <w:rsid w:val="002B295F"/>
    <w:rsid w:val="002B345C"/>
    <w:rsid w:val="002B4127"/>
    <w:rsid w:val="002B414A"/>
    <w:rsid w:val="002B4A06"/>
    <w:rsid w:val="002B5948"/>
    <w:rsid w:val="002B6925"/>
    <w:rsid w:val="002B79C2"/>
    <w:rsid w:val="002C084C"/>
    <w:rsid w:val="002D1607"/>
    <w:rsid w:val="002D4A4C"/>
    <w:rsid w:val="002D725A"/>
    <w:rsid w:val="002E3BD5"/>
    <w:rsid w:val="002E42C4"/>
    <w:rsid w:val="002E6FDB"/>
    <w:rsid w:val="002E713A"/>
    <w:rsid w:val="002E718B"/>
    <w:rsid w:val="002F1A44"/>
    <w:rsid w:val="002F1EB0"/>
    <w:rsid w:val="002F6DDD"/>
    <w:rsid w:val="00300D2A"/>
    <w:rsid w:val="00301424"/>
    <w:rsid w:val="00302401"/>
    <w:rsid w:val="003024F0"/>
    <w:rsid w:val="003028D3"/>
    <w:rsid w:val="0030785E"/>
    <w:rsid w:val="003125E8"/>
    <w:rsid w:val="003127C8"/>
    <w:rsid w:val="00315182"/>
    <w:rsid w:val="00320CB1"/>
    <w:rsid w:val="00324650"/>
    <w:rsid w:val="00325D28"/>
    <w:rsid w:val="00326639"/>
    <w:rsid w:val="00327A45"/>
    <w:rsid w:val="0033081E"/>
    <w:rsid w:val="00332C36"/>
    <w:rsid w:val="003335BB"/>
    <w:rsid w:val="0033377D"/>
    <w:rsid w:val="003349A9"/>
    <w:rsid w:val="00335BF6"/>
    <w:rsid w:val="003366D1"/>
    <w:rsid w:val="00336FA9"/>
    <w:rsid w:val="003404AB"/>
    <w:rsid w:val="00340B33"/>
    <w:rsid w:val="003418DA"/>
    <w:rsid w:val="00347EF8"/>
    <w:rsid w:val="00351310"/>
    <w:rsid w:val="00351C2B"/>
    <w:rsid w:val="0035244C"/>
    <w:rsid w:val="003530BD"/>
    <w:rsid w:val="00353568"/>
    <w:rsid w:val="003554E2"/>
    <w:rsid w:val="003611EB"/>
    <w:rsid w:val="00362692"/>
    <w:rsid w:val="00367774"/>
    <w:rsid w:val="00370CD1"/>
    <w:rsid w:val="003717A1"/>
    <w:rsid w:val="00371F86"/>
    <w:rsid w:val="00375B6B"/>
    <w:rsid w:val="00375ED9"/>
    <w:rsid w:val="003773D4"/>
    <w:rsid w:val="00381C14"/>
    <w:rsid w:val="00381CFE"/>
    <w:rsid w:val="0038206E"/>
    <w:rsid w:val="003826F2"/>
    <w:rsid w:val="00384E8C"/>
    <w:rsid w:val="00386223"/>
    <w:rsid w:val="00387149"/>
    <w:rsid w:val="003876BF"/>
    <w:rsid w:val="00391CA2"/>
    <w:rsid w:val="0039201A"/>
    <w:rsid w:val="003925DE"/>
    <w:rsid w:val="00392FD3"/>
    <w:rsid w:val="0039545B"/>
    <w:rsid w:val="00396F4F"/>
    <w:rsid w:val="00397E5B"/>
    <w:rsid w:val="003A02D2"/>
    <w:rsid w:val="003A09B7"/>
    <w:rsid w:val="003A0D1E"/>
    <w:rsid w:val="003A251D"/>
    <w:rsid w:val="003A2C5B"/>
    <w:rsid w:val="003A3241"/>
    <w:rsid w:val="003A4D38"/>
    <w:rsid w:val="003A6F78"/>
    <w:rsid w:val="003A74F2"/>
    <w:rsid w:val="003A77ED"/>
    <w:rsid w:val="003B3549"/>
    <w:rsid w:val="003B3E62"/>
    <w:rsid w:val="003B4886"/>
    <w:rsid w:val="003B6269"/>
    <w:rsid w:val="003C31A5"/>
    <w:rsid w:val="003C628B"/>
    <w:rsid w:val="003C7829"/>
    <w:rsid w:val="003C78BB"/>
    <w:rsid w:val="003D55BB"/>
    <w:rsid w:val="003E0F99"/>
    <w:rsid w:val="003E376D"/>
    <w:rsid w:val="003E3B6B"/>
    <w:rsid w:val="003E3C38"/>
    <w:rsid w:val="003E73EF"/>
    <w:rsid w:val="003F0A68"/>
    <w:rsid w:val="003F3648"/>
    <w:rsid w:val="003F4BF8"/>
    <w:rsid w:val="00400886"/>
    <w:rsid w:val="00401056"/>
    <w:rsid w:val="004015B6"/>
    <w:rsid w:val="0040216B"/>
    <w:rsid w:val="00402ED7"/>
    <w:rsid w:val="004032D0"/>
    <w:rsid w:val="00403947"/>
    <w:rsid w:val="00405C8C"/>
    <w:rsid w:val="0040620B"/>
    <w:rsid w:val="00406AD3"/>
    <w:rsid w:val="00407102"/>
    <w:rsid w:val="004123E6"/>
    <w:rsid w:val="00412779"/>
    <w:rsid w:val="004135EC"/>
    <w:rsid w:val="004140DC"/>
    <w:rsid w:val="004145EB"/>
    <w:rsid w:val="00416891"/>
    <w:rsid w:val="00416A80"/>
    <w:rsid w:val="00417DBB"/>
    <w:rsid w:val="00420EC0"/>
    <w:rsid w:val="004231FA"/>
    <w:rsid w:val="004273B9"/>
    <w:rsid w:val="004302D9"/>
    <w:rsid w:val="0043309C"/>
    <w:rsid w:val="00433192"/>
    <w:rsid w:val="004376EC"/>
    <w:rsid w:val="00441593"/>
    <w:rsid w:val="00445044"/>
    <w:rsid w:val="004450F4"/>
    <w:rsid w:val="00447058"/>
    <w:rsid w:val="00453BD5"/>
    <w:rsid w:val="00454002"/>
    <w:rsid w:val="00455787"/>
    <w:rsid w:val="00456E26"/>
    <w:rsid w:val="00456FA9"/>
    <w:rsid w:val="0046057D"/>
    <w:rsid w:val="00460A3E"/>
    <w:rsid w:val="00460F1D"/>
    <w:rsid w:val="00461616"/>
    <w:rsid w:val="00461E40"/>
    <w:rsid w:val="004621F1"/>
    <w:rsid w:val="00462D22"/>
    <w:rsid w:val="00467ADE"/>
    <w:rsid w:val="00470F5E"/>
    <w:rsid w:val="00471528"/>
    <w:rsid w:val="00472324"/>
    <w:rsid w:val="0047347F"/>
    <w:rsid w:val="004820C0"/>
    <w:rsid w:val="0048225C"/>
    <w:rsid w:val="0048414D"/>
    <w:rsid w:val="004850AB"/>
    <w:rsid w:val="0048561A"/>
    <w:rsid w:val="00492529"/>
    <w:rsid w:val="00493090"/>
    <w:rsid w:val="00494F95"/>
    <w:rsid w:val="00497553"/>
    <w:rsid w:val="004978B6"/>
    <w:rsid w:val="004A0888"/>
    <w:rsid w:val="004A1FEC"/>
    <w:rsid w:val="004A3392"/>
    <w:rsid w:val="004A5C4E"/>
    <w:rsid w:val="004B0B84"/>
    <w:rsid w:val="004B25D4"/>
    <w:rsid w:val="004B3E73"/>
    <w:rsid w:val="004B3FE1"/>
    <w:rsid w:val="004B4BEA"/>
    <w:rsid w:val="004B5BD5"/>
    <w:rsid w:val="004B6954"/>
    <w:rsid w:val="004B7969"/>
    <w:rsid w:val="004C1363"/>
    <w:rsid w:val="004C1C0D"/>
    <w:rsid w:val="004C2E9C"/>
    <w:rsid w:val="004C40CA"/>
    <w:rsid w:val="004C5158"/>
    <w:rsid w:val="004C5992"/>
    <w:rsid w:val="004D0BE1"/>
    <w:rsid w:val="004D1858"/>
    <w:rsid w:val="004D1BE9"/>
    <w:rsid w:val="004D3F8C"/>
    <w:rsid w:val="004D5749"/>
    <w:rsid w:val="004D5B02"/>
    <w:rsid w:val="004D777F"/>
    <w:rsid w:val="004E104D"/>
    <w:rsid w:val="004E159C"/>
    <w:rsid w:val="004E46BD"/>
    <w:rsid w:val="004E4B31"/>
    <w:rsid w:val="004E6572"/>
    <w:rsid w:val="004E7948"/>
    <w:rsid w:val="004F1037"/>
    <w:rsid w:val="004F2E96"/>
    <w:rsid w:val="004F5464"/>
    <w:rsid w:val="004F54ED"/>
    <w:rsid w:val="004F6074"/>
    <w:rsid w:val="004F6665"/>
    <w:rsid w:val="004F75F3"/>
    <w:rsid w:val="0050015B"/>
    <w:rsid w:val="0050122D"/>
    <w:rsid w:val="00501F59"/>
    <w:rsid w:val="00502326"/>
    <w:rsid w:val="00506349"/>
    <w:rsid w:val="00507447"/>
    <w:rsid w:val="0051148E"/>
    <w:rsid w:val="00512035"/>
    <w:rsid w:val="00513D18"/>
    <w:rsid w:val="00513F70"/>
    <w:rsid w:val="00514033"/>
    <w:rsid w:val="00514E68"/>
    <w:rsid w:val="005169B2"/>
    <w:rsid w:val="005232D6"/>
    <w:rsid w:val="00523D36"/>
    <w:rsid w:val="00526F01"/>
    <w:rsid w:val="00526FB0"/>
    <w:rsid w:val="00533651"/>
    <w:rsid w:val="005343C7"/>
    <w:rsid w:val="00535A51"/>
    <w:rsid w:val="00541DAC"/>
    <w:rsid w:val="00542901"/>
    <w:rsid w:val="005430B6"/>
    <w:rsid w:val="00544F99"/>
    <w:rsid w:val="005464F3"/>
    <w:rsid w:val="005500E3"/>
    <w:rsid w:val="005512B3"/>
    <w:rsid w:val="00551F87"/>
    <w:rsid w:val="005527F5"/>
    <w:rsid w:val="0055308B"/>
    <w:rsid w:val="00553209"/>
    <w:rsid w:val="00554505"/>
    <w:rsid w:val="00554637"/>
    <w:rsid w:val="005554B4"/>
    <w:rsid w:val="00556DC6"/>
    <w:rsid w:val="00560948"/>
    <w:rsid w:val="00561005"/>
    <w:rsid w:val="00561725"/>
    <w:rsid w:val="005621AA"/>
    <w:rsid w:val="005631C3"/>
    <w:rsid w:val="00564658"/>
    <w:rsid w:val="00564F58"/>
    <w:rsid w:val="0056669C"/>
    <w:rsid w:val="00566794"/>
    <w:rsid w:val="005679EF"/>
    <w:rsid w:val="005706EC"/>
    <w:rsid w:val="00570BAA"/>
    <w:rsid w:val="0057117B"/>
    <w:rsid w:val="00571AD9"/>
    <w:rsid w:val="00576BC4"/>
    <w:rsid w:val="005803CA"/>
    <w:rsid w:val="00581FB8"/>
    <w:rsid w:val="00583F3A"/>
    <w:rsid w:val="00584437"/>
    <w:rsid w:val="005844FB"/>
    <w:rsid w:val="0058684F"/>
    <w:rsid w:val="00586FAB"/>
    <w:rsid w:val="0058781B"/>
    <w:rsid w:val="005922DC"/>
    <w:rsid w:val="00592406"/>
    <w:rsid w:val="00592791"/>
    <w:rsid w:val="00595FD1"/>
    <w:rsid w:val="00595FE8"/>
    <w:rsid w:val="005A0D1A"/>
    <w:rsid w:val="005A290A"/>
    <w:rsid w:val="005A2B76"/>
    <w:rsid w:val="005A2EBF"/>
    <w:rsid w:val="005A624C"/>
    <w:rsid w:val="005A711A"/>
    <w:rsid w:val="005A7A0C"/>
    <w:rsid w:val="005B1CC6"/>
    <w:rsid w:val="005B2D48"/>
    <w:rsid w:val="005B31C8"/>
    <w:rsid w:val="005B39DB"/>
    <w:rsid w:val="005B3D76"/>
    <w:rsid w:val="005B460D"/>
    <w:rsid w:val="005B7595"/>
    <w:rsid w:val="005B7BC4"/>
    <w:rsid w:val="005C0892"/>
    <w:rsid w:val="005C2C1D"/>
    <w:rsid w:val="005C30F5"/>
    <w:rsid w:val="005C34CE"/>
    <w:rsid w:val="005C5F15"/>
    <w:rsid w:val="005D0E84"/>
    <w:rsid w:val="005D2614"/>
    <w:rsid w:val="005D32DB"/>
    <w:rsid w:val="005D4070"/>
    <w:rsid w:val="005D513F"/>
    <w:rsid w:val="005D72CD"/>
    <w:rsid w:val="005D7644"/>
    <w:rsid w:val="005E00B7"/>
    <w:rsid w:val="005E3856"/>
    <w:rsid w:val="005E4C15"/>
    <w:rsid w:val="005E55A2"/>
    <w:rsid w:val="005E5906"/>
    <w:rsid w:val="005E641E"/>
    <w:rsid w:val="005E65A0"/>
    <w:rsid w:val="005E7F90"/>
    <w:rsid w:val="005F0973"/>
    <w:rsid w:val="005F1350"/>
    <w:rsid w:val="005F6215"/>
    <w:rsid w:val="005F6CAD"/>
    <w:rsid w:val="00600FE5"/>
    <w:rsid w:val="006013E7"/>
    <w:rsid w:val="00602F45"/>
    <w:rsid w:val="0060351A"/>
    <w:rsid w:val="00603CD8"/>
    <w:rsid w:val="00603FAE"/>
    <w:rsid w:val="00605ACC"/>
    <w:rsid w:val="006075A8"/>
    <w:rsid w:val="00607A1E"/>
    <w:rsid w:val="006111D0"/>
    <w:rsid w:val="00611BD7"/>
    <w:rsid w:val="0061200D"/>
    <w:rsid w:val="00612789"/>
    <w:rsid w:val="00614250"/>
    <w:rsid w:val="006208B1"/>
    <w:rsid w:val="006211FE"/>
    <w:rsid w:val="006236D7"/>
    <w:rsid w:val="00623869"/>
    <w:rsid w:val="00627590"/>
    <w:rsid w:val="00627637"/>
    <w:rsid w:val="00632CBE"/>
    <w:rsid w:val="00634A55"/>
    <w:rsid w:val="0063566A"/>
    <w:rsid w:val="00636456"/>
    <w:rsid w:val="00636801"/>
    <w:rsid w:val="0063712A"/>
    <w:rsid w:val="0063761D"/>
    <w:rsid w:val="00640BDE"/>
    <w:rsid w:val="00640F40"/>
    <w:rsid w:val="00645824"/>
    <w:rsid w:val="00650233"/>
    <w:rsid w:val="00650D9E"/>
    <w:rsid w:val="00654547"/>
    <w:rsid w:val="00654ADC"/>
    <w:rsid w:val="00654B67"/>
    <w:rsid w:val="006562B1"/>
    <w:rsid w:val="0065727B"/>
    <w:rsid w:val="006639D8"/>
    <w:rsid w:val="006642E8"/>
    <w:rsid w:val="006655BC"/>
    <w:rsid w:val="006669D6"/>
    <w:rsid w:val="006676D9"/>
    <w:rsid w:val="00667729"/>
    <w:rsid w:val="006679E3"/>
    <w:rsid w:val="0067108C"/>
    <w:rsid w:val="006749F0"/>
    <w:rsid w:val="00674A87"/>
    <w:rsid w:val="00677D55"/>
    <w:rsid w:val="0068370E"/>
    <w:rsid w:val="0068400F"/>
    <w:rsid w:val="00684D77"/>
    <w:rsid w:val="00690237"/>
    <w:rsid w:val="00691918"/>
    <w:rsid w:val="00692525"/>
    <w:rsid w:val="00695B48"/>
    <w:rsid w:val="00696267"/>
    <w:rsid w:val="0069652B"/>
    <w:rsid w:val="00696853"/>
    <w:rsid w:val="00697229"/>
    <w:rsid w:val="00697EE5"/>
    <w:rsid w:val="006A3A0A"/>
    <w:rsid w:val="006A4AB1"/>
    <w:rsid w:val="006A7436"/>
    <w:rsid w:val="006B33E9"/>
    <w:rsid w:val="006B342B"/>
    <w:rsid w:val="006B369F"/>
    <w:rsid w:val="006B3AE6"/>
    <w:rsid w:val="006B6A55"/>
    <w:rsid w:val="006C0969"/>
    <w:rsid w:val="006C2732"/>
    <w:rsid w:val="006C3547"/>
    <w:rsid w:val="006C491B"/>
    <w:rsid w:val="006C71A4"/>
    <w:rsid w:val="006C75E2"/>
    <w:rsid w:val="006C7615"/>
    <w:rsid w:val="006D1F01"/>
    <w:rsid w:val="006D4AA8"/>
    <w:rsid w:val="006D57AE"/>
    <w:rsid w:val="006D588B"/>
    <w:rsid w:val="006D5F67"/>
    <w:rsid w:val="006D60B7"/>
    <w:rsid w:val="006E09E7"/>
    <w:rsid w:val="006E4A72"/>
    <w:rsid w:val="006E5280"/>
    <w:rsid w:val="006E6A0E"/>
    <w:rsid w:val="006E6AD6"/>
    <w:rsid w:val="006E7872"/>
    <w:rsid w:val="006F1EB3"/>
    <w:rsid w:val="006F2EF9"/>
    <w:rsid w:val="006F4CB5"/>
    <w:rsid w:val="006F63C9"/>
    <w:rsid w:val="0070058F"/>
    <w:rsid w:val="00701591"/>
    <w:rsid w:val="00703FFF"/>
    <w:rsid w:val="007128CF"/>
    <w:rsid w:val="00713618"/>
    <w:rsid w:val="00713E7C"/>
    <w:rsid w:val="00714931"/>
    <w:rsid w:val="00714935"/>
    <w:rsid w:val="00714D09"/>
    <w:rsid w:val="007156C8"/>
    <w:rsid w:val="00715B91"/>
    <w:rsid w:val="00715F41"/>
    <w:rsid w:val="007205B5"/>
    <w:rsid w:val="007219B3"/>
    <w:rsid w:val="007278B0"/>
    <w:rsid w:val="00730AAF"/>
    <w:rsid w:val="00732E3F"/>
    <w:rsid w:val="007334B5"/>
    <w:rsid w:val="00733501"/>
    <w:rsid w:val="00734417"/>
    <w:rsid w:val="0073656E"/>
    <w:rsid w:val="0074276D"/>
    <w:rsid w:val="007427FA"/>
    <w:rsid w:val="0074283E"/>
    <w:rsid w:val="007510ED"/>
    <w:rsid w:val="007514DF"/>
    <w:rsid w:val="007516E0"/>
    <w:rsid w:val="00752BB4"/>
    <w:rsid w:val="00753E12"/>
    <w:rsid w:val="00761CF5"/>
    <w:rsid w:val="007622F8"/>
    <w:rsid w:val="00763F23"/>
    <w:rsid w:val="00765909"/>
    <w:rsid w:val="007673B3"/>
    <w:rsid w:val="0076747C"/>
    <w:rsid w:val="00770786"/>
    <w:rsid w:val="0077286F"/>
    <w:rsid w:val="00772EA3"/>
    <w:rsid w:val="007735CE"/>
    <w:rsid w:val="0077360F"/>
    <w:rsid w:val="00774EEB"/>
    <w:rsid w:val="007753B1"/>
    <w:rsid w:val="007755B7"/>
    <w:rsid w:val="00777571"/>
    <w:rsid w:val="00780892"/>
    <w:rsid w:val="00781B14"/>
    <w:rsid w:val="0078310C"/>
    <w:rsid w:val="007837ED"/>
    <w:rsid w:val="00783CA7"/>
    <w:rsid w:val="00783CBE"/>
    <w:rsid w:val="007843D0"/>
    <w:rsid w:val="00785454"/>
    <w:rsid w:val="00785B74"/>
    <w:rsid w:val="007861E1"/>
    <w:rsid w:val="00786C76"/>
    <w:rsid w:val="00786DF4"/>
    <w:rsid w:val="007931F7"/>
    <w:rsid w:val="007957CB"/>
    <w:rsid w:val="007A040E"/>
    <w:rsid w:val="007A10FB"/>
    <w:rsid w:val="007A1498"/>
    <w:rsid w:val="007A1661"/>
    <w:rsid w:val="007A1B89"/>
    <w:rsid w:val="007A3996"/>
    <w:rsid w:val="007A4B2C"/>
    <w:rsid w:val="007A4D89"/>
    <w:rsid w:val="007A5388"/>
    <w:rsid w:val="007A5CA6"/>
    <w:rsid w:val="007A7A10"/>
    <w:rsid w:val="007B0B9A"/>
    <w:rsid w:val="007B215C"/>
    <w:rsid w:val="007B3412"/>
    <w:rsid w:val="007B3D1F"/>
    <w:rsid w:val="007B6576"/>
    <w:rsid w:val="007B7FF4"/>
    <w:rsid w:val="007C1447"/>
    <w:rsid w:val="007C1601"/>
    <w:rsid w:val="007C2927"/>
    <w:rsid w:val="007C2DC7"/>
    <w:rsid w:val="007C3E84"/>
    <w:rsid w:val="007C42E4"/>
    <w:rsid w:val="007C5162"/>
    <w:rsid w:val="007C7ED1"/>
    <w:rsid w:val="007D0943"/>
    <w:rsid w:val="007D2A3F"/>
    <w:rsid w:val="007D323D"/>
    <w:rsid w:val="007D440E"/>
    <w:rsid w:val="007D5437"/>
    <w:rsid w:val="007D5D3F"/>
    <w:rsid w:val="007E219D"/>
    <w:rsid w:val="007E44E4"/>
    <w:rsid w:val="007E4CC1"/>
    <w:rsid w:val="007E5204"/>
    <w:rsid w:val="007E5DAC"/>
    <w:rsid w:val="007E673A"/>
    <w:rsid w:val="007E7985"/>
    <w:rsid w:val="007F045A"/>
    <w:rsid w:val="007F0BA2"/>
    <w:rsid w:val="007F2B21"/>
    <w:rsid w:val="007F3D07"/>
    <w:rsid w:val="007F45AF"/>
    <w:rsid w:val="007F6067"/>
    <w:rsid w:val="007F623E"/>
    <w:rsid w:val="00800023"/>
    <w:rsid w:val="0080148E"/>
    <w:rsid w:val="00801E0F"/>
    <w:rsid w:val="00802D30"/>
    <w:rsid w:val="00804915"/>
    <w:rsid w:val="008051BE"/>
    <w:rsid w:val="00806E58"/>
    <w:rsid w:val="008073EC"/>
    <w:rsid w:val="0080754E"/>
    <w:rsid w:val="008108AA"/>
    <w:rsid w:val="008131FE"/>
    <w:rsid w:val="00814039"/>
    <w:rsid w:val="0081431A"/>
    <w:rsid w:val="00814E14"/>
    <w:rsid w:val="00817DAF"/>
    <w:rsid w:val="00820739"/>
    <w:rsid w:val="00821278"/>
    <w:rsid w:val="008212B6"/>
    <w:rsid w:val="00823221"/>
    <w:rsid w:val="008235D8"/>
    <w:rsid w:val="008240E2"/>
    <w:rsid w:val="00824E66"/>
    <w:rsid w:val="00827287"/>
    <w:rsid w:val="00830572"/>
    <w:rsid w:val="00831139"/>
    <w:rsid w:val="008316A7"/>
    <w:rsid w:val="00831706"/>
    <w:rsid w:val="00833153"/>
    <w:rsid w:val="00837E53"/>
    <w:rsid w:val="0084063B"/>
    <w:rsid w:val="00840CFA"/>
    <w:rsid w:val="00841C27"/>
    <w:rsid w:val="0084289D"/>
    <w:rsid w:val="00843271"/>
    <w:rsid w:val="008449DD"/>
    <w:rsid w:val="00845B13"/>
    <w:rsid w:val="00846258"/>
    <w:rsid w:val="00847242"/>
    <w:rsid w:val="00847BFF"/>
    <w:rsid w:val="0085188B"/>
    <w:rsid w:val="0085209E"/>
    <w:rsid w:val="00852762"/>
    <w:rsid w:val="008530C0"/>
    <w:rsid w:val="00853341"/>
    <w:rsid w:val="00853434"/>
    <w:rsid w:val="008569A8"/>
    <w:rsid w:val="00857DB0"/>
    <w:rsid w:val="00860648"/>
    <w:rsid w:val="00861532"/>
    <w:rsid w:val="00862140"/>
    <w:rsid w:val="00862EAE"/>
    <w:rsid w:val="00863910"/>
    <w:rsid w:val="00864510"/>
    <w:rsid w:val="00865701"/>
    <w:rsid w:val="008663D0"/>
    <w:rsid w:val="0086675F"/>
    <w:rsid w:val="00867CB9"/>
    <w:rsid w:val="00867F2F"/>
    <w:rsid w:val="00870313"/>
    <w:rsid w:val="0087095D"/>
    <w:rsid w:val="008730A1"/>
    <w:rsid w:val="00876948"/>
    <w:rsid w:val="0087795B"/>
    <w:rsid w:val="0088169C"/>
    <w:rsid w:val="0088194B"/>
    <w:rsid w:val="0088261A"/>
    <w:rsid w:val="00883EEA"/>
    <w:rsid w:val="00883EEF"/>
    <w:rsid w:val="00883F4D"/>
    <w:rsid w:val="00884E1F"/>
    <w:rsid w:val="00884E4C"/>
    <w:rsid w:val="00885B10"/>
    <w:rsid w:val="00894CC5"/>
    <w:rsid w:val="00894D70"/>
    <w:rsid w:val="008968F9"/>
    <w:rsid w:val="008A194F"/>
    <w:rsid w:val="008A2F48"/>
    <w:rsid w:val="008A4069"/>
    <w:rsid w:val="008A47B6"/>
    <w:rsid w:val="008A5AF4"/>
    <w:rsid w:val="008A68F5"/>
    <w:rsid w:val="008A6EFF"/>
    <w:rsid w:val="008B096E"/>
    <w:rsid w:val="008B175C"/>
    <w:rsid w:val="008B4395"/>
    <w:rsid w:val="008B4C52"/>
    <w:rsid w:val="008B50EC"/>
    <w:rsid w:val="008B63CC"/>
    <w:rsid w:val="008B79B3"/>
    <w:rsid w:val="008C08DE"/>
    <w:rsid w:val="008C100B"/>
    <w:rsid w:val="008C3474"/>
    <w:rsid w:val="008C55AD"/>
    <w:rsid w:val="008C6980"/>
    <w:rsid w:val="008C75BB"/>
    <w:rsid w:val="008C7FB6"/>
    <w:rsid w:val="008D5B94"/>
    <w:rsid w:val="008D5E73"/>
    <w:rsid w:val="008D6EAB"/>
    <w:rsid w:val="008D75EB"/>
    <w:rsid w:val="008E15F7"/>
    <w:rsid w:val="008E1884"/>
    <w:rsid w:val="008E1E62"/>
    <w:rsid w:val="008E2243"/>
    <w:rsid w:val="008E59E0"/>
    <w:rsid w:val="008E62DC"/>
    <w:rsid w:val="008F2B6A"/>
    <w:rsid w:val="008F34E2"/>
    <w:rsid w:val="00901330"/>
    <w:rsid w:val="009023BD"/>
    <w:rsid w:val="009040BB"/>
    <w:rsid w:val="00904117"/>
    <w:rsid w:val="0090575E"/>
    <w:rsid w:val="00905C94"/>
    <w:rsid w:val="0091298F"/>
    <w:rsid w:val="00913C0D"/>
    <w:rsid w:val="00914945"/>
    <w:rsid w:val="00921C60"/>
    <w:rsid w:val="00921FFD"/>
    <w:rsid w:val="009230AD"/>
    <w:rsid w:val="00923E0F"/>
    <w:rsid w:val="00925E5E"/>
    <w:rsid w:val="00927DF3"/>
    <w:rsid w:val="00930299"/>
    <w:rsid w:val="00931227"/>
    <w:rsid w:val="00931CB1"/>
    <w:rsid w:val="00933C57"/>
    <w:rsid w:val="00934732"/>
    <w:rsid w:val="00934C00"/>
    <w:rsid w:val="009373AA"/>
    <w:rsid w:val="00940AB7"/>
    <w:rsid w:val="00943436"/>
    <w:rsid w:val="009443F3"/>
    <w:rsid w:val="00946D54"/>
    <w:rsid w:val="00950208"/>
    <w:rsid w:val="00950638"/>
    <w:rsid w:val="00952716"/>
    <w:rsid w:val="0095682A"/>
    <w:rsid w:val="0096042F"/>
    <w:rsid w:val="00960DEF"/>
    <w:rsid w:val="00964B0D"/>
    <w:rsid w:val="0097056F"/>
    <w:rsid w:val="009705E5"/>
    <w:rsid w:val="009710D9"/>
    <w:rsid w:val="00971BC7"/>
    <w:rsid w:val="00971C85"/>
    <w:rsid w:val="00972224"/>
    <w:rsid w:val="0097406D"/>
    <w:rsid w:val="009755DB"/>
    <w:rsid w:val="00977113"/>
    <w:rsid w:val="009826DC"/>
    <w:rsid w:val="009834F0"/>
    <w:rsid w:val="00984827"/>
    <w:rsid w:val="00984892"/>
    <w:rsid w:val="0098606B"/>
    <w:rsid w:val="00986528"/>
    <w:rsid w:val="00990CB4"/>
    <w:rsid w:val="00992416"/>
    <w:rsid w:val="009A0CA6"/>
    <w:rsid w:val="009A1EF2"/>
    <w:rsid w:val="009A4D5A"/>
    <w:rsid w:val="009B06AA"/>
    <w:rsid w:val="009B0E17"/>
    <w:rsid w:val="009B45DC"/>
    <w:rsid w:val="009B548B"/>
    <w:rsid w:val="009B6D1C"/>
    <w:rsid w:val="009C02DE"/>
    <w:rsid w:val="009C1C65"/>
    <w:rsid w:val="009C1CE4"/>
    <w:rsid w:val="009C2503"/>
    <w:rsid w:val="009C255D"/>
    <w:rsid w:val="009C261A"/>
    <w:rsid w:val="009C300A"/>
    <w:rsid w:val="009C394C"/>
    <w:rsid w:val="009C438C"/>
    <w:rsid w:val="009C5714"/>
    <w:rsid w:val="009D20CC"/>
    <w:rsid w:val="009D2D60"/>
    <w:rsid w:val="009D37C2"/>
    <w:rsid w:val="009D4058"/>
    <w:rsid w:val="009D5EBE"/>
    <w:rsid w:val="009D7358"/>
    <w:rsid w:val="009E1521"/>
    <w:rsid w:val="009E1A43"/>
    <w:rsid w:val="009E225E"/>
    <w:rsid w:val="009E4A89"/>
    <w:rsid w:val="009E4D12"/>
    <w:rsid w:val="009E5849"/>
    <w:rsid w:val="009F17F2"/>
    <w:rsid w:val="009F1D3D"/>
    <w:rsid w:val="009F2ED5"/>
    <w:rsid w:val="009F332C"/>
    <w:rsid w:val="009F34D9"/>
    <w:rsid w:val="009F39A1"/>
    <w:rsid w:val="009F5755"/>
    <w:rsid w:val="009F5D14"/>
    <w:rsid w:val="009F666C"/>
    <w:rsid w:val="009F7E68"/>
    <w:rsid w:val="00A007D9"/>
    <w:rsid w:val="00A05934"/>
    <w:rsid w:val="00A10C75"/>
    <w:rsid w:val="00A12A86"/>
    <w:rsid w:val="00A159C7"/>
    <w:rsid w:val="00A15E65"/>
    <w:rsid w:val="00A178F5"/>
    <w:rsid w:val="00A20575"/>
    <w:rsid w:val="00A20ACD"/>
    <w:rsid w:val="00A20B33"/>
    <w:rsid w:val="00A22655"/>
    <w:rsid w:val="00A229CA"/>
    <w:rsid w:val="00A23253"/>
    <w:rsid w:val="00A2343F"/>
    <w:rsid w:val="00A23987"/>
    <w:rsid w:val="00A24D82"/>
    <w:rsid w:val="00A2562E"/>
    <w:rsid w:val="00A2747D"/>
    <w:rsid w:val="00A30E45"/>
    <w:rsid w:val="00A315ED"/>
    <w:rsid w:val="00A31897"/>
    <w:rsid w:val="00A32942"/>
    <w:rsid w:val="00A33E67"/>
    <w:rsid w:val="00A40A63"/>
    <w:rsid w:val="00A43906"/>
    <w:rsid w:val="00A44FB9"/>
    <w:rsid w:val="00A4586B"/>
    <w:rsid w:val="00A458C8"/>
    <w:rsid w:val="00A46492"/>
    <w:rsid w:val="00A50682"/>
    <w:rsid w:val="00A5149C"/>
    <w:rsid w:val="00A52F66"/>
    <w:rsid w:val="00A551D0"/>
    <w:rsid w:val="00A559C2"/>
    <w:rsid w:val="00A561B1"/>
    <w:rsid w:val="00A5637D"/>
    <w:rsid w:val="00A601D0"/>
    <w:rsid w:val="00A607CB"/>
    <w:rsid w:val="00A613B7"/>
    <w:rsid w:val="00A620A1"/>
    <w:rsid w:val="00A63379"/>
    <w:rsid w:val="00A65236"/>
    <w:rsid w:val="00A66B91"/>
    <w:rsid w:val="00A67882"/>
    <w:rsid w:val="00A70965"/>
    <w:rsid w:val="00A70B6F"/>
    <w:rsid w:val="00A77413"/>
    <w:rsid w:val="00A77C16"/>
    <w:rsid w:val="00A811AD"/>
    <w:rsid w:val="00A825DD"/>
    <w:rsid w:val="00A82F10"/>
    <w:rsid w:val="00A848FD"/>
    <w:rsid w:val="00A93F62"/>
    <w:rsid w:val="00A94107"/>
    <w:rsid w:val="00A944EF"/>
    <w:rsid w:val="00A96BD5"/>
    <w:rsid w:val="00A97BC9"/>
    <w:rsid w:val="00A97BF9"/>
    <w:rsid w:val="00AA0A6B"/>
    <w:rsid w:val="00AA29A7"/>
    <w:rsid w:val="00AA2DD3"/>
    <w:rsid w:val="00AA373B"/>
    <w:rsid w:val="00AA426B"/>
    <w:rsid w:val="00AA6E5E"/>
    <w:rsid w:val="00AA744A"/>
    <w:rsid w:val="00AA7597"/>
    <w:rsid w:val="00AB09B2"/>
    <w:rsid w:val="00AB18F4"/>
    <w:rsid w:val="00AB1B00"/>
    <w:rsid w:val="00AB28D3"/>
    <w:rsid w:val="00AB2967"/>
    <w:rsid w:val="00AC19C7"/>
    <w:rsid w:val="00AC3E3E"/>
    <w:rsid w:val="00AC7DDA"/>
    <w:rsid w:val="00AD0860"/>
    <w:rsid w:val="00AD0C78"/>
    <w:rsid w:val="00AD2B79"/>
    <w:rsid w:val="00AD30AA"/>
    <w:rsid w:val="00AD44DD"/>
    <w:rsid w:val="00AD64BC"/>
    <w:rsid w:val="00AD6FBB"/>
    <w:rsid w:val="00AE5105"/>
    <w:rsid w:val="00AE53A5"/>
    <w:rsid w:val="00AF09E8"/>
    <w:rsid w:val="00AF1425"/>
    <w:rsid w:val="00AF150A"/>
    <w:rsid w:val="00AF2D71"/>
    <w:rsid w:val="00AF57E5"/>
    <w:rsid w:val="00AF69B8"/>
    <w:rsid w:val="00B003C0"/>
    <w:rsid w:val="00B0513D"/>
    <w:rsid w:val="00B054AE"/>
    <w:rsid w:val="00B05F2E"/>
    <w:rsid w:val="00B07617"/>
    <w:rsid w:val="00B07EA2"/>
    <w:rsid w:val="00B113E2"/>
    <w:rsid w:val="00B1173B"/>
    <w:rsid w:val="00B11953"/>
    <w:rsid w:val="00B130FA"/>
    <w:rsid w:val="00B1341C"/>
    <w:rsid w:val="00B1346C"/>
    <w:rsid w:val="00B1402E"/>
    <w:rsid w:val="00B14ACC"/>
    <w:rsid w:val="00B15694"/>
    <w:rsid w:val="00B165A3"/>
    <w:rsid w:val="00B211C4"/>
    <w:rsid w:val="00B21A08"/>
    <w:rsid w:val="00B23D9A"/>
    <w:rsid w:val="00B24583"/>
    <w:rsid w:val="00B26DCC"/>
    <w:rsid w:val="00B307AF"/>
    <w:rsid w:val="00B321BE"/>
    <w:rsid w:val="00B35566"/>
    <w:rsid w:val="00B35A43"/>
    <w:rsid w:val="00B444BB"/>
    <w:rsid w:val="00B4613A"/>
    <w:rsid w:val="00B47064"/>
    <w:rsid w:val="00B511FB"/>
    <w:rsid w:val="00B51C49"/>
    <w:rsid w:val="00B5267F"/>
    <w:rsid w:val="00B54427"/>
    <w:rsid w:val="00B54848"/>
    <w:rsid w:val="00B54E1D"/>
    <w:rsid w:val="00B55986"/>
    <w:rsid w:val="00B56111"/>
    <w:rsid w:val="00B5752E"/>
    <w:rsid w:val="00B60C6A"/>
    <w:rsid w:val="00B6368A"/>
    <w:rsid w:val="00B66186"/>
    <w:rsid w:val="00B7005A"/>
    <w:rsid w:val="00B700BF"/>
    <w:rsid w:val="00B70599"/>
    <w:rsid w:val="00B71262"/>
    <w:rsid w:val="00B71C43"/>
    <w:rsid w:val="00B72772"/>
    <w:rsid w:val="00B72970"/>
    <w:rsid w:val="00B73BC4"/>
    <w:rsid w:val="00B75427"/>
    <w:rsid w:val="00B7565C"/>
    <w:rsid w:val="00B7787F"/>
    <w:rsid w:val="00B80CBF"/>
    <w:rsid w:val="00B8154C"/>
    <w:rsid w:val="00B8210C"/>
    <w:rsid w:val="00B82669"/>
    <w:rsid w:val="00B83269"/>
    <w:rsid w:val="00B83C69"/>
    <w:rsid w:val="00B83F91"/>
    <w:rsid w:val="00B8449B"/>
    <w:rsid w:val="00B869A3"/>
    <w:rsid w:val="00B86E90"/>
    <w:rsid w:val="00B9228D"/>
    <w:rsid w:val="00B92434"/>
    <w:rsid w:val="00B939B1"/>
    <w:rsid w:val="00B93D6E"/>
    <w:rsid w:val="00B949EA"/>
    <w:rsid w:val="00B95CE5"/>
    <w:rsid w:val="00B96D6B"/>
    <w:rsid w:val="00BA02BB"/>
    <w:rsid w:val="00BA2747"/>
    <w:rsid w:val="00BA2ED9"/>
    <w:rsid w:val="00BA7479"/>
    <w:rsid w:val="00BB01F7"/>
    <w:rsid w:val="00BB143F"/>
    <w:rsid w:val="00BB14DB"/>
    <w:rsid w:val="00BB359D"/>
    <w:rsid w:val="00BB3C4C"/>
    <w:rsid w:val="00BB5D0C"/>
    <w:rsid w:val="00BC41C1"/>
    <w:rsid w:val="00BC46C6"/>
    <w:rsid w:val="00BC4AAB"/>
    <w:rsid w:val="00BC61F5"/>
    <w:rsid w:val="00BC6264"/>
    <w:rsid w:val="00BC689E"/>
    <w:rsid w:val="00BD35B0"/>
    <w:rsid w:val="00BD6385"/>
    <w:rsid w:val="00BD7AD4"/>
    <w:rsid w:val="00BE2F93"/>
    <w:rsid w:val="00BE3A9E"/>
    <w:rsid w:val="00BE5086"/>
    <w:rsid w:val="00BE615A"/>
    <w:rsid w:val="00BF191D"/>
    <w:rsid w:val="00BF2875"/>
    <w:rsid w:val="00BF28D1"/>
    <w:rsid w:val="00BF2A9D"/>
    <w:rsid w:val="00BF3FE5"/>
    <w:rsid w:val="00BF436C"/>
    <w:rsid w:val="00BF542E"/>
    <w:rsid w:val="00BF54FA"/>
    <w:rsid w:val="00C018CD"/>
    <w:rsid w:val="00C02B1B"/>
    <w:rsid w:val="00C04744"/>
    <w:rsid w:val="00C05B6A"/>
    <w:rsid w:val="00C12754"/>
    <w:rsid w:val="00C13517"/>
    <w:rsid w:val="00C150BE"/>
    <w:rsid w:val="00C15208"/>
    <w:rsid w:val="00C16617"/>
    <w:rsid w:val="00C20F3C"/>
    <w:rsid w:val="00C211A7"/>
    <w:rsid w:val="00C21740"/>
    <w:rsid w:val="00C25B23"/>
    <w:rsid w:val="00C265D3"/>
    <w:rsid w:val="00C30941"/>
    <w:rsid w:val="00C30E6F"/>
    <w:rsid w:val="00C321EE"/>
    <w:rsid w:val="00C367E4"/>
    <w:rsid w:val="00C40E86"/>
    <w:rsid w:val="00C418CF"/>
    <w:rsid w:val="00C41923"/>
    <w:rsid w:val="00C41A18"/>
    <w:rsid w:val="00C4285E"/>
    <w:rsid w:val="00C43317"/>
    <w:rsid w:val="00C44647"/>
    <w:rsid w:val="00C4486E"/>
    <w:rsid w:val="00C472E9"/>
    <w:rsid w:val="00C50A7D"/>
    <w:rsid w:val="00C51A6D"/>
    <w:rsid w:val="00C530CA"/>
    <w:rsid w:val="00C532CD"/>
    <w:rsid w:val="00C53843"/>
    <w:rsid w:val="00C56057"/>
    <w:rsid w:val="00C56F9A"/>
    <w:rsid w:val="00C610C4"/>
    <w:rsid w:val="00C61125"/>
    <w:rsid w:val="00C611D0"/>
    <w:rsid w:val="00C62C4D"/>
    <w:rsid w:val="00C63B27"/>
    <w:rsid w:val="00C65866"/>
    <w:rsid w:val="00C6783A"/>
    <w:rsid w:val="00C67EED"/>
    <w:rsid w:val="00C67F45"/>
    <w:rsid w:val="00C70CFF"/>
    <w:rsid w:val="00C70FEA"/>
    <w:rsid w:val="00C74450"/>
    <w:rsid w:val="00C760F0"/>
    <w:rsid w:val="00C82B39"/>
    <w:rsid w:val="00C843F8"/>
    <w:rsid w:val="00C85E72"/>
    <w:rsid w:val="00C87A5A"/>
    <w:rsid w:val="00C925FE"/>
    <w:rsid w:val="00C95D85"/>
    <w:rsid w:val="00C97691"/>
    <w:rsid w:val="00CA043F"/>
    <w:rsid w:val="00CA1832"/>
    <w:rsid w:val="00CA5123"/>
    <w:rsid w:val="00CA52D7"/>
    <w:rsid w:val="00CA6124"/>
    <w:rsid w:val="00CA6F5E"/>
    <w:rsid w:val="00CA7513"/>
    <w:rsid w:val="00CA7586"/>
    <w:rsid w:val="00CB0FA6"/>
    <w:rsid w:val="00CB1CFE"/>
    <w:rsid w:val="00CB1E81"/>
    <w:rsid w:val="00CB3F5B"/>
    <w:rsid w:val="00CB569D"/>
    <w:rsid w:val="00CB716D"/>
    <w:rsid w:val="00CC176E"/>
    <w:rsid w:val="00CC1B15"/>
    <w:rsid w:val="00CC4589"/>
    <w:rsid w:val="00CC4B13"/>
    <w:rsid w:val="00CC5DD8"/>
    <w:rsid w:val="00CC6485"/>
    <w:rsid w:val="00CC6616"/>
    <w:rsid w:val="00CC6F83"/>
    <w:rsid w:val="00CC7449"/>
    <w:rsid w:val="00CD1E31"/>
    <w:rsid w:val="00CE0D21"/>
    <w:rsid w:val="00CE1A8E"/>
    <w:rsid w:val="00CE2879"/>
    <w:rsid w:val="00CE392F"/>
    <w:rsid w:val="00CE39E1"/>
    <w:rsid w:val="00CE404C"/>
    <w:rsid w:val="00CE4D76"/>
    <w:rsid w:val="00CE507A"/>
    <w:rsid w:val="00CE658D"/>
    <w:rsid w:val="00CE69F6"/>
    <w:rsid w:val="00CE7CB5"/>
    <w:rsid w:val="00CF0F14"/>
    <w:rsid w:val="00CF0FDB"/>
    <w:rsid w:val="00CF3244"/>
    <w:rsid w:val="00CF3C03"/>
    <w:rsid w:val="00CF411D"/>
    <w:rsid w:val="00CF6382"/>
    <w:rsid w:val="00CF6CE9"/>
    <w:rsid w:val="00CF7880"/>
    <w:rsid w:val="00D00628"/>
    <w:rsid w:val="00D021B7"/>
    <w:rsid w:val="00D025CA"/>
    <w:rsid w:val="00D03B8C"/>
    <w:rsid w:val="00D03BDA"/>
    <w:rsid w:val="00D03F29"/>
    <w:rsid w:val="00D04AA5"/>
    <w:rsid w:val="00D05298"/>
    <w:rsid w:val="00D05E42"/>
    <w:rsid w:val="00D0630F"/>
    <w:rsid w:val="00D06F19"/>
    <w:rsid w:val="00D10DCD"/>
    <w:rsid w:val="00D1245D"/>
    <w:rsid w:val="00D16027"/>
    <w:rsid w:val="00D200EC"/>
    <w:rsid w:val="00D21A0C"/>
    <w:rsid w:val="00D23E85"/>
    <w:rsid w:val="00D247FF"/>
    <w:rsid w:val="00D253B5"/>
    <w:rsid w:val="00D25409"/>
    <w:rsid w:val="00D26FB7"/>
    <w:rsid w:val="00D31D40"/>
    <w:rsid w:val="00D36EEA"/>
    <w:rsid w:val="00D3735F"/>
    <w:rsid w:val="00D41C18"/>
    <w:rsid w:val="00D4252E"/>
    <w:rsid w:val="00D470CE"/>
    <w:rsid w:val="00D47C82"/>
    <w:rsid w:val="00D47D1A"/>
    <w:rsid w:val="00D50D62"/>
    <w:rsid w:val="00D523B3"/>
    <w:rsid w:val="00D55C37"/>
    <w:rsid w:val="00D57CFC"/>
    <w:rsid w:val="00D609AB"/>
    <w:rsid w:val="00D62149"/>
    <w:rsid w:val="00D63817"/>
    <w:rsid w:val="00D63D0E"/>
    <w:rsid w:val="00D6533F"/>
    <w:rsid w:val="00D66396"/>
    <w:rsid w:val="00D7320A"/>
    <w:rsid w:val="00D854AB"/>
    <w:rsid w:val="00D856E3"/>
    <w:rsid w:val="00D87BD7"/>
    <w:rsid w:val="00D90DD9"/>
    <w:rsid w:val="00D911DD"/>
    <w:rsid w:val="00D913F7"/>
    <w:rsid w:val="00D94767"/>
    <w:rsid w:val="00D9516F"/>
    <w:rsid w:val="00D95258"/>
    <w:rsid w:val="00D95896"/>
    <w:rsid w:val="00D9736B"/>
    <w:rsid w:val="00DA14F3"/>
    <w:rsid w:val="00DA1D9A"/>
    <w:rsid w:val="00DA2AFC"/>
    <w:rsid w:val="00DA376E"/>
    <w:rsid w:val="00DA47C8"/>
    <w:rsid w:val="00DA5C56"/>
    <w:rsid w:val="00DB0E8C"/>
    <w:rsid w:val="00DB1B1A"/>
    <w:rsid w:val="00DB2EDB"/>
    <w:rsid w:val="00DB4791"/>
    <w:rsid w:val="00DB7198"/>
    <w:rsid w:val="00DB7AF1"/>
    <w:rsid w:val="00DC0095"/>
    <w:rsid w:val="00DC1030"/>
    <w:rsid w:val="00DC1C94"/>
    <w:rsid w:val="00DC5FE1"/>
    <w:rsid w:val="00DD07E0"/>
    <w:rsid w:val="00DD0BE2"/>
    <w:rsid w:val="00DD20C0"/>
    <w:rsid w:val="00DD37D5"/>
    <w:rsid w:val="00DE2B61"/>
    <w:rsid w:val="00DE2C50"/>
    <w:rsid w:val="00DE3922"/>
    <w:rsid w:val="00DE64C3"/>
    <w:rsid w:val="00DE6C71"/>
    <w:rsid w:val="00DE7055"/>
    <w:rsid w:val="00DE78BB"/>
    <w:rsid w:val="00DF02A0"/>
    <w:rsid w:val="00DF0AA6"/>
    <w:rsid w:val="00DF196F"/>
    <w:rsid w:val="00DF2079"/>
    <w:rsid w:val="00DF2444"/>
    <w:rsid w:val="00DF550F"/>
    <w:rsid w:val="00DF70F2"/>
    <w:rsid w:val="00DF7ED3"/>
    <w:rsid w:val="00E04B9D"/>
    <w:rsid w:val="00E0593E"/>
    <w:rsid w:val="00E06B6B"/>
    <w:rsid w:val="00E07CD0"/>
    <w:rsid w:val="00E10999"/>
    <w:rsid w:val="00E110B3"/>
    <w:rsid w:val="00E112A1"/>
    <w:rsid w:val="00E115A7"/>
    <w:rsid w:val="00E1190E"/>
    <w:rsid w:val="00E12854"/>
    <w:rsid w:val="00E12AFD"/>
    <w:rsid w:val="00E145B3"/>
    <w:rsid w:val="00E15DE7"/>
    <w:rsid w:val="00E21EFA"/>
    <w:rsid w:val="00E23645"/>
    <w:rsid w:val="00E23763"/>
    <w:rsid w:val="00E253BF"/>
    <w:rsid w:val="00E26437"/>
    <w:rsid w:val="00E3099C"/>
    <w:rsid w:val="00E316FE"/>
    <w:rsid w:val="00E3247A"/>
    <w:rsid w:val="00E32731"/>
    <w:rsid w:val="00E329BE"/>
    <w:rsid w:val="00E32F5F"/>
    <w:rsid w:val="00E3308F"/>
    <w:rsid w:val="00E34D6A"/>
    <w:rsid w:val="00E3551D"/>
    <w:rsid w:val="00E42279"/>
    <w:rsid w:val="00E42297"/>
    <w:rsid w:val="00E42777"/>
    <w:rsid w:val="00E4289B"/>
    <w:rsid w:val="00E4346D"/>
    <w:rsid w:val="00E45364"/>
    <w:rsid w:val="00E460EC"/>
    <w:rsid w:val="00E463DD"/>
    <w:rsid w:val="00E47A7F"/>
    <w:rsid w:val="00E47BDB"/>
    <w:rsid w:val="00E5259C"/>
    <w:rsid w:val="00E52C8C"/>
    <w:rsid w:val="00E53B71"/>
    <w:rsid w:val="00E54595"/>
    <w:rsid w:val="00E566E5"/>
    <w:rsid w:val="00E60054"/>
    <w:rsid w:val="00E60616"/>
    <w:rsid w:val="00E60856"/>
    <w:rsid w:val="00E60C63"/>
    <w:rsid w:val="00E63728"/>
    <w:rsid w:val="00E66271"/>
    <w:rsid w:val="00E6718B"/>
    <w:rsid w:val="00E70DBC"/>
    <w:rsid w:val="00E719E2"/>
    <w:rsid w:val="00E71D8E"/>
    <w:rsid w:val="00E71EDA"/>
    <w:rsid w:val="00E74352"/>
    <w:rsid w:val="00E80783"/>
    <w:rsid w:val="00E80811"/>
    <w:rsid w:val="00E811CD"/>
    <w:rsid w:val="00E8532A"/>
    <w:rsid w:val="00E85FB8"/>
    <w:rsid w:val="00E86535"/>
    <w:rsid w:val="00E878FF"/>
    <w:rsid w:val="00E93354"/>
    <w:rsid w:val="00E93BAC"/>
    <w:rsid w:val="00E94C12"/>
    <w:rsid w:val="00E95EA1"/>
    <w:rsid w:val="00E9760A"/>
    <w:rsid w:val="00EA1998"/>
    <w:rsid w:val="00EA4226"/>
    <w:rsid w:val="00EA4768"/>
    <w:rsid w:val="00EB00A3"/>
    <w:rsid w:val="00EB1897"/>
    <w:rsid w:val="00EB5360"/>
    <w:rsid w:val="00EB5493"/>
    <w:rsid w:val="00EB603E"/>
    <w:rsid w:val="00EB6D14"/>
    <w:rsid w:val="00EB7076"/>
    <w:rsid w:val="00EB77A3"/>
    <w:rsid w:val="00EC0823"/>
    <w:rsid w:val="00EC0B0B"/>
    <w:rsid w:val="00EC3069"/>
    <w:rsid w:val="00EC3972"/>
    <w:rsid w:val="00EC559C"/>
    <w:rsid w:val="00ED1B23"/>
    <w:rsid w:val="00ED23AF"/>
    <w:rsid w:val="00ED2750"/>
    <w:rsid w:val="00ED32C4"/>
    <w:rsid w:val="00ED492E"/>
    <w:rsid w:val="00EE01D3"/>
    <w:rsid w:val="00EE1880"/>
    <w:rsid w:val="00EE1EBA"/>
    <w:rsid w:val="00EE2FC8"/>
    <w:rsid w:val="00EE32BA"/>
    <w:rsid w:val="00EE4D07"/>
    <w:rsid w:val="00EE63B9"/>
    <w:rsid w:val="00EE7252"/>
    <w:rsid w:val="00EE72D3"/>
    <w:rsid w:val="00EF19B2"/>
    <w:rsid w:val="00EF504C"/>
    <w:rsid w:val="00EF7351"/>
    <w:rsid w:val="00F02B64"/>
    <w:rsid w:val="00F05245"/>
    <w:rsid w:val="00F057A2"/>
    <w:rsid w:val="00F05F5E"/>
    <w:rsid w:val="00F07D24"/>
    <w:rsid w:val="00F07FCD"/>
    <w:rsid w:val="00F14468"/>
    <w:rsid w:val="00F14D58"/>
    <w:rsid w:val="00F16F6A"/>
    <w:rsid w:val="00F17528"/>
    <w:rsid w:val="00F24D71"/>
    <w:rsid w:val="00F26C74"/>
    <w:rsid w:val="00F27EAC"/>
    <w:rsid w:val="00F31982"/>
    <w:rsid w:val="00F3273C"/>
    <w:rsid w:val="00F3335E"/>
    <w:rsid w:val="00F33E99"/>
    <w:rsid w:val="00F33FB0"/>
    <w:rsid w:val="00F4157B"/>
    <w:rsid w:val="00F44453"/>
    <w:rsid w:val="00F46104"/>
    <w:rsid w:val="00F46AEF"/>
    <w:rsid w:val="00F50CD5"/>
    <w:rsid w:val="00F5134E"/>
    <w:rsid w:val="00F60C16"/>
    <w:rsid w:val="00F60E2D"/>
    <w:rsid w:val="00F616B7"/>
    <w:rsid w:val="00F62B37"/>
    <w:rsid w:val="00F65A6A"/>
    <w:rsid w:val="00F665DA"/>
    <w:rsid w:val="00F66770"/>
    <w:rsid w:val="00F66853"/>
    <w:rsid w:val="00F67BDF"/>
    <w:rsid w:val="00F705BD"/>
    <w:rsid w:val="00F710D6"/>
    <w:rsid w:val="00F713E9"/>
    <w:rsid w:val="00F71543"/>
    <w:rsid w:val="00F72E95"/>
    <w:rsid w:val="00F759DC"/>
    <w:rsid w:val="00F82F79"/>
    <w:rsid w:val="00F844D5"/>
    <w:rsid w:val="00F84804"/>
    <w:rsid w:val="00F84B4D"/>
    <w:rsid w:val="00F84DCD"/>
    <w:rsid w:val="00F8683E"/>
    <w:rsid w:val="00F86D4A"/>
    <w:rsid w:val="00F870F6"/>
    <w:rsid w:val="00F902B2"/>
    <w:rsid w:val="00F90771"/>
    <w:rsid w:val="00F90A17"/>
    <w:rsid w:val="00F95C76"/>
    <w:rsid w:val="00F96A84"/>
    <w:rsid w:val="00F97253"/>
    <w:rsid w:val="00F97FC4"/>
    <w:rsid w:val="00FA0D3F"/>
    <w:rsid w:val="00FA37F1"/>
    <w:rsid w:val="00FA4497"/>
    <w:rsid w:val="00FA475E"/>
    <w:rsid w:val="00FA4B4D"/>
    <w:rsid w:val="00FA5E95"/>
    <w:rsid w:val="00FA6841"/>
    <w:rsid w:val="00FB201C"/>
    <w:rsid w:val="00FB2779"/>
    <w:rsid w:val="00FB5207"/>
    <w:rsid w:val="00FB521B"/>
    <w:rsid w:val="00FB5722"/>
    <w:rsid w:val="00FB71DF"/>
    <w:rsid w:val="00FC0563"/>
    <w:rsid w:val="00FC0821"/>
    <w:rsid w:val="00FC1926"/>
    <w:rsid w:val="00FC1DFF"/>
    <w:rsid w:val="00FC2B45"/>
    <w:rsid w:val="00FC2D00"/>
    <w:rsid w:val="00FC4523"/>
    <w:rsid w:val="00FC59A6"/>
    <w:rsid w:val="00FC649D"/>
    <w:rsid w:val="00FD5546"/>
    <w:rsid w:val="00FD6B5F"/>
    <w:rsid w:val="00FD6DEF"/>
    <w:rsid w:val="00FD77A4"/>
    <w:rsid w:val="00FE47C9"/>
    <w:rsid w:val="00FF05AC"/>
    <w:rsid w:val="00FF077C"/>
    <w:rsid w:val="00FF0859"/>
    <w:rsid w:val="00FF09E9"/>
    <w:rsid w:val="00FF1A46"/>
    <w:rsid w:val="00FF1B96"/>
    <w:rsid w:val="00FF2860"/>
    <w:rsid w:val="00FF3DCE"/>
    <w:rsid w:val="00FF5354"/>
    <w:rsid w:val="00FF54B0"/>
    <w:rsid w:val="00FF71FB"/>
    <w:rsid w:val="00FF7505"/>
    <w:rsid w:val="00FF7C0B"/>
    <w:rsid w:val="05B2A2A7"/>
    <w:rsid w:val="18211050"/>
    <w:rsid w:val="1C704B5A"/>
    <w:rsid w:val="20F7CC7C"/>
    <w:rsid w:val="2562CA4B"/>
    <w:rsid w:val="416E6F4A"/>
    <w:rsid w:val="45F7535D"/>
    <w:rsid w:val="76DA3BE5"/>
    <w:rsid w:val="7832BECB"/>
    <w:rsid w:val="7D20A0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E8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592B"/>
    <w:pPr>
      <w:keepNext/>
      <w:keepLines/>
      <w:numPr>
        <w:numId w:val="2"/>
      </w:numPr>
      <w:pBdr>
        <w:top w:val="single" w:sz="4" w:space="1" w:color="5B9BD5" w:themeColor="accent1"/>
      </w:pBd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376D"/>
    <w:pPr>
      <w:keepNext/>
      <w:keepLines/>
      <w:spacing w:before="2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E376D"/>
    <w:pPr>
      <w:keepNext/>
      <w:keepLines/>
      <w:spacing w:before="240"/>
      <w:ind w:left="72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92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46F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FF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E376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E376D"/>
    <w:rPr>
      <w:rFonts w:asciiTheme="majorHAnsi" w:eastAsiaTheme="majorEastAsia" w:hAnsiTheme="majorHAnsi" w:cstheme="majorBidi"/>
      <w:color w:val="1F4D78" w:themeColor="accent1" w:themeShade="7F"/>
      <w:sz w:val="24"/>
      <w:szCs w:val="24"/>
    </w:rPr>
  </w:style>
  <w:style w:type="paragraph" w:styleId="ListParagraph">
    <w:name w:val="List Paragraph"/>
    <w:aliases w:val="Recommendation,Body Bullets 1,List Paragraph1,List Paragraph11,L,Bullet points,Content descriptions,Bullet Point,Bullet point,Main,CV text,Table text,F5 List Paragraph,Dot pt,List Paragraph111,Medium Grid 1 - Accent 21,Numbered Paragraph"/>
    <w:basedOn w:val="Normal"/>
    <w:link w:val="ListParagraphChar"/>
    <w:uiPriority w:val="34"/>
    <w:qFormat/>
    <w:rsid w:val="00146FF3"/>
    <w:pPr>
      <w:ind w:left="720"/>
      <w:contextualSpacing/>
    </w:pPr>
  </w:style>
  <w:style w:type="paragraph" w:styleId="TOCHeading">
    <w:name w:val="TOC Heading"/>
    <w:basedOn w:val="Normal"/>
    <w:next w:val="Normal"/>
    <w:uiPriority w:val="39"/>
    <w:unhideWhenUsed/>
    <w:qFormat/>
    <w:rsid w:val="002450E1"/>
    <w:rPr>
      <w:color w:val="5B9BD5" w:themeColor="accent1"/>
      <w:lang w:val="en-US"/>
    </w:rPr>
  </w:style>
  <w:style w:type="paragraph" w:styleId="TOC1">
    <w:name w:val="toc 1"/>
    <w:basedOn w:val="Normal"/>
    <w:next w:val="Normal"/>
    <w:autoRedefine/>
    <w:uiPriority w:val="39"/>
    <w:unhideWhenUsed/>
    <w:rsid w:val="009834F0"/>
    <w:pPr>
      <w:tabs>
        <w:tab w:val="left" w:pos="567"/>
        <w:tab w:val="right" w:pos="9016"/>
      </w:tabs>
    </w:pPr>
    <w:rPr>
      <w:bCs/>
      <w:szCs w:val="20"/>
    </w:rPr>
  </w:style>
  <w:style w:type="paragraph" w:styleId="TOC3">
    <w:name w:val="toc 3"/>
    <w:basedOn w:val="Normal"/>
    <w:next w:val="Normal"/>
    <w:autoRedefine/>
    <w:uiPriority w:val="39"/>
    <w:unhideWhenUsed/>
    <w:rsid w:val="00733501"/>
    <w:pPr>
      <w:spacing w:before="0"/>
      <w:ind w:left="440"/>
    </w:pPr>
    <w:rPr>
      <w:sz w:val="20"/>
      <w:szCs w:val="20"/>
    </w:rPr>
  </w:style>
  <w:style w:type="paragraph" w:styleId="TOC2">
    <w:name w:val="toc 2"/>
    <w:basedOn w:val="Normal"/>
    <w:next w:val="Normal"/>
    <w:autoRedefine/>
    <w:uiPriority w:val="39"/>
    <w:unhideWhenUsed/>
    <w:rsid w:val="009834F0"/>
    <w:pPr>
      <w:tabs>
        <w:tab w:val="right" w:pos="9016"/>
      </w:tabs>
      <w:spacing w:after="120"/>
      <w:ind w:left="567"/>
    </w:pPr>
    <w:rPr>
      <w:iCs/>
      <w:szCs w:val="20"/>
    </w:rPr>
  </w:style>
  <w:style w:type="character" w:styleId="Hyperlink">
    <w:name w:val="Hyperlink"/>
    <w:basedOn w:val="DefaultParagraphFont"/>
    <w:uiPriority w:val="99"/>
    <w:unhideWhenUsed/>
    <w:rsid w:val="007753B1"/>
    <w:rPr>
      <w:color w:val="0563C1" w:themeColor="hyperlink"/>
      <w:u w:val="single"/>
    </w:rPr>
  </w:style>
  <w:style w:type="paragraph" w:customStyle="1" w:styleId="guidelinetext">
    <w:name w:val="guideline text"/>
    <w:basedOn w:val="Normal"/>
    <w:link w:val="guidelinetextChar"/>
    <w:qFormat/>
    <w:rsid w:val="00A561B1"/>
    <w:pPr>
      <w:spacing w:line="264" w:lineRule="auto"/>
      <w:ind w:left="1440"/>
    </w:pPr>
  </w:style>
  <w:style w:type="paragraph" w:customStyle="1" w:styleId="guidelinebullet">
    <w:name w:val="guideline bullet"/>
    <w:basedOn w:val="ListParagraph"/>
    <w:link w:val="guidelinebulletChar"/>
    <w:qFormat/>
    <w:rsid w:val="005232D6"/>
    <w:pPr>
      <w:numPr>
        <w:numId w:val="1"/>
      </w:numPr>
      <w:spacing w:before="60"/>
      <w:ind w:left="1800"/>
      <w:contextualSpacing w:val="0"/>
    </w:pPr>
  </w:style>
  <w:style w:type="character" w:customStyle="1" w:styleId="guidelinetextChar">
    <w:name w:val="guideline text Char"/>
    <w:basedOn w:val="DefaultParagraphFont"/>
    <w:link w:val="guidelinetext"/>
    <w:rsid w:val="00A561B1"/>
  </w:style>
  <w:style w:type="paragraph" w:customStyle="1" w:styleId="guidelinedeedref">
    <w:name w:val="guideline deed ref"/>
    <w:basedOn w:val="Normal"/>
    <w:link w:val="guidelinedeedrefChar"/>
    <w:qFormat/>
    <w:rsid w:val="00144E07"/>
    <w:pPr>
      <w:ind w:left="1440"/>
    </w:pPr>
    <w:rPr>
      <w:rFonts w:ascii="Garamond" w:hAnsi="Garamond"/>
    </w:rPr>
  </w:style>
  <w:style w:type="character" w:customStyle="1" w:styleId="ListParagraphChar">
    <w:name w:val="List Paragraph Char"/>
    <w:aliases w:val="Recommendation Char,Body Bullets 1 Char,List Paragraph1 Char,List Paragraph11 Char,L Char,Bullet points Char,Content descriptions Char,Bullet Point Char,Bullet point Char,Main Char,CV text Char,Table text Char,F5 List Paragraph Char"/>
    <w:basedOn w:val="DefaultParagraphFont"/>
    <w:link w:val="ListParagraph"/>
    <w:uiPriority w:val="34"/>
    <w:qFormat/>
    <w:rsid w:val="005B3D76"/>
  </w:style>
  <w:style w:type="character" w:customStyle="1" w:styleId="guidelinebulletChar">
    <w:name w:val="guideline bullet Char"/>
    <w:basedOn w:val="ListParagraphChar"/>
    <w:link w:val="guidelinebullet"/>
    <w:rsid w:val="00A561B1"/>
  </w:style>
  <w:style w:type="character" w:customStyle="1" w:styleId="guidelinedeedrefChar">
    <w:name w:val="guideline deed ref Char"/>
    <w:basedOn w:val="DefaultParagraphFont"/>
    <w:link w:val="guidelinedeedref"/>
    <w:rsid w:val="00144E07"/>
    <w:rPr>
      <w:rFonts w:ascii="Garamond" w:hAnsi="Garamond"/>
    </w:rPr>
  </w:style>
  <w:style w:type="paragraph" w:styleId="Header">
    <w:name w:val="header"/>
    <w:basedOn w:val="Normal"/>
    <w:link w:val="HeaderChar"/>
    <w:uiPriority w:val="99"/>
    <w:unhideWhenUsed/>
    <w:rsid w:val="008A194F"/>
    <w:pPr>
      <w:tabs>
        <w:tab w:val="center" w:pos="4513"/>
        <w:tab w:val="right" w:pos="9026"/>
      </w:tabs>
    </w:pPr>
  </w:style>
  <w:style w:type="character" w:customStyle="1" w:styleId="HeaderChar">
    <w:name w:val="Header Char"/>
    <w:basedOn w:val="DefaultParagraphFont"/>
    <w:link w:val="Header"/>
    <w:uiPriority w:val="99"/>
    <w:rsid w:val="008A194F"/>
  </w:style>
  <w:style w:type="paragraph" w:styleId="Footer">
    <w:name w:val="footer"/>
    <w:basedOn w:val="Normal"/>
    <w:link w:val="FooterChar"/>
    <w:uiPriority w:val="99"/>
    <w:unhideWhenUsed/>
    <w:rsid w:val="008A194F"/>
    <w:pPr>
      <w:tabs>
        <w:tab w:val="center" w:pos="4513"/>
        <w:tab w:val="right" w:pos="9026"/>
      </w:tabs>
    </w:pPr>
  </w:style>
  <w:style w:type="character" w:customStyle="1" w:styleId="FooterChar">
    <w:name w:val="Footer Char"/>
    <w:basedOn w:val="DefaultParagraphFont"/>
    <w:link w:val="Footer"/>
    <w:uiPriority w:val="99"/>
    <w:rsid w:val="008A194F"/>
  </w:style>
  <w:style w:type="paragraph" w:customStyle="1" w:styleId="TableHeadingCentred">
    <w:name w:val="Table Heading Centred"/>
    <w:basedOn w:val="Normal"/>
    <w:rsid w:val="008A194F"/>
    <w:pPr>
      <w:spacing w:before="60" w:after="60"/>
      <w:jc w:val="center"/>
    </w:pPr>
    <w:rPr>
      <w:rFonts w:ascii="Calibri" w:eastAsia="Times New Roman" w:hAnsi="Calibri" w:cs="Arial"/>
      <w:b/>
      <w:bCs/>
      <w:color w:val="FFFFFF"/>
      <w:szCs w:val="24"/>
      <w:lang w:eastAsia="en-AU"/>
    </w:rPr>
  </w:style>
  <w:style w:type="paragraph" w:customStyle="1" w:styleId="guidelineintro">
    <w:name w:val="guideline intro"/>
    <w:basedOn w:val="Normal"/>
    <w:link w:val="guidelineintroChar"/>
    <w:rsid w:val="006A3A0A"/>
    <w:pPr>
      <w:ind w:left="1440"/>
    </w:pPr>
    <w:rPr>
      <w:sz w:val="28"/>
    </w:rPr>
  </w:style>
  <w:style w:type="paragraph" w:customStyle="1" w:styleId="guidelinechanges">
    <w:name w:val="guideline changes"/>
    <w:basedOn w:val="Normal"/>
    <w:link w:val="guidelinechangesChar"/>
    <w:qFormat/>
    <w:rsid w:val="00D911DD"/>
    <w:pPr>
      <w:spacing w:before="60"/>
    </w:pPr>
    <w:rPr>
      <w:sz w:val="20"/>
    </w:rPr>
  </w:style>
  <w:style w:type="character" w:customStyle="1" w:styleId="guidelineintroChar">
    <w:name w:val="guideline intro Char"/>
    <w:basedOn w:val="DefaultParagraphFont"/>
    <w:link w:val="guidelineintro"/>
    <w:rsid w:val="006A3A0A"/>
    <w:rPr>
      <w:sz w:val="28"/>
    </w:rPr>
  </w:style>
  <w:style w:type="paragraph" w:customStyle="1" w:styleId="guidelinedocinfo">
    <w:name w:val="guideline doc info"/>
    <w:basedOn w:val="Heading2"/>
    <w:link w:val="guidelinedocinfoChar"/>
    <w:qFormat/>
    <w:rsid w:val="00964B0D"/>
    <w:pPr>
      <w:pBdr>
        <w:top w:val="single" w:sz="4" w:space="1" w:color="767171" w:themeColor="background2" w:themeShade="80"/>
      </w:pBdr>
    </w:pPr>
    <w:rPr>
      <w:rFonts w:asciiTheme="minorHAnsi" w:hAnsiTheme="minorHAnsi"/>
      <w:color w:val="767171" w:themeColor="background2" w:themeShade="80"/>
    </w:rPr>
  </w:style>
  <w:style w:type="character" w:customStyle="1" w:styleId="guidelinechangesChar">
    <w:name w:val="guideline changes Char"/>
    <w:basedOn w:val="DefaultParagraphFont"/>
    <w:link w:val="guidelinechanges"/>
    <w:rsid w:val="00D911DD"/>
    <w:rPr>
      <w:sz w:val="20"/>
    </w:rPr>
  </w:style>
  <w:style w:type="character" w:customStyle="1" w:styleId="guidelinedocinfoChar">
    <w:name w:val="guideline doc info Char"/>
    <w:basedOn w:val="DefaultParagraphFont"/>
    <w:link w:val="guidelinedocinfo"/>
    <w:rsid w:val="00285B11"/>
    <w:rPr>
      <w:rFonts w:eastAsiaTheme="majorEastAsia" w:cstheme="majorBidi"/>
      <w:color w:val="767171" w:themeColor="background2" w:themeShade="80"/>
      <w:sz w:val="26"/>
      <w:szCs w:val="26"/>
    </w:rPr>
  </w:style>
  <w:style w:type="paragraph" w:customStyle="1" w:styleId="Systemstep">
    <w:name w:val="System step"/>
    <w:basedOn w:val="guidelinetext"/>
    <w:link w:val="SystemstepChar"/>
    <w:qFormat/>
    <w:rsid w:val="00AF57E5"/>
    <w:pPr>
      <w:numPr>
        <w:numId w:val="3"/>
      </w:numPr>
      <w:ind w:left="357" w:hanging="357"/>
    </w:pPr>
  </w:style>
  <w:style w:type="table" w:styleId="TableGrid">
    <w:name w:val="Table Grid"/>
    <w:basedOn w:val="TableNormal"/>
    <w:uiPriority w:val="59"/>
    <w:rsid w:val="002D1607"/>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temstepChar">
    <w:name w:val="System step Char"/>
    <w:basedOn w:val="guidelinetextChar"/>
    <w:link w:val="Systemstep"/>
    <w:rsid w:val="00A159C7"/>
  </w:style>
  <w:style w:type="paragraph" w:customStyle="1" w:styleId="tabletext">
    <w:name w:val="table text"/>
    <w:basedOn w:val="guidelinetext"/>
    <w:link w:val="tabletextChar"/>
    <w:qFormat/>
    <w:rsid w:val="002D1607"/>
    <w:pPr>
      <w:spacing w:before="0"/>
      <w:ind w:left="0"/>
    </w:pPr>
    <w:rPr>
      <w:sz w:val="20"/>
      <w:szCs w:val="20"/>
    </w:rPr>
  </w:style>
  <w:style w:type="character" w:customStyle="1" w:styleId="tabletextChar">
    <w:name w:val="table text Char"/>
    <w:basedOn w:val="guidelinetextChar"/>
    <w:link w:val="tabletext"/>
    <w:rsid w:val="002D1607"/>
    <w:rPr>
      <w:sz w:val="20"/>
      <w:szCs w:val="20"/>
    </w:rPr>
  </w:style>
  <w:style w:type="character" w:styleId="CommentReference">
    <w:name w:val="annotation reference"/>
    <w:basedOn w:val="DefaultParagraphFont"/>
    <w:uiPriority w:val="99"/>
    <w:semiHidden/>
    <w:unhideWhenUsed/>
    <w:rsid w:val="002E6FDB"/>
    <w:rPr>
      <w:sz w:val="16"/>
      <w:szCs w:val="16"/>
    </w:rPr>
  </w:style>
  <w:style w:type="paragraph" w:styleId="CommentText">
    <w:name w:val="annotation text"/>
    <w:basedOn w:val="Normal"/>
    <w:link w:val="CommentTextChar"/>
    <w:uiPriority w:val="99"/>
    <w:unhideWhenUsed/>
    <w:rsid w:val="002E6FDB"/>
    <w:rPr>
      <w:sz w:val="20"/>
      <w:szCs w:val="20"/>
    </w:rPr>
  </w:style>
  <w:style w:type="character" w:customStyle="1" w:styleId="CommentTextChar">
    <w:name w:val="Comment Text Char"/>
    <w:basedOn w:val="DefaultParagraphFont"/>
    <w:link w:val="CommentText"/>
    <w:uiPriority w:val="99"/>
    <w:rsid w:val="002E6FDB"/>
    <w:rPr>
      <w:sz w:val="20"/>
      <w:szCs w:val="20"/>
    </w:rPr>
  </w:style>
  <w:style w:type="paragraph" w:styleId="CommentSubject">
    <w:name w:val="annotation subject"/>
    <w:basedOn w:val="CommentText"/>
    <w:next w:val="CommentText"/>
    <w:link w:val="CommentSubjectChar"/>
    <w:uiPriority w:val="99"/>
    <w:semiHidden/>
    <w:unhideWhenUsed/>
    <w:rsid w:val="002E6FDB"/>
    <w:rPr>
      <w:b/>
      <w:bCs/>
    </w:rPr>
  </w:style>
  <w:style w:type="character" w:customStyle="1" w:styleId="CommentSubjectChar">
    <w:name w:val="Comment Subject Char"/>
    <w:basedOn w:val="CommentTextChar"/>
    <w:link w:val="CommentSubject"/>
    <w:uiPriority w:val="99"/>
    <w:semiHidden/>
    <w:rsid w:val="002E6FDB"/>
    <w:rPr>
      <w:b/>
      <w:bCs/>
      <w:sz w:val="20"/>
      <w:szCs w:val="20"/>
    </w:rPr>
  </w:style>
  <w:style w:type="paragraph" w:styleId="BalloonText">
    <w:name w:val="Balloon Text"/>
    <w:basedOn w:val="Normal"/>
    <w:link w:val="BalloonTextChar"/>
    <w:uiPriority w:val="99"/>
    <w:semiHidden/>
    <w:unhideWhenUsed/>
    <w:rsid w:val="002E6FD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FDB"/>
    <w:rPr>
      <w:rFonts w:ascii="Segoe UI" w:hAnsi="Segoe UI" w:cs="Segoe UI"/>
      <w:sz w:val="18"/>
      <w:szCs w:val="18"/>
    </w:rPr>
  </w:style>
  <w:style w:type="paragraph" w:customStyle="1" w:styleId="docev">
    <w:name w:val="doc ev"/>
    <w:basedOn w:val="guidelinetext"/>
    <w:link w:val="docevChar"/>
    <w:qFormat/>
    <w:rsid w:val="00AF57E5"/>
    <w:pPr>
      <w:numPr>
        <w:numId w:val="4"/>
      </w:numPr>
    </w:pPr>
  </w:style>
  <w:style w:type="paragraph" w:customStyle="1" w:styleId="WHS">
    <w:name w:val="WHS"/>
    <w:basedOn w:val="guidelinetext"/>
    <w:link w:val="WHSChar"/>
    <w:qFormat/>
    <w:rsid w:val="00AF57E5"/>
    <w:pPr>
      <w:numPr>
        <w:numId w:val="5"/>
      </w:numPr>
      <w:ind w:left="1418" w:hanging="1418"/>
    </w:pPr>
  </w:style>
  <w:style w:type="character" w:customStyle="1" w:styleId="docevChar">
    <w:name w:val="doc ev Char"/>
    <w:basedOn w:val="SystemstepChar"/>
    <w:link w:val="docev"/>
    <w:rsid w:val="00A159C7"/>
  </w:style>
  <w:style w:type="character" w:customStyle="1" w:styleId="WHSChar">
    <w:name w:val="WHS Char"/>
    <w:basedOn w:val="SystemstepChar"/>
    <w:link w:val="WHS"/>
    <w:rsid w:val="00A159C7"/>
  </w:style>
  <w:style w:type="paragraph" w:customStyle="1" w:styleId="Frontpagesub-heading">
    <w:name w:val="Front page sub-heading"/>
    <w:basedOn w:val="Heading3"/>
    <w:link w:val="Frontpagesub-headingChar"/>
    <w:qFormat/>
    <w:rsid w:val="00285B11"/>
    <w:pPr>
      <w:ind w:left="0"/>
    </w:pPr>
    <w:rPr>
      <w:rFonts w:asciiTheme="minorHAnsi" w:hAnsiTheme="minorHAnsi"/>
      <w:b/>
      <w:color w:val="auto"/>
      <w:sz w:val="20"/>
    </w:rPr>
  </w:style>
  <w:style w:type="character" w:customStyle="1" w:styleId="Frontpagesub-headingChar">
    <w:name w:val="Front page sub-heading Char"/>
    <w:basedOn w:val="Heading3Char"/>
    <w:link w:val="Frontpagesub-heading"/>
    <w:rsid w:val="00285B11"/>
    <w:rPr>
      <w:rFonts w:asciiTheme="majorHAnsi" w:eastAsiaTheme="majorEastAsia" w:hAnsiTheme="majorHAnsi" w:cstheme="majorBidi"/>
      <w:b/>
      <w:color w:val="1F4D78" w:themeColor="accent1" w:themeShade="7F"/>
      <w:sz w:val="20"/>
      <w:szCs w:val="24"/>
    </w:rPr>
  </w:style>
  <w:style w:type="paragraph" w:styleId="Revision">
    <w:name w:val="Revision"/>
    <w:hidden/>
    <w:uiPriority w:val="99"/>
    <w:semiHidden/>
    <w:rsid w:val="00F72E95"/>
    <w:pPr>
      <w:spacing w:before="0"/>
    </w:pPr>
  </w:style>
  <w:style w:type="paragraph" w:styleId="TOC4">
    <w:name w:val="toc 4"/>
    <w:basedOn w:val="Normal"/>
    <w:next w:val="Normal"/>
    <w:autoRedefine/>
    <w:uiPriority w:val="39"/>
    <w:unhideWhenUsed/>
    <w:rsid w:val="004D1BE9"/>
    <w:pPr>
      <w:spacing w:before="0"/>
      <w:ind w:left="660"/>
    </w:pPr>
    <w:rPr>
      <w:sz w:val="20"/>
      <w:szCs w:val="20"/>
    </w:rPr>
  </w:style>
  <w:style w:type="paragraph" w:styleId="TOC5">
    <w:name w:val="toc 5"/>
    <w:basedOn w:val="Normal"/>
    <w:next w:val="Normal"/>
    <w:autoRedefine/>
    <w:uiPriority w:val="39"/>
    <w:unhideWhenUsed/>
    <w:rsid w:val="004D1BE9"/>
    <w:pPr>
      <w:spacing w:before="0"/>
      <w:ind w:left="880"/>
    </w:pPr>
    <w:rPr>
      <w:sz w:val="20"/>
      <w:szCs w:val="20"/>
    </w:rPr>
  </w:style>
  <w:style w:type="paragraph" w:styleId="TOC6">
    <w:name w:val="toc 6"/>
    <w:basedOn w:val="Normal"/>
    <w:next w:val="Normal"/>
    <w:autoRedefine/>
    <w:uiPriority w:val="39"/>
    <w:unhideWhenUsed/>
    <w:rsid w:val="004D1BE9"/>
    <w:pPr>
      <w:spacing w:before="0"/>
      <w:ind w:left="1100"/>
    </w:pPr>
    <w:rPr>
      <w:sz w:val="20"/>
      <w:szCs w:val="20"/>
    </w:rPr>
  </w:style>
  <w:style w:type="paragraph" w:styleId="TOC7">
    <w:name w:val="toc 7"/>
    <w:basedOn w:val="Normal"/>
    <w:next w:val="Normal"/>
    <w:autoRedefine/>
    <w:uiPriority w:val="39"/>
    <w:unhideWhenUsed/>
    <w:rsid w:val="004D1BE9"/>
    <w:pPr>
      <w:spacing w:before="0"/>
      <w:ind w:left="1320"/>
    </w:pPr>
    <w:rPr>
      <w:sz w:val="20"/>
      <w:szCs w:val="20"/>
    </w:rPr>
  </w:style>
  <w:style w:type="paragraph" w:styleId="TOC8">
    <w:name w:val="toc 8"/>
    <w:basedOn w:val="Normal"/>
    <w:next w:val="Normal"/>
    <w:autoRedefine/>
    <w:uiPriority w:val="39"/>
    <w:unhideWhenUsed/>
    <w:rsid w:val="004D1BE9"/>
    <w:pPr>
      <w:spacing w:before="0"/>
      <w:ind w:left="1540"/>
    </w:pPr>
    <w:rPr>
      <w:sz w:val="20"/>
      <w:szCs w:val="20"/>
    </w:rPr>
  </w:style>
  <w:style w:type="paragraph" w:styleId="TOC9">
    <w:name w:val="toc 9"/>
    <w:basedOn w:val="Normal"/>
    <w:next w:val="Normal"/>
    <w:autoRedefine/>
    <w:uiPriority w:val="39"/>
    <w:unhideWhenUsed/>
    <w:rsid w:val="004D1BE9"/>
    <w:pPr>
      <w:spacing w:before="0"/>
      <w:ind w:left="1760"/>
    </w:pPr>
    <w:rPr>
      <w:sz w:val="20"/>
      <w:szCs w:val="20"/>
    </w:rPr>
  </w:style>
  <w:style w:type="character" w:styleId="FollowedHyperlink">
    <w:name w:val="FollowedHyperlink"/>
    <w:basedOn w:val="DefaultParagraphFont"/>
    <w:uiPriority w:val="99"/>
    <w:semiHidden/>
    <w:unhideWhenUsed/>
    <w:rsid w:val="00514033"/>
    <w:rPr>
      <w:color w:val="954F72" w:themeColor="followedHyperlink"/>
      <w:u w:val="single"/>
    </w:rPr>
  </w:style>
  <w:style w:type="paragraph" w:customStyle="1" w:styleId="2Clause1">
    <w:name w:val="2. Clause 1"/>
    <w:basedOn w:val="Normal"/>
    <w:link w:val="2Clause1Char"/>
    <w:qFormat/>
    <w:rsid w:val="00061366"/>
    <w:pPr>
      <w:keepNext/>
      <w:keepLines/>
      <w:numPr>
        <w:numId w:val="9"/>
      </w:numPr>
      <w:suppressAutoHyphens/>
      <w:spacing w:before="240" w:after="120" w:line="264" w:lineRule="auto"/>
      <w:outlineLvl w:val="0"/>
    </w:pPr>
    <w:rPr>
      <w:rFonts w:ascii="Calibri" w:eastAsia="Times New Roman" w:hAnsi="Calibri" w:cs="Times New Roman"/>
      <w:b/>
      <w:szCs w:val="20"/>
      <w:lang w:eastAsia="en-AU"/>
    </w:rPr>
  </w:style>
  <w:style w:type="character" w:customStyle="1" w:styleId="2Clause1Char">
    <w:name w:val="2. Clause 1 Char"/>
    <w:basedOn w:val="DefaultParagraphFont"/>
    <w:link w:val="2Clause1"/>
    <w:rsid w:val="00061366"/>
    <w:rPr>
      <w:rFonts w:ascii="Calibri" w:eastAsia="Times New Roman" w:hAnsi="Calibri" w:cs="Times New Roman"/>
      <w:b/>
      <w:szCs w:val="20"/>
      <w:lang w:eastAsia="en-AU"/>
    </w:rPr>
  </w:style>
  <w:style w:type="paragraph" w:customStyle="1" w:styleId="3Cls11">
    <w:name w:val="3. Cls 1.1"/>
    <w:basedOn w:val="Normal"/>
    <w:qFormat/>
    <w:rsid w:val="00061366"/>
    <w:pPr>
      <w:keepLines/>
      <w:numPr>
        <w:ilvl w:val="1"/>
        <w:numId w:val="9"/>
      </w:numPr>
      <w:suppressAutoHyphens/>
      <w:spacing w:after="120" w:line="264" w:lineRule="auto"/>
      <w:outlineLvl w:val="1"/>
    </w:pPr>
    <w:rPr>
      <w:rFonts w:ascii="Calibri" w:eastAsia="Times New Roman" w:hAnsi="Calibri" w:cs="Times New Roman"/>
      <w:color w:val="000000"/>
      <w:szCs w:val="20"/>
      <w:lang w:eastAsia="en-AU"/>
    </w:rPr>
  </w:style>
  <w:style w:type="paragraph" w:customStyle="1" w:styleId="4Clsa">
    <w:name w:val="4. Cls (a)"/>
    <w:basedOn w:val="Normal"/>
    <w:autoRedefine/>
    <w:qFormat/>
    <w:rsid w:val="00061366"/>
    <w:pPr>
      <w:numPr>
        <w:ilvl w:val="2"/>
        <w:numId w:val="9"/>
      </w:numPr>
      <w:suppressAutoHyphens/>
      <w:spacing w:after="120" w:line="264" w:lineRule="auto"/>
    </w:pPr>
    <w:rPr>
      <w:rFonts w:ascii="Calibri" w:eastAsia="Times New Roman" w:hAnsi="Calibri" w:cs="Times New Roman"/>
      <w:szCs w:val="20"/>
      <w:lang w:eastAsia="en-AU"/>
    </w:rPr>
  </w:style>
  <w:style w:type="paragraph" w:styleId="FootnoteText">
    <w:name w:val="footnote text"/>
    <w:basedOn w:val="Normal"/>
    <w:link w:val="FootnoteTextChar"/>
    <w:uiPriority w:val="99"/>
    <w:semiHidden/>
    <w:unhideWhenUsed/>
    <w:rsid w:val="00A601D0"/>
    <w:pPr>
      <w:spacing w:before="0"/>
    </w:pPr>
    <w:rPr>
      <w:sz w:val="20"/>
      <w:szCs w:val="20"/>
    </w:rPr>
  </w:style>
  <w:style w:type="character" w:customStyle="1" w:styleId="FootnoteTextChar">
    <w:name w:val="Footnote Text Char"/>
    <w:basedOn w:val="DefaultParagraphFont"/>
    <w:link w:val="FootnoteText"/>
    <w:uiPriority w:val="99"/>
    <w:semiHidden/>
    <w:rsid w:val="00A601D0"/>
    <w:rPr>
      <w:sz w:val="20"/>
      <w:szCs w:val="20"/>
    </w:rPr>
  </w:style>
  <w:style w:type="character" w:styleId="FootnoteReference">
    <w:name w:val="footnote reference"/>
    <w:basedOn w:val="DefaultParagraphFont"/>
    <w:uiPriority w:val="99"/>
    <w:semiHidden/>
    <w:unhideWhenUsed/>
    <w:rsid w:val="00A601D0"/>
    <w:rPr>
      <w:vertAlign w:val="superscript"/>
    </w:rPr>
  </w:style>
  <w:style w:type="character" w:customStyle="1" w:styleId="UnresolvedMention1">
    <w:name w:val="Unresolved Mention1"/>
    <w:basedOn w:val="DefaultParagraphFont"/>
    <w:uiPriority w:val="99"/>
    <w:semiHidden/>
    <w:unhideWhenUsed/>
    <w:rsid w:val="007B0B9A"/>
    <w:rPr>
      <w:color w:val="605E5C"/>
      <w:shd w:val="clear" w:color="auto" w:fill="E1DFDD"/>
    </w:rPr>
  </w:style>
  <w:style w:type="paragraph" w:customStyle="1" w:styleId="guidelinetext0">
    <w:name w:val="guidelinetext"/>
    <w:basedOn w:val="Normal"/>
    <w:rsid w:val="001F5EFF"/>
    <w:pPr>
      <w:spacing w:line="264" w:lineRule="auto"/>
      <w:ind w:left="1440"/>
    </w:pPr>
    <w:rPr>
      <w:rFonts w:ascii="Calibri" w:hAnsi="Calibri" w:cs="Calibri"/>
      <w:lang w:eastAsia="en-AU"/>
    </w:rPr>
  </w:style>
  <w:style w:type="character" w:styleId="UnresolvedMention">
    <w:name w:val="Unresolved Mention"/>
    <w:basedOn w:val="DefaultParagraphFont"/>
    <w:uiPriority w:val="99"/>
    <w:semiHidden/>
    <w:unhideWhenUsed/>
    <w:rsid w:val="008E1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3186">
      <w:bodyDiv w:val="1"/>
      <w:marLeft w:val="0"/>
      <w:marRight w:val="0"/>
      <w:marTop w:val="0"/>
      <w:marBottom w:val="0"/>
      <w:divBdr>
        <w:top w:val="none" w:sz="0" w:space="0" w:color="auto"/>
        <w:left w:val="none" w:sz="0" w:space="0" w:color="auto"/>
        <w:bottom w:val="none" w:sz="0" w:space="0" w:color="auto"/>
        <w:right w:val="none" w:sz="0" w:space="0" w:color="auto"/>
      </w:divBdr>
    </w:div>
    <w:div w:id="12729119">
      <w:bodyDiv w:val="1"/>
      <w:marLeft w:val="0"/>
      <w:marRight w:val="0"/>
      <w:marTop w:val="0"/>
      <w:marBottom w:val="0"/>
      <w:divBdr>
        <w:top w:val="none" w:sz="0" w:space="0" w:color="auto"/>
        <w:left w:val="none" w:sz="0" w:space="0" w:color="auto"/>
        <w:bottom w:val="none" w:sz="0" w:space="0" w:color="auto"/>
        <w:right w:val="none" w:sz="0" w:space="0" w:color="auto"/>
      </w:divBdr>
    </w:div>
    <w:div w:id="339745587">
      <w:bodyDiv w:val="1"/>
      <w:marLeft w:val="0"/>
      <w:marRight w:val="0"/>
      <w:marTop w:val="0"/>
      <w:marBottom w:val="0"/>
      <w:divBdr>
        <w:top w:val="none" w:sz="0" w:space="0" w:color="auto"/>
        <w:left w:val="none" w:sz="0" w:space="0" w:color="auto"/>
        <w:bottom w:val="none" w:sz="0" w:space="0" w:color="auto"/>
        <w:right w:val="none" w:sz="0" w:space="0" w:color="auto"/>
      </w:divBdr>
    </w:div>
    <w:div w:id="380906992">
      <w:bodyDiv w:val="1"/>
      <w:marLeft w:val="0"/>
      <w:marRight w:val="0"/>
      <w:marTop w:val="0"/>
      <w:marBottom w:val="0"/>
      <w:divBdr>
        <w:top w:val="none" w:sz="0" w:space="0" w:color="auto"/>
        <w:left w:val="none" w:sz="0" w:space="0" w:color="auto"/>
        <w:bottom w:val="none" w:sz="0" w:space="0" w:color="auto"/>
        <w:right w:val="none" w:sz="0" w:space="0" w:color="auto"/>
      </w:divBdr>
    </w:div>
    <w:div w:id="525097623">
      <w:bodyDiv w:val="1"/>
      <w:marLeft w:val="0"/>
      <w:marRight w:val="0"/>
      <w:marTop w:val="0"/>
      <w:marBottom w:val="0"/>
      <w:divBdr>
        <w:top w:val="none" w:sz="0" w:space="0" w:color="auto"/>
        <w:left w:val="none" w:sz="0" w:space="0" w:color="auto"/>
        <w:bottom w:val="none" w:sz="0" w:space="0" w:color="auto"/>
        <w:right w:val="none" w:sz="0" w:space="0" w:color="auto"/>
      </w:divBdr>
    </w:div>
    <w:div w:id="760641044">
      <w:bodyDiv w:val="1"/>
      <w:marLeft w:val="0"/>
      <w:marRight w:val="0"/>
      <w:marTop w:val="0"/>
      <w:marBottom w:val="0"/>
      <w:divBdr>
        <w:top w:val="none" w:sz="0" w:space="0" w:color="auto"/>
        <w:left w:val="none" w:sz="0" w:space="0" w:color="auto"/>
        <w:bottom w:val="none" w:sz="0" w:space="0" w:color="auto"/>
        <w:right w:val="none" w:sz="0" w:space="0" w:color="auto"/>
      </w:divBdr>
    </w:div>
    <w:div w:id="1116944711">
      <w:bodyDiv w:val="1"/>
      <w:marLeft w:val="0"/>
      <w:marRight w:val="0"/>
      <w:marTop w:val="0"/>
      <w:marBottom w:val="0"/>
      <w:divBdr>
        <w:top w:val="none" w:sz="0" w:space="0" w:color="auto"/>
        <w:left w:val="none" w:sz="0" w:space="0" w:color="auto"/>
        <w:bottom w:val="none" w:sz="0" w:space="0" w:color="auto"/>
        <w:right w:val="none" w:sz="0" w:space="0" w:color="auto"/>
      </w:divBdr>
    </w:div>
    <w:div w:id="1149591716">
      <w:bodyDiv w:val="1"/>
      <w:marLeft w:val="0"/>
      <w:marRight w:val="0"/>
      <w:marTop w:val="0"/>
      <w:marBottom w:val="0"/>
      <w:divBdr>
        <w:top w:val="none" w:sz="0" w:space="0" w:color="auto"/>
        <w:left w:val="none" w:sz="0" w:space="0" w:color="auto"/>
        <w:bottom w:val="none" w:sz="0" w:space="0" w:color="auto"/>
        <w:right w:val="none" w:sz="0" w:space="0" w:color="auto"/>
      </w:divBdr>
    </w:div>
    <w:div w:id="1382704854">
      <w:bodyDiv w:val="1"/>
      <w:marLeft w:val="0"/>
      <w:marRight w:val="0"/>
      <w:marTop w:val="0"/>
      <w:marBottom w:val="0"/>
      <w:divBdr>
        <w:top w:val="none" w:sz="0" w:space="0" w:color="auto"/>
        <w:left w:val="none" w:sz="0" w:space="0" w:color="auto"/>
        <w:bottom w:val="none" w:sz="0" w:space="0" w:color="auto"/>
        <w:right w:val="none" w:sz="0" w:space="0" w:color="auto"/>
      </w:divBdr>
    </w:div>
    <w:div w:id="1518999381">
      <w:bodyDiv w:val="1"/>
      <w:marLeft w:val="0"/>
      <w:marRight w:val="0"/>
      <w:marTop w:val="0"/>
      <w:marBottom w:val="0"/>
      <w:divBdr>
        <w:top w:val="none" w:sz="0" w:space="0" w:color="auto"/>
        <w:left w:val="none" w:sz="0" w:space="0" w:color="auto"/>
        <w:bottom w:val="none" w:sz="0" w:space="0" w:color="auto"/>
        <w:right w:val="none" w:sz="0" w:space="0" w:color="auto"/>
      </w:divBdr>
    </w:div>
    <w:div w:id="1821313460">
      <w:bodyDiv w:val="1"/>
      <w:marLeft w:val="0"/>
      <w:marRight w:val="0"/>
      <w:marTop w:val="0"/>
      <w:marBottom w:val="0"/>
      <w:divBdr>
        <w:top w:val="none" w:sz="0" w:space="0" w:color="auto"/>
        <w:left w:val="none" w:sz="0" w:space="0" w:color="auto"/>
        <w:bottom w:val="none" w:sz="0" w:space="0" w:color="auto"/>
        <w:right w:val="none" w:sz="0" w:space="0" w:color="auto"/>
      </w:divBdr>
    </w:div>
    <w:div w:id="1911453894">
      <w:bodyDiv w:val="1"/>
      <w:marLeft w:val="0"/>
      <w:marRight w:val="0"/>
      <w:marTop w:val="0"/>
      <w:marBottom w:val="0"/>
      <w:divBdr>
        <w:top w:val="none" w:sz="0" w:space="0" w:color="auto"/>
        <w:left w:val="none" w:sz="0" w:space="0" w:color="auto"/>
        <w:bottom w:val="none" w:sz="0" w:space="0" w:color="auto"/>
        <w:right w:val="none" w:sz="0" w:space="0" w:color="auto"/>
      </w:divBdr>
    </w:div>
    <w:div w:id="1953123666">
      <w:bodyDiv w:val="1"/>
      <w:marLeft w:val="0"/>
      <w:marRight w:val="0"/>
      <w:marTop w:val="0"/>
      <w:marBottom w:val="0"/>
      <w:divBdr>
        <w:top w:val="none" w:sz="0" w:space="0" w:color="auto"/>
        <w:left w:val="none" w:sz="0" w:space="0" w:color="auto"/>
        <w:bottom w:val="none" w:sz="0" w:space="0" w:color="auto"/>
        <w:right w:val="none" w:sz="0" w:space="0" w:color="auto"/>
      </w:divBdr>
    </w:div>
    <w:div w:id="1965960428">
      <w:bodyDiv w:val="1"/>
      <w:marLeft w:val="0"/>
      <w:marRight w:val="0"/>
      <w:marTop w:val="0"/>
      <w:marBottom w:val="0"/>
      <w:divBdr>
        <w:top w:val="none" w:sz="0" w:space="0" w:color="auto"/>
        <w:left w:val="none" w:sz="0" w:space="0" w:color="auto"/>
        <w:bottom w:val="none" w:sz="0" w:space="0" w:color="auto"/>
        <w:right w:val="none" w:sz="0" w:space="0" w:color="auto"/>
      </w:divBdr>
    </w:div>
    <w:div w:id="1994064617">
      <w:bodyDiv w:val="1"/>
      <w:marLeft w:val="0"/>
      <w:marRight w:val="0"/>
      <w:marTop w:val="0"/>
      <w:marBottom w:val="0"/>
      <w:divBdr>
        <w:top w:val="none" w:sz="0" w:space="0" w:color="auto"/>
        <w:left w:val="none" w:sz="0" w:space="0" w:color="auto"/>
        <w:bottom w:val="none" w:sz="0" w:space="0" w:color="auto"/>
        <w:right w:val="none" w:sz="0" w:space="0" w:color="auto"/>
      </w:divBdr>
    </w:div>
    <w:div w:id="209257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csnaccessintranet.hosts.application.enet/ProviderPortal/NEST/Guidelines/Pages/Participation-and-Compliance-Framework.aspx" TargetMode="External"/><Relationship Id="rId26" Type="http://schemas.openxmlformats.org/officeDocument/2006/relationships/hyperlink" Target="https://jobactive.gov.au/" TargetMode="External"/><Relationship Id="rId39" Type="http://schemas.openxmlformats.org/officeDocument/2006/relationships/header" Target="header10.xml"/><Relationship Id="rId21" Type="http://schemas.openxmlformats.org/officeDocument/2006/relationships/hyperlink" Target="https://ecsnaccessintranet.hosts.application.enet/ProviderPortal/NEST/Guidelines/Pages/Eligibility-and-Servicing.aspx" TargetMode="External"/><Relationship Id="rId34" Type="http://schemas.openxmlformats.org/officeDocument/2006/relationships/header" Target="header5.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csnaccessintranet.hosts.application.enet/ProviderPortal/NEST/Guidelines/Pages/Eligibility-and-Servicing.aspx" TargetMode="External"/><Relationship Id="rId20" Type="http://schemas.openxmlformats.org/officeDocument/2006/relationships/hyperlink" Target="https://ecsnaccessintranet.hosts.application.enet/ProviderPortal/NEST/ContractualInformation/Pages/Privacy%20and%20Records%20Management%20Information%20for%20Providers.aspx" TargetMode="External"/><Relationship Id="rId29" Type="http://schemas.openxmlformats.org/officeDocument/2006/relationships/hyperlink" Target="https://ecsnaccess.gov.au/ProviderPortal/NEST/Guidelines/Pages/Eligibility-and-Servicing.asp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32" Type="http://schemas.openxmlformats.org/officeDocument/2006/relationships/hyperlink" Target="https://ecsnaccessintranet.hosts.application.enet/ProviderPortal/NEST/Guidelines/Pages/Eligibility-and-Servicing.aspx" TargetMode="External"/><Relationship Id="rId37" Type="http://schemas.openxmlformats.org/officeDocument/2006/relationships/header" Target="header8.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ecsnaccessintranet.hosts.application.enet/ProviderPortal/NEST/Guidelines/Pages/Eligibility-and-Servicing.aspx" TargetMode="External"/><Relationship Id="rId23" Type="http://schemas.openxmlformats.org/officeDocument/2006/relationships/header" Target="header2.xml"/><Relationship Id="rId28" Type="http://schemas.openxmlformats.org/officeDocument/2006/relationships/hyperlink" Target="https://ecsnaccessintranet.hosts.application.enet/ProviderPortal/NEST/Guidelines/Pages/Participation-and-Compliance-Framework.aspx" TargetMode="Externa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ecsnaccessintranet.hosts.application.enet/ProviderPortal/NEST/Guidelines/Pages/Eligibility-and-Servicing.aspx" TargetMode="External"/><Relationship Id="rId31" Type="http://schemas.openxmlformats.org/officeDocument/2006/relationships/hyperlink" Target="https://ecsnaccessintranet.hosts.application.enet/ProviderPortal/NEST/Guidelines/Pages/Eligibility-and-Servicing.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ecsnaccessintranet.hosts.application.enet/ProviderPortal/NEST/Guidelines/Pages/Specific-Client-Groups.aspx" TargetMode="External"/><Relationship Id="rId27" Type="http://schemas.openxmlformats.org/officeDocument/2006/relationships/hyperlink" Target="https://jobactive.gov.au/" TargetMode="External"/><Relationship Id="rId30" Type="http://schemas.openxmlformats.org/officeDocument/2006/relationships/hyperlink" Target="https://ecsnaccessintranet.hosts.application.enet/ProviderPortal/NEST/Guidelines/Pages/Structural-Adjustment-Packages.aspx" TargetMode="External"/><Relationship Id="rId35"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ecsnaccessintranet.hosts.application.enet/ProviderPortal/NEST/Guidelines/Pages/Participation-and-Compliance-Framework.aspx" TargetMode="External"/><Relationship Id="rId25" Type="http://schemas.openxmlformats.org/officeDocument/2006/relationships/header" Target="header4.xml"/><Relationship Id="rId33" Type="http://schemas.openxmlformats.org/officeDocument/2006/relationships/hyperlink" Target="https://ecsnaccessintranet.hosts.application.enet/ProviderPortal/NEST/Guidelines/Pages/Eligibility-and-Servicing.aspx" TargetMode="External"/><Relationship Id="rId38"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22</ESCSSResourceType>
    <ESCSSDescription xmlns="d4ed92f1-b901-42a9-bcc3-7b24959a6f87">This Guideline outlines who is Eligible for Enhanced Services in the New Employment Services Trial (NEST).
Trial Providers must provide Participants with appropriate Services, taking into account their individual circumstances, to assist them to find employment and move off Income Support Payments.
</ESCSSDescription>
    <ESCSSContentAuthorBranch xmlns="d4ed92f1-b901-42a9-bcc3-7b24959a6f87">128</ESCSSContentAuthorBranch>
    <ESCSSLocation xmlns="a232d271-55e7-4aa6-9ab7-ccc10e765e65">https://ecsnaccess.gov.au/ProviderPortal/NEST/Guidelines/Pages/Eligibility-and-Servicing.aspx</ESCSSLocation>
    <ESCSSEffectiveStartDate xmlns="d4ed92f1-b901-42a9-bcc3-7b24959a6f87">2021-12-03T13:00:00+00:00</ESCSSEffectiveStartDate>
    <ESCSSTopic xmlns="d4ed92f1-b901-42a9-bcc3-7b24959a6f87">498</ESCSSTopic>
    <ESCSSContentStatus xmlns="d4ed92f1-b901-42a9-bcc3-7b24959a6f87">Current</ESCSSContentStatus>
    <ESCSSSummaryOfUpdate xmlns="d4ed92f1-b901-42a9-bcc3-7b24959a6f87">Additional clarification provided regarding Special Benefit recipients.
Changes to reflect the return of Services Australia making the majority of Referrals. 
</ESCSSSummaryOfUpdate>
    <ESCSSKeywords xmlns="d4ed92f1-b901-42a9-bcc3-7b24959a6f87">Eligibility 
Referrals 
Commencements </ESCSSKeywords>
    <ESCSSSubject xmlns="d4ed92f1-b901-42a9-bcc3-7b24959a6f87">20211125-121017100135</ESCSSSubject>
    <ESCSSSiteGroup xmlns="d4ed92f1-b901-42a9-bcc3-7b24959a6f87">
      <Value>2</Value>
    </ESCSSSiteGroup>
    <ESCSSIncludeInNewsletter xmlns="d4ed92f1-b901-42a9-bcc3-7b24959a6f87">false</ESCSSIncludeInNewsletter>
    <ESCSSPublishingInstructions xmlns="d4ed92f1-b901-42a9-bcc3-7b24959a6f87">Please publish by 4 December 2021</ESCSSPublishingInstructions>
    <ESCSSIncludeInLatestUpdates xmlns="d4ed92f1-b901-42a9-bcc3-7b24959a6f87">false</ESCSSIncludeInLatestUpdates>
    <ESCSSContentAuthorTeam xmlns="d4ed92f1-b901-42a9-bcc3-7b24959a6f87">296</ESCSSContentAuthorTeam>
    <ESCSSContentApprover xmlns="d4ed92f1-b901-42a9-bcc3-7b24959a6f87">1652</ESCSSContentApprover>
    <ESCSSContentAuthor xmlns="d4ed92f1-b901-42a9-bcc3-7b24959a6f87">1349</ESCSSContentAuthor>
    <ESCSSPublishingContentAuthorEmail xmlns="d4ed92f1-b901-42a9-bcc3-7b24959a6f87">Danielle.Fadden@dese.gov.au</ESCSSPublishingContentAuthorEmail>
    <ESCSSPublishingAuthorisingBranchHead xmlns="d4ed92f1-b901-42a9-bcc3-7b24959a6f87">3602</ESCSSPublishingAuthorisingBranchHead>
    <ESCSSDocumentId xmlns="d4ed92f1-b901-42a9-bcc3-7b24959a6f87">Tracked - D21/1030883 Clean - D21/1030889</ESCSSDocumentId>
    <ESCSSReviewDate xmlns="d4ed92f1-b901-42a9-bcc3-7b24959a6f8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9C825AA53ABE1E46BAACA2C47B9751C8" ma:contentTypeVersion="48" ma:contentTypeDescription="Secure Site content type template for recording metadata for documents." ma:contentTypeScope="" ma:versionID="1e9e68523307e22a08ca038d13e6def5">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A876A1-F5A3-4B30-B35C-FCA8214AC0AC}">
  <ds:schemaRefs>
    <ds:schemaRef ds:uri="http://schemas.microsoft.com/office/2006/metadata/properties"/>
    <ds:schemaRef ds:uri="http://schemas.microsoft.com/office/infopath/2007/PartnerControls"/>
    <ds:schemaRef ds:uri="d4ed92f1-b901-42a9-bcc3-7b24959a6f87"/>
    <ds:schemaRef ds:uri="a232d271-55e7-4aa6-9ab7-ccc10e765e65"/>
  </ds:schemaRefs>
</ds:datastoreItem>
</file>

<file path=customXml/itemProps2.xml><?xml version="1.0" encoding="utf-8"?>
<ds:datastoreItem xmlns:ds="http://schemas.openxmlformats.org/officeDocument/2006/customXml" ds:itemID="{F89FDB5A-3E24-48D7-B1AF-9E8C232CCF18}">
  <ds:schemaRefs>
    <ds:schemaRef ds:uri="http://schemas.openxmlformats.org/officeDocument/2006/bibliography"/>
  </ds:schemaRefs>
</ds:datastoreItem>
</file>

<file path=customXml/itemProps3.xml><?xml version="1.0" encoding="utf-8"?>
<ds:datastoreItem xmlns:ds="http://schemas.openxmlformats.org/officeDocument/2006/customXml" ds:itemID="{6596782B-5012-46C6-B0ED-57E4C630B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7634C6-E5F7-450A-8A36-E4CECA68DC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6070</Words>
  <Characters>34601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NEST - Eligibility, Referrals and Commencements Guideline</vt:lpstr>
    </vt:vector>
  </TitlesOfParts>
  <Manager/>
  <Company/>
  <LinksUpToDate>false</LinksUpToDate>
  <CharactersWithSpaces>40590</CharactersWithSpaces>
  <SharedDoc>false</SharedDoc>
  <HLinks>
    <vt:vector size="306" baseType="variant">
      <vt:variant>
        <vt:i4>7798821</vt:i4>
      </vt:variant>
      <vt:variant>
        <vt:i4>258</vt:i4>
      </vt:variant>
      <vt:variant>
        <vt:i4>0</vt:i4>
      </vt:variant>
      <vt:variant>
        <vt:i4>5</vt:i4>
      </vt:variant>
      <vt:variant>
        <vt:lpwstr>https://ecsnaccess.gov.au/ProviderPortal/NEST/Guidelines/pages/Default.aspx</vt:lpwstr>
      </vt:variant>
      <vt:variant>
        <vt:lpwstr/>
      </vt:variant>
      <vt:variant>
        <vt:i4>7798821</vt:i4>
      </vt:variant>
      <vt:variant>
        <vt:i4>255</vt:i4>
      </vt:variant>
      <vt:variant>
        <vt:i4>0</vt:i4>
      </vt:variant>
      <vt:variant>
        <vt:i4>5</vt:i4>
      </vt:variant>
      <vt:variant>
        <vt:lpwstr>https://ecsnaccess.gov.au/ProviderPortal/NEST/Guidelines/pages/Default.aspx</vt:lpwstr>
      </vt:variant>
      <vt:variant>
        <vt:lpwstr/>
      </vt:variant>
      <vt:variant>
        <vt:i4>7798821</vt:i4>
      </vt:variant>
      <vt:variant>
        <vt:i4>249</vt:i4>
      </vt:variant>
      <vt:variant>
        <vt:i4>0</vt:i4>
      </vt:variant>
      <vt:variant>
        <vt:i4>5</vt:i4>
      </vt:variant>
      <vt:variant>
        <vt:lpwstr>https://ecsnaccess.gov.au/ProviderPortal/NEST/Guidelines/pages/Default.aspx</vt:lpwstr>
      </vt:variant>
      <vt:variant>
        <vt:lpwstr/>
      </vt:variant>
      <vt:variant>
        <vt:i4>7798893</vt:i4>
      </vt:variant>
      <vt:variant>
        <vt:i4>246</vt:i4>
      </vt:variant>
      <vt:variant>
        <vt:i4>0</vt:i4>
      </vt:variant>
      <vt:variant>
        <vt:i4>5</vt:i4>
      </vt:variant>
      <vt:variant>
        <vt:lpwstr>https://ecsnaccessintranet.hosts.application.enet/ProviderPortal/NEST/Guidelines/pages/Default.aspx</vt:lpwstr>
      </vt:variant>
      <vt:variant>
        <vt:lpwstr/>
      </vt:variant>
      <vt:variant>
        <vt:i4>3014668</vt:i4>
      </vt:variant>
      <vt:variant>
        <vt:i4>240</vt:i4>
      </vt:variant>
      <vt:variant>
        <vt:i4>0</vt:i4>
      </vt:variant>
      <vt:variant>
        <vt:i4>5</vt:i4>
      </vt:variant>
      <vt:variant>
        <vt:lpwstr/>
      </vt:variant>
      <vt:variant>
        <vt:lpwstr>_Facilitated_transfer_meeting</vt:lpwstr>
      </vt:variant>
      <vt:variant>
        <vt:i4>3014702</vt:i4>
      </vt:variant>
      <vt:variant>
        <vt:i4>237</vt:i4>
      </vt:variant>
      <vt:variant>
        <vt:i4>0</vt:i4>
      </vt:variant>
      <vt:variant>
        <vt:i4>5</vt:i4>
      </vt:variant>
      <vt:variant>
        <vt:lpwstr>https://ecsnaccess.gov.au/ProviderPortal/jobactive/Guidelines/Pages/Participation-and-Compliance-Framework.aspx</vt:lpwstr>
      </vt:variant>
      <vt:variant>
        <vt:lpwstr/>
      </vt:variant>
      <vt:variant>
        <vt:i4>7077938</vt:i4>
      </vt:variant>
      <vt:variant>
        <vt:i4>234</vt:i4>
      </vt:variant>
      <vt:variant>
        <vt:i4>0</vt:i4>
      </vt:variant>
      <vt:variant>
        <vt:i4>5</vt:i4>
      </vt:variant>
      <vt:variant>
        <vt:lpwstr>https://ecsnaccess.gov.au/ProviderPortal/jobactive/Guidelines/Pages/Servicing.aspx</vt:lpwstr>
      </vt:variant>
      <vt:variant>
        <vt:lpwstr/>
      </vt:variant>
      <vt:variant>
        <vt:i4>5242991</vt:i4>
      </vt:variant>
      <vt:variant>
        <vt:i4>231</vt:i4>
      </vt:variant>
      <vt:variant>
        <vt:i4>0</vt:i4>
      </vt:variant>
      <vt:variant>
        <vt:i4>5</vt:i4>
      </vt:variant>
      <vt:variant>
        <vt:lpwstr/>
      </vt:variant>
      <vt:variant>
        <vt:lpwstr>Eligibility_Tables</vt:lpwstr>
      </vt:variant>
      <vt:variant>
        <vt:i4>1572916</vt:i4>
      </vt:variant>
      <vt:variant>
        <vt:i4>224</vt:i4>
      </vt:variant>
      <vt:variant>
        <vt:i4>0</vt:i4>
      </vt:variant>
      <vt:variant>
        <vt:i4>5</vt:i4>
      </vt:variant>
      <vt:variant>
        <vt:lpwstr/>
      </vt:variant>
      <vt:variant>
        <vt:lpwstr>_Toc67494223</vt:lpwstr>
      </vt:variant>
      <vt:variant>
        <vt:i4>1638452</vt:i4>
      </vt:variant>
      <vt:variant>
        <vt:i4>218</vt:i4>
      </vt:variant>
      <vt:variant>
        <vt:i4>0</vt:i4>
      </vt:variant>
      <vt:variant>
        <vt:i4>5</vt:i4>
      </vt:variant>
      <vt:variant>
        <vt:lpwstr/>
      </vt:variant>
      <vt:variant>
        <vt:lpwstr>_Toc67494222</vt:lpwstr>
      </vt:variant>
      <vt:variant>
        <vt:i4>1703988</vt:i4>
      </vt:variant>
      <vt:variant>
        <vt:i4>212</vt:i4>
      </vt:variant>
      <vt:variant>
        <vt:i4>0</vt:i4>
      </vt:variant>
      <vt:variant>
        <vt:i4>5</vt:i4>
      </vt:variant>
      <vt:variant>
        <vt:lpwstr/>
      </vt:variant>
      <vt:variant>
        <vt:lpwstr>_Toc67494221</vt:lpwstr>
      </vt:variant>
      <vt:variant>
        <vt:i4>1769524</vt:i4>
      </vt:variant>
      <vt:variant>
        <vt:i4>206</vt:i4>
      </vt:variant>
      <vt:variant>
        <vt:i4>0</vt:i4>
      </vt:variant>
      <vt:variant>
        <vt:i4>5</vt:i4>
      </vt:variant>
      <vt:variant>
        <vt:lpwstr/>
      </vt:variant>
      <vt:variant>
        <vt:lpwstr>_Toc67494220</vt:lpwstr>
      </vt:variant>
      <vt:variant>
        <vt:i4>1179703</vt:i4>
      </vt:variant>
      <vt:variant>
        <vt:i4>200</vt:i4>
      </vt:variant>
      <vt:variant>
        <vt:i4>0</vt:i4>
      </vt:variant>
      <vt:variant>
        <vt:i4>5</vt:i4>
      </vt:variant>
      <vt:variant>
        <vt:lpwstr/>
      </vt:variant>
      <vt:variant>
        <vt:lpwstr>_Toc67494219</vt:lpwstr>
      </vt:variant>
      <vt:variant>
        <vt:i4>1245239</vt:i4>
      </vt:variant>
      <vt:variant>
        <vt:i4>194</vt:i4>
      </vt:variant>
      <vt:variant>
        <vt:i4>0</vt:i4>
      </vt:variant>
      <vt:variant>
        <vt:i4>5</vt:i4>
      </vt:variant>
      <vt:variant>
        <vt:lpwstr/>
      </vt:variant>
      <vt:variant>
        <vt:lpwstr>_Toc67494218</vt:lpwstr>
      </vt:variant>
      <vt:variant>
        <vt:i4>1835063</vt:i4>
      </vt:variant>
      <vt:variant>
        <vt:i4>188</vt:i4>
      </vt:variant>
      <vt:variant>
        <vt:i4>0</vt:i4>
      </vt:variant>
      <vt:variant>
        <vt:i4>5</vt:i4>
      </vt:variant>
      <vt:variant>
        <vt:lpwstr/>
      </vt:variant>
      <vt:variant>
        <vt:lpwstr>_Toc67494217</vt:lpwstr>
      </vt:variant>
      <vt:variant>
        <vt:i4>1900599</vt:i4>
      </vt:variant>
      <vt:variant>
        <vt:i4>182</vt:i4>
      </vt:variant>
      <vt:variant>
        <vt:i4>0</vt:i4>
      </vt:variant>
      <vt:variant>
        <vt:i4>5</vt:i4>
      </vt:variant>
      <vt:variant>
        <vt:lpwstr/>
      </vt:variant>
      <vt:variant>
        <vt:lpwstr>_Toc67494216</vt:lpwstr>
      </vt:variant>
      <vt:variant>
        <vt:i4>1966135</vt:i4>
      </vt:variant>
      <vt:variant>
        <vt:i4>176</vt:i4>
      </vt:variant>
      <vt:variant>
        <vt:i4>0</vt:i4>
      </vt:variant>
      <vt:variant>
        <vt:i4>5</vt:i4>
      </vt:variant>
      <vt:variant>
        <vt:lpwstr/>
      </vt:variant>
      <vt:variant>
        <vt:lpwstr>_Toc67494215</vt:lpwstr>
      </vt:variant>
      <vt:variant>
        <vt:i4>1572919</vt:i4>
      </vt:variant>
      <vt:variant>
        <vt:i4>170</vt:i4>
      </vt:variant>
      <vt:variant>
        <vt:i4>0</vt:i4>
      </vt:variant>
      <vt:variant>
        <vt:i4>5</vt:i4>
      </vt:variant>
      <vt:variant>
        <vt:lpwstr/>
      </vt:variant>
      <vt:variant>
        <vt:lpwstr>_Toc67494213</vt:lpwstr>
      </vt:variant>
      <vt:variant>
        <vt:i4>1638455</vt:i4>
      </vt:variant>
      <vt:variant>
        <vt:i4>164</vt:i4>
      </vt:variant>
      <vt:variant>
        <vt:i4>0</vt:i4>
      </vt:variant>
      <vt:variant>
        <vt:i4>5</vt:i4>
      </vt:variant>
      <vt:variant>
        <vt:lpwstr/>
      </vt:variant>
      <vt:variant>
        <vt:lpwstr>_Toc67494212</vt:lpwstr>
      </vt:variant>
      <vt:variant>
        <vt:i4>1703991</vt:i4>
      </vt:variant>
      <vt:variant>
        <vt:i4>158</vt:i4>
      </vt:variant>
      <vt:variant>
        <vt:i4>0</vt:i4>
      </vt:variant>
      <vt:variant>
        <vt:i4>5</vt:i4>
      </vt:variant>
      <vt:variant>
        <vt:lpwstr/>
      </vt:variant>
      <vt:variant>
        <vt:lpwstr>_Toc67494211</vt:lpwstr>
      </vt:variant>
      <vt:variant>
        <vt:i4>1769527</vt:i4>
      </vt:variant>
      <vt:variant>
        <vt:i4>152</vt:i4>
      </vt:variant>
      <vt:variant>
        <vt:i4>0</vt:i4>
      </vt:variant>
      <vt:variant>
        <vt:i4>5</vt:i4>
      </vt:variant>
      <vt:variant>
        <vt:lpwstr/>
      </vt:variant>
      <vt:variant>
        <vt:lpwstr>_Toc67494210</vt:lpwstr>
      </vt:variant>
      <vt:variant>
        <vt:i4>1179702</vt:i4>
      </vt:variant>
      <vt:variant>
        <vt:i4>146</vt:i4>
      </vt:variant>
      <vt:variant>
        <vt:i4>0</vt:i4>
      </vt:variant>
      <vt:variant>
        <vt:i4>5</vt:i4>
      </vt:variant>
      <vt:variant>
        <vt:lpwstr/>
      </vt:variant>
      <vt:variant>
        <vt:lpwstr>_Toc67494209</vt:lpwstr>
      </vt:variant>
      <vt:variant>
        <vt:i4>1245238</vt:i4>
      </vt:variant>
      <vt:variant>
        <vt:i4>140</vt:i4>
      </vt:variant>
      <vt:variant>
        <vt:i4>0</vt:i4>
      </vt:variant>
      <vt:variant>
        <vt:i4>5</vt:i4>
      </vt:variant>
      <vt:variant>
        <vt:lpwstr/>
      </vt:variant>
      <vt:variant>
        <vt:lpwstr>_Toc67494208</vt:lpwstr>
      </vt:variant>
      <vt:variant>
        <vt:i4>1835062</vt:i4>
      </vt:variant>
      <vt:variant>
        <vt:i4>134</vt:i4>
      </vt:variant>
      <vt:variant>
        <vt:i4>0</vt:i4>
      </vt:variant>
      <vt:variant>
        <vt:i4>5</vt:i4>
      </vt:variant>
      <vt:variant>
        <vt:lpwstr/>
      </vt:variant>
      <vt:variant>
        <vt:lpwstr>_Toc67494207</vt:lpwstr>
      </vt:variant>
      <vt:variant>
        <vt:i4>1900598</vt:i4>
      </vt:variant>
      <vt:variant>
        <vt:i4>128</vt:i4>
      </vt:variant>
      <vt:variant>
        <vt:i4>0</vt:i4>
      </vt:variant>
      <vt:variant>
        <vt:i4>5</vt:i4>
      </vt:variant>
      <vt:variant>
        <vt:lpwstr/>
      </vt:variant>
      <vt:variant>
        <vt:lpwstr>_Toc67494206</vt:lpwstr>
      </vt:variant>
      <vt:variant>
        <vt:i4>1966134</vt:i4>
      </vt:variant>
      <vt:variant>
        <vt:i4>122</vt:i4>
      </vt:variant>
      <vt:variant>
        <vt:i4>0</vt:i4>
      </vt:variant>
      <vt:variant>
        <vt:i4>5</vt:i4>
      </vt:variant>
      <vt:variant>
        <vt:lpwstr/>
      </vt:variant>
      <vt:variant>
        <vt:lpwstr>_Toc67494205</vt:lpwstr>
      </vt:variant>
      <vt:variant>
        <vt:i4>2031670</vt:i4>
      </vt:variant>
      <vt:variant>
        <vt:i4>116</vt:i4>
      </vt:variant>
      <vt:variant>
        <vt:i4>0</vt:i4>
      </vt:variant>
      <vt:variant>
        <vt:i4>5</vt:i4>
      </vt:variant>
      <vt:variant>
        <vt:lpwstr/>
      </vt:variant>
      <vt:variant>
        <vt:lpwstr>_Toc67494204</vt:lpwstr>
      </vt:variant>
      <vt:variant>
        <vt:i4>1572918</vt:i4>
      </vt:variant>
      <vt:variant>
        <vt:i4>110</vt:i4>
      </vt:variant>
      <vt:variant>
        <vt:i4>0</vt:i4>
      </vt:variant>
      <vt:variant>
        <vt:i4>5</vt:i4>
      </vt:variant>
      <vt:variant>
        <vt:lpwstr/>
      </vt:variant>
      <vt:variant>
        <vt:lpwstr>_Toc67494203</vt:lpwstr>
      </vt:variant>
      <vt:variant>
        <vt:i4>1638454</vt:i4>
      </vt:variant>
      <vt:variant>
        <vt:i4>104</vt:i4>
      </vt:variant>
      <vt:variant>
        <vt:i4>0</vt:i4>
      </vt:variant>
      <vt:variant>
        <vt:i4>5</vt:i4>
      </vt:variant>
      <vt:variant>
        <vt:lpwstr/>
      </vt:variant>
      <vt:variant>
        <vt:lpwstr>_Toc67494202</vt:lpwstr>
      </vt:variant>
      <vt:variant>
        <vt:i4>1703990</vt:i4>
      </vt:variant>
      <vt:variant>
        <vt:i4>98</vt:i4>
      </vt:variant>
      <vt:variant>
        <vt:i4>0</vt:i4>
      </vt:variant>
      <vt:variant>
        <vt:i4>5</vt:i4>
      </vt:variant>
      <vt:variant>
        <vt:lpwstr/>
      </vt:variant>
      <vt:variant>
        <vt:lpwstr>_Toc67494201</vt:lpwstr>
      </vt:variant>
      <vt:variant>
        <vt:i4>1769526</vt:i4>
      </vt:variant>
      <vt:variant>
        <vt:i4>92</vt:i4>
      </vt:variant>
      <vt:variant>
        <vt:i4>0</vt:i4>
      </vt:variant>
      <vt:variant>
        <vt:i4>5</vt:i4>
      </vt:variant>
      <vt:variant>
        <vt:lpwstr/>
      </vt:variant>
      <vt:variant>
        <vt:lpwstr>_Toc67494200</vt:lpwstr>
      </vt:variant>
      <vt:variant>
        <vt:i4>1114175</vt:i4>
      </vt:variant>
      <vt:variant>
        <vt:i4>86</vt:i4>
      </vt:variant>
      <vt:variant>
        <vt:i4>0</vt:i4>
      </vt:variant>
      <vt:variant>
        <vt:i4>5</vt:i4>
      </vt:variant>
      <vt:variant>
        <vt:lpwstr/>
      </vt:variant>
      <vt:variant>
        <vt:lpwstr>_Toc67494199</vt:lpwstr>
      </vt:variant>
      <vt:variant>
        <vt:i4>1048639</vt:i4>
      </vt:variant>
      <vt:variant>
        <vt:i4>80</vt:i4>
      </vt:variant>
      <vt:variant>
        <vt:i4>0</vt:i4>
      </vt:variant>
      <vt:variant>
        <vt:i4>5</vt:i4>
      </vt:variant>
      <vt:variant>
        <vt:lpwstr/>
      </vt:variant>
      <vt:variant>
        <vt:lpwstr>_Toc67494198</vt:lpwstr>
      </vt:variant>
      <vt:variant>
        <vt:i4>2031679</vt:i4>
      </vt:variant>
      <vt:variant>
        <vt:i4>74</vt:i4>
      </vt:variant>
      <vt:variant>
        <vt:i4>0</vt:i4>
      </vt:variant>
      <vt:variant>
        <vt:i4>5</vt:i4>
      </vt:variant>
      <vt:variant>
        <vt:lpwstr/>
      </vt:variant>
      <vt:variant>
        <vt:lpwstr>_Toc67494197</vt:lpwstr>
      </vt:variant>
      <vt:variant>
        <vt:i4>1966143</vt:i4>
      </vt:variant>
      <vt:variant>
        <vt:i4>68</vt:i4>
      </vt:variant>
      <vt:variant>
        <vt:i4>0</vt:i4>
      </vt:variant>
      <vt:variant>
        <vt:i4>5</vt:i4>
      </vt:variant>
      <vt:variant>
        <vt:lpwstr/>
      </vt:variant>
      <vt:variant>
        <vt:lpwstr>_Toc67494196</vt:lpwstr>
      </vt:variant>
      <vt:variant>
        <vt:i4>1900607</vt:i4>
      </vt:variant>
      <vt:variant>
        <vt:i4>62</vt:i4>
      </vt:variant>
      <vt:variant>
        <vt:i4>0</vt:i4>
      </vt:variant>
      <vt:variant>
        <vt:i4>5</vt:i4>
      </vt:variant>
      <vt:variant>
        <vt:lpwstr/>
      </vt:variant>
      <vt:variant>
        <vt:lpwstr>_Toc67494195</vt:lpwstr>
      </vt:variant>
      <vt:variant>
        <vt:i4>1835071</vt:i4>
      </vt:variant>
      <vt:variant>
        <vt:i4>56</vt:i4>
      </vt:variant>
      <vt:variant>
        <vt:i4>0</vt:i4>
      </vt:variant>
      <vt:variant>
        <vt:i4>5</vt:i4>
      </vt:variant>
      <vt:variant>
        <vt:lpwstr/>
      </vt:variant>
      <vt:variant>
        <vt:lpwstr>_Toc67494194</vt:lpwstr>
      </vt:variant>
      <vt:variant>
        <vt:i4>1769535</vt:i4>
      </vt:variant>
      <vt:variant>
        <vt:i4>50</vt:i4>
      </vt:variant>
      <vt:variant>
        <vt:i4>0</vt:i4>
      </vt:variant>
      <vt:variant>
        <vt:i4>5</vt:i4>
      </vt:variant>
      <vt:variant>
        <vt:lpwstr/>
      </vt:variant>
      <vt:variant>
        <vt:lpwstr>_Toc67494193</vt:lpwstr>
      </vt:variant>
      <vt:variant>
        <vt:i4>1703999</vt:i4>
      </vt:variant>
      <vt:variant>
        <vt:i4>44</vt:i4>
      </vt:variant>
      <vt:variant>
        <vt:i4>0</vt:i4>
      </vt:variant>
      <vt:variant>
        <vt:i4>5</vt:i4>
      </vt:variant>
      <vt:variant>
        <vt:lpwstr/>
      </vt:variant>
      <vt:variant>
        <vt:lpwstr>_Toc67494192</vt:lpwstr>
      </vt:variant>
      <vt:variant>
        <vt:i4>1638463</vt:i4>
      </vt:variant>
      <vt:variant>
        <vt:i4>38</vt:i4>
      </vt:variant>
      <vt:variant>
        <vt:i4>0</vt:i4>
      </vt:variant>
      <vt:variant>
        <vt:i4>5</vt:i4>
      </vt:variant>
      <vt:variant>
        <vt:lpwstr/>
      </vt:variant>
      <vt:variant>
        <vt:lpwstr>_Toc67494191</vt:lpwstr>
      </vt:variant>
      <vt:variant>
        <vt:i4>1572927</vt:i4>
      </vt:variant>
      <vt:variant>
        <vt:i4>32</vt:i4>
      </vt:variant>
      <vt:variant>
        <vt:i4>0</vt:i4>
      </vt:variant>
      <vt:variant>
        <vt:i4>5</vt:i4>
      </vt:variant>
      <vt:variant>
        <vt:lpwstr/>
      </vt:variant>
      <vt:variant>
        <vt:lpwstr>_Toc67494190</vt:lpwstr>
      </vt:variant>
      <vt:variant>
        <vt:i4>7798821</vt:i4>
      </vt:variant>
      <vt:variant>
        <vt:i4>27</vt:i4>
      </vt:variant>
      <vt:variant>
        <vt:i4>0</vt:i4>
      </vt:variant>
      <vt:variant>
        <vt:i4>5</vt:i4>
      </vt:variant>
      <vt:variant>
        <vt:lpwstr>https://ecsnaccess.gov.au/ProviderPortal/NEST/Guidelines/pages/Default.aspx</vt:lpwstr>
      </vt:variant>
      <vt:variant>
        <vt:lpwstr/>
      </vt:variant>
      <vt:variant>
        <vt:i4>7798821</vt:i4>
      </vt:variant>
      <vt:variant>
        <vt:i4>24</vt:i4>
      </vt:variant>
      <vt:variant>
        <vt:i4>0</vt:i4>
      </vt:variant>
      <vt:variant>
        <vt:i4>5</vt:i4>
      </vt:variant>
      <vt:variant>
        <vt:lpwstr>https://ecsnaccess.gov.au/ProviderPortal/NEST/Guidelines/pages/Default.aspx</vt:lpwstr>
      </vt:variant>
      <vt:variant>
        <vt:lpwstr/>
      </vt:variant>
      <vt:variant>
        <vt:i4>7798821</vt:i4>
      </vt:variant>
      <vt:variant>
        <vt:i4>21</vt:i4>
      </vt:variant>
      <vt:variant>
        <vt:i4>0</vt:i4>
      </vt:variant>
      <vt:variant>
        <vt:i4>5</vt:i4>
      </vt:variant>
      <vt:variant>
        <vt:lpwstr>https://ecsnaccess.gov.au/ProviderPortal/NEST/Guidelines/pages/Default.aspx</vt:lpwstr>
      </vt:variant>
      <vt:variant>
        <vt:lpwstr/>
      </vt:variant>
      <vt:variant>
        <vt:i4>7798821</vt:i4>
      </vt:variant>
      <vt:variant>
        <vt:i4>18</vt:i4>
      </vt:variant>
      <vt:variant>
        <vt:i4>0</vt:i4>
      </vt:variant>
      <vt:variant>
        <vt:i4>5</vt:i4>
      </vt:variant>
      <vt:variant>
        <vt:lpwstr>https://ecsnaccess.gov.au/ProviderPortal/NEST/Guidelines/pages/Default.aspx</vt:lpwstr>
      </vt:variant>
      <vt:variant>
        <vt:lpwstr/>
      </vt:variant>
      <vt:variant>
        <vt:i4>7798821</vt:i4>
      </vt:variant>
      <vt:variant>
        <vt:i4>15</vt:i4>
      </vt:variant>
      <vt:variant>
        <vt:i4>0</vt:i4>
      </vt:variant>
      <vt:variant>
        <vt:i4>5</vt:i4>
      </vt:variant>
      <vt:variant>
        <vt:lpwstr>https://ecsnaccess.gov.au/ProviderPortal/NEST/Guidelines/pages/Default.aspx</vt:lpwstr>
      </vt:variant>
      <vt:variant>
        <vt:lpwstr/>
      </vt:variant>
      <vt:variant>
        <vt:i4>7798821</vt:i4>
      </vt:variant>
      <vt:variant>
        <vt:i4>12</vt:i4>
      </vt:variant>
      <vt:variant>
        <vt:i4>0</vt:i4>
      </vt:variant>
      <vt:variant>
        <vt:i4>5</vt:i4>
      </vt:variant>
      <vt:variant>
        <vt:lpwstr>https://ecsnaccess.gov.au/ProviderPortal/NEST/Guidelines/pages/Default.aspx</vt:lpwstr>
      </vt:variant>
      <vt:variant>
        <vt:lpwstr/>
      </vt:variant>
      <vt:variant>
        <vt:i4>7798821</vt:i4>
      </vt:variant>
      <vt:variant>
        <vt:i4>9</vt:i4>
      </vt:variant>
      <vt:variant>
        <vt:i4>0</vt:i4>
      </vt:variant>
      <vt:variant>
        <vt:i4>5</vt:i4>
      </vt:variant>
      <vt:variant>
        <vt:lpwstr>https://ecsnaccess.gov.au/ProviderPortal/NEST/Guidelines/pages/Default.aspx</vt:lpwstr>
      </vt:variant>
      <vt:variant>
        <vt:lpwstr/>
      </vt:variant>
      <vt:variant>
        <vt:i4>7798821</vt:i4>
      </vt:variant>
      <vt:variant>
        <vt:i4>6</vt:i4>
      </vt:variant>
      <vt:variant>
        <vt:i4>0</vt:i4>
      </vt:variant>
      <vt:variant>
        <vt:i4>5</vt:i4>
      </vt:variant>
      <vt:variant>
        <vt:lpwstr>https://ecsnaccess.gov.au/ProviderPortal/NEST/Guidelines/pages/Default.aspx</vt:lpwstr>
      </vt:variant>
      <vt:variant>
        <vt:lpwstr/>
      </vt:variant>
      <vt:variant>
        <vt:i4>7798821</vt:i4>
      </vt:variant>
      <vt:variant>
        <vt:i4>3</vt:i4>
      </vt:variant>
      <vt:variant>
        <vt:i4>0</vt:i4>
      </vt:variant>
      <vt:variant>
        <vt:i4>5</vt:i4>
      </vt:variant>
      <vt:variant>
        <vt:lpwstr>https://ecsnaccess.gov.au/ProviderPortal/NEST/Guidelines/pages/Default.aspx</vt:lpwstr>
      </vt:variant>
      <vt:variant>
        <vt:lpwstr/>
      </vt:variant>
      <vt:variant>
        <vt:i4>7798821</vt:i4>
      </vt:variant>
      <vt:variant>
        <vt:i4>0</vt:i4>
      </vt:variant>
      <vt:variant>
        <vt:i4>0</vt:i4>
      </vt:variant>
      <vt:variant>
        <vt:i4>5</vt:i4>
      </vt:variant>
      <vt:variant>
        <vt:lpwstr>https://ecsnaccess.gov.au/ProviderPortal/NEST/Guidelines/pages/Default.aspx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NEST - Eligibility, Referrals and Commencements Guideline</dc:title>
  <dc:subject/>
  <dc:creator/>
  <cp:keywords/>
  <dc:description/>
  <cp:lastModifiedBy/>
  <cp:revision>1</cp:revision>
  <dcterms:created xsi:type="dcterms:W3CDTF">2021-12-01T04:21:00Z</dcterms:created>
  <dcterms:modified xsi:type="dcterms:W3CDTF">2021-12-01T04:40:00Z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0x0101001FFFC1AF147C4F5C9369E689092D514B009C825AA53ABE1E46BAACA2C47B9751C8</vt:lpwstr>
  </property>
</Properties>
</file>