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AD7ED" w14:textId="77777777" w:rsidR="00CA48FA" w:rsidRDefault="00D80731" w:rsidP="00CA48FA">
      <w:pPr>
        <w:spacing w:after="1200"/>
        <w:sectPr w:rsidR="00CA48FA" w:rsidSect="00CA48FA">
          <w:footerReference w:type="default" r:id="rId7"/>
          <w:footerReference w:type="first" r:id="rId8"/>
          <w:type w:val="continuous"/>
          <w:pgSz w:w="11906" w:h="16838"/>
          <w:pgMar w:top="1021" w:right="851" w:bottom="1418" w:left="851" w:header="227" w:footer="1474" w:gutter="0"/>
          <w:cols w:space="708"/>
          <w:titlePg/>
          <w:docGrid w:linePitch="360"/>
        </w:sectPr>
      </w:pPr>
      <w:bookmarkStart w:id="0" w:name="_Hlk180412445"/>
      <w:r>
        <w:rPr>
          <w:noProof/>
        </w:rPr>
        <w:drawing>
          <wp:inline distT="0" distB="0" distL="0" distR="0" wp14:anchorId="57840B81" wp14:editId="09507F13">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58240" behindDoc="1" locked="0" layoutInCell="1" allowOverlap="1" wp14:anchorId="263E4FA2" wp14:editId="3F81ADED">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AF2FAAD" id="Rectangle 3" o:spid="_x0000_s1026" alt="&quot;&quot;" style="position:absolute;margin-left:0;margin-top:0;width:595.3pt;height:170.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NjdAIAAFIFAAAOAAAAZHJzL2Uyb0RvYy54bWysVN9P2zAQfp+0/8Hy+0jTUdgqUoRATJMQ&#10;VIOJZ9exm0iOzzubpt1fv7OdBMbQHqblwfH5vvvuh+98dr7vDNsp9C3YipdHM86UlVC3dlvx7w/X&#10;Hz5x5oOwtTBgVcUPyvPz1ft3Z71bqjk0YGqFjEisX/au4k0IblkUXjaqE/4InLKk1ICdCCTitqhR&#10;9MTemWI+m50UPWDtEKTynk6vspKvEr/WSoY7rb0KzFScYgtpxbRu4lqszsRyi8I1rRzCEP8QRSda&#10;S04nqisRBHvC9g+qrpUIHnQ4ktAVoHUrVcqBsilnr7K5b4RTKRcqjndTmfz/o5W3u3u3RipD7/zS&#10;0zZmsdfYxT/Fx/apWIepWGofmKTD08XJjD7OJOnmZRaIp3g2d+jDFwUdi5uKI91GKpLY3fiQoSMk&#10;evNg2vq6NSYJuN1cGmQ7EW9uUS4+zuNlEftvMGMj2EI0y+p4Ujwnk3bhYFTEGftNadbWFP48RZL6&#10;TE1+hJTKhjKrGlGr7H6REh28x86MFimWRBiZNfmfuAeCEZlJRu5MM+CjqUptOhnP/hZYNp4skmew&#10;YTLuWgv4FoGhrAbPGT8WKZcmVmkD9WGNDCEPiXfyuqV7uxE+rAXSVNBd06SHO1q0gb7iMOw4awB/&#10;vnUe8dSspOWspymruP/xJFBxZr5aauPP5fFxHMskHC9O5yTgS83mpcY+dZdA7VDSm+Jk2kZ8MONW&#10;I3SP9CBcRK+kElaS74rLgKNwGfL005Mi1cVFgtEoOhFu7L2TkTxWNfblw/5RoBuaN1Df38I4kWL5&#10;qoczdihqruQg0OCmVhkemfgyvJQT6vkpXP0CAAD//wMAUEsDBBQABgAIAAAAIQA85mIq3AAAAAYB&#10;AAAPAAAAZHJzL2Rvd25yZXYueG1sTI/BbsIwEETvlfgHaytxK3agjUqIg2jViF6hvXBz4m0SJV5H&#10;sYHk72t6oZeVRjOaeZtuR9OxCw6usSQhWghgSKXVDVUSvr/yp1dgzivSqrOEEiZ0sM1mD6lKtL3S&#10;AS9HX7FQQi5REmrv+4RzV9ZolFvYHil4P3Ywygc5VFwP6hrKTceXQsTcqIbCQq16fK+xbI9nI6Eo&#10;9i/TYf8WT+tTlLuxjT4/2lzK+eO42wDzOPp7GG74AR2ywFTYM2nHOgnhEf93b160FjGwQsLqWSyB&#10;Zyn/j5/9AgAA//8DAFBLAQItABQABgAIAAAAIQC2gziS/gAAAOEBAAATAAAAAAAAAAAAAAAAAAAA&#10;AABbQ29udGVudF9UeXBlc10ueG1sUEsBAi0AFAAGAAgAAAAhADj9If/WAAAAlAEAAAsAAAAAAAAA&#10;AAAAAAAALwEAAF9yZWxzLy5yZWxzUEsBAi0AFAAGAAgAAAAhAC4WY2N0AgAAUgUAAA4AAAAAAAAA&#10;AAAAAAAALgIAAGRycy9lMm9Eb2MueG1sUEsBAi0AFAAGAAgAAAAhADzmYircAAAABgEAAA8AAAAA&#10;AAAAAAAAAAAAzgQAAGRycy9kb3ducmV2LnhtbFBLBQYAAAAABAAEAPMAAADXBQAAAAA=&#10;" fillcolor="#051532" stroked="f" strokeweight="1pt">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6CFA4027" wp14:editId="577BF6F3">
                <wp:simplePos x="0" y="0"/>
                <wp:positionH relativeFrom="page">
                  <wp:align>left</wp:align>
                </wp:positionH>
                <wp:positionV relativeFrom="page">
                  <wp:posOffset>0</wp:posOffset>
                </wp:positionV>
                <wp:extent cx="7560000" cy="2160000"/>
                <wp:effectExtent l="0" t="0" r="3175" b="0"/>
                <wp:wrapNone/>
                <wp:docPr id="1599005613" name="Rectangle 15990056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3C60725" id="Rectangle 1599005613" o:spid="_x0000_s1026" alt="&quot;&quot;" style="position:absolute;margin-left:0;margin-top:0;width:595.3pt;height:170.1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NjdAIAAFIFAAAOAAAAZHJzL2Uyb0RvYy54bWysVN9P2zAQfp+0/8Hy+0jTUdgqUoRATJMQ&#10;VIOJZ9exm0iOzzubpt1fv7OdBMbQHqblwfH5vvvuh+98dr7vDNsp9C3YipdHM86UlVC3dlvx7w/X&#10;Hz5x5oOwtTBgVcUPyvPz1ft3Z71bqjk0YGqFjEisX/au4k0IblkUXjaqE/4InLKk1ICdCCTitqhR&#10;9MTemWI+m50UPWDtEKTynk6vspKvEr/WSoY7rb0KzFScYgtpxbRu4lqszsRyi8I1rRzCEP8QRSda&#10;S04nqisRBHvC9g+qrpUIHnQ4ktAVoHUrVcqBsilnr7K5b4RTKRcqjndTmfz/o5W3u3u3RipD7/zS&#10;0zZmsdfYxT/Fx/apWIepWGofmKTD08XJjD7OJOnmZRaIp3g2d+jDFwUdi5uKI91GKpLY3fiQoSMk&#10;evNg2vq6NSYJuN1cGmQ7EW9uUS4+zuNlEftvMGMj2EI0y+p4Ujwnk3bhYFTEGftNadbWFP48RZL6&#10;TE1+hJTKhjKrGlGr7H6REh28x86MFimWRBiZNfmfuAeCEZlJRu5MM+CjqUptOhnP/hZYNp4skmew&#10;YTLuWgv4FoGhrAbPGT8WKZcmVmkD9WGNDCEPiXfyuqV7uxE+rAXSVNBd06SHO1q0gb7iMOw4awB/&#10;vnUe8dSspOWspymruP/xJFBxZr5aauPP5fFxHMskHC9O5yTgS83mpcY+dZdA7VDSm+Jk2kZ8MONW&#10;I3SP9CBcRK+kElaS74rLgKNwGfL005Mi1cVFgtEoOhFu7L2TkTxWNfblw/5RoBuaN1Df38I4kWL5&#10;qoczdihqruQg0OCmVhkemfgyvJQT6vkpXP0CAAD//wMAUEsDBBQABgAIAAAAIQA85mIq3AAAAAYB&#10;AAAPAAAAZHJzL2Rvd25yZXYueG1sTI/BbsIwEETvlfgHaytxK3agjUqIg2jViF6hvXBz4m0SJV5H&#10;sYHk72t6oZeVRjOaeZtuR9OxCw6usSQhWghgSKXVDVUSvr/yp1dgzivSqrOEEiZ0sM1mD6lKtL3S&#10;AS9HX7FQQi5REmrv+4RzV9ZolFvYHil4P3Ywygc5VFwP6hrKTceXQsTcqIbCQq16fK+xbI9nI6Eo&#10;9i/TYf8WT+tTlLuxjT4/2lzK+eO42wDzOPp7GG74AR2ywFTYM2nHOgnhEf93b160FjGwQsLqWSyB&#10;Zyn/j5/9AgAA//8DAFBLAQItABQABgAIAAAAIQC2gziS/gAAAOEBAAATAAAAAAAAAAAAAAAAAAAA&#10;AABbQ29udGVudF9UeXBlc10ueG1sUEsBAi0AFAAGAAgAAAAhADj9If/WAAAAlAEAAAsAAAAAAAAA&#10;AAAAAAAALwEAAF9yZWxzLy5yZWxzUEsBAi0AFAAGAAgAAAAhAC4WY2N0AgAAUgUAAA4AAAAAAAAA&#10;AAAAAAAALgIAAGRycy9lMm9Eb2MueG1sUEsBAi0AFAAGAAgAAAAhADzmYircAAAABgEAAA8AAAAA&#10;AAAAAAAAAAAAzgQAAGRycy9kb3ducmV2LnhtbFBLBQYAAAAABAAEAPMAAADXBQAAAAA=&#10;" fillcolor="#051532" stroked="f" strokeweight="1pt">
                <w10:wrap anchorx="page" anchory="page"/>
              </v:rect>
            </w:pict>
          </mc:Fallback>
        </mc:AlternateContent>
      </w:r>
    </w:p>
    <w:p w14:paraId="52EA756A" w14:textId="77777777" w:rsidR="00CA48FA" w:rsidRDefault="00D80731" w:rsidP="00FB6517">
      <w:pPr>
        <w:pStyle w:val="Subtitle"/>
        <w:spacing w:after="300"/>
      </w:pPr>
      <w:r w:rsidRPr="7F4D90D8">
        <w:rPr>
          <w:rFonts w:eastAsiaTheme="majorEastAsia" w:cstheme="majorBidi"/>
          <w:color w:val="051532"/>
          <w:spacing w:val="-10"/>
          <w:kern w:val="28"/>
          <w:sz w:val="46"/>
          <w:szCs w:val="46"/>
        </w:rPr>
        <w:t xml:space="preserve">Workforce Australia Services - </w:t>
      </w:r>
      <w:r w:rsidR="14C7DE24" w:rsidRPr="7F4D90D8">
        <w:rPr>
          <w:rFonts w:eastAsiaTheme="majorEastAsia" w:cstheme="majorBidi"/>
          <w:color w:val="051532"/>
          <w:spacing w:val="-10"/>
          <w:kern w:val="28"/>
          <w:sz w:val="46"/>
          <w:szCs w:val="46"/>
        </w:rPr>
        <w:t xml:space="preserve">Licence </w:t>
      </w:r>
      <w:r w:rsidRPr="7F4D90D8">
        <w:rPr>
          <w:rFonts w:eastAsiaTheme="majorEastAsia" w:cstheme="majorBidi"/>
          <w:color w:val="051532"/>
          <w:spacing w:val="-10"/>
          <w:kern w:val="28"/>
          <w:sz w:val="46"/>
          <w:szCs w:val="46"/>
        </w:rPr>
        <w:t>Review</w:t>
      </w:r>
      <w:r w:rsidRPr="7F4D90D8">
        <w:rPr>
          <w:rFonts w:eastAsiaTheme="majorEastAsia" w:cstheme="majorBidi"/>
          <w:color w:val="051532"/>
          <w:spacing w:val="-10"/>
          <w:kern w:val="28"/>
          <w:sz w:val="48"/>
          <w:szCs w:val="48"/>
        </w:rPr>
        <w:t xml:space="preserve"> </w:t>
      </w:r>
      <w:r>
        <w:t>Frequently Asked Questions</w:t>
      </w:r>
    </w:p>
    <w:p w14:paraId="07A746F1" w14:textId="77777777" w:rsidR="00ED2268" w:rsidRPr="002D4941" w:rsidRDefault="00D80731" w:rsidP="00FB6517">
      <w:pPr>
        <w:spacing w:before="240"/>
        <w:rPr>
          <w:b/>
          <w:bCs/>
        </w:rPr>
      </w:pPr>
      <w:r w:rsidRPr="002D4941">
        <w:rPr>
          <w:b/>
          <w:bCs/>
        </w:rPr>
        <w:t>Q. Why is the department conducting a Licence Review? </w:t>
      </w:r>
    </w:p>
    <w:p w14:paraId="37594073" w14:textId="77777777" w:rsidR="00ED2268" w:rsidRPr="002D4941" w:rsidRDefault="00D80731" w:rsidP="00DE034F">
      <w:r w:rsidRPr="002D4941">
        <w:t xml:space="preserve">All </w:t>
      </w:r>
      <w:r w:rsidR="0019355C" w:rsidRPr="002D4941">
        <w:t xml:space="preserve">176 </w:t>
      </w:r>
      <w:r w:rsidRPr="002D4941">
        <w:t>Workforce Australia Services</w:t>
      </w:r>
      <w:r w:rsidR="00B843CB" w:rsidRPr="002D4941">
        <w:t xml:space="preserve"> </w:t>
      </w:r>
      <w:r w:rsidR="008D012E" w:rsidRPr="002D4941">
        <w:t xml:space="preserve">Provider </w:t>
      </w:r>
      <w:r w:rsidRPr="002D4941">
        <w:t xml:space="preserve">licences are due to </w:t>
      </w:r>
      <w:r w:rsidR="00DA06DB" w:rsidRPr="002D4941">
        <w:t>expire</w:t>
      </w:r>
      <w:r w:rsidRPr="002D4941">
        <w:t xml:space="preserve"> on 30 June 2025. The current Workforce Australia</w:t>
      </w:r>
      <w:r w:rsidR="008D012E" w:rsidRPr="002D4941">
        <w:t xml:space="preserve"> Services</w:t>
      </w:r>
      <w:r w:rsidRPr="002D4941">
        <w:t xml:space="preserve"> </w:t>
      </w:r>
      <w:r w:rsidR="00976CC6" w:rsidRPr="002D4941">
        <w:t>Deed of Standing Offer</w:t>
      </w:r>
      <w:r w:rsidR="008D012E" w:rsidRPr="002D4941">
        <w:t xml:space="preserve"> 2022–2028 </w:t>
      </w:r>
      <w:r w:rsidRPr="002D4941">
        <w:t xml:space="preserve">allows for </w:t>
      </w:r>
      <w:r w:rsidR="00976CC6" w:rsidRPr="002D4941">
        <w:t>licences</w:t>
      </w:r>
      <w:r w:rsidRPr="002D4941">
        <w:t xml:space="preserve"> to be extended. </w:t>
      </w:r>
      <w:r w:rsidR="509B5A96" w:rsidRPr="002D4941">
        <w:t xml:space="preserve">The </w:t>
      </w:r>
      <w:r w:rsidR="004F3745" w:rsidRPr="002D4941">
        <w:t>Licence Review</w:t>
      </w:r>
      <w:r w:rsidR="509B5A96" w:rsidRPr="002D4941">
        <w:t xml:space="preserve"> will allow the department to </w:t>
      </w:r>
      <w:r w:rsidR="004F3745" w:rsidRPr="002D4941">
        <w:t xml:space="preserve">consider performance </w:t>
      </w:r>
      <w:r w:rsidR="00976CC6" w:rsidRPr="002D4941">
        <w:t xml:space="preserve">and other factors related to </w:t>
      </w:r>
      <w:r w:rsidR="004F3745" w:rsidRPr="002D4941">
        <w:t>each licence</w:t>
      </w:r>
      <w:r w:rsidR="00DA06DB" w:rsidRPr="002D4941">
        <w:t xml:space="preserve"> held by a Provider</w:t>
      </w:r>
      <w:r w:rsidR="004F3745" w:rsidRPr="002D4941">
        <w:t xml:space="preserve"> to</w:t>
      </w:r>
      <w:r w:rsidR="00DA06DB" w:rsidRPr="002D4941">
        <w:t xml:space="preserve"> determine whether a licence should be extended</w:t>
      </w:r>
      <w:r w:rsidR="004F3745" w:rsidRPr="002D4941">
        <w:t xml:space="preserve"> </w:t>
      </w:r>
      <w:r w:rsidR="00DA06DB" w:rsidRPr="002D4941">
        <w:t>and to ultimately ensure</w:t>
      </w:r>
      <w:r w:rsidR="509B5A96" w:rsidRPr="002D4941">
        <w:t xml:space="preserve"> the best possible service to </w:t>
      </w:r>
      <w:r w:rsidR="00F7444C" w:rsidRPr="002D4941">
        <w:t>participants</w:t>
      </w:r>
      <w:r w:rsidR="509B5A96" w:rsidRPr="002D4941">
        <w:t>. </w:t>
      </w:r>
    </w:p>
    <w:p w14:paraId="760A5EC1" w14:textId="77777777" w:rsidR="000204B9" w:rsidRPr="002D4941" w:rsidRDefault="00D80731" w:rsidP="00562FE6">
      <w:pPr>
        <w:spacing w:before="240"/>
        <w:rPr>
          <w:b/>
          <w:bCs/>
        </w:rPr>
      </w:pPr>
      <w:r w:rsidRPr="002D4941">
        <w:rPr>
          <w:b/>
          <w:bCs/>
        </w:rPr>
        <w:t>Q. Are all 176 Workforce Australia Services licences in scope?</w:t>
      </w:r>
    </w:p>
    <w:p w14:paraId="06E2104C" w14:textId="1716D199" w:rsidR="000204B9" w:rsidRPr="002D4941" w:rsidRDefault="00D80731" w:rsidP="000204B9">
      <w:pPr>
        <w:spacing w:after="240"/>
        <w:rPr>
          <w:rFonts w:eastAsia="Times New Roman" w:cs="Times New Roman"/>
          <w:color w:val="000000"/>
          <w:lang w:val="en-US" w:eastAsia="en-AU"/>
        </w:rPr>
      </w:pPr>
      <w:r w:rsidRPr="002D4941">
        <w:rPr>
          <w:rFonts w:eastAsia="Times New Roman" w:cs="Times New Roman"/>
          <w:color w:val="000000"/>
          <w:lang w:val="en-US" w:eastAsia="en-AU"/>
        </w:rPr>
        <w:t xml:space="preserve">Yes. All licences will be reviewed </w:t>
      </w:r>
      <w:r w:rsidR="005E142D" w:rsidRPr="002D4941">
        <w:rPr>
          <w:rFonts w:eastAsia="Times New Roman" w:cs="Times New Roman"/>
          <w:color w:val="000000"/>
          <w:lang w:val="en-US" w:eastAsia="en-AU"/>
        </w:rPr>
        <w:t>as part of the Licence Review</w:t>
      </w:r>
      <w:r w:rsidR="0073259F" w:rsidRPr="002D4941">
        <w:rPr>
          <w:rFonts w:eastAsia="Times New Roman" w:cs="Times New Roman"/>
          <w:color w:val="000000"/>
          <w:lang w:val="en-US" w:eastAsia="en-AU"/>
        </w:rPr>
        <w:t>. Currently, all licences</w:t>
      </w:r>
      <w:r w:rsidRPr="002D4941">
        <w:rPr>
          <w:rFonts w:eastAsia="Times New Roman" w:cs="Times New Roman"/>
          <w:color w:val="000000"/>
          <w:lang w:val="en-US" w:eastAsia="en-AU"/>
        </w:rPr>
        <w:t xml:space="preserve"> cease on 30 June 2025</w:t>
      </w:r>
      <w:r w:rsidR="007211FE" w:rsidRPr="002D4941">
        <w:rPr>
          <w:rFonts w:eastAsia="Times New Roman" w:cs="Times New Roman"/>
          <w:color w:val="000000"/>
          <w:lang w:val="en-US" w:eastAsia="en-AU"/>
        </w:rPr>
        <w:t xml:space="preserve">, so </w:t>
      </w:r>
      <w:r w:rsidR="0073259F" w:rsidRPr="002D4941">
        <w:rPr>
          <w:rFonts w:eastAsia="Times New Roman" w:cs="Times New Roman"/>
          <w:color w:val="000000"/>
          <w:lang w:val="en-US" w:eastAsia="en-AU"/>
        </w:rPr>
        <w:t>the</w:t>
      </w:r>
      <w:r w:rsidR="002D4941" w:rsidRPr="002D4941">
        <w:rPr>
          <w:rFonts w:eastAsia="Times New Roman" w:cs="Times New Roman"/>
          <w:color w:val="000000"/>
          <w:lang w:val="en-US" w:eastAsia="en-AU"/>
        </w:rPr>
        <w:t> R</w:t>
      </w:r>
      <w:r w:rsidR="0073259F" w:rsidRPr="002D4941">
        <w:rPr>
          <w:rFonts w:eastAsia="Times New Roman" w:cs="Times New Roman"/>
          <w:color w:val="000000"/>
          <w:lang w:val="en-US" w:eastAsia="en-AU"/>
        </w:rPr>
        <w:t>eview will</w:t>
      </w:r>
      <w:r w:rsidR="007211FE" w:rsidRPr="002D4941">
        <w:rPr>
          <w:rFonts w:eastAsia="Times New Roman" w:cs="Times New Roman"/>
          <w:color w:val="000000"/>
          <w:lang w:val="en-US" w:eastAsia="en-AU"/>
        </w:rPr>
        <w:t xml:space="preserve"> consider each individual licence, and</w:t>
      </w:r>
      <w:r w:rsidR="0073259F" w:rsidRPr="002D4941">
        <w:rPr>
          <w:rFonts w:eastAsia="Times New Roman" w:cs="Times New Roman"/>
          <w:color w:val="000000"/>
          <w:lang w:val="en-US" w:eastAsia="en-AU"/>
        </w:rPr>
        <w:t xml:space="preserve"> determine if</w:t>
      </w:r>
      <w:r w:rsidR="007211FE" w:rsidRPr="002D4941">
        <w:rPr>
          <w:rFonts w:eastAsia="Times New Roman" w:cs="Times New Roman"/>
          <w:color w:val="000000"/>
          <w:lang w:val="en-US" w:eastAsia="en-AU"/>
        </w:rPr>
        <w:t xml:space="preserve"> the </w:t>
      </w:r>
      <w:r w:rsidR="0073259F" w:rsidRPr="002D4941">
        <w:rPr>
          <w:rFonts w:eastAsia="Times New Roman" w:cs="Times New Roman"/>
          <w:color w:val="000000"/>
          <w:lang w:val="en-US" w:eastAsia="en-AU"/>
        </w:rPr>
        <w:t>licence should be extended</w:t>
      </w:r>
      <w:r w:rsidRPr="002D4941">
        <w:rPr>
          <w:rFonts w:eastAsia="Times New Roman" w:cs="Times New Roman"/>
          <w:color w:val="000000"/>
          <w:lang w:val="en-US" w:eastAsia="en-AU"/>
        </w:rPr>
        <w:t xml:space="preserve">. </w:t>
      </w:r>
    </w:p>
    <w:p w14:paraId="2997E297" w14:textId="77777777" w:rsidR="7AE5477C" w:rsidRPr="002D4941" w:rsidRDefault="00D80731" w:rsidP="00562FE6">
      <w:pPr>
        <w:spacing w:before="240"/>
        <w:rPr>
          <w:b/>
          <w:bCs/>
        </w:rPr>
      </w:pPr>
      <w:r w:rsidRPr="002D4941">
        <w:rPr>
          <w:b/>
          <w:bCs/>
        </w:rPr>
        <w:t>Q.</w:t>
      </w:r>
      <w:r w:rsidR="00DF2BFC" w:rsidRPr="002D4941">
        <w:rPr>
          <w:b/>
          <w:bCs/>
        </w:rPr>
        <w:t xml:space="preserve"> Why has </w:t>
      </w:r>
      <w:r w:rsidR="004F3745" w:rsidRPr="002D4941">
        <w:rPr>
          <w:b/>
          <w:bCs/>
        </w:rPr>
        <w:t>a Licence Review</w:t>
      </w:r>
      <w:r w:rsidR="00DF2BFC" w:rsidRPr="002D4941">
        <w:rPr>
          <w:b/>
          <w:bCs/>
        </w:rPr>
        <w:t xml:space="preserve"> not </w:t>
      </w:r>
      <w:r w:rsidR="003F48BD" w:rsidRPr="002D4941">
        <w:rPr>
          <w:b/>
          <w:bCs/>
        </w:rPr>
        <w:t>been conducted sooner</w:t>
      </w:r>
      <w:r w:rsidR="00DF2BFC" w:rsidRPr="002D4941">
        <w:rPr>
          <w:b/>
          <w:bCs/>
        </w:rPr>
        <w:t>?</w:t>
      </w:r>
    </w:p>
    <w:p w14:paraId="42DC906C" w14:textId="77777777" w:rsidR="50BFAD52" w:rsidRPr="002D4941" w:rsidRDefault="00D80731" w:rsidP="7F4D90D8">
      <w:pPr>
        <w:spacing w:after="240"/>
        <w:rPr>
          <w:rFonts w:ascii="Calibri" w:eastAsia="Calibri" w:hAnsi="Calibri" w:cs="Calibri"/>
          <w:szCs w:val="20"/>
        </w:rPr>
      </w:pPr>
      <w:r w:rsidRPr="002D4941">
        <w:rPr>
          <w:rFonts w:ascii="Calibri" w:eastAsia="Calibri" w:hAnsi="Calibri" w:cs="Calibri"/>
          <w:szCs w:val="20"/>
        </w:rPr>
        <w:t xml:space="preserve">The </w:t>
      </w:r>
      <w:r w:rsidR="004F3745" w:rsidRPr="002D4941">
        <w:rPr>
          <w:rFonts w:ascii="Calibri" w:eastAsia="Calibri" w:hAnsi="Calibri" w:cs="Calibri"/>
          <w:szCs w:val="20"/>
        </w:rPr>
        <w:t>Licence Review</w:t>
      </w:r>
      <w:r w:rsidRPr="002D4941">
        <w:rPr>
          <w:rFonts w:ascii="Calibri" w:eastAsia="Calibri" w:hAnsi="Calibri" w:cs="Calibri"/>
          <w:szCs w:val="20"/>
        </w:rPr>
        <w:t xml:space="preserve"> process was postponed </w:t>
      </w:r>
      <w:proofErr w:type="gramStart"/>
      <w:r w:rsidRPr="002D4941">
        <w:rPr>
          <w:rFonts w:ascii="Calibri" w:eastAsia="Calibri" w:hAnsi="Calibri" w:cs="Calibri"/>
          <w:szCs w:val="20"/>
        </w:rPr>
        <w:t xml:space="preserve">to </w:t>
      </w:r>
      <w:r w:rsidR="003E0E76" w:rsidRPr="002D4941">
        <w:rPr>
          <w:rFonts w:ascii="Calibri" w:eastAsia="Calibri" w:hAnsi="Calibri" w:cs="Calibri"/>
          <w:szCs w:val="20"/>
        </w:rPr>
        <w:t>provide</w:t>
      </w:r>
      <w:proofErr w:type="gramEnd"/>
      <w:r w:rsidR="003E0E76" w:rsidRPr="002D4941">
        <w:rPr>
          <w:rFonts w:ascii="Calibri" w:eastAsia="Calibri" w:hAnsi="Calibri" w:cs="Calibri"/>
          <w:szCs w:val="20"/>
        </w:rPr>
        <w:t xml:space="preserve"> time for consideration of </w:t>
      </w:r>
      <w:r w:rsidRPr="002D4941">
        <w:rPr>
          <w:rFonts w:ascii="Calibri" w:eastAsia="Calibri" w:hAnsi="Calibri" w:cs="Calibri"/>
          <w:szCs w:val="20"/>
        </w:rPr>
        <w:t>the</w:t>
      </w:r>
      <w:r w:rsidR="00C94FCC" w:rsidRPr="002D4941">
        <w:rPr>
          <w:rFonts w:ascii="Calibri" w:eastAsia="Calibri" w:hAnsi="Calibri" w:cs="Calibri"/>
          <w:szCs w:val="20"/>
        </w:rPr>
        <w:t xml:space="preserve"> Australian</w:t>
      </w:r>
      <w:r w:rsidRPr="002D4941">
        <w:rPr>
          <w:rFonts w:ascii="Calibri" w:eastAsia="Calibri" w:hAnsi="Calibri" w:cs="Calibri"/>
          <w:szCs w:val="20"/>
        </w:rPr>
        <w:t xml:space="preserve"> </w:t>
      </w:r>
      <w:r w:rsidR="00C94FCC" w:rsidRPr="002D4941">
        <w:rPr>
          <w:rFonts w:ascii="Calibri" w:eastAsia="Calibri" w:hAnsi="Calibri" w:cs="Calibri"/>
          <w:szCs w:val="20"/>
        </w:rPr>
        <w:t>G</w:t>
      </w:r>
      <w:r w:rsidRPr="002D4941">
        <w:rPr>
          <w:rFonts w:ascii="Calibri" w:eastAsia="Calibri" w:hAnsi="Calibri" w:cs="Calibri"/>
          <w:szCs w:val="20"/>
        </w:rPr>
        <w:t xml:space="preserve">overnment’s response to the report of the House Select Committee </w:t>
      </w:r>
      <w:r w:rsidR="00976CC6" w:rsidRPr="002D4941">
        <w:rPr>
          <w:rFonts w:ascii="Calibri" w:eastAsia="Calibri" w:hAnsi="Calibri" w:cs="Calibri"/>
          <w:szCs w:val="20"/>
        </w:rPr>
        <w:t>on</w:t>
      </w:r>
      <w:r w:rsidRPr="002D4941">
        <w:rPr>
          <w:rFonts w:ascii="Calibri" w:eastAsia="Calibri" w:hAnsi="Calibri" w:cs="Calibri"/>
          <w:szCs w:val="20"/>
        </w:rPr>
        <w:t xml:space="preserve"> Workforce Australia </w:t>
      </w:r>
      <w:r w:rsidR="00976CC6" w:rsidRPr="002D4941">
        <w:rPr>
          <w:rFonts w:ascii="Calibri" w:eastAsia="Calibri" w:hAnsi="Calibri" w:cs="Calibri"/>
          <w:szCs w:val="20"/>
        </w:rPr>
        <w:t xml:space="preserve">Employment </w:t>
      </w:r>
      <w:r w:rsidRPr="002D4941">
        <w:rPr>
          <w:rFonts w:ascii="Calibri" w:eastAsia="Calibri" w:hAnsi="Calibri" w:cs="Calibri"/>
          <w:szCs w:val="20"/>
        </w:rPr>
        <w:t xml:space="preserve">Services. </w:t>
      </w:r>
      <w:r w:rsidR="0C816C7E" w:rsidRPr="002D4941">
        <w:rPr>
          <w:rFonts w:ascii="Calibri" w:eastAsia="Calibri" w:hAnsi="Calibri" w:cs="Calibri"/>
          <w:szCs w:val="20"/>
        </w:rPr>
        <w:t xml:space="preserve">The Australian </w:t>
      </w:r>
      <w:r w:rsidR="16F0D4E0" w:rsidRPr="002D4941">
        <w:rPr>
          <w:rFonts w:ascii="Calibri" w:eastAsia="Calibri" w:hAnsi="Calibri" w:cs="Calibri"/>
          <w:szCs w:val="20"/>
        </w:rPr>
        <w:t>Government released</w:t>
      </w:r>
      <w:r w:rsidR="0C816C7E" w:rsidRPr="002D4941">
        <w:rPr>
          <w:rFonts w:ascii="Calibri" w:eastAsia="Calibri" w:hAnsi="Calibri" w:cs="Calibri"/>
          <w:szCs w:val="20"/>
        </w:rPr>
        <w:t xml:space="preserve"> its response to the findings of the House Select Committee on 4 July 2024.</w:t>
      </w:r>
    </w:p>
    <w:p w14:paraId="229D69B6" w14:textId="77777777" w:rsidR="003F48BD" w:rsidRPr="002D4941" w:rsidRDefault="00D80731" w:rsidP="00562FE6">
      <w:pPr>
        <w:spacing w:before="240"/>
        <w:rPr>
          <w:b/>
          <w:bCs/>
        </w:rPr>
      </w:pPr>
      <w:r w:rsidRPr="002D4941">
        <w:rPr>
          <w:b/>
          <w:bCs/>
        </w:rPr>
        <w:t xml:space="preserve">Q. How were </w:t>
      </w:r>
      <w:r w:rsidR="008D012E" w:rsidRPr="002D4941">
        <w:rPr>
          <w:b/>
          <w:bCs/>
        </w:rPr>
        <w:t xml:space="preserve">Providers </w:t>
      </w:r>
      <w:r w:rsidRPr="002D4941">
        <w:rPr>
          <w:b/>
          <w:bCs/>
        </w:rPr>
        <w:t>advised the department was going to conduct a 2024</w:t>
      </w:r>
      <w:r w:rsidR="00976CC6" w:rsidRPr="002D4941">
        <w:rPr>
          <w:b/>
          <w:bCs/>
        </w:rPr>
        <w:t>–</w:t>
      </w:r>
      <w:r w:rsidRPr="002D4941">
        <w:rPr>
          <w:b/>
          <w:bCs/>
        </w:rPr>
        <w:t>2025 Licence Review? </w:t>
      </w:r>
    </w:p>
    <w:p w14:paraId="0BED22DE" w14:textId="77777777" w:rsidR="003F48BD" w:rsidRPr="002D4941" w:rsidRDefault="00D80731" w:rsidP="003F48BD">
      <w:pPr>
        <w:spacing w:after="240"/>
        <w:rPr>
          <w:b/>
          <w:bCs/>
        </w:rPr>
      </w:pPr>
      <w:r w:rsidRPr="002D4941">
        <w:t xml:space="preserve">Notification of the Licence Review was </w:t>
      </w:r>
      <w:r w:rsidR="003E0E76" w:rsidRPr="002D4941">
        <w:t xml:space="preserve">provided via correspondence </w:t>
      </w:r>
      <w:r w:rsidRPr="002D4941">
        <w:t xml:space="preserve">sent to </w:t>
      </w:r>
      <w:r w:rsidR="008D012E" w:rsidRPr="002D4941">
        <w:t xml:space="preserve">Provider </w:t>
      </w:r>
      <w:r w:rsidRPr="002D4941">
        <w:t>CEOs on</w:t>
      </w:r>
      <w:r w:rsidR="00B94BD0" w:rsidRPr="002D4941">
        <w:t xml:space="preserve"> 1 October</w:t>
      </w:r>
      <w:r w:rsidR="00CF2F3E" w:rsidRPr="002D4941">
        <w:t xml:space="preserve"> 2024</w:t>
      </w:r>
      <w:r w:rsidR="003E0E76" w:rsidRPr="002D4941">
        <w:t>. A second letter was sent to</w:t>
      </w:r>
      <w:r w:rsidR="00C94FCC" w:rsidRPr="002D4941">
        <w:t xml:space="preserve"> Provider</w:t>
      </w:r>
      <w:r w:rsidR="003E0E76" w:rsidRPr="002D4941">
        <w:t xml:space="preserve"> CEOs</w:t>
      </w:r>
      <w:r w:rsidR="00C94FCC" w:rsidRPr="002D4941">
        <w:t xml:space="preserve"> and separately </w:t>
      </w:r>
      <w:r w:rsidR="00FE653E" w:rsidRPr="002D4941">
        <w:t xml:space="preserve">Workforce Australia Services </w:t>
      </w:r>
      <w:r w:rsidR="00C94FCC" w:rsidRPr="002D4941">
        <w:t>Panel Member CEOs,</w:t>
      </w:r>
      <w:r w:rsidR="003E0E76" w:rsidRPr="002D4941">
        <w:t xml:space="preserve"> on 11 October 2024 providing further details and seeking </w:t>
      </w:r>
      <w:r w:rsidR="00B94BD0" w:rsidRPr="002D4941">
        <w:t xml:space="preserve">information </w:t>
      </w:r>
      <w:r w:rsidR="003E0E76" w:rsidRPr="002D4941">
        <w:t xml:space="preserve">to support the </w:t>
      </w:r>
      <w:r w:rsidR="00CF2F3E" w:rsidRPr="002D4941">
        <w:t>Review</w:t>
      </w:r>
      <w:r w:rsidR="003E0E76" w:rsidRPr="002D4941">
        <w:t xml:space="preserve">. </w:t>
      </w:r>
    </w:p>
    <w:p w14:paraId="235F5785" w14:textId="77777777" w:rsidR="003F48BD" w:rsidRPr="002D4941" w:rsidRDefault="00D80731" w:rsidP="00562FE6">
      <w:pPr>
        <w:spacing w:before="240"/>
        <w:rPr>
          <w:b/>
          <w:bCs/>
        </w:rPr>
      </w:pPr>
      <w:r w:rsidRPr="002D4941">
        <w:rPr>
          <w:b/>
          <w:bCs/>
        </w:rPr>
        <w:t xml:space="preserve">Q. What factors are in scope for the </w:t>
      </w:r>
      <w:r w:rsidR="00976CC6" w:rsidRPr="002D4941">
        <w:rPr>
          <w:b/>
          <w:bCs/>
        </w:rPr>
        <w:t xml:space="preserve">Licence </w:t>
      </w:r>
      <w:r w:rsidRPr="002D4941">
        <w:rPr>
          <w:b/>
          <w:bCs/>
        </w:rPr>
        <w:t xml:space="preserve">Review? </w:t>
      </w:r>
    </w:p>
    <w:p w14:paraId="1BAD5DFD" w14:textId="77777777" w:rsidR="00B7071A" w:rsidRPr="002D4941" w:rsidRDefault="00D80731" w:rsidP="00880C7F">
      <w:pPr>
        <w:spacing w:after="0"/>
        <w:rPr>
          <w:rFonts w:ascii="Calibri" w:eastAsia="Calibri" w:hAnsi="Calibri" w:cs="Calibri"/>
          <w:szCs w:val="20"/>
        </w:rPr>
      </w:pPr>
      <w:r w:rsidRPr="002D4941">
        <w:rPr>
          <w:rFonts w:ascii="Calibri" w:eastAsia="Calibri" w:hAnsi="Calibri" w:cs="Calibri"/>
          <w:szCs w:val="20"/>
        </w:rPr>
        <w:t xml:space="preserve">The Licence Review will consider </w:t>
      </w:r>
      <w:r w:rsidR="00880C7F" w:rsidRPr="002D4941">
        <w:rPr>
          <w:rFonts w:ascii="Calibri" w:eastAsia="Calibri" w:hAnsi="Calibri" w:cs="Calibri"/>
          <w:szCs w:val="20"/>
        </w:rPr>
        <w:t xml:space="preserve">a range of </w:t>
      </w:r>
      <w:r w:rsidRPr="002D4941">
        <w:rPr>
          <w:rFonts w:ascii="Calibri" w:eastAsia="Calibri" w:hAnsi="Calibri" w:cs="Calibri"/>
          <w:szCs w:val="20"/>
        </w:rPr>
        <w:t>factors, including</w:t>
      </w:r>
      <w:r w:rsidR="007E0D88" w:rsidRPr="002D4941">
        <w:rPr>
          <w:rFonts w:ascii="Calibri" w:eastAsia="Calibri" w:hAnsi="Calibri" w:cs="Calibri"/>
          <w:szCs w:val="20"/>
        </w:rPr>
        <w:t xml:space="preserve"> (but not limited to)</w:t>
      </w:r>
      <w:r w:rsidRPr="002D4941">
        <w:rPr>
          <w:rFonts w:ascii="Calibri" w:eastAsia="Calibri" w:hAnsi="Calibri" w:cs="Calibri"/>
          <w:szCs w:val="20"/>
        </w:rPr>
        <w:t xml:space="preserve">: </w:t>
      </w:r>
    </w:p>
    <w:p w14:paraId="64FB7020"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Provider Performance Framework outcomes</w:t>
      </w:r>
      <w:r w:rsidR="00B94BD0" w:rsidRPr="002D4941">
        <w:rPr>
          <w:rFonts w:ascii="Calibri" w:eastAsia="Calibri" w:hAnsi="Calibri" w:cs="Calibri"/>
          <w:szCs w:val="20"/>
        </w:rPr>
        <w:t xml:space="preserve"> to June </w:t>
      </w:r>
      <w:proofErr w:type="gramStart"/>
      <w:r w:rsidR="00B94BD0" w:rsidRPr="002D4941">
        <w:rPr>
          <w:rFonts w:ascii="Calibri" w:eastAsia="Calibri" w:hAnsi="Calibri" w:cs="Calibri"/>
          <w:szCs w:val="20"/>
        </w:rPr>
        <w:t>2024</w:t>
      </w:r>
      <w:r w:rsidR="008D012E" w:rsidRPr="002D4941">
        <w:rPr>
          <w:rFonts w:ascii="Calibri" w:eastAsia="Calibri" w:hAnsi="Calibri" w:cs="Calibri"/>
          <w:szCs w:val="20"/>
        </w:rPr>
        <w:t>;</w:t>
      </w:r>
      <w:proofErr w:type="gramEnd"/>
      <w:r w:rsidRPr="002D4941">
        <w:rPr>
          <w:rFonts w:ascii="Calibri" w:eastAsia="Calibri" w:hAnsi="Calibri" w:cs="Calibri"/>
          <w:szCs w:val="20"/>
        </w:rPr>
        <w:t xml:space="preserve"> </w:t>
      </w:r>
    </w:p>
    <w:p w14:paraId="1D0964D4"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t</w:t>
      </w:r>
      <w:r w:rsidR="00DF2BFC" w:rsidRPr="002D4941">
        <w:rPr>
          <w:rFonts w:ascii="Calibri" w:eastAsia="Calibri" w:hAnsi="Calibri" w:cs="Calibri"/>
          <w:szCs w:val="20"/>
        </w:rPr>
        <w:t xml:space="preserve">he requirements of the </w:t>
      </w:r>
      <w:r w:rsidR="00BC71D9" w:rsidRPr="002D4941">
        <w:t>Workforce Australia Services Deed of Standing Offer 2022–</w:t>
      </w:r>
      <w:proofErr w:type="gramStart"/>
      <w:r w:rsidR="00BC71D9" w:rsidRPr="002D4941">
        <w:t>2028</w:t>
      </w:r>
      <w:r w:rsidR="00DF2BFC" w:rsidRPr="002D4941">
        <w:rPr>
          <w:rFonts w:ascii="Calibri" w:eastAsia="Calibri" w:hAnsi="Calibri" w:cs="Calibri"/>
          <w:szCs w:val="20"/>
        </w:rPr>
        <w:t>;</w:t>
      </w:r>
      <w:proofErr w:type="gramEnd"/>
    </w:p>
    <w:p w14:paraId="0C6DCD65"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 xml:space="preserve">the </w:t>
      </w:r>
      <w:r w:rsidR="001F4E4A" w:rsidRPr="002D4941">
        <w:t xml:space="preserve">Workforce Australia Services </w:t>
      </w:r>
      <w:proofErr w:type="gramStart"/>
      <w:r w:rsidRPr="002D4941">
        <w:rPr>
          <w:rFonts w:ascii="Calibri" w:eastAsia="Calibri" w:hAnsi="Calibri" w:cs="Calibri"/>
          <w:szCs w:val="20"/>
        </w:rPr>
        <w:t>Guidelines</w:t>
      </w:r>
      <w:r w:rsidR="008D012E" w:rsidRPr="002D4941">
        <w:rPr>
          <w:rFonts w:ascii="Calibri" w:eastAsia="Calibri" w:hAnsi="Calibri" w:cs="Calibri"/>
          <w:szCs w:val="20"/>
        </w:rPr>
        <w:t>;</w:t>
      </w:r>
      <w:proofErr w:type="gramEnd"/>
    </w:p>
    <w:p w14:paraId="6B6D4DE4"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 xml:space="preserve">the Service </w:t>
      </w:r>
      <w:proofErr w:type="gramStart"/>
      <w:r w:rsidRPr="002D4941">
        <w:rPr>
          <w:rFonts w:ascii="Calibri" w:eastAsia="Calibri" w:hAnsi="Calibri" w:cs="Calibri"/>
          <w:szCs w:val="20"/>
        </w:rPr>
        <w:t>Guarantee</w:t>
      </w:r>
      <w:r w:rsidR="008D012E" w:rsidRPr="002D4941">
        <w:rPr>
          <w:rFonts w:ascii="Calibri" w:eastAsia="Calibri" w:hAnsi="Calibri" w:cs="Calibri"/>
          <w:szCs w:val="20"/>
        </w:rPr>
        <w:t>;</w:t>
      </w:r>
      <w:proofErr w:type="gramEnd"/>
    </w:p>
    <w:p w14:paraId="5B52187D"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 xml:space="preserve">the Joint </w:t>
      </w:r>
      <w:proofErr w:type="gramStart"/>
      <w:r w:rsidRPr="002D4941">
        <w:rPr>
          <w:rFonts w:ascii="Calibri" w:eastAsia="Calibri" w:hAnsi="Calibri" w:cs="Calibri"/>
          <w:szCs w:val="20"/>
        </w:rPr>
        <w:t>Charter</w:t>
      </w:r>
      <w:r w:rsidR="008D012E" w:rsidRPr="002D4941">
        <w:rPr>
          <w:rFonts w:ascii="Calibri" w:eastAsia="Calibri" w:hAnsi="Calibri" w:cs="Calibri"/>
          <w:szCs w:val="20"/>
        </w:rPr>
        <w:t>;</w:t>
      </w:r>
      <w:proofErr w:type="gramEnd"/>
    </w:p>
    <w:p w14:paraId="77826C91"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 xml:space="preserve">relevant Commonwealth and State or Territory </w:t>
      </w:r>
      <w:proofErr w:type="gramStart"/>
      <w:r w:rsidRPr="002D4941">
        <w:rPr>
          <w:rFonts w:ascii="Calibri" w:eastAsia="Calibri" w:hAnsi="Calibri" w:cs="Calibri"/>
          <w:szCs w:val="20"/>
        </w:rPr>
        <w:t>Laws</w:t>
      </w:r>
      <w:r w:rsidR="008D012E" w:rsidRPr="002D4941">
        <w:rPr>
          <w:rFonts w:ascii="Calibri" w:eastAsia="Calibri" w:hAnsi="Calibri" w:cs="Calibri"/>
          <w:szCs w:val="20"/>
        </w:rPr>
        <w:t>;</w:t>
      </w:r>
      <w:proofErr w:type="gramEnd"/>
    </w:p>
    <w:p w14:paraId="618BEBDD" w14:textId="77777777" w:rsidR="00752E19"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 xml:space="preserve">financial </w:t>
      </w:r>
      <w:proofErr w:type="gramStart"/>
      <w:r w:rsidRPr="002D4941">
        <w:rPr>
          <w:rFonts w:ascii="Calibri" w:eastAsia="Calibri" w:hAnsi="Calibri" w:cs="Calibri"/>
          <w:szCs w:val="20"/>
        </w:rPr>
        <w:t>viability;</w:t>
      </w:r>
      <w:proofErr w:type="gramEnd"/>
    </w:p>
    <w:p w14:paraId="4FE45A6C"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 xml:space="preserve">any other value for money </w:t>
      </w:r>
      <w:proofErr w:type="gramStart"/>
      <w:r w:rsidRPr="002D4941">
        <w:rPr>
          <w:rFonts w:ascii="Calibri" w:eastAsia="Calibri" w:hAnsi="Calibri" w:cs="Calibri"/>
          <w:szCs w:val="20"/>
        </w:rPr>
        <w:t>considerations</w:t>
      </w:r>
      <w:r w:rsidR="008D012E" w:rsidRPr="002D4941">
        <w:rPr>
          <w:rFonts w:ascii="Calibri" w:eastAsia="Calibri" w:hAnsi="Calibri" w:cs="Calibri"/>
          <w:szCs w:val="20"/>
        </w:rPr>
        <w:t>;</w:t>
      </w:r>
      <w:proofErr w:type="gramEnd"/>
    </w:p>
    <w:p w14:paraId="066DB29C" w14:textId="77777777" w:rsidR="00B7071A" w:rsidRPr="002D4941" w:rsidRDefault="00D80731" w:rsidP="00B7071A">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representations your organisation made in its original response to the Request for Proposal (2021)</w:t>
      </w:r>
      <w:r w:rsidR="008D012E" w:rsidRPr="002D4941">
        <w:rPr>
          <w:rFonts w:ascii="Calibri" w:eastAsia="Calibri" w:hAnsi="Calibri" w:cs="Calibri"/>
          <w:szCs w:val="20"/>
        </w:rPr>
        <w:t>; and</w:t>
      </w:r>
    </w:p>
    <w:p w14:paraId="3969C830" w14:textId="77777777" w:rsidR="00B7071A" w:rsidRPr="002D4941" w:rsidRDefault="00D80731" w:rsidP="00880C7F">
      <w:pPr>
        <w:pStyle w:val="ListParagraph"/>
        <w:numPr>
          <w:ilvl w:val="0"/>
          <w:numId w:val="20"/>
        </w:numPr>
        <w:spacing w:after="240"/>
        <w:rPr>
          <w:rFonts w:ascii="Calibri" w:eastAsia="Calibri" w:hAnsi="Calibri" w:cs="Calibri"/>
          <w:szCs w:val="20"/>
        </w:rPr>
      </w:pPr>
      <w:r w:rsidRPr="002D4941">
        <w:rPr>
          <w:rFonts w:ascii="Calibri" w:eastAsia="Calibri" w:hAnsi="Calibri" w:cs="Calibri"/>
          <w:szCs w:val="20"/>
        </w:rPr>
        <w:t xml:space="preserve">any other factors with a reasonable connection to performance of the </w:t>
      </w:r>
      <w:r w:rsidR="00BC71D9" w:rsidRPr="002D4941">
        <w:t>Workforce Australia Services Deed of Standing Offer 2022–2028</w:t>
      </w:r>
      <w:r w:rsidRPr="002D4941">
        <w:rPr>
          <w:rFonts w:ascii="Calibri" w:eastAsia="Calibri" w:hAnsi="Calibri" w:cs="Calibri"/>
          <w:szCs w:val="20"/>
        </w:rPr>
        <w:t>.</w:t>
      </w:r>
    </w:p>
    <w:p w14:paraId="2A31B826" w14:textId="77777777" w:rsidR="00D91ECB" w:rsidRPr="002D4941" w:rsidRDefault="00D80731">
      <w:pPr>
        <w:spacing w:after="160" w:line="259" w:lineRule="auto"/>
        <w:rPr>
          <w:rFonts w:ascii="Calibri" w:eastAsia="Calibri" w:hAnsi="Calibri" w:cs="Calibri"/>
          <w:b/>
          <w:bCs/>
          <w:szCs w:val="20"/>
        </w:rPr>
      </w:pPr>
      <w:r w:rsidRPr="002D4941">
        <w:rPr>
          <w:rFonts w:ascii="Calibri" w:eastAsia="Calibri" w:hAnsi="Calibri" w:cs="Calibri"/>
          <w:b/>
          <w:bCs/>
          <w:szCs w:val="20"/>
        </w:rPr>
        <w:br w:type="page"/>
      </w:r>
    </w:p>
    <w:p w14:paraId="5072540F" w14:textId="77777777" w:rsidR="003F48BD" w:rsidRPr="002D4941" w:rsidRDefault="00D80731" w:rsidP="00562FE6">
      <w:pPr>
        <w:spacing w:before="240"/>
        <w:rPr>
          <w:b/>
          <w:bCs/>
        </w:rPr>
      </w:pPr>
      <w:r w:rsidRPr="002D4941">
        <w:rPr>
          <w:b/>
          <w:bCs/>
        </w:rPr>
        <w:lastRenderedPageBreak/>
        <w:t>Q. Who is involved in the</w:t>
      </w:r>
      <w:r w:rsidR="00976CC6" w:rsidRPr="002D4941">
        <w:rPr>
          <w:b/>
          <w:bCs/>
        </w:rPr>
        <w:t xml:space="preserve"> Licence</w:t>
      </w:r>
      <w:r w:rsidRPr="002D4941">
        <w:rPr>
          <w:b/>
          <w:bCs/>
        </w:rPr>
        <w:t xml:space="preserve"> Review and who is the ultimate Decision-Maker? </w:t>
      </w:r>
    </w:p>
    <w:p w14:paraId="4D0F9D83" w14:textId="77777777" w:rsidR="003F48BD" w:rsidRPr="002D4941" w:rsidRDefault="00D80731" w:rsidP="003F48BD">
      <w:r w:rsidRPr="002D4941">
        <w:t xml:space="preserve">A </w:t>
      </w:r>
      <w:r w:rsidR="00976CC6" w:rsidRPr="002D4941">
        <w:t>Review Committee of Senior Executive staff</w:t>
      </w:r>
      <w:r w:rsidRPr="002D4941">
        <w:t xml:space="preserve"> will present recommendations to the </w:t>
      </w:r>
      <w:r w:rsidR="007E0D88" w:rsidRPr="002D4941">
        <w:t>D</w:t>
      </w:r>
      <w:r w:rsidRPr="002D4941">
        <w:t>elegate (Deputy Secretary, Employment and Workforce Group) for decision. </w:t>
      </w:r>
    </w:p>
    <w:p w14:paraId="6B1A912A" w14:textId="77777777" w:rsidR="003F48BD" w:rsidRPr="002D4941" w:rsidRDefault="00D80731" w:rsidP="003F48BD">
      <w:pPr>
        <w:spacing w:after="240"/>
      </w:pPr>
      <w:r w:rsidRPr="002D4941">
        <w:t xml:space="preserve">An independent Probity Adviser will </w:t>
      </w:r>
      <w:r w:rsidR="00A37C14" w:rsidRPr="002D4941">
        <w:t xml:space="preserve">help ensure the Review is conducted in a fair, transparent, accountable and defensible manner and will </w:t>
      </w:r>
      <w:r w:rsidRPr="002D4941">
        <w:t xml:space="preserve">support the </w:t>
      </w:r>
      <w:r w:rsidR="00976CC6" w:rsidRPr="002D4941">
        <w:t>Review C</w:t>
      </w:r>
      <w:r w:rsidRPr="002D4941">
        <w:t>ommittee to make evidence-based recommendations</w:t>
      </w:r>
      <w:r w:rsidR="00976CC6" w:rsidRPr="002D4941">
        <w:t xml:space="preserve"> to the Delegate</w:t>
      </w:r>
      <w:r w:rsidRPr="002D4941">
        <w:t>. </w:t>
      </w:r>
    </w:p>
    <w:p w14:paraId="753FEBA5" w14:textId="77777777" w:rsidR="003F48BD" w:rsidRPr="002D4941" w:rsidRDefault="00D80731" w:rsidP="00562FE6">
      <w:pPr>
        <w:spacing w:before="240"/>
        <w:rPr>
          <w:b/>
          <w:bCs/>
        </w:rPr>
      </w:pPr>
      <w:r w:rsidRPr="002D4941">
        <w:rPr>
          <w:b/>
          <w:bCs/>
        </w:rPr>
        <w:t xml:space="preserve">Q. What possible recommendations are available to the Review Committee to make? </w:t>
      </w:r>
    </w:p>
    <w:p w14:paraId="30400EA8" w14:textId="77777777" w:rsidR="00B7071A" w:rsidRPr="002D4941" w:rsidRDefault="00D80731" w:rsidP="00D123FD">
      <w:pPr>
        <w:spacing w:after="240"/>
        <w:rPr>
          <w:rFonts w:ascii="Calibri" w:eastAsia="Calibri" w:hAnsi="Calibri" w:cs="Calibri"/>
          <w:szCs w:val="20"/>
        </w:rPr>
      </w:pPr>
      <w:r w:rsidRPr="002D4941">
        <w:rPr>
          <w:rFonts w:ascii="Calibri" w:eastAsia="Calibri" w:hAnsi="Calibri" w:cs="Calibri"/>
          <w:szCs w:val="20"/>
        </w:rPr>
        <w:t xml:space="preserve">The recommendations available for the </w:t>
      </w:r>
      <w:r w:rsidR="00A37C14" w:rsidRPr="002D4941">
        <w:rPr>
          <w:rFonts w:ascii="Calibri" w:eastAsia="Calibri" w:hAnsi="Calibri" w:cs="Calibri"/>
          <w:szCs w:val="20"/>
        </w:rPr>
        <w:t xml:space="preserve">Review </w:t>
      </w:r>
      <w:r w:rsidRPr="002D4941">
        <w:rPr>
          <w:rFonts w:ascii="Calibri" w:eastAsia="Calibri" w:hAnsi="Calibri" w:cs="Calibri"/>
          <w:szCs w:val="20"/>
        </w:rPr>
        <w:t xml:space="preserve">Committee to make will include the following, with the possibility for conditions </w:t>
      </w:r>
      <w:r w:rsidR="00A37C14" w:rsidRPr="002D4941">
        <w:rPr>
          <w:rFonts w:ascii="Calibri" w:eastAsia="Calibri" w:hAnsi="Calibri" w:cs="Calibri"/>
          <w:szCs w:val="20"/>
        </w:rPr>
        <w:t>to be attached to any licence extension</w:t>
      </w:r>
      <w:r w:rsidRPr="002D4941">
        <w:rPr>
          <w:rFonts w:ascii="Calibri" w:eastAsia="Calibri" w:hAnsi="Calibri" w:cs="Calibri"/>
          <w:szCs w:val="20"/>
        </w:rPr>
        <w:t xml:space="preserve">: </w:t>
      </w:r>
    </w:p>
    <w:p w14:paraId="247F044C" w14:textId="77777777" w:rsidR="00B7071A" w:rsidRPr="002D4941" w:rsidRDefault="00D80731" w:rsidP="00B7071A">
      <w:pPr>
        <w:pStyle w:val="ListParagraph"/>
        <w:numPr>
          <w:ilvl w:val="0"/>
          <w:numId w:val="21"/>
        </w:numPr>
        <w:spacing w:after="240"/>
        <w:rPr>
          <w:rFonts w:ascii="Calibri" w:eastAsia="Calibri" w:hAnsi="Calibri" w:cs="Calibri"/>
          <w:szCs w:val="20"/>
        </w:rPr>
      </w:pPr>
      <w:r w:rsidRPr="002D4941">
        <w:rPr>
          <w:rFonts w:ascii="Calibri" w:eastAsia="Calibri" w:hAnsi="Calibri" w:cs="Calibri"/>
          <w:szCs w:val="20"/>
        </w:rPr>
        <w:t xml:space="preserve">a licence being extended to 30 June </w:t>
      </w:r>
      <w:proofErr w:type="gramStart"/>
      <w:r w:rsidRPr="002D4941">
        <w:rPr>
          <w:rFonts w:ascii="Calibri" w:eastAsia="Calibri" w:hAnsi="Calibri" w:cs="Calibri"/>
          <w:szCs w:val="20"/>
        </w:rPr>
        <w:t>2027</w:t>
      </w:r>
      <w:r w:rsidR="00CF2F3E" w:rsidRPr="002D4941">
        <w:rPr>
          <w:rFonts w:ascii="Calibri" w:eastAsia="Calibri" w:hAnsi="Calibri" w:cs="Calibri"/>
          <w:szCs w:val="20"/>
        </w:rPr>
        <w:t>;</w:t>
      </w:r>
      <w:proofErr w:type="gramEnd"/>
    </w:p>
    <w:p w14:paraId="37D4931A" w14:textId="77777777" w:rsidR="00B7071A" w:rsidRPr="002D4941" w:rsidRDefault="00D80731" w:rsidP="00B7071A">
      <w:pPr>
        <w:pStyle w:val="ListParagraph"/>
        <w:numPr>
          <w:ilvl w:val="0"/>
          <w:numId w:val="21"/>
        </w:numPr>
        <w:spacing w:after="240"/>
        <w:rPr>
          <w:rFonts w:ascii="Calibri" w:eastAsia="Calibri" w:hAnsi="Calibri" w:cs="Calibri"/>
          <w:szCs w:val="20"/>
        </w:rPr>
      </w:pPr>
      <w:r w:rsidRPr="002D4941">
        <w:rPr>
          <w:rFonts w:ascii="Calibri" w:eastAsia="Calibri" w:hAnsi="Calibri" w:cs="Calibri"/>
          <w:szCs w:val="20"/>
        </w:rPr>
        <w:t>a licence being extended to 30 June 2026</w:t>
      </w:r>
      <w:r w:rsidR="00CF2F3E" w:rsidRPr="002D4941">
        <w:rPr>
          <w:rFonts w:ascii="Calibri" w:eastAsia="Calibri" w:hAnsi="Calibri" w:cs="Calibri"/>
          <w:szCs w:val="20"/>
        </w:rPr>
        <w:t>; or</w:t>
      </w:r>
    </w:p>
    <w:p w14:paraId="711C2ED3" w14:textId="77777777" w:rsidR="00B7071A" w:rsidRPr="002D4941" w:rsidRDefault="00D80731" w:rsidP="00880C7F">
      <w:pPr>
        <w:pStyle w:val="ListParagraph"/>
        <w:numPr>
          <w:ilvl w:val="0"/>
          <w:numId w:val="21"/>
        </w:numPr>
        <w:spacing w:after="240"/>
        <w:rPr>
          <w:rFonts w:ascii="Calibri" w:eastAsia="Calibri" w:hAnsi="Calibri" w:cs="Calibri"/>
          <w:szCs w:val="20"/>
        </w:rPr>
      </w:pPr>
      <w:r w:rsidRPr="002D4941">
        <w:rPr>
          <w:rFonts w:ascii="Calibri" w:eastAsia="Calibri" w:hAnsi="Calibri" w:cs="Calibri"/>
          <w:szCs w:val="20"/>
        </w:rPr>
        <w:t xml:space="preserve">non-extension of a current licence (ceasing </w:t>
      </w:r>
      <w:proofErr w:type="gramStart"/>
      <w:r w:rsidRPr="002D4941">
        <w:rPr>
          <w:rFonts w:ascii="Calibri" w:eastAsia="Calibri" w:hAnsi="Calibri" w:cs="Calibri"/>
          <w:szCs w:val="20"/>
        </w:rPr>
        <w:t>at</w:t>
      </w:r>
      <w:proofErr w:type="gramEnd"/>
      <w:r w:rsidRPr="002D4941">
        <w:rPr>
          <w:rFonts w:ascii="Calibri" w:eastAsia="Calibri" w:hAnsi="Calibri" w:cs="Calibri"/>
          <w:szCs w:val="20"/>
        </w:rPr>
        <w:t xml:space="preserve"> 30 June 2025).</w:t>
      </w:r>
    </w:p>
    <w:p w14:paraId="613D4172" w14:textId="77777777" w:rsidR="003F48BD" w:rsidRPr="002D4941" w:rsidRDefault="00D80731" w:rsidP="00562FE6">
      <w:pPr>
        <w:spacing w:before="240"/>
        <w:rPr>
          <w:b/>
          <w:bCs/>
        </w:rPr>
      </w:pPr>
      <w:r w:rsidRPr="002D4941">
        <w:rPr>
          <w:b/>
          <w:bCs/>
        </w:rPr>
        <w:t>Q. When will the outcomes of the Licence Review be known?</w:t>
      </w:r>
    </w:p>
    <w:p w14:paraId="0604A8BB" w14:textId="77777777" w:rsidR="00B7071A" w:rsidRPr="002D4941" w:rsidRDefault="00D80731" w:rsidP="7F4D90D8">
      <w:pPr>
        <w:spacing w:after="240"/>
        <w:rPr>
          <w:rFonts w:ascii="Calibri" w:eastAsia="Calibri" w:hAnsi="Calibri" w:cs="Calibri"/>
          <w:szCs w:val="20"/>
        </w:rPr>
      </w:pPr>
      <w:r w:rsidRPr="002D4941">
        <w:rPr>
          <w:rFonts w:ascii="Calibri" w:eastAsia="Calibri" w:hAnsi="Calibri" w:cs="Calibri"/>
          <w:szCs w:val="20"/>
        </w:rPr>
        <w:t>The department expects to finalise the Review by early 2025</w:t>
      </w:r>
      <w:r w:rsidR="00880C7F" w:rsidRPr="002D4941">
        <w:rPr>
          <w:rFonts w:ascii="Calibri" w:eastAsia="Calibri" w:hAnsi="Calibri" w:cs="Calibri"/>
          <w:szCs w:val="20"/>
        </w:rPr>
        <w:t xml:space="preserve">. This will </w:t>
      </w:r>
      <w:r w:rsidRPr="002D4941">
        <w:rPr>
          <w:rFonts w:ascii="Calibri" w:eastAsia="Calibri" w:hAnsi="Calibri" w:cs="Calibri"/>
          <w:szCs w:val="20"/>
        </w:rPr>
        <w:t>allow for any</w:t>
      </w:r>
      <w:r w:rsidR="00A37C14" w:rsidRPr="002D4941">
        <w:rPr>
          <w:rFonts w:ascii="Calibri" w:eastAsia="Calibri" w:hAnsi="Calibri" w:cs="Calibri"/>
          <w:szCs w:val="20"/>
        </w:rPr>
        <w:t xml:space="preserve"> licence</w:t>
      </w:r>
      <w:r w:rsidRPr="002D4941">
        <w:rPr>
          <w:rFonts w:ascii="Calibri" w:eastAsia="Calibri" w:hAnsi="Calibri" w:cs="Calibri"/>
          <w:szCs w:val="20"/>
        </w:rPr>
        <w:t xml:space="preserve"> extensions and business reallocation </w:t>
      </w:r>
      <w:r w:rsidR="00A37C14" w:rsidRPr="002D4941">
        <w:rPr>
          <w:rFonts w:ascii="Calibri" w:eastAsia="Calibri" w:hAnsi="Calibri" w:cs="Calibri"/>
          <w:szCs w:val="20"/>
        </w:rPr>
        <w:t xml:space="preserve">arrangements </w:t>
      </w:r>
      <w:r w:rsidRPr="002D4941">
        <w:rPr>
          <w:rFonts w:ascii="Calibri" w:eastAsia="Calibri" w:hAnsi="Calibri" w:cs="Calibri"/>
          <w:szCs w:val="20"/>
        </w:rPr>
        <w:t>to be communicated well in advance of the conclusion of the current licences in June 2025.</w:t>
      </w:r>
    </w:p>
    <w:p w14:paraId="7BC9BA23" w14:textId="77777777" w:rsidR="003F48BD" w:rsidRPr="002D4941" w:rsidRDefault="00D80731" w:rsidP="00562FE6">
      <w:pPr>
        <w:spacing w:before="240"/>
        <w:rPr>
          <w:b/>
          <w:bCs/>
        </w:rPr>
      </w:pPr>
      <w:r w:rsidRPr="002D4941">
        <w:rPr>
          <w:b/>
          <w:bCs/>
        </w:rPr>
        <w:t xml:space="preserve">Q. Will the outcomes of the Review process be appealable? </w:t>
      </w:r>
    </w:p>
    <w:p w14:paraId="04F6D75D" w14:textId="77777777" w:rsidR="00976CC6" w:rsidRPr="002D4941" w:rsidRDefault="00D80731" w:rsidP="7F4D90D8">
      <w:pPr>
        <w:spacing w:after="240"/>
        <w:rPr>
          <w:rFonts w:ascii="Calibri" w:eastAsia="Calibri" w:hAnsi="Calibri" w:cs="Calibri"/>
          <w:szCs w:val="20"/>
        </w:rPr>
      </w:pPr>
      <w:r w:rsidRPr="002D4941">
        <w:rPr>
          <w:rFonts w:ascii="Calibri" w:eastAsia="Calibri" w:hAnsi="Calibri" w:cs="Calibri"/>
          <w:szCs w:val="20"/>
        </w:rPr>
        <w:t>No.</w:t>
      </w:r>
      <w:r w:rsidR="00B94BD0" w:rsidRPr="002D4941">
        <w:rPr>
          <w:rFonts w:ascii="Calibri" w:eastAsia="Calibri" w:hAnsi="Calibri" w:cs="Calibri"/>
          <w:szCs w:val="20"/>
        </w:rPr>
        <w:t xml:space="preserve"> </w:t>
      </w:r>
      <w:r w:rsidR="00C427C9" w:rsidRPr="002D4941">
        <w:rPr>
          <w:rFonts w:ascii="Calibri" w:eastAsia="Calibri" w:hAnsi="Calibri" w:cs="Calibri"/>
          <w:szCs w:val="20"/>
        </w:rPr>
        <w:t xml:space="preserve">All decisions arising from the </w:t>
      </w:r>
      <w:r w:rsidR="00A37C14" w:rsidRPr="002D4941">
        <w:rPr>
          <w:rFonts w:ascii="Calibri" w:eastAsia="Calibri" w:hAnsi="Calibri" w:cs="Calibri"/>
          <w:szCs w:val="20"/>
        </w:rPr>
        <w:t>R</w:t>
      </w:r>
      <w:r w:rsidR="00C427C9" w:rsidRPr="002D4941">
        <w:rPr>
          <w:rFonts w:ascii="Calibri" w:eastAsia="Calibri" w:hAnsi="Calibri" w:cs="Calibri"/>
          <w:szCs w:val="20"/>
        </w:rPr>
        <w:t xml:space="preserve">eview will be final. </w:t>
      </w:r>
    </w:p>
    <w:p w14:paraId="0CB0CE00" w14:textId="77777777" w:rsidR="003F48BD" w:rsidRPr="002D4941" w:rsidRDefault="00D80731" w:rsidP="00562FE6">
      <w:pPr>
        <w:spacing w:before="240"/>
        <w:rPr>
          <w:b/>
          <w:bCs/>
        </w:rPr>
      </w:pPr>
      <w:r w:rsidRPr="002D4941">
        <w:rPr>
          <w:b/>
          <w:bCs/>
        </w:rPr>
        <w:t xml:space="preserve">Q. How is a Low </w:t>
      </w:r>
      <w:r w:rsidR="001F4E4A" w:rsidRPr="002D4941">
        <w:rPr>
          <w:b/>
          <w:bCs/>
        </w:rPr>
        <w:t xml:space="preserve">Provider Performance Framework </w:t>
      </w:r>
      <w:r w:rsidRPr="002D4941">
        <w:rPr>
          <w:b/>
          <w:bCs/>
        </w:rPr>
        <w:t>rating being treated</w:t>
      </w:r>
      <w:r w:rsidR="00CF2F3E" w:rsidRPr="002D4941">
        <w:rPr>
          <w:b/>
          <w:bCs/>
        </w:rPr>
        <w:t>?</w:t>
      </w:r>
      <w:r w:rsidRPr="002D4941">
        <w:rPr>
          <w:b/>
          <w:bCs/>
        </w:rPr>
        <w:t xml:space="preserve"> </w:t>
      </w:r>
    </w:p>
    <w:p w14:paraId="75DB86DA" w14:textId="77777777" w:rsidR="00B94BD0" w:rsidRPr="002D4941" w:rsidRDefault="00D80731" w:rsidP="005458DE">
      <w:pPr>
        <w:spacing w:after="240"/>
        <w:rPr>
          <w:rFonts w:ascii="Calibri" w:eastAsia="Calibri" w:hAnsi="Calibri" w:cs="Calibri"/>
          <w:szCs w:val="20"/>
        </w:rPr>
      </w:pPr>
      <w:r w:rsidRPr="002D4941">
        <w:rPr>
          <w:rFonts w:ascii="Calibri" w:eastAsia="Calibri" w:hAnsi="Calibri" w:cs="Calibri"/>
          <w:szCs w:val="20"/>
        </w:rPr>
        <w:t xml:space="preserve">Licences with Low </w:t>
      </w:r>
      <w:r w:rsidR="001F4E4A" w:rsidRPr="002D4941">
        <w:rPr>
          <w:rFonts w:ascii="Calibri" w:eastAsia="Calibri" w:hAnsi="Calibri" w:cs="Calibri"/>
          <w:szCs w:val="20"/>
        </w:rPr>
        <w:t xml:space="preserve">Provider Performance Framework </w:t>
      </w:r>
      <w:r w:rsidRPr="002D4941">
        <w:rPr>
          <w:rFonts w:ascii="Calibri" w:eastAsia="Calibri" w:hAnsi="Calibri" w:cs="Calibri"/>
          <w:szCs w:val="20"/>
        </w:rPr>
        <w:t>ratings in June 2024 will be treated as in scope for non-extension. Providers in this category have been offered</w:t>
      </w:r>
      <w:r w:rsidR="00A37C14" w:rsidRPr="002D4941">
        <w:rPr>
          <w:rFonts w:ascii="Calibri" w:eastAsia="Calibri" w:hAnsi="Calibri" w:cs="Calibri"/>
          <w:szCs w:val="20"/>
        </w:rPr>
        <w:t xml:space="preserve"> the opportunity</w:t>
      </w:r>
      <w:r w:rsidRPr="002D4941">
        <w:rPr>
          <w:rFonts w:ascii="Calibri" w:eastAsia="Calibri" w:hAnsi="Calibri" w:cs="Calibri"/>
          <w:szCs w:val="20"/>
        </w:rPr>
        <w:t xml:space="preserve"> to submit any extenuating circumstances information to the </w:t>
      </w:r>
      <w:r w:rsidR="00773249" w:rsidRPr="002D4941">
        <w:rPr>
          <w:rFonts w:ascii="Calibri" w:eastAsia="Calibri" w:hAnsi="Calibri" w:cs="Calibri"/>
          <w:szCs w:val="20"/>
        </w:rPr>
        <w:t>d</w:t>
      </w:r>
      <w:r w:rsidRPr="002D4941">
        <w:rPr>
          <w:rFonts w:ascii="Calibri" w:eastAsia="Calibri" w:hAnsi="Calibri" w:cs="Calibri"/>
          <w:szCs w:val="20"/>
        </w:rPr>
        <w:t xml:space="preserve">epartment via a </w:t>
      </w:r>
      <w:r w:rsidR="009B11CF" w:rsidRPr="002D4941">
        <w:rPr>
          <w:rFonts w:ascii="Calibri" w:eastAsia="Calibri" w:hAnsi="Calibri" w:cs="Calibri"/>
          <w:szCs w:val="20"/>
        </w:rPr>
        <w:t>500-word</w:t>
      </w:r>
      <w:r w:rsidRPr="002D4941">
        <w:rPr>
          <w:rFonts w:ascii="Calibri" w:eastAsia="Calibri" w:hAnsi="Calibri" w:cs="Calibri"/>
          <w:szCs w:val="20"/>
        </w:rPr>
        <w:t xml:space="preserve"> statement and independent supporting documentation. </w:t>
      </w:r>
    </w:p>
    <w:p w14:paraId="01D14386" w14:textId="77777777" w:rsidR="005458DE" w:rsidRPr="002D4941" w:rsidRDefault="00D80731" w:rsidP="005458DE">
      <w:pPr>
        <w:spacing w:after="240"/>
        <w:rPr>
          <w:rFonts w:ascii="Calibri" w:eastAsia="Calibri" w:hAnsi="Calibri" w:cs="Calibri"/>
          <w:szCs w:val="20"/>
        </w:rPr>
      </w:pPr>
      <w:r w:rsidRPr="002D4941">
        <w:rPr>
          <w:rFonts w:ascii="Calibri" w:eastAsia="Calibri" w:hAnsi="Calibri" w:cs="Calibri"/>
          <w:szCs w:val="20"/>
        </w:rPr>
        <w:t xml:space="preserve">Extenuating circumstances are those beyond a </w:t>
      </w:r>
      <w:r w:rsidR="00773249" w:rsidRPr="002D4941">
        <w:rPr>
          <w:rFonts w:ascii="Calibri" w:eastAsia="Calibri" w:hAnsi="Calibri" w:cs="Calibri"/>
          <w:szCs w:val="20"/>
        </w:rPr>
        <w:t>P</w:t>
      </w:r>
      <w:r w:rsidRPr="002D4941">
        <w:rPr>
          <w:rFonts w:ascii="Calibri" w:eastAsia="Calibri" w:hAnsi="Calibri" w:cs="Calibri"/>
          <w:szCs w:val="20"/>
        </w:rPr>
        <w:t>rovider</w:t>
      </w:r>
      <w:r w:rsidR="008D012E" w:rsidRPr="002D4941">
        <w:rPr>
          <w:rFonts w:ascii="Calibri" w:eastAsia="Calibri" w:hAnsi="Calibri" w:cs="Calibri"/>
          <w:szCs w:val="20"/>
        </w:rPr>
        <w:t>'</w:t>
      </w:r>
      <w:r w:rsidRPr="002D4941">
        <w:rPr>
          <w:rFonts w:ascii="Calibri" w:eastAsia="Calibri" w:hAnsi="Calibri" w:cs="Calibri"/>
          <w:szCs w:val="20"/>
        </w:rPr>
        <w:t xml:space="preserve">s control, which negatively impacted </w:t>
      </w:r>
      <w:r w:rsidR="00A37C14" w:rsidRPr="002D4941">
        <w:rPr>
          <w:rFonts w:ascii="Calibri" w:eastAsia="Calibri" w:hAnsi="Calibri" w:cs="Calibri"/>
          <w:szCs w:val="20"/>
        </w:rPr>
        <w:t xml:space="preserve">its </w:t>
      </w:r>
      <w:r w:rsidRPr="002D4941">
        <w:rPr>
          <w:rFonts w:ascii="Calibri" w:eastAsia="Calibri" w:hAnsi="Calibri" w:cs="Calibri"/>
          <w:szCs w:val="20"/>
        </w:rPr>
        <w:t>performance and for which strategies</w:t>
      </w:r>
      <w:r w:rsidR="00A37C14" w:rsidRPr="002D4941">
        <w:rPr>
          <w:rFonts w:ascii="Calibri" w:eastAsia="Calibri" w:hAnsi="Calibri" w:cs="Calibri"/>
          <w:szCs w:val="20"/>
        </w:rPr>
        <w:t xml:space="preserve"> or actions</w:t>
      </w:r>
      <w:r w:rsidRPr="002D4941">
        <w:rPr>
          <w:rFonts w:ascii="Calibri" w:eastAsia="Calibri" w:hAnsi="Calibri" w:cs="Calibri"/>
          <w:szCs w:val="20"/>
        </w:rPr>
        <w:t xml:space="preserve"> have been </w:t>
      </w:r>
      <w:r w:rsidR="00A37C14" w:rsidRPr="002D4941">
        <w:rPr>
          <w:rFonts w:ascii="Calibri" w:eastAsia="Calibri" w:hAnsi="Calibri" w:cs="Calibri"/>
          <w:szCs w:val="20"/>
        </w:rPr>
        <w:t xml:space="preserve">or will be </w:t>
      </w:r>
      <w:r w:rsidRPr="002D4941">
        <w:rPr>
          <w:rFonts w:ascii="Calibri" w:eastAsia="Calibri" w:hAnsi="Calibri" w:cs="Calibri"/>
          <w:szCs w:val="20"/>
        </w:rPr>
        <w:t>put in place to improve</w:t>
      </w:r>
      <w:r w:rsidR="00C2409D" w:rsidRPr="002D4941">
        <w:rPr>
          <w:rFonts w:ascii="Calibri" w:eastAsia="Calibri" w:hAnsi="Calibri" w:cs="Calibri"/>
          <w:szCs w:val="20"/>
        </w:rPr>
        <w:t xml:space="preserve"> performance</w:t>
      </w:r>
      <w:r w:rsidRPr="002D4941">
        <w:rPr>
          <w:rFonts w:ascii="Calibri" w:eastAsia="Calibri" w:hAnsi="Calibri" w:cs="Calibri"/>
          <w:szCs w:val="20"/>
        </w:rPr>
        <w:t>.</w:t>
      </w:r>
    </w:p>
    <w:p w14:paraId="54181590" w14:textId="77777777" w:rsidR="003F48BD" w:rsidRPr="002D4941" w:rsidRDefault="00D80731" w:rsidP="00562FE6">
      <w:pPr>
        <w:spacing w:before="240"/>
        <w:rPr>
          <w:b/>
          <w:bCs/>
        </w:rPr>
      </w:pPr>
      <w:r w:rsidRPr="002D4941">
        <w:rPr>
          <w:b/>
          <w:bCs/>
        </w:rPr>
        <w:t xml:space="preserve">Q. If I </w:t>
      </w:r>
      <w:r w:rsidR="00A37C14" w:rsidRPr="002D4941">
        <w:rPr>
          <w:b/>
          <w:bCs/>
        </w:rPr>
        <w:t>have</w:t>
      </w:r>
      <w:r w:rsidRPr="002D4941">
        <w:rPr>
          <w:b/>
          <w:bCs/>
        </w:rPr>
        <w:t xml:space="preserve"> a High or Moderate </w:t>
      </w:r>
      <w:r w:rsidR="001F4E4A" w:rsidRPr="002D4941">
        <w:rPr>
          <w:b/>
          <w:bCs/>
        </w:rPr>
        <w:t xml:space="preserve">Provider Performance Framework </w:t>
      </w:r>
      <w:r w:rsidRPr="002D4941">
        <w:rPr>
          <w:b/>
          <w:bCs/>
        </w:rPr>
        <w:t xml:space="preserve">rating in June 2024, can I assume </w:t>
      </w:r>
      <w:r w:rsidR="00A37C14" w:rsidRPr="002D4941">
        <w:rPr>
          <w:b/>
          <w:bCs/>
        </w:rPr>
        <w:t>my</w:t>
      </w:r>
      <w:r w:rsidRPr="002D4941">
        <w:rPr>
          <w:b/>
          <w:bCs/>
        </w:rPr>
        <w:t xml:space="preserve"> </w:t>
      </w:r>
      <w:r w:rsidR="008D012E" w:rsidRPr="002D4941">
        <w:rPr>
          <w:b/>
          <w:bCs/>
        </w:rPr>
        <w:t xml:space="preserve">licence </w:t>
      </w:r>
      <w:r w:rsidRPr="002D4941">
        <w:rPr>
          <w:b/>
          <w:bCs/>
        </w:rPr>
        <w:t>will be extended</w:t>
      </w:r>
      <w:r w:rsidR="00CF2F3E" w:rsidRPr="002D4941">
        <w:rPr>
          <w:b/>
          <w:bCs/>
        </w:rPr>
        <w:t xml:space="preserve">? </w:t>
      </w:r>
    </w:p>
    <w:p w14:paraId="3B0023C3" w14:textId="77777777" w:rsidR="00B94BD0" w:rsidRPr="002D4941" w:rsidRDefault="00D80731" w:rsidP="003F48BD">
      <w:pPr>
        <w:spacing w:after="240"/>
        <w:rPr>
          <w:rFonts w:ascii="Calibri" w:eastAsia="Calibri" w:hAnsi="Calibri" w:cs="Calibri"/>
          <w:szCs w:val="20"/>
        </w:rPr>
      </w:pPr>
      <w:r w:rsidRPr="002D4941">
        <w:rPr>
          <w:rFonts w:ascii="Calibri" w:eastAsia="Calibri" w:hAnsi="Calibri" w:cs="Calibri"/>
          <w:szCs w:val="20"/>
        </w:rPr>
        <w:t>All</w:t>
      </w:r>
      <w:r w:rsidR="000204B9" w:rsidRPr="002D4941">
        <w:rPr>
          <w:rFonts w:ascii="Calibri" w:eastAsia="Calibri" w:hAnsi="Calibri" w:cs="Calibri"/>
          <w:szCs w:val="20"/>
        </w:rPr>
        <w:t xml:space="preserve"> </w:t>
      </w:r>
      <w:r w:rsidR="0019355C" w:rsidRPr="002D4941">
        <w:rPr>
          <w:rFonts w:ascii="Calibri" w:eastAsia="Calibri" w:hAnsi="Calibri" w:cs="Calibri"/>
          <w:szCs w:val="20"/>
        </w:rPr>
        <w:t xml:space="preserve">176 </w:t>
      </w:r>
      <w:r w:rsidR="008D012E" w:rsidRPr="002D4941">
        <w:rPr>
          <w:rFonts w:ascii="Calibri" w:eastAsia="Calibri" w:hAnsi="Calibri" w:cs="Calibri"/>
          <w:szCs w:val="20"/>
        </w:rPr>
        <w:t xml:space="preserve">licences </w:t>
      </w:r>
      <w:r w:rsidRPr="002D4941">
        <w:rPr>
          <w:rFonts w:ascii="Calibri" w:eastAsia="Calibri" w:hAnsi="Calibri" w:cs="Calibri"/>
          <w:szCs w:val="20"/>
        </w:rPr>
        <w:t xml:space="preserve">will be examined in the Review and the </w:t>
      </w:r>
      <w:r w:rsidR="001F4E4A" w:rsidRPr="002D4941">
        <w:rPr>
          <w:rFonts w:ascii="Calibri" w:eastAsia="Calibri" w:hAnsi="Calibri" w:cs="Calibri"/>
          <w:szCs w:val="20"/>
        </w:rPr>
        <w:t xml:space="preserve">Provider Performance Framework </w:t>
      </w:r>
      <w:r w:rsidRPr="002D4941">
        <w:rPr>
          <w:rFonts w:ascii="Calibri" w:eastAsia="Calibri" w:hAnsi="Calibri" w:cs="Calibri"/>
          <w:szCs w:val="20"/>
        </w:rPr>
        <w:t xml:space="preserve">outcomes are only one contributing factor. </w:t>
      </w:r>
      <w:bookmarkStart w:id="1" w:name="_Hlk180153466"/>
      <w:r w:rsidRPr="002D4941">
        <w:rPr>
          <w:rFonts w:ascii="Calibri" w:eastAsia="Calibri" w:hAnsi="Calibri" w:cs="Calibri"/>
          <w:szCs w:val="20"/>
        </w:rPr>
        <w:t xml:space="preserve">No </w:t>
      </w:r>
      <w:r w:rsidR="00A37C14" w:rsidRPr="002D4941">
        <w:rPr>
          <w:rFonts w:ascii="Calibri" w:eastAsia="Calibri" w:hAnsi="Calibri" w:cs="Calibri"/>
          <w:szCs w:val="20"/>
        </w:rPr>
        <w:t xml:space="preserve">decisions </w:t>
      </w:r>
      <w:r w:rsidRPr="002D4941">
        <w:rPr>
          <w:rFonts w:ascii="Calibri" w:eastAsia="Calibri" w:hAnsi="Calibri" w:cs="Calibri"/>
          <w:szCs w:val="20"/>
        </w:rPr>
        <w:t xml:space="preserve">about </w:t>
      </w:r>
      <w:r w:rsidR="00A37C14" w:rsidRPr="002D4941">
        <w:rPr>
          <w:rFonts w:ascii="Calibri" w:eastAsia="Calibri" w:hAnsi="Calibri" w:cs="Calibri"/>
          <w:szCs w:val="20"/>
        </w:rPr>
        <w:t xml:space="preserve">licence </w:t>
      </w:r>
      <w:r w:rsidRPr="002D4941">
        <w:rPr>
          <w:rFonts w:ascii="Calibri" w:eastAsia="Calibri" w:hAnsi="Calibri" w:cs="Calibri"/>
          <w:szCs w:val="20"/>
        </w:rPr>
        <w:t xml:space="preserve">extensions </w:t>
      </w:r>
      <w:r w:rsidR="00A37C14" w:rsidRPr="002D4941">
        <w:rPr>
          <w:rFonts w:ascii="Calibri" w:eastAsia="Calibri" w:hAnsi="Calibri" w:cs="Calibri"/>
          <w:szCs w:val="20"/>
        </w:rPr>
        <w:t xml:space="preserve">will </w:t>
      </w:r>
      <w:r w:rsidRPr="002D4941">
        <w:rPr>
          <w:rFonts w:ascii="Calibri" w:eastAsia="Calibri" w:hAnsi="Calibri" w:cs="Calibri"/>
          <w:szCs w:val="20"/>
        </w:rPr>
        <w:t xml:space="preserve">be made based only on the </w:t>
      </w:r>
      <w:r w:rsidR="001F4E4A" w:rsidRPr="002D4941">
        <w:rPr>
          <w:rFonts w:ascii="Calibri" w:eastAsia="Calibri" w:hAnsi="Calibri" w:cs="Calibri"/>
          <w:szCs w:val="20"/>
        </w:rPr>
        <w:t xml:space="preserve">Provider Performance Framework </w:t>
      </w:r>
      <w:r w:rsidRPr="002D4941">
        <w:rPr>
          <w:rFonts w:ascii="Calibri" w:eastAsia="Calibri" w:hAnsi="Calibri" w:cs="Calibri"/>
          <w:szCs w:val="20"/>
        </w:rPr>
        <w:t xml:space="preserve">ratings. </w:t>
      </w:r>
      <w:bookmarkEnd w:id="1"/>
    </w:p>
    <w:p w14:paraId="0F68B048" w14:textId="77777777" w:rsidR="003F48BD" w:rsidRPr="002D4941" w:rsidRDefault="00D80731" w:rsidP="00562FE6">
      <w:pPr>
        <w:spacing w:before="240"/>
        <w:rPr>
          <w:b/>
          <w:bCs/>
        </w:rPr>
      </w:pPr>
      <w:r w:rsidRPr="002D4941">
        <w:rPr>
          <w:b/>
          <w:bCs/>
        </w:rPr>
        <w:t xml:space="preserve">Q. Can I liaise with my </w:t>
      </w:r>
      <w:r w:rsidR="006D7FCD" w:rsidRPr="002D4941">
        <w:rPr>
          <w:b/>
          <w:bCs/>
        </w:rPr>
        <w:t>P</w:t>
      </w:r>
      <w:r w:rsidRPr="002D4941">
        <w:rPr>
          <w:b/>
          <w:bCs/>
        </w:rPr>
        <w:t>eak organisation on the Review</w:t>
      </w:r>
      <w:r w:rsidR="00CF2F3E" w:rsidRPr="002D4941">
        <w:rPr>
          <w:b/>
          <w:bCs/>
        </w:rPr>
        <w:t>?</w:t>
      </w:r>
      <w:r w:rsidRPr="002D4941">
        <w:rPr>
          <w:b/>
          <w:bCs/>
        </w:rPr>
        <w:t xml:space="preserve"> </w:t>
      </w:r>
    </w:p>
    <w:p w14:paraId="3E3F75BA" w14:textId="77777777" w:rsidR="00B94BD0" w:rsidRPr="002D4941" w:rsidRDefault="00D80731" w:rsidP="003F48BD">
      <w:pPr>
        <w:spacing w:after="240"/>
      </w:pPr>
      <w:r w:rsidRPr="002D4941">
        <w:t xml:space="preserve">Providers can communicate with their </w:t>
      </w:r>
      <w:r w:rsidR="006D7FCD" w:rsidRPr="002D4941">
        <w:t xml:space="preserve">Peak organisations </w:t>
      </w:r>
      <w:r w:rsidRPr="002D4941">
        <w:t>as they wish, including on their own commercial information</w:t>
      </w:r>
      <w:r w:rsidR="006D7FCD" w:rsidRPr="002D4941">
        <w:t>,</w:t>
      </w:r>
      <w:r w:rsidR="003178EC" w:rsidRPr="002D4941">
        <w:t xml:space="preserve"> noting</w:t>
      </w:r>
      <w:r w:rsidR="006D7FCD" w:rsidRPr="002D4941">
        <w:t xml:space="preserve"> that</w:t>
      </w:r>
      <w:r w:rsidR="003178EC" w:rsidRPr="002D4941">
        <w:t xml:space="preserve"> the Review process will be</w:t>
      </w:r>
      <w:r w:rsidR="00752E19" w:rsidRPr="002D4941">
        <w:t xml:space="preserve"> undertaken by the department in a</w:t>
      </w:r>
      <w:r w:rsidR="003178EC" w:rsidRPr="002D4941">
        <w:t xml:space="preserve"> confidential</w:t>
      </w:r>
      <w:r w:rsidR="00752E19" w:rsidRPr="002D4941">
        <w:t xml:space="preserve"> manner </w:t>
      </w:r>
      <w:r w:rsidR="003178EC" w:rsidRPr="002D4941">
        <w:t xml:space="preserve">and with strict probity requirements. </w:t>
      </w:r>
    </w:p>
    <w:p w14:paraId="2394238F" w14:textId="77777777" w:rsidR="003F48BD" w:rsidRPr="002D4941" w:rsidRDefault="00D80731" w:rsidP="00562FE6">
      <w:pPr>
        <w:spacing w:before="240"/>
        <w:rPr>
          <w:b/>
          <w:bCs/>
        </w:rPr>
      </w:pPr>
      <w:r w:rsidRPr="002D4941">
        <w:rPr>
          <w:b/>
          <w:bCs/>
        </w:rPr>
        <w:t>Q. What is the role of the Peak</w:t>
      </w:r>
      <w:r w:rsidR="006D7FCD" w:rsidRPr="002D4941">
        <w:rPr>
          <w:b/>
          <w:bCs/>
        </w:rPr>
        <w:t xml:space="preserve"> organisations</w:t>
      </w:r>
      <w:r w:rsidRPr="002D4941">
        <w:rPr>
          <w:b/>
          <w:bCs/>
        </w:rPr>
        <w:t xml:space="preserve"> </w:t>
      </w:r>
      <w:r w:rsidR="00752E19" w:rsidRPr="002D4941">
        <w:rPr>
          <w:b/>
          <w:bCs/>
        </w:rPr>
        <w:t xml:space="preserve">or other third parties </w:t>
      </w:r>
      <w:r w:rsidRPr="002D4941">
        <w:rPr>
          <w:b/>
          <w:bCs/>
        </w:rPr>
        <w:t>in the Review process</w:t>
      </w:r>
      <w:r w:rsidR="00CF2F3E" w:rsidRPr="002D4941">
        <w:rPr>
          <w:b/>
          <w:bCs/>
        </w:rPr>
        <w:t>?</w:t>
      </w:r>
      <w:r w:rsidRPr="002D4941">
        <w:rPr>
          <w:b/>
          <w:bCs/>
        </w:rPr>
        <w:t xml:space="preserve"> </w:t>
      </w:r>
    </w:p>
    <w:p w14:paraId="0524E744" w14:textId="77777777" w:rsidR="003178EC" w:rsidRPr="002D4941" w:rsidRDefault="00D80731" w:rsidP="003F48BD">
      <w:pPr>
        <w:spacing w:after="240"/>
      </w:pPr>
      <w:r w:rsidRPr="002D4941">
        <w:t xml:space="preserve">There is no role for Peak organisations or any other external stakeholder in the Review. It is an internal departmental process and there will not be any public submissions or advocacy pathways for </w:t>
      </w:r>
      <w:proofErr w:type="gramStart"/>
      <w:r w:rsidRPr="002D4941">
        <w:t>particular outcomes</w:t>
      </w:r>
      <w:proofErr w:type="gramEnd"/>
      <w:r w:rsidR="001E66DD" w:rsidRPr="002D4941">
        <w:t xml:space="preserve">. </w:t>
      </w:r>
    </w:p>
    <w:p w14:paraId="73C8C5A9" w14:textId="77777777" w:rsidR="003F48BD" w:rsidRPr="002D4941" w:rsidRDefault="00D80731" w:rsidP="00562FE6">
      <w:pPr>
        <w:spacing w:before="240"/>
        <w:rPr>
          <w:b/>
          <w:bCs/>
        </w:rPr>
      </w:pPr>
      <w:r w:rsidRPr="002D4941">
        <w:rPr>
          <w:b/>
          <w:bCs/>
        </w:rPr>
        <w:t xml:space="preserve">Q. I am a Panel member without a </w:t>
      </w:r>
      <w:r w:rsidR="008D012E" w:rsidRPr="002D4941">
        <w:rPr>
          <w:b/>
          <w:bCs/>
        </w:rPr>
        <w:t>licence</w:t>
      </w:r>
      <w:r w:rsidRPr="002D4941">
        <w:rPr>
          <w:b/>
          <w:bCs/>
        </w:rPr>
        <w:t>, will the Review mean my organisation is offered a Head Licence</w:t>
      </w:r>
      <w:r w:rsidR="00CF2F3E" w:rsidRPr="002D4941">
        <w:rPr>
          <w:b/>
          <w:bCs/>
        </w:rPr>
        <w:t>?</w:t>
      </w:r>
      <w:r w:rsidRPr="002D4941">
        <w:rPr>
          <w:b/>
          <w:bCs/>
        </w:rPr>
        <w:t xml:space="preserve"> </w:t>
      </w:r>
    </w:p>
    <w:p w14:paraId="7853D9CE" w14:textId="77777777" w:rsidR="00976CC6" w:rsidRPr="0020623F" w:rsidRDefault="00D80731" w:rsidP="003F48BD">
      <w:pPr>
        <w:spacing w:after="240"/>
      </w:pPr>
      <w:r w:rsidRPr="002D4941">
        <w:t xml:space="preserve">The outcomes of the Licence Review will determine if any </w:t>
      </w:r>
      <w:r w:rsidR="006D7FCD" w:rsidRPr="002D4941">
        <w:t xml:space="preserve">existing Provider </w:t>
      </w:r>
      <w:r w:rsidRPr="002D4941">
        <w:t xml:space="preserve">licences are to cease. The department will consider what is in the best interests of </w:t>
      </w:r>
      <w:r w:rsidR="00752E19" w:rsidRPr="002D4941">
        <w:t>participants</w:t>
      </w:r>
      <w:r w:rsidRPr="002D4941">
        <w:t>, risk factors and value for money when determin</w:t>
      </w:r>
      <w:r w:rsidR="00432128" w:rsidRPr="002D4941">
        <w:t>ing</w:t>
      </w:r>
      <w:r w:rsidR="0020623F" w:rsidRPr="002D4941">
        <w:t xml:space="preserve"> </w:t>
      </w:r>
      <w:r w:rsidR="00257C13" w:rsidRPr="002D4941">
        <w:t xml:space="preserve">options to </w:t>
      </w:r>
      <w:r w:rsidR="00432128" w:rsidRPr="002D4941">
        <w:t>address any service gaps, including the offer of new Head Licences</w:t>
      </w:r>
      <w:r w:rsidR="009B4E33" w:rsidRPr="002D4941">
        <w:t xml:space="preserve"> to Panel members without a current licence</w:t>
      </w:r>
      <w:r w:rsidR="00432128" w:rsidRPr="002D4941">
        <w:t>.</w:t>
      </w:r>
      <w:r w:rsidR="00432128" w:rsidRPr="00880C7F">
        <w:t xml:space="preserve"> </w:t>
      </w:r>
    </w:p>
    <w:p w14:paraId="43849AA6" w14:textId="77777777" w:rsidR="00562FE6" w:rsidRDefault="00562FE6">
      <w:pPr>
        <w:spacing w:after="160" w:line="259" w:lineRule="auto"/>
        <w:rPr>
          <w:b/>
          <w:bCs/>
        </w:rPr>
      </w:pPr>
      <w:r>
        <w:rPr>
          <w:b/>
          <w:bCs/>
        </w:rPr>
        <w:br w:type="page"/>
      </w:r>
    </w:p>
    <w:p w14:paraId="43064DB1" w14:textId="2EB727F4" w:rsidR="00064BA4" w:rsidRPr="002D4941" w:rsidRDefault="00D80731" w:rsidP="00562FE6">
      <w:pPr>
        <w:spacing w:before="240"/>
        <w:rPr>
          <w:b/>
          <w:bCs/>
        </w:rPr>
      </w:pPr>
      <w:r w:rsidRPr="002D4941">
        <w:rPr>
          <w:b/>
          <w:bCs/>
        </w:rPr>
        <w:t xml:space="preserve">Q. </w:t>
      </w:r>
      <w:r w:rsidR="003F48BD" w:rsidRPr="002D4941">
        <w:rPr>
          <w:b/>
          <w:bCs/>
        </w:rPr>
        <w:t xml:space="preserve">The </w:t>
      </w:r>
      <w:r w:rsidR="00773249" w:rsidRPr="002D4941">
        <w:rPr>
          <w:b/>
          <w:bCs/>
        </w:rPr>
        <w:t>d</w:t>
      </w:r>
      <w:r w:rsidR="003F48BD" w:rsidRPr="002D4941">
        <w:rPr>
          <w:b/>
          <w:bCs/>
        </w:rPr>
        <w:t xml:space="preserve">epartment has written to </w:t>
      </w:r>
      <w:r w:rsidR="00773249" w:rsidRPr="002D4941">
        <w:rPr>
          <w:b/>
          <w:bCs/>
        </w:rPr>
        <w:t>P</w:t>
      </w:r>
      <w:r w:rsidR="003F48BD" w:rsidRPr="002D4941">
        <w:rPr>
          <w:b/>
          <w:bCs/>
        </w:rPr>
        <w:t>roviders regarding June 2024 results</w:t>
      </w:r>
      <w:r w:rsidR="006D7FCD" w:rsidRPr="002D4941">
        <w:rPr>
          <w:b/>
          <w:bCs/>
        </w:rPr>
        <w:t>.</w:t>
      </w:r>
      <w:r w:rsidR="003F48BD" w:rsidRPr="002D4941">
        <w:rPr>
          <w:b/>
          <w:bCs/>
        </w:rPr>
        <w:t xml:space="preserve"> </w:t>
      </w:r>
      <w:r w:rsidR="006D7FCD" w:rsidRPr="002D4941">
        <w:rPr>
          <w:b/>
          <w:bCs/>
        </w:rPr>
        <w:t>H</w:t>
      </w:r>
      <w:r w:rsidR="003F48BD" w:rsidRPr="002D4941">
        <w:rPr>
          <w:b/>
          <w:bCs/>
        </w:rPr>
        <w:t xml:space="preserve">ow will the September/December results relate to the Review Process? </w:t>
      </w:r>
    </w:p>
    <w:p w14:paraId="63DF6726" w14:textId="77777777" w:rsidR="00064BA4" w:rsidRPr="002D4941" w:rsidRDefault="00D80731" w:rsidP="00064BA4">
      <w:pPr>
        <w:spacing w:after="240"/>
      </w:pPr>
      <w:r w:rsidRPr="002D4941">
        <w:t xml:space="preserve">The factors in scope of the Review include </w:t>
      </w:r>
      <w:r w:rsidR="00700E73" w:rsidRPr="002D4941">
        <w:t xml:space="preserve">quarterly </w:t>
      </w:r>
      <w:r w:rsidR="001F4E4A" w:rsidRPr="002D4941">
        <w:rPr>
          <w:rFonts w:ascii="Calibri" w:eastAsia="Calibri" w:hAnsi="Calibri" w:cs="Calibri"/>
          <w:szCs w:val="20"/>
        </w:rPr>
        <w:t xml:space="preserve">Provider Performance Framework </w:t>
      </w:r>
      <w:r w:rsidRPr="002D4941">
        <w:t>ratings up to and including June 2024</w:t>
      </w:r>
      <w:r w:rsidR="00432128" w:rsidRPr="002D4941">
        <w:t xml:space="preserve">. </w:t>
      </w:r>
      <w:r w:rsidR="00700E73" w:rsidRPr="002D4941">
        <w:t xml:space="preserve">Quarterly </w:t>
      </w:r>
      <w:r w:rsidRPr="002D4941">
        <w:t xml:space="preserve">ratings beyond June 2024 will </w:t>
      </w:r>
      <w:r w:rsidR="00773249" w:rsidRPr="002D4941">
        <w:t>not</w:t>
      </w:r>
      <w:r w:rsidRPr="002D4941">
        <w:t xml:space="preserve"> be </w:t>
      </w:r>
      <w:r w:rsidR="006D7FCD" w:rsidRPr="002D4941">
        <w:t>relied upon</w:t>
      </w:r>
      <w:r w:rsidR="00432128" w:rsidRPr="002D4941">
        <w:t xml:space="preserve"> </w:t>
      </w:r>
      <w:r w:rsidR="00700E73" w:rsidRPr="002D4941">
        <w:t xml:space="preserve">as part of the </w:t>
      </w:r>
      <w:r w:rsidR="00432128" w:rsidRPr="002D4941">
        <w:t>Review process</w:t>
      </w:r>
      <w:r w:rsidR="001E66DD" w:rsidRPr="002D4941">
        <w:t xml:space="preserve">. </w:t>
      </w:r>
    </w:p>
    <w:p w14:paraId="0C851392" w14:textId="77777777" w:rsidR="00064BA4" w:rsidRPr="002D4941" w:rsidRDefault="00D80731" w:rsidP="003F48BD">
      <w:pPr>
        <w:spacing w:after="240"/>
      </w:pPr>
      <w:r w:rsidRPr="002D4941">
        <w:t xml:space="preserve">However, the department may </w:t>
      </w:r>
      <w:proofErr w:type="gramStart"/>
      <w:r w:rsidRPr="002D4941">
        <w:t>give consideration to</w:t>
      </w:r>
      <w:proofErr w:type="gramEnd"/>
      <w:r w:rsidRPr="002D4941">
        <w:t xml:space="preserve"> </w:t>
      </w:r>
      <w:r w:rsidR="00773249" w:rsidRPr="002D4941">
        <w:t xml:space="preserve">all </w:t>
      </w:r>
      <w:r w:rsidRPr="002D4941">
        <w:t xml:space="preserve">available performance-related data </w:t>
      </w:r>
      <w:r w:rsidR="006D7FCD" w:rsidRPr="002D4941">
        <w:t>(including post-June 2024 data)</w:t>
      </w:r>
      <w:r w:rsidR="00947232" w:rsidRPr="002D4941">
        <w:t xml:space="preserve"> when determining whether or not to extend a Provider's licence or impose conditions on a Provider's licence. This includes, for example, consideration of performance data</w:t>
      </w:r>
      <w:r w:rsidR="006D7FCD" w:rsidRPr="002D4941">
        <w:t xml:space="preserve"> </w:t>
      </w:r>
      <w:r w:rsidR="00700E73" w:rsidRPr="002D4941">
        <w:t xml:space="preserve">in </w:t>
      </w:r>
      <w:r w:rsidRPr="002D4941">
        <w:t>the assessment of an extenuating circumstances submission provided by a Provider</w:t>
      </w:r>
      <w:r w:rsidR="00432128" w:rsidRPr="002D4941">
        <w:t xml:space="preserve"> with a Low rating</w:t>
      </w:r>
      <w:r w:rsidR="00700E73" w:rsidRPr="002D4941">
        <w:t xml:space="preserve">. </w:t>
      </w:r>
    </w:p>
    <w:p w14:paraId="684C77B1" w14:textId="77777777" w:rsidR="003F48BD" w:rsidRPr="002D4941" w:rsidRDefault="00D80731" w:rsidP="00562FE6">
      <w:pPr>
        <w:spacing w:before="240"/>
        <w:rPr>
          <w:b/>
          <w:bCs/>
        </w:rPr>
      </w:pPr>
      <w:r w:rsidRPr="002D4941">
        <w:rPr>
          <w:b/>
          <w:bCs/>
        </w:rPr>
        <w:t>Q. Who can I speak to for updates on the Review Process while it is underway</w:t>
      </w:r>
      <w:r w:rsidR="00CF2F3E" w:rsidRPr="002D4941">
        <w:rPr>
          <w:b/>
          <w:bCs/>
        </w:rPr>
        <w:t>?</w:t>
      </w:r>
    </w:p>
    <w:p w14:paraId="5898AF38" w14:textId="77777777" w:rsidR="005458DE" w:rsidRPr="002D4941" w:rsidRDefault="00D80731" w:rsidP="005458DE">
      <w:r w:rsidRPr="002D4941">
        <w:t xml:space="preserve">All questions in relation to the Licence Review must be emailed to </w:t>
      </w:r>
      <w:r w:rsidRPr="002D4941">
        <w:rPr>
          <w:u w:val="single"/>
        </w:rPr>
        <w:t>ESLicenceReview@dewr.gov.au</w:t>
      </w:r>
      <w:r w:rsidRPr="002D4941">
        <w:t xml:space="preserve">. Your Provider </w:t>
      </w:r>
      <w:r w:rsidR="00752E19" w:rsidRPr="002D4941">
        <w:t>L</w:t>
      </w:r>
      <w:r w:rsidRPr="002D4941">
        <w:t>ead will not be able to share any additional details with you while the Review is underway.</w:t>
      </w:r>
    </w:p>
    <w:p w14:paraId="7486E316" w14:textId="77777777" w:rsidR="003F48BD" w:rsidRPr="002D4941" w:rsidRDefault="00D80731" w:rsidP="00562FE6">
      <w:pPr>
        <w:spacing w:before="240"/>
        <w:rPr>
          <w:b/>
          <w:bCs/>
        </w:rPr>
      </w:pPr>
      <w:r w:rsidRPr="002D4941">
        <w:rPr>
          <w:b/>
          <w:bCs/>
        </w:rPr>
        <w:t xml:space="preserve">Q. Where can I send further questions? </w:t>
      </w:r>
    </w:p>
    <w:p w14:paraId="75C2CAD6" w14:textId="77777777" w:rsidR="00D123FD" w:rsidRPr="002D4941" w:rsidRDefault="00D80731" w:rsidP="00D123FD">
      <w:r w:rsidRPr="002D4941">
        <w:t xml:space="preserve">All questions in relation to the Licence Review must be emailed to </w:t>
      </w:r>
      <w:r w:rsidRPr="002D4941">
        <w:rPr>
          <w:u w:val="single"/>
        </w:rPr>
        <w:t>ESLicenceReview@dewr.gov.au</w:t>
      </w:r>
      <w:r w:rsidRPr="002D4941">
        <w:t xml:space="preserve">. </w:t>
      </w:r>
    </w:p>
    <w:p w14:paraId="4CEC59B8" w14:textId="77777777" w:rsidR="00ED2268" w:rsidRPr="002D4941" w:rsidRDefault="00D80731" w:rsidP="00562FE6">
      <w:pPr>
        <w:spacing w:before="240"/>
        <w:rPr>
          <w:b/>
          <w:bCs/>
        </w:rPr>
      </w:pPr>
      <w:r w:rsidRPr="002D4941">
        <w:rPr>
          <w:b/>
          <w:bCs/>
        </w:rPr>
        <w:t>Q. What happens if a licence is not extended? </w:t>
      </w:r>
    </w:p>
    <w:p w14:paraId="223AC9ED" w14:textId="77777777" w:rsidR="00ED2268" w:rsidRPr="002D4941" w:rsidRDefault="00D80731" w:rsidP="00FB6517">
      <w:pPr>
        <w:spacing w:after="240"/>
      </w:pPr>
      <w:r w:rsidRPr="002D4941">
        <w:t>Where a licence is not extended</w:t>
      </w:r>
      <w:r w:rsidR="009B4E33" w:rsidRPr="002D4941">
        <w:t>,</w:t>
      </w:r>
      <w:r w:rsidRPr="002D4941">
        <w:t xml:space="preserve"> the</w:t>
      </w:r>
      <w:r w:rsidR="00257C13" w:rsidRPr="002D4941">
        <w:t xml:space="preserve"> Provider will be notified by the department and a transition plan </w:t>
      </w:r>
      <w:r w:rsidR="00773249" w:rsidRPr="002D4941">
        <w:t>p</w:t>
      </w:r>
      <w:r w:rsidR="00257C13" w:rsidRPr="002D4941">
        <w:t>ut in place. This will include</w:t>
      </w:r>
      <w:r w:rsidR="00752E19" w:rsidRPr="002D4941">
        <w:t xml:space="preserve"> participants on</w:t>
      </w:r>
      <w:r w:rsidR="00257C13" w:rsidRPr="002D4941">
        <w:t xml:space="preserve"> the P</w:t>
      </w:r>
      <w:r w:rsidRPr="002D4941">
        <w:t>rovider</w:t>
      </w:r>
      <w:r w:rsidR="451C06AB" w:rsidRPr="002D4941">
        <w:t>’</w:t>
      </w:r>
      <w:r w:rsidRPr="002D4941">
        <w:t xml:space="preserve">s </w:t>
      </w:r>
      <w:r w:rsidR="00752E19" w:rsidRPr="002D4941">
        <w:t>caseload</w:t>
      </w:r>
      <w:r w:rsidRPr="002D4941">
        <w:t xml:space="preserve"> </w:t>
      </w:r>
      <w:r w:rsidR="00257C13" w:rsidRPr="002D4941">
        <w:t>being</w:t>
      </w:r>
      <w:r w:rsidRPr="002D4941">
        <w:t xml:space="preserve"> reallocated to an </w:t>
      </w:r>
      <w:r w:rsidR="00257C13" w:rsidRPr="002D4941">
        <w:t>appropriate</w:t>
      </w:r>
      <w:r w:rsidR="009B4E33" w:rsidRPr="002D4941">
        <w:t xml:space="preserve"> alternate</w:t>
      </w:r>
      <w:r w:rsidR="00257C13" w:rsidRPr="002D4941">
        <w:t xml:space="preserve"> Provider</w:t>
      </w:r>
      <w:r w:rsidRPr="002D4941">
        <w:t>. </w:t>
      </w:r>
    </w:p>
    <w:p w14:paraId="44615A05" w14:textId="77777777" w:rsidR="00ED2268" w:rsidRPr="002D4941" w:rsidRDefault="00D80731" w:rsidP="00562FE6">
      <w:pPr>
        <w:spacing w:before="240"/>
        <w:rPr>
          <w:b/>
          <w:bCs/>
        </w:rPr>
      </w:pPr>
      <w:r w:rsidRPr="002D4941">
        <w:rPr>
          <w:b/>
          <w:bCs/>
        </w:rPr>
        <w:t xml:space="preserve">Q. How will the </w:t>
      </w:r>
      <w:r w:rsidR="00257C13" w:rsidRPr="002D4941">
        <w:rPr>
          <w:b/>
          <w:bCs/>
        </w:rPr>
        <w:t>d</w:t>
      </w:r>
      <w:r w:rsidRPr="002D4941">
        <w:rPr>
          <w:b/>
          <w:bCs/>
        </w:rPr>
        <w:t xml:space="preserve">epartment support </w:t>
      </w:r>
      <w:r w:rsidR="00257C13" w:rsidRPr="002D4941">
        <w:rPr>
          <w:b/>
          <w:bCs/>
        </w:rPr>
        <w:t>P</w:t>
      </w:r>
      <w:r w:rsidRPr="002D4941">
        <w:rPr>
          <w:b/>
          <w:bCs/>
        </w:rPr>
        <w:t xml:space="preserve">roviders that have </w:t>
      </w:r>
      <w:r w:rsidR="009B11CF" w:rsidRPr="002D4941">
        <w:rPr>
          <w:b/>
          <w:bCs/>
        </w:rPr>
        <w:t xml:space="preserve">a </w:t>
      </w:r>
      <w:r w:rsidRPr="002D4941">
        <w:rPr>
          <w:b/>
          <w:bCs/>
        </w:rPr>
        <w:t>‘conditional’ licence extension? </w:t>
      </w:r>
    </w:p>
    <w:p w14:paraId="65C7523F" w14:textId="77777777" w:rsidR="00ED2268" w:rsidRPr="002D4941" w:rsidRDefault="00D80731" w:rsidP="00FB6517">
      <w:pPr>
        <w:spacing w:after="240"/>
      </w:pPr>
      <w:r w:rsidRPr="002D4941">
        <w:t xml:space="preserve">Where the department </w:t>
      </w:r>
      <w:r w:rsidR="00D123FD" w:rsidRPr="002D4941">
        <w:t xml:space="preserve">determines that a </w:t>
      </w:r>
      <w:r w:rsidRPr="002D4941">
        <w:t>‘conditional’ licence extension</w:t>
      </w:r>
      <w:r w:rsidR="00D123FD" w:rsidRPr="002D4941">
        <w:t xml:space="preserve"> should be offered</w:t>
      </w:r>
      <w:r w:rsidRPr="002D4941">
        <w:t xml:space="preserve">, </w:t>
      </w:r>
      <w:r w:rsidR="00D123FD" w:rsidRPr="002D4941">
        <w:t xml:space="preserve">the </w:t>
      </w:r>
      <w:r w:rsidRPr="002D4941">
        <w:t xml:space="preserve">specific </w:t>
      </w:r>
      <w:r w:rsidR="00257C13" w:rsidRPr="002D4941">
        <w:t>conditions will be documented</w:t>
      </w:r>
      <w:r w:rsidR="00D123FD" w:rsidRPr="002D4941">
        <w:t xml:space="preserve"> </w:t>
      </w:r>
      <w:r w:rsidR="009B4E33" w:rsidRPr="002D4941">
        <w:t xml:space="preserve">and notified to the Provider </w:t>
      </w:r>
      <w:r w:rsidR="00D123FD" w:rsidRPr="002D4941">
        <w:t xml:space="preserve">and the </w:t>
      </w:r>
      <w:r w:rsidR="00296198" w:rsidRPr="002D4941">
        <w:t>department</w:t>
      </w:r>
      <w:r w:rsidR="00D123FD" w:rsidRPr="002D4941">
        <w:t xml:space="preserve"> will work closely with the </w:t>
      </w:r>
      <w:r w:rsidR="00257C13" w:rsidRPr="002D4941">
        <w:t xml:space="preserve">Provider </w:t>
      </w:r>
      <w:r w:rsidR="00700E73" w:rsidRPr="002D4941">
        <w:t>to implement those conditions</w:t>
      </w:r>
      <w:r w:rsidRPr="002D4941">
        <w:t>. </w:t>
      </w:r>
    </w:p>
    <w:p w14:paraId="2AAB3253" w14:textId="77777777" w:rsidR="00ED2268" w:rsidRPr="002D4941" w:rsidRDefault="00D80731" w:rsidP="00562FE6">
      <w:pPr>
        <w:spacing w:before="240"/>
        <w:rPr>
          <w:b/>
          <w:bCs/>
        </w:rPr>
      </w:pPr>
      <w:r w:rsidRPr="002D4941">
        <w:rPr>
          <w:b/>
          <w:bCs/>
        </w:rPr>
        <w:t xml:space="preserve">Q. If </w:t>
      </w:r>
      <w:r w:rsidR="00700E73" w:rsidRPr="002D4941">
        <w:rPr>
          <w:b/>
          <w:bCs/>
        </w:rPr>
        <w:t xml:space="preserve">a </w:t>
      </w:r>
      <w:r w:rsidRPr="002D4941">
        <w:rPr>
          <w:b/>
          <w:bCs/>
        </w:rPr>
        <w:t xml:space="preserve">licence </w:t>
      </w:r>
      <w:r w:rsidR="00700E73" w:rsidRPr="002D4941">
        <w:rPr>
          <w:b/>
          <w:bCs/>
        </w:rPr>
        <w:t xml:space="preserve">is </w:t>
      </w:r>
      <w:r w:rsidRPr="002D4941">
        <w:rPr>
          <w:b/>
          <w:bCs/>
        </w:rPr>
        <w:t xml:space="preserve">not extended after the </w:t>
      </w:r>
      <w:r w:rsidR="004F3745" w:rsidRPr="002D4941">
        <w:rPr>
          <w:b/>
          <w:bCs/>
        </w:rPr>
        <w:t>Licence Review</w:t>
      </w:r>
      <w:r w:rsidRPr="002D4941">
        <w:rPr>
          <w:b/>
          <w:bCs/>
        </w:rPr>
        <w:t xml:space="preserve">, will </w:t>
      </w:r>
      <w:r w:rsidR="00700E73" w:rsidRPr="002D4941">
        <w:rPr>
          <w:b/>
          <w:bCs/>
        </w:rPr>
        <w:t>that</w:t>
      </w:r>
      <w:r w:rsidR="004F3745" w:rsidRPr="002D4941">
        <w:rPr>
          <w:b/>
          <w:bCs/>
        </w:rPr>
        <w:t xml:space="preserve"> organisation</w:t>
      </w:r>
      <w:r w:rsidRPr="002D4941">
        <w:rPr>
          <w:b/>
          <w:bCs/>
        </w:rPr>
        <w:t xml:space="preserve"> be allowed to rejoin </w:t>
      </w:r>
      <w:r w:rsidR="00FE653E" w:rsidRPr="002D4941">
        <w:rPr>
          <w:b/>
          <w:bCs/>
        </w:rPr>
        <w:t>Workforce Australia Services</w:t>
      </w:r>
      <w:r w:rsidRPr="002D4941">
        <w:rPr>
          <w:b/>
          <w:bCs/>
        </w:rPr>
        <w:t xml:space="preserve">, or other </w:t>
      </w:r>
      <w:r w:rsidR="009B4E33" w:rsidRPr="002D4941">
        <w:rPr>
          <w:b/>
          <w:bCs/>
        </w:rPr>
        <w:t>Australian G</w:t>
      </w:r>
      <w:r w:rsidRPr="002D4941">
        <w:rPr>
          <w:b/>
          <w:bCs/>
        </w:rPr>
        <w:t>overnment employment schemes, in the future? </w:t>
      </w:r>
    </w:p>
    <w:p w14:paraId="04B6622A" w14:textId="77777777" w:rsidR="004F3745" w:rsidRPr="002D4941" w:rsidRDefault="00D80731" w:rsidP="009A6084">
      <w:pPr>
        <w:spacing w:after="240"/>
      </w:pPr>
      <w:r w:rsidRPr="002D4941">
        <w:t>Each organisation will</w:t>
      </w:r>
      <w:r w:rsidR="00ED2268" w:rsidRPr="002D4941">
        <w:t xml:space="preserve"> remain on the </w:t>
      </w:r>
      <w:r w:rsidR="00FE653E" w:rsidRPr="002D4941">
        <w:t xml:space="preserve">Workforce Australia Services </w:t>
      </w:r>
      <w:r w:rsidR="00ED2268" w:rsidRPr="002D4941">
        <w:t>Panel</w:t>
      </w:r>
      <w:r w:rsidR="005F249F" w:rsidRPr="002D4941">
        <w:t xml:space="preserve"> </w:t>
      </w:r>
      <w:r w:rsidR="00A93690" w:rsidRPr="002D4941">
        <w:t>until</w:t>
      </w:r>
      <w:r w:rsidRPr="002D4941">
        <w:t xml:space="preserve"> it seeks to hand back the Deed of Standing Offer</w:t>
      </w:r>
      <w:r w:rsidR="00A93690" w:rsidRPr="002D4941">
        <w:t xml:space="preserve"> or </w:t>
      </w:r>
      <w:r w:rsidR="02366192" w:rsidRPr="002D4941">
        <w:t xml:space="preserve">the </w:t>
      </w:r>
      <w:r w:rsidR="00A93690" w:rsidRPr="002D4941">
        <w:t>term of the Panel expires.</w:t>
      </w:r>
      <w:r w:rsidR="00D123FD" w:rsidRPr="002D4941">
        <w:t xml:space="preserve"> </w:t>
      </w:r>
      <w:r w:rsidRPr="002D4941">
        <w:t xml:space="preserve">Non extension of a licence does not preclude any organisation from responding to any other </w:t>
      </w:r>
      <w:r w:rsidR="009B4E33" w:rsidRPr="002D4941">
        <w:t>Australian G</w:t>
      </w:r>
      <w:r w:rsidRPr="002D4941">
        <w:t>overnment approach to market.</w:t>
      </w:r>
    </w:p>
    <w:p w14:paraId="63E087B9" w14:textId="77777777" w:rsidR="00ED2268" w:rsidRPr="002D4941" w:rsidRDefault="00D80731" w:rsidP="005F249F">
      <w:pPr>
        <w:spacing w:before="240"/>
        <w:rPr>
          <w:b/>
          <w:bCs/>
        </w:rPr>
      </w:pPr>
      <w:r w:rsidRPr="002D4941">
        <w:rPr>
          <w:b/>
          <w:bCs/>
        </w:rPr>
        <w:t xml:space="preserve">Q. What happens to </w:t>
      </w:r>
      <w:r w:rsidR="00F7444C" w:rsidRPr="002D4941">
        <w:rPr>
          <w:b/>
          <w:bCs/>
        </w:rPr>
        <w:t>participants</w:t>
      </w:r>
      <w:r w:rsidRPr="002D4941">
        <w:rPr>
          <w:b/>
          <w:bCs/>
        </w:rPr>
        <w:t xml:space="preserve"> if the </w:t>
      </w:r>
      <w:r w:rsidR="00257C13" w:rsidRPr="002D4941">
        <w:rPr>
          <w:b/>
          <w:bCs/>
        </w:rPr>
        <w:t>P</w:t>
      </w:r>
      <w:r w:rsidRPr="002D4941">
        <w:rPr>
          <w:b/>
          <w:bCs/>
        </w:rPr>
        <w:t>rovider they are registered with does not receive a licence extension? </w:t>
      </w:r>
    </w:p>
    <w:p w14:paraId="37C3B354" w14:textId="77777777" w:rsidR="00ED2268" w:rsidRPr="002D4941" w:rsidRDefault="00D80731" w:rsidP="005F249F">
      <w:pPr>
        <w:spacing w:after="240"/>
      </w:pPr>
      <w:r w:rsidRPr="002D4941">
        <w:t xml:space="preserve">Where a </w:t>
      </w:r>
      <w:r w:rsidR="00257C13" w:rsidRPr="002D4941">
        <w:t>P</w:t>
      </w:r>
      <w:r w:rsidRPr="002D4941">
        <w:t>rovider’s licence is not extended</w:t>
      </w:r>
      <w:r w:rsidR="009B4E33" w:rsidRPr="002D4941">
        <w:t>,</w:t>
      </w:r>
      <w:r w:rsidR="00257C13" w:rsidRPr="002D4941">
        <w:t xml:space="preserve"> the department will put in place a transition plan and</w:t>
      </w:r>
      <w:r w:rsidRPr="002D4941">
        <w:t xml:space="preserve"> </w:t>
      </w:r>
      <w:r w:rsidR="00296198" w:rsidRPr="002D4941">
        <w:t>participants</w:t>
      </w:r>
      <w:r w:rsidRPr="002D4941">
        <w:t xml:space="preserve"> will be reallocated to </w:t>
      </w:r>
      <w:r w:rsidR="00700E73" w:rsidRPr="002D4941">
        <w:t xml:space="preserve">an </w:t>
      </w:r>
      <w:r w:rsidR="009B4E33" w:rsidRPr="002D4941">
        <w:t xml:space="preserve">alternate </w:t>
      </w:r>
      <w:r w:rsidR="00257C13" w:rsidRPr="002D4941">
        <w:t>appropriate Provider</w:t>
      </w:r>
      <w:r w:rsidRPr="002D4941">
        <w:t>. </w:t>
      </w:r>
      <w:r w:rsidR="00075AE8" w:rsidRPr="002D4941">
        <w:t xml:space="preserve">The department will communicate directly with </w:t>
      </w:r>
      <w:r w:rsidR="00296198" w:rsidRPr="002D4941">
        <w:t>impacted participants throughout this process.</w:t>
      </w:r>
    </w:p>
    <w:p w14:paraId="69C35F4D" w14:textId="77777777" w:rsidR="003F48BD" w:rsidRPr="002D4941" w:rsidRDefault="00D80731" w:rsidP="00562FE6">
      <w:pPr>
        <w:spacing w:before="240"/>
        <w:rPr>
          <w:b/>
          <w:bCs/>
        </w:rPr>
      </w:pPr>
      <w:r w:rsidRPr="002D4941">
        <w:rPr>
          <w:b/>
          <w:bCs/>
        </w:rPr>
        <w:t>Q. How does the employment services reform fit with the Licence Review? </w:t>
      </w:r>
    </w:p>
    <w:p w14:paraId="072BF93F" w14:textId="77777777" w:rsidR="003F48BD" w:rsidRPr="002D4941" w:rsidRDefault="00D80731" w:rsidP="003F48BD">
      <w:pPr>
        <w:rPr>
          <w:iCs/>
          <w:color w:val="000000"/>
        </w:rPr>
      </w:pPr>
      <w:r w:rsidRPr="002D4941">
        <w:t xml:space="preserve">The Licence Review is an arrangement under the current </w:t>
      </w:r>
      <w:r w:rsidR="00BC71D9" w:rsidRPr="002D4941">
        <w:t xml:space="preserve">Workforce Australia Services Deed of Standing Offer </w:t>
      </w:r>
      <w:r w:rsidR="00175536" w:rsidRPr="002D4941">
        <w:t xml:space="preserve">2022–2028 </w:t>
      </w:r>
      <w:r w:rsidRPr="002D4941">
        <w:t>and is unrelated to the employment services reform.</w:t>
      </w:r>
      <w:r w:rsidRPr="002D4941">
        <w:rPr>
          <w:iCs/>
          <w:color w:val="000000" w:themeColor="text1"/>
        </w:rPr>
        <w:t xml:space="preserve"> </w:t>
      </w:r>
    </w:p>
    <w:p w14:paraId="3D05AB6C" w14:textId="77777777" w:rsidR="003F48BD" w:rsidRPr="002D4941" w:rsidRDefault="00D80731" w:rsidP="003F48BD">
      <w:r w:rsidRPr="002D4941">
        <w:t xml:space="preserve">The department will work closely with </w:t>
      </w:r>
      <w:r w:rsidR="00257C13" w:rsidRPr="002D4941">
        <w:t>P</w:t>
      </w:r>
      <w:r w:rsidRPr="002D4941">
        <w:t xml:space="preserve">roviders to ensure </w:t>
      </w:r>
      <w:r w:rsidRPr="002D4941">
        <w:rPr>
          <w:rFonts w:ascii="Calibri" w:eastAsia="Calibri" w:hAnsi="Calibri" w:cs="Arial"/>
        </w:rPr>
        <w:t xml:space="preserve">it continues to provide, and improve, services and support to </w:t>
      </w:r>
      <w:r w:rsidR="00296198" w:rsidRPr="002D4941">
        <w:rPr>
          <w:rFonts w:ascii="Calibri" w:eastAsia="Calibri" w:hAnsi="Calibri" w:cs="Arial"/>
        </w:rPr>
        <w:t>participants</w:t>
      </w:r>
      <w:r w:rsidRPr="002D4941">
        <w:rPr>
          <w:rFonts w:ascii="Calibri" w:eastAsia="Calibri" w:hAnsi="Calibri" w:cs="Arial"/>
        </w:rPr>
        <w:t xml:space="preserve"> to help them meet their goals and move towards employment. This includes ensuring that services, supports and requirements are personalised to reflect each </w:t>
      </w:r>
      <w:r w:rsidR="00A373DB" w:rsidRPr="002D4941">
        <w:rPr>
          <w:rFonts w:ascii="Calibri" w:eastAsia="Calibri" w:hAnsi="Calibri" w:cs="Arial"/>
        </w:rPr>
        <w:t>participant’s</w:t>
      </w:r>
      <w:r w:rsidRPr="002D4941">
        <w:rPr>
          <w:rFonts w:ascii="Calibri" w:eastAsia="Calibri" w:hAnsi="Calibri" w:cs="Arial"/>
        </w:rPr>
        <w:t xml:space="preserve"> needs and circumstances.</w:t>
      </w:r>
    </w:p>
    <w:p w14:paraId="1D8E174B" w14:textId="77777777" w:rsidR="00185C20" w:rsidRPr="002D4941" w:rsidRDefault="00D80731" w:rsidP="00D91ECB">
      <w:pPr>
        <w:spacing w:after="240"/>
      </w:pPr>
      <w:r w:rsidRPr="002D4941">
        <w:t>To keep informed of the Australian Government</w:t>
      </w:r>
      <w:r w:rsidR="008D012E" w:rsidRPr="002D4941">
        <w:t>'</w:t>
      </w:r>
      <w:r w:rsidRPr="002D4941">
        <w:t>s program of reform for employment services</w:t>
      </w:r>
      <w:r w:rsidR="009B4E33" w:rsidRPr="002D4941">
        <w:t>,</w:t>
      </w:r>
      <w:r w:rsidRPr="002D4941">
        <w:t xml:space="preserve"> visit </w:t>
      </w:r>
      <w:hyperlink r:id="rId10">
        <w:r w:rsidRPr="002D4941">
          <w:rPr>
            <w:rStyle w:val="Hyperlink"/>
          </w:rPr>
          <w:t>Employment services reform</w:t>
        </w:r>
      </w:hyperlink>
      <w:r w:rsidRPr="002D4941">
        <w:t xml:space="preserve"> (DEWR website).</w:t>
      </w:r>
      <w:bookmarkEnd w:id="0"/>
    </w:p>
    <w:p w14:paraId="6F204F8A" w14:textId="77777777" w:rsidR="00D91ECB" w:rsidRPr="002D4941" w:rsidRDefault="00D80731" w:rsidP="00562FE6">
      <w:pPr>
        <w:spacing w:before="240"/>
        <w:rPr>
          <w:b/>
          <w:bCs/>
        </w:rPr>
      </w:pPr>
      <w:r w:rsidRPr="002D4941">
        <w:rPr>
          <w:b/>
          <w:bCs/>
        </w:rPr>
        <w:t xml:space="preserve">Q. What type of independent verification of/independent documentation is acceptable? </w:t>
      </w:r>
    </w:p>
    <w:p w14:paraId="45986349" w14:textId="77777777" w:rsidR="00D91ECB" w:rsidRPr="002D4F71" w:rsidRDefault="00D80731" w:rsidP="00D91ECB">
      <w:pPr>
        <w:spacing w:after="240"/>
      </w:pPr>
      <w:r w:rsidRPr="002D4941">
        <w:t>This will depend on the nature of the extenuating circumstances submitted by the Provider. Witness statements, photographic evidence, computer records and statutory declarations are all permissible for example, provided that the documents support the claims made by the Provider in relation to the extenuating circumstances.</w:t>
      </w:r>
    </w:p>
    <w:p w14:paraId="620943E7" w14:textId="77777777" w:rsidR="00562FE6" w:rsidRDefault="00562FE6">
      <w:pPr>
        <w:spacing w:after="160" w:line="259" w:lineRule="auto"/>
        <w:rPr>
          <w:b/>
          <w:bCs/>
        </w:rPr>
      </w:pPr>
      <w:r>
        <w:rPr>
          <w:b/>
          <w:bCs/>
        </w:rPr>
        <w:br w:type="page"/>
      </w:r>
    </w:p>
    <w:p w14:paraId="7AA9186C" w14:textId="512DB86E" w:rsidR="00D91ECB" w:rsidRPr="00562FE6" w:rsidRDefault="00D80731" w:rsidP="00562FE6">
      <w:pPr>
        <w:spacing w:before="240"/>
        <w:rPr>
          <w:b/>
          <w:bCs/>
        </w:rPr>
      </w:pPr>
      <w:r w:rsidRPr="002D4941">
        <w:rPr>
          <w:b/>
          <w:bCs/>
        </w:rPr>
        <w:t>Q. What is meant by ‘strategies’ that have been put in place to improve performance.</w:t>
      </w:r>
      <w:r w:rsidRPr="002D4F71">
        <w:rPr>
          <w:b/>
          <w:bCs/>
        </w:rPr>
        <w:t xml:space="preserve"> </w:t>
      </w:r>
    </w:p>
    <w:p w14:paraId="441AE172" w14:textId="77777777" w:rsidR="00D91ECB" w:rsidRPr="002D4941" w:rsidRDefault="00D80731" w:rsidP="004E62BC">
      <w:pPr>
        <w:spacing w:after="240"/>
      </w:pPr>
      <w:r w:rsidRPr="002D4F71">
        <w:t xml:space="preserve">This will depend on the extenuating circumstance you may be facing. In general, you should outline how you have critically examined the issue that has arisen, and the processes and systems that have been put in place within your </w:t>
      </w:r>
      <w:r w:rsidRPr="002D4941">
        <w:t xml:space="preserve">organisation to improve performance under and in accordance with the Workforce Australia Services Deed of Standing Offer 2022 – 2028. Documentary evidence can be used to substantiate your claims. </w:t>
      </w:r>
    </w:p>
    <w:p w14:paraId="676B2CFF" w14:textId="4F65D824" w:rsidR="004E62BC" w:rsidRPr="002D4941" w:rsidRDefault="00D80731" w:rsidP="00562FE6">
      <w:pPr>
        <w:spacing w:before="240"/>
        <w:rPr>
          <w:b/>
          <w:bCs/>
        </w:rPr>
      </w:pPr>
      <w:bookmarkStart w:id="2" w:name="_Hlk182409432"/>
      <w:r w:rsidRPr="002D4941">
        <w:rPr>
          <w:b/>
          <w:bCs/>
        </w:rPr>
        <w:t>Q. Will any changes</w:t>
      </w:r>
      <w:r w:rsidR="00D06759" w:rsidRPr="002D4941">
        <w:rPr>
          <w:b/>
          <w:bCs/>
        </w:rPr>
        <w:t xml:space="preserve"> that are made</w:t>
      </w:r>
      <w:r w:rsidRPr="002D4941">
        <w:rPr>
          <w:b/>
          <w:bCs/>
        </w:rPr>
        <w:t xml:space="preserve"> to the Provider Performance Framework while the Review is underway impact </w:t>
      </w:r>
      <w:r w:rsidR="002222A8" w:rsidRPr="002D4941">
        <w:rPr>
          <w:b/>
          <w:bCs/>
        </w:rPr>
        <w:t>the</w:t>
      </w:r>
      <w:r w:rsidR="002D4941" w:rsidRPr="002D4941">
        <w:rPr>
          <w:b/>
          <w:bCs/>
        </w:rPr>
        <w:t> </w:t>
      </w:r>
      <w:r w:rsidR="002222A8" w:rsidRPr="002D4941">
        <w:rPr>
          <w:b/>
          <w:bCs/>
        </w:rPr>
        <w:t xml:space="preserve">Review's assessment of </w:t>
      </w:r>
      <w:r w:rsidR="00D06759" w:rsidRPr="002D4941">
        <w:rPr>
          <w:b/>
          <w:bCs/>
        </w:rPr>
        <w:t>P</w:t>
      </w:r>
      <w:r w:rsidRPr="002D4941">
        <w:rPr>
          <w:b/>
          <w:bCs/>
        </w:rPr>
        <w:t xml:space="preserve">roviders who were rated </w:t>
      </w:r>
      <w:r w:rsidR="00D56931" w:rsidRPr="002D4941">
        <w:rPr>
          <w:b/>
          <w:bCs/>
        </w:rPr>
        <w:t>L</w:t>
      </w:r>
      <w:r w:rsidRPr="002D4941">
        <w:rPr>
          <w:b/>
          <w:bCs/>
        </w:rPr>
        <w:t xml:space="preserve">ow in June </w:t>
      </w:r>
      <w:r w:rsidR="00562FE6" w:rsidRPr="002D4941">
        <w:rPr>
          <w:b/>
          <w:bCs/>
        </w:rPr>
        <w:t>20</w:t>
      </w:r>
      <w:r w:rsidRPr="002D4941">
        <w:rPr>
          <w:b/>
          <w:bCs/>
        </w:rPr>
        <w:t>24?</w:t>
      </w:r>
      <w:r w:rsidR="0082702C" w:rsidRPr="002D4941">
        <w:rPr>
          <w:b/>
          <w:bCs/>
        </w:rPr>
        <w:t xml:space="preserve"> </w:t>
      </w:r>
    </w:p>
    <w:p w14:paraId="15AA31DE" w14:textId="77777777" w:rsidR="004E62BC" w:rsidRPr="002D4941" w:rsidRDefault="00D80731" w:rsidP="004E62BC">
      <w:pPr>
        <w:rPr>
          <w:rFonts w:eastAsia="Times New Roman" w:cs="Times New Roman"/>
          <w:color w:val="000000"/>
          <w:lang w:eastAsia="en-AU"/>
        </w:rPr>
      </w:pPr>
      <w:r w:rsidRPr="002D4941">
        <w:rPr>
          <w:rFonts w:eastAsia="Times New Roman" w:cs="Times New Roman"/>
          <w:color w:val="000000"/>
          <w:lang w:eastAsia="en-AU"/>
        </w:rPr>
        <w:t xml:space="preserve">No. Any work to refine the Provider Performance Framework is forward-looking and independent to the Licence Review. </w:t>
      </w:r>
    </w:p>
    <w:p w14:paraId="3D47D576" w14:textId="5FD02627" w:rsidR="004E62BC" w:rsidRPr="002D4941" w:rsidRDefault="00D80731" w:rsidP="004E62BC">
      <w:pPr>
        <w:rPr>
          <w:rFonts w:eastAsia="Times New Roman" w:cs="Times New Roman"/>
          <w:color w:val="000000"/>
          <w:lang w:eastAsia="en-AU"/>
        </w:rPr>
      </w:pPr>
      <w:r w:rsidRPr="002D4941">
        <w:rPr>
          <w:rFonts w:eastAsia="Times New Roman" w:cs="Times New Roman"/>
          <w:color w:val="000000"/>
          <w:lang w:eastAsia="en-AU"/>
        </w:rPr>
        <w:t xml:space="preserve">Additionally, how </w:t>
      </w:r>
      <w:r w:rsidR="00D06759" w:rsidRPr="002D4941">
        <w:rPr>
          <w:rFonts w:eastAsia="Times New Roman" w:cs="Times New Roman"/>
          <w:color w:val="000000"/>
          <w:lang w:eastAsia="en-AU"/>
        </w:rPr>
        <w:t xml:space="preserve">performance </w:t>
      </w:r>
      <w:r w:rsidRPr="002D4941">
        <w:rPr>
          <w:rFonts w:eastAsia="Times New Roman" w:cs="Times New Roman"/>
          <w:color w:val="000000"/>
          <w:lang w:eastAsia="en-AU"/>
        </w:rPr>
        <w:t xml:space="preserve">data beyond June 2024 may be used by the </w:t>
      </w:r>
      <w:r w:rsidR="00255F47" w:rsidRPr="002D4941">
        <w:rPr>
          <w:rFonts w:eastAsia="Times New Roman" w:cs="Times New Roman"/>
          <w:color w:val="000000"/>
          <w:lang w:eastAsia="en-AU"/>
        </w:rPr>
        <w:t>d</w:t>
      </w:r>
      <w:r w:rsidRPr="002D4941">
        <w:rPr>
          <w:rFonts w:eastAsia="Times New Roman" w:cs="Times New Roman"/>
          <w:color w:val="000000"/>
          <w:lang w:eastAsia="en-AU"/>
        </w:rPr>
        <w:t>epartment is outlined in this document (above).</w:t>
      </w:r>
    </w:p>
    <w:p w14:paraId="07D4D21C" w14:textId="77777777" w:rsidR="004E62BC" w:rsidRPr="002D4941" w:rsidRDefault="00D80731" w:rsidP="004E62BC">
      <w:pPr>
        <w:spacing w:after="240"/>
      </w:pPr>
      <w:r w:rsidRPr="002D4941">
        <w:rPr>
          <w:rFonts w:cs="Arial"/>
        </w:rPr>
        <w:t xml:space="preserve">All feedback and questions regarding the Provider Performance Framework are welcome and should be directed to: </w:t>
      </w:r>
      <w:hyperlink r:id="rId11" w:history="1">
        <w:r w:rsidRPr="002D4941">
          <w:rPr>
            <w:rStyle w:val="Hyperlink"/>
            <w:rFonts w:cs="Arial"/>
          </w:rPr>
          <w:t>providerperformanceframework@dewr.gov.au</w:t>
        </w:r>
      </w:hyperlink>
      <w:r w:rsidRPr="002D4941">
        <w:rPr>
          <w:rFonts w:cs="Arial"/>
        </w:rPr>
        <w:t>.</w:t>
      </w:r>
    </w:p>
    <w:p w14:paraId="0A8D1F2B" w14:textId="77777777" w:rsidR="004E62BC" w:rsidRPr="002D4941" w:rsidRDefault="00D80731" w:rsidP="00562FE6">
      <w:pPr>
        <w:spacing w:before="240"/>
        <w:rPr>
          <w:b/>
          <w:bCs/>
        </w:rPr>
      </w:pPr>
      <w:r w:rsidRPr="002D4941">
        <w:rPr>
          <w:b/>
          <w:bCs/>
        </w:rPr>
        <w:t xml:space="preserve">Q. Will the Review </w:t>
      </w:r>
      <w:proofErr w:type="gramStart"/>
      <w:r w:rsidRPr="002D4941">
        <w:rPr>
          <w:b/>
          <w:bCs/>
        </w:rPr>
        <w:t>take into account</w:t>
      </w:r>
      <w:proofErr w:type="gramEnd"/>
      <w:r w:rsidRPr="002D4941">
        <w:rPr>
          <w:b/>
          <w:bCs/>
        </w:rPr>
        <w:t xml:space="preserve"> the Department’s IT system performance? </w:t>
      </w:r>
    </w:p>
    <w:p w14:paraId="62F1616D" w14:textId="16FB10AF" w:rsidR="004E62BC" w:rsidRPr="002D4941" w:rsidRDefault="00D80731" w:rsidP="004E62BC">
      <w:pPr>
        <w:rPr>
          <w:rFonts w:eastAsia="Times New Roman" w:cs="Times New Roman"/>
          <w:color w:val="000000"/>
          <w:lang w:eastAsia="en-AU"/>
        </w:rPr>
      </w:pPr>
      <w:r w:rsidRPr="002D4941">
        <w:rPr>
          <w:rFonts w:eastAsia="Times New Roman" w:cs="Times New Roman"/>
          <w:color w:val="000000"/>
          <w:lang w:eastAsia="en-AU"/>
        </w:rPr>
        <w:t xml:space="preserve">Administrative, systems and governance arrangements for </w:t>
      </w:r>
      <w:r w:rsidRPr="002D4941">
        <w:t xml:space="preserve">Workforce Australia Services </w:t>
      </w:r>
      <w:r w:rsidRPr="002D4941">
        <w:rPr>
          <w:rFonts w:eastAsia="Times New Roman" w:cs="Times New Roman"/>
          <w:color w:val="000000"/>
          <w:lang w:eastAsia="en-AU"/>
        </w:rPr>
        <w:t xml:space="preserve">have been in place for all Providers since </w:t>
      </w:r>
      <w:r w:rsidRPr="002D4941">
        <w:t xml:space="preserve">Workforce Australia Services </w:t>
      </w:r>
      <w:r w:rsidRPr="002D4941">
        <w:rPr>
          <w:rFonts w:eastAsia="Times New Roman" w:cs="Times New Roman"/>
          <w:color w:val="000000"/>
          <w:lang w:eastAsia="en-AU"/>
        </w:rPr>
        <w:t>commencement in</w:t>
      </w:r>
      <w:r w:rsidR="0073259F" w:rsidRPr="002D4941">
        <w:rPr>
          <w:rFonts w:eastAsia="Times New Roman" w:cs="Times New Roman"/>
          <w:color w:val="000000"/>
          <w:lang w:eastAsia="en-AU"/>
        </w:rPr>
        <w:t xml:space="preserve"> July</w:t>
      </w:r>
      <w:r w:rsidRPr="002D4941">
        <w:rPr>
          <w:rFonts w:eastAsia="Times New Roman" w:cs="Times New Roman"/>
          <w:color w:val="000000"/>
          <w:lang w:eastAsia="en-AU"/>
        </w:rPr>
        <w:t xml:space="preserve"> 2022. </w:t>
      </w:r>
    </w:p>
    <w:p w14:paraId="61338443" w14:textId="77777777" w:rsidR="004E62BC" w:rsidRPr="002D4941" w:rsidRDefault="00D80731" w:rsidP="004E62BC">
      <w:pPr>
        <w:spacing w:after="240"/>
        <w:rPr>
          <w:rFonts w:eastAsia="Times New Roman" w:cs="Times New Roman"/>
          <w:color w:val="000000"/>
          <w:lang w:eastAsia="en-AU"/>
        </w:rPr>
      </w:pPr>
      <w:r w:rsidRPr="002D4941">
        <w:rPr>
          <w:rFonts w:eastAsia="Times New Roman" w:cs="Times New Roman"/>
          <w:color w:val="000000"/>
          <w:lang w:eastAsia="en-AU"/>
        </w:rPr>
        <w:t>Provider performance has been consistently measured in the context of these arrangements, under which some Providers have attained High or Moderate Provider Performance Framework ratings. Providers also have access to monthly performance data allowing them to proactively monitor and, if required, adjust their approach</w:t>
      </w:r>
      <w:r w:rsidRPr="002D4941">
        <w:t xml:space="preserve"> to providing </w:t>
      </w:r>
      <w:r w:rsidRPr="002D4941">
        <w:rPr>
          <w:rFonts w:eastAsia="Times New Roman" w:cs="Times New Roman"/>
          <w:color w:val="000000"/>
          <w:lang w:eastAsia="en-AU"/>
        </w:rPr>
        <w:t xml:space="preserve">services for </w:t>
      </w:r>
      <w:r w:rsidRPr="002D4941">
        <w:t>Workforce Australia Services</w:t>
      </w:r>
      <w:r w:rsidRPr="002D4941">
        <w:rPr>
          <w:rFonts w:eastAsia="Times New Roman" w:cs="Times New Roman"/>
          <w:color w:val="000000"/>
          <w:lang w:eastAsia="en-AU"/>
        </w:rPr>
        <w:t>.</w:t>
      </w:r>
    </w:p>
    <w:p w14:paraId="1065ED3D" w14:textId="1E7B070F" w:rsidR="004E62BC" w:rsidRPr="002D4941" w:rsidRDefault="00D80731" w:rsidP="004E62BC">
      <w:pPr>
        <w:spacing w:after="240"/>
        <w:rPr>
          <w:rFonts w:eastAsia="Times New Roman" w:cs="Times New Roman"/>
          <w:color w:val="000000"/>
          <w:lang w:val="en-US" w:eastAsia="en-AU"/>
        </w:rPr>
      </w:pPr>
      <w:r w:rsidRPr="002D4941">
        <w:rPr>
          <w:rFonts w:eastAsia="Times New Roman" w:cs="Times New Roman"/>
          <w:color w:val="000000"/>
          <w:lang w:val="en-US" w:eastAsia="en-AU"/>
        </w:rPr>
        <w:t>The department has established working groups with Providers to examine how the IT systems relevant to Workforce</w:t>
      </w:r>
      <w:r w:rsidR="00255F47" w:rsidRPr="002D4941">
        <w:rPr>
          <w:rFonts w:eastAsia="Times New Roman" w:cs="Times New Roman"/>
          <w:color w:val="000000"/>
          <w:lang w:val="en-US" w:eastAsia="en-AU"/>
        </w:rPr>
        <w:t> </w:t>
      </w:r>
      <w:r w:rsidRPr="002D4941">
        <w:rPr>
          <w:rFonts w:eastAsia="Times New Roman" w:cs="Times New Roman"/>
          <w:color w:val="000000"/>
          <w:lang w:val="en-US" w:eastAsia="en-AU"/>
        </w:rPr>
        <w:t xml:space="preserve">Australia Services operate, and to identify any potential changes to those systems. This work is independent to the Licence Review. </w:t>
      </w:r>
    </w:p>
    <w:p w14:paraId="314AEA0B" w14:textId="77777777" w:rsidR="004E62BC" w:rsidRPr="002D4941" w:rsidRDefault="00D80731" w:rsidP="00562FE6">
      <w:pPr>
        <w:spacing w:before="240"/>
        <w:rPr>
          <w:b/>
          <w:bCs/>
        </w:rPr>
      </w:pPr>
      <w:r w:rsidRPr="002D4941">
        <w:rPr>
          <w:b/>
          <w:bCs/>
        </w:rPr>
        <w:t xml:space="preserve">Q. Will weightings be applied to factors being reviewed and considered under the Licence Review? </w:t>
      </w:r>
    </w:p>
    <w:p w14:paraId="22017A45" w14:textId="77777777" w:rsidR="004E62BC" w:rsidRPr="002D4941" w:rsidRDefault="00D80731" w:rsidP="00D80731">
      <w:pPr>
        <w:spacing w:after="240"/>
        <w:rPr>
          <w:rFonts w:eastAsia="Times New Roman" w:cs="Times New Roman"/>
          <w:color w:val="000000"/>
          <w:lang w:val="en-US" w:eastAsia="en-AU"/>
        </w:rPr>
      </w:pPr>
      <w:r w:rsidRPr="002D4941">
        <w:rPr>
          <w:rFonts w:eastAsia="Times New Roman" w:cs="Times New Roman"/>
          <w:color w:val="000000"/>
          <w:lang w:val="en-US" w:eastAsia="en-AU"/>
        </w:rPr>
        <w:t xml:space="preserve">Weightings will not be applied to factors considered under the </w:t>
      </w:r>
      <w:r w:rsidR="00D06759" w:rsidRPr="002D4941">
        <w:rPr>
          <w:rFonts w:eastAsia="Times New Roman" w:cs="Times New Roman"/>
          <w:color w:val="000000"/>
          <w:lang w:val="en-US" w:eastAsia="en-AU"/>
        </w:rPr>
        <w:t>R</w:t>
      </w:r>
      <w:r w:rsidRPr="002D4941">
        <w:rPr>
          <w:rFonts w:eastAsia="Times New Roman" w:cs="Times New Roman"/>
          <w:color w:val="000000"/>
          <w:lang w:val="en-US" w:eastAsia="en-AU"/>
        </w:rPr>
        <w:t xml:space="preserve">eview. </w:t>
      </w:r>
    </w:p>
    <w:p w14:paraId="2DBC6D7A" w14:textId="77777777" w:rsidR="004E62BC" w:rsidRPr="002D4941" w:rsidRDefault="00D80731" w:rsidP="00562FE6">
      <w:pPr>
        <w:spacing w:before="240"/>
        <w:rPr>
          <w:b/>
          <w:bCs/>
        </w:rPr>
      </w:pPr>
      <w:r w:rsidRPr="002D4941">
        <w:rPr>
          <w:b/>
          <w:bCs/>
        </w:rPr>
        <w:t xml:space="preserve">Q. Will Artificial Intelligence be used for any part of the Review process? </w:t>
      </w:r>
    </w:p>
    <w:p w14:paraId="30C0B4F1" w14:textId="77777777" w:rsidR="004E62BC" w:rsidRPr="002D4941" w:rsidRDefault="00D80731" w:rsidP="00D80731">
      <w:pPr>
        <w:spacing w:after="240"/>
        <w:rPr>
          <w:rFonts w:eastAsia="Times New Roman" w:cs="Times New Roman"/>
          <w:color w:val="000000"/>
          <w:lang w:val="en-US" w:eastAsia="en-AU"/>
        </w:rPr>
      </w:pPr>
      <w:r w:rsidRPr="002D4941">
        <w:rPr>
          <w:rFonts w:eastAsia="Times New Roman" w:cs="Times New Roman"/>
          <w:color w:val="000000"/>
          <w:lang w:val="en-US" w:eastAsia="en-AU"/>
        </w:rPr>
        <w:t>No.</w:t>
      </w:r>
    </w:p>
    <w:p w14:paraId="6BEA504C" w14:textId="77777777" w:rsidR="004E62BC" w:rsidRPr="002D4941" w:rsidRDefault="00D80731" w:rsidP="00562FE6">
      <w:pPr>
        <w:spacing w:before="240"/>
        <w:rPr>
          <w:b/>
          <w:bCs/>
        </w:rPr>
      </w:pPr>
      <w:r w:rsidRPr="002D4941">
        <w:rPr>
          <w:b/>
          <w:bCs/>
        </w:rPr>
        <w:t xml:space="preserve">Q. Will the department be accepting feedback on the Provider Performance Framework as part of the Licence Review? </w:t>
      </w:r>
    </w:p>
    <w:p w14:paraId="17177025" w14:textId="57AC4D6F" w:rsidR="004E62BC" w:rsidRPr="002D4941" w:rsidRDefault="00D80731" w:rsidP="004E62BC">
      <w:pPr>
        <w:rPr>
          <w:rFonts w:eastAsia="Times New Roman" w:cs="Times New Roman"/>
          <w:color w:val="000000"/>
          <w:lang w:eastAsia="en-AU"/>
        </w:rPr>
      </w:pPr>
      <w:r w:rsidRPr="002D4941">
        <w:rPr>
          <w:rFonts w:eastAsia="Times New Roman" w:cs="Times New Roman"/>
          <w:color w:val="000000"/>
          <w:lang w:eastAsia="en-AU"/>
        </w:rPr>
        <w:t>The work to refine the Provider Performance Framework is forward-looking and independent to the Licence Review.</w:t>
      </w:r>
    </w:p>
    <w:p w14:paraId="7935EAB8" w14:textId="77777777" w:rsidR="004E62BC" w:rsidRPr="002D4941" w:rsidRDefault="00D80731" w:rsidP="004E62BC">
      <w:pPr>
        <w:spacing w:after="240"/>
        <w:rPr>
          <w:rFonts w:cs="Arial"/>
        </w:rPr>
      </w:pPr>
      <w:r w:rsidRPr="002D4941">
        <w:rPr>
          <w:rFonts w:cs="Arial"/>
        </w:rPr>
        <w:t xml:space="preserve">All feedback and questions regarding the Provider Performance Framework are welcome and should be directed to: </w:t>
      </w:r>
      <w:hyperlink r:id="rId12" w:history="1">
        <w:r w:rsidRPr="002D4941">
          <w:rPr>
            <w:rStyle w:val="Hyperlink"/>
            <w:rFonts w:cs="Arial"/>
          </w:rPr>
          <w:t>providerperformanceframework@dewr.gov.au</w:t>
        </w:r>
      </w:hyperlink>
      <w:r w:rsidRPr="002D4941">
        <w:rPr>
          <w:rFonts w:cs="Arial"/>
        </w:rPr>
        <w:t>.</w:t>
      </w:r>
      <w:r w:rsidR="00A31086" w:rsidRPr="002D4941">
        <w:rPr>
          <w:rFonts w:cs="Arial"/>
        </w:rPr>
        <w:t xml:space="preserve"> However, this will not be </w:t>
      </w:r>
      <w:proofErr w:type="gramStart"/>
      <w:r w:rsidR="00A31086" w:rsidRPr="002D4941">
        <w:rPr>
          <w:rFonts w:cs="Arial"/>
        </w:rPr>
        <w:t>taken into account</w:t>
      </w:r>
      <w:proofErr w:type="gramEnd"/>
      <w:r w:rsidR="00A31086" w:rsidRPr="002D4941">
        <w:rPr>
          <w:rFonts w:cs="Arial"/>
        </w:rPr>
        <w:t xml:space="preserve"> for the purposes of the Licence Review. </w:t>
      </w:r>
    </w:p>
    <w:p w14:paraId="247A864A" w14:textId="06B0956A" w:rsidR="004E62BC" w:rsidRPr="002D4941" w:rsidRDefault="00D80731" w:rsidP="00562FE6">
      <w:pPr>
        <w:spacing w:before="240"/>
        <w:rPr>
          <w:b/>
          <w:bCs/>
        </w:rPr>
      </w:pPr>
      <w:r w:rsidRPr="002D4941">
        <w:rPr>
          <w:b/>
          <w:bCs/>
        </w:rPr>
        <w:t xml:space="preserve">Q. Is there a chance that </w:t>
      </w:r>
      <w:r w:rsidR="00431224" w:rsidRPr="002D4941">
        <w:rPr>
          <w:b/>
          <w:bCs/>
        </w:rPr>
        <w:t>M</w:t>
      </w:r>
      <w:r w:rsidRPr="002D4941">
        <w:rPr>
          <w:b/>
          <w:bCs/>
        </w:rPr>
        <w:t xml:space="preserve">edium or </w:t>
      </w:r>
      <w:r w:rsidR="00431224" w:rsidRPr="002D4941">
        <w:rPr>
          <w:b/>
          <w:bCs/>
        </w:rPr>
        <w:t>H</w:t>
      </w:r>
      <w:r w:rsidRPr="002D4941">
        <w:rPr>
          <w:b/>
          <w:bCs/>
        </w:rPr>
        <w:t xml:space="preserve">igh rated licences under the Provider Performance Framework </w:t>
      </w:r>
      <w:r w:rsidR="0082702C" w:rsidRPr="002D4941">
        <w:rPr>
          <w:b/>
          <w:bCs/>
        </w:rPr>
        <w:t xml:space="preserve">(in June 2024) </w:t>
      </w:r>
      <w:r w:rsidR="0082702C" w:rsidRPr="002D4941">
        <w:rPr>
          <w:b/>
          <w:bCs/>
        </w:rPr>
        <w:br/>
      </w:r>
      <w:r w:rsidRPr="002D4941">
        <w:rPr>
          <w:b/>
          <w:bCs/>
        </w:rPr>
        <w:t>will not gain a licence extension post</w:t>
      </w:r>
      <w:r w:rsidR="00255F47" w:rsidRPr="002D4941">
        <w:rPr>
          <w:b/>
          <w:bCs/>
        </w:rPr>
        <w:t>-</w:t>
      </w:r>
      <w:r w:rsidRPr="002D4941">
        <w:rPr>
          <w:b/>
          <w:bCs/>
        </w:rPr>
        <w:t>June 2025?</w:t>
      </w:r>
      <w:r w:rsidR="00D60324" w:rsidRPr="002D4941">
        <w:rPr>
          <w:b/>
          <w:bCs/>
        </w:rPr>
        <w:t xml:space="preserve"> If so, will those organisations have a chance to provide information on any extenuating circumstances</w:t>
      </w:r>
      <w:r w:rsidR="00431224" w:rsidRPr="002D4941">
        <w:rPr>
          <w:b/>
          <w:bCs/>
        </w:rPr>
        <w:t>?</w:t>
      </w:r>
      <w:r w:rsidR="00D60324" w:rsidRPr="002D4941">
        <w:rPr>
          <w:b/>
          <w:bCs/>
        </w:rPr>
        <w:t xml:space="preserve"> </w:t>
      </w:r>
    </w:p>
    <w:p w14:paraId="0B7E78A9" w14:textId="7AE8C3C5" w:rsidR="0082702C" w:rsidRPr="002D4941" w:rsidRDefault="0073259F" w:rsidP="004E62BC">
      <w:pPr>
        <w:spacing w:after="240"/>
        <w:rPr>
          <w:rFonts w:ascii="Calibri" w:eastAsia="Calibri" w:hAnsi="Calibri" w:cs="Calibri"/>
          <w:szCs w:val="20"/>
        </w:rPr>
      </w:pPr>
      <w:r w:rsidRPr="002D4941">
        <w:rPr>
          <w:rFonts w:ascii="Calibri" w:eastAsia="Calibri" w:hAnsi="Calibri" w:cs="Calibri"/>
          <w:szCs w:val="20"/>
        </w:rPr>
        <w:t>Th</w:t>
      </w:r>
      <w:r w:rsidR="009876A3" w:rsidRPr="002D4941">
        <w:rPr>
          <w:rFonts w:ascii="Calibri" w:eastAsia="Calibri" w:hAnsi="Calibri" w:cs="Calibri"/>
          <w:szCs w:val="20"/>
        </w:rPr>
        <w:t>is</w:t>
      </w:r>
      <w:r w:rsidRPr="002D4941">
        <w:rPr>
          <w:rFonts w:ascii="Calibri" w:eastAsia="Calibri" w:hAnsi="Calibri" w:cs="Calibri"/>
          <w:szCs w:val="20"/>
        </w:rPr>
        <w:t xml:space="preserve"> is possible</w:t>
      </w:r>
      <w:r w:rsidR="00255F47" w:rsidRPr="002D4941">
        <w:rPr>
          <w:rFonts w:ascii="Calibri" w:eastAsia="Calibri" w:hAnsi="Calibri" w:cs="Calibri"/>
          <w:szCs w:val="20"/>
        </w:rPr>
        <w:t>,</w:t>
      </w:r>
      <w:r w:rsidRPr="002D4941">
        <w:rPr>
          <w:rFonts w:ascii="Calibri" w:eastAsia="Calibri" w:hAnsi="Calibri" w:cs="Calibri"/>
          <w:szCs w:val="20"/>
        </w:rPr>
        <w:t xml:space="preserve"> as </w:t>
      </w:r>
      <w:r w:rsidR="00D80731" w:rsidRPr="002D4941">
        <w:rPr>
          <w:rFonts w:ascii="Calibri" w:eastAsia="Calibri" w:hAnsi="Calibri" w:cs="Calibri"/>
          <w:szCs w:val="20"/>
        </w:rPr>
        <w:t xml:space="preserve">decisions about licence extensions will be made based </w:t>
      </w:r>
      <w:r w:rsidR="009876A3" w:rsidRPr="002D4941">
        <w:rPr>
          <w:rFonts w:ascii="Calibri" w:eastAsia="Calibri" w:hAnsi="Calibri" w:cs="Calibri"/>
          <w:szCs w:val="20"/>
        </w:rPr>
        <w:t xml:space="preserve">on a range of factors (as outlined above) and </w:t>
      </w:r>
      <w:r w:rsidR="00D80731" w:rsidRPr="002D4941">
        <w:rPr>
          <w:rFonts w:ascii="Calibri" w:eastAsia="Calibri" w:hAnsi="Calibri" w:cs="Calibri"/>
          <w:szCs w:val="20"/>
        </w:rPr>
        <w:t>the Provider Performance Framework rating</w:t>
      </w:r>
      <w:r w:rsidR="009876A3" w:rsidRPr="002D4941">
        <w:rPr>
          <w:rFonts w:ascii="Calibri" w:eastAsia="Calibri" w:hAnsi="Calibri" w:cs="Calibri"/>
          <w:szCs w:val="20"/>
        </w:rPr>
        <w:t xml:space="preserve"> is only</w:t>
      </w:r>
      <w:r w:rsidR="007211FE" w:rsidRPr="002D4941">
        <w:rPr>
          <w:rFonts w:ascii="Calibri" w:eastAsia="Calibri" w:hAnsi="Calibri" w:cs="Calibri"/>
          <w:szCs w:val="20"/>
        </w:rPr>
        <w:t xml:space="preserve"> one of these factors</w:t>
      </w:r>
      <w:r w:rsidR="00D80731" w:rsidRPr="002D4941">
        <w:rPr>
          <w:rFonts w:ascii="Calibri" w:eastAsia="Calibri" w:hAnsi="Calibri" w:cs="Calibri"/>
          <w:szCs w:val="20"/>
        </w:rPr>
        <w:t xml:space="preserve">. </w:t>
      </w:r>
    </w:p>
    <w:p w14:paraId="0DE7B294" w14:textId="77777777" w:rsidR="004E62BC" w:rsidRPr="002D4941" w:rsidRDefault="00D80731" w:rsidP="004E62BC">
      <w:pPr>
        <w:spacing w:after="240"/>
        <w:rPr>
          <w:rFonts w:ascii="Calibri" w:eastAsia="Calibri" w:hAnsi="Calibri" w:cs="Calibri"/>
          <w:szCs w:val="20"/>
        </w:rPr>
      </w:pPr>
      <w:r w:rsidRPr="002D4941">
        <w:rPr>
          <w:rFonts w:ascii="Calibri" w:eastAsia="Calibri" w:hAnsi="Calibri" w:cs="Calibri"/>
          <w:szCs w:val="20"/>
        </w:rPr>
        <w:t xml:space="preserve">Recommendations available for the Review Committee to make will include the following, with the possibility for conditions to be attached to any licence extension: </w:t>
      </w:r>
    </w:p>
    <w:p w14:paraId="0CBAA0AD" w14:textId="77777777" w:rsidR="004E62BC" w:rsidRPr="002D4941" w:rsidRDefault="00D80731" w:rsidP="004E62BC">
      <w:pPr>
        <w:pStyle w:val="ListParagraph"/>
        <w:numPr>
          <w:ilvl w:val="0"/>
          <w:numId w:val="21"/>
        </w:numPr>
        <w:spacing w:after="240"/>
        <w:rPr>
          <w:rFonts w:ascii="Calibri" w:eastAsia="Calibri" w:hAnsi="Calibri" w:cs="Calibri"/>
          <w:szCs w:val="20"/>
        </w:rPr>
      </w:pPr>
      <w:r w:rsidRPr="002D4941">
        <w:rPr>
          <w:rFonts w:ascii="Calibri" w:eastAsia="Calibri" w:hAnsi="Calibri" w:cs="Calibri"/>
          <w:szCs w:val="20"/>
        </w:rPr>
        <w:t xml:space="preserve">a licence being extended to 30 June </w:t>
      </w:r>
      <w:proofErr w:type="gramStart"/>
      <w:r w:rsidRPr="002D4941">
        <w:rPr>
          <w:rFonts w:ascii="Calibri" w:eastAsia="Calibri" w:hAnsi="Calibri" w:cs="Calibri"/>
          <w:szCs w:val="20"/>
        </w:rPr>
        <w:t>2027;</w:t>
      </w:r>
      <w:proofErr w:type="gramEnd"/>
    </w:p>
    <w:p w14:paraId="6EB2B635" w14:textId="77777777" w:rsidR="004E62BC" w:rsidRPr="002D4941" w:rsidRDefault="00D80731" w:rsidP="004E62BC">
      <w:pPr>
        <w:pStyle w:val="ListParagraph"/>
        <w:numPr>
          <w:ilvl w:val="0"/>
          <w:numId w:val="21"/>
        </w:numPr>
        <w:spacing w:after="240"/>
        <w:rPr>
          <w:rFonts w:ascii="Calibri" w:eastAsia="Calibri" w:hAnsi="Calibri" w:cs="Calibri"/>
          <w:szCs w:val="20"/>
        </w:rPr>
      </w:pPr>
      <w:r w:rsidRPr="002D4941">
        <w:rPr>
          <w:rFonts w:ascii="Calibri" w:eastAsia="Calibri" w:hAnsi="Calibri" w:cs="Calibri"/>
          <w:szCs w:val="20"/>
        </w:rPr>
        <w:t>a licence being extended to 30 June 2026; or</w:t>
      </w:r>
    </w:p>
    <w:p w14:paraId="5904F348" w14:textId="77777777" w:rsidR="004E62BC" w:rsidRPr="002D4941" w:rsidRDefault="00D80731" w:rsidP="004E62BC">
      <w:pPr>
        <w:pStyle w:val="ListParagraph"/>
        <w:numPr>
          <w:ilvl w:val="0"/>
          <w:numId w:val="21"/>
        </w:numPr>
        <w:spacing w:after="240"/>
        <w:rPr>
          <w:rFonts w:ascii="Calibri" w:eastAsia="Calibri" w:hAnsi="Calibri" w:cs="Calibri"/>
          <w:szCs w:val="20"/>
        </w:rPr>
      </w:pPr>
      <w:r w:rsidRPr="002D4941">
        <w:rPr>
          <w:rFonts w:ascii="Calibri" w:eastAsia="Calibri" w:hAnsi="Calibri" w:cs="Calibri"/>
          <w:szCs w:val="20"/>
        </w:rPr>
        <w:t xml:space="preserve">non-extension of a current licence (ceasing </w:t>
      </w:r>
      <w:proofErr w:type="gramStart"/>
      <w:r w:rsidRPr="002D4941">
        <w:rPr>
          <w:rFonts w:ascii="Calibri" w:eastAsia="Calibri" w:hAnsi="Calibri" w:cs="Calibri"/>
          <w:szCs w:val="20"/>
        </w:rPr>
        <w:t>at</w:t>
      </w:r>
      <w:proofErr w:type="gramEnd"/>
      <w:r w:rsidRPr="002D4941">
        <w:rPr>
          <w:rFonts w:ascii="Calibri" w:eastAsia="Calibri" w:hAnsi="Calibri" w:cs="Calibri"/>
          <w:szCs w:val="20"/>
        </w:rPr>
        <w:t xml:space="preserve"> 30 June 2025).</w:t>
      </w:r>
    </w:p>
    <w:p w14:paraId="2DF5FDE1" w14:textId="77777777" w:rsidR="00D60324" w:rsidRPr="002D4941" w:rsidRDefault="002222A8" w:rsidP="00D60324">
      <w:pPr>
        <w:spacing w:after="240"/>
        <w:rPr>
          <w:rFonts w:eastAsia="Times New Roman" w:cs="Times New Roman"/>
          <w:color w:val="000000"/>
          <w:lang w:eastAsia="en-AU"/>
        </w:rPr>
      </w:pPr>
      <w:r w:rsidRPr="002D4941">
        <w:rPr>
          <w:rFonts w:eastAsia="Times New Roman" w:cs="Times New Roman"/>
          <w:color w:val="000000"/>
          <w:lang w:val="en-US" w:eastAsia="en-AU"/>
        </w:rPr>
        <w:t>In certain circumstances</w:t>
      </w:r>
      <w:r w:rsidR="00D80731" w:rsidRPr="002D4941">
        <w:rPr>
          <w:rFonts w:eastAsia="Times New Roman" w:cs="Times New Roman"/>
          <w:color w:val="000000"/>
          <w:lang w:val="en-US" w:eastAsia="en-AU"/>
        </w:rPr>
        <w:t>, Providers may be asked for information and/or offered an opportunity to respond</w:t>
      </w:r>
      <w:r w:rsidRPr="002D4941">
        <w:rPr>
          <w:rFonts w:eastAsia="Times New Roman" w:cs="Times New Roman"/>
          <w:color w:val="000000"/>
          <w:lang w:val="en-US" w:eastAsia="en-AU"/>
        </w:rPr>
        <w:t xml:space="preserve"> to certain issues relevant to the review of their licence</w:t>
      </w:r>
      <w:r w:rsidR="00D80731" w:rsidRPr="002D4941">
        <w:rPr>
          <w:rFonts w:eastAsia="Times New Roman" w:cs="Times New Roman"/>
          <w:color w:val="000000"/>
          <w:lang w:val="en-US" w:eastAsia="en-AU"/>
        </w:rPr>
        <w:t>.  </w:t>
      </w:r>
    </w:p>
    <w:p w14:paraId="511969B8" w14:textId="00A65A0A" w:rsidR="004E62BC" w:rsidRPr="002D4941" w:rsidRDefault="00D80731" w:rsidP="00562FE6">
      <w:pPr>
        <w:spacing w:before="240"/>
        <w:rPr>
          <w:b/>
          <w:bCs/>
        </w:rPr>
      </w:pPr>
      <w:r w:rsidRPr="002D4941">
        <w:rPr>
          <w:b/>
          <w:bCs/>
        </w:rPr>
        <w:t xml:space="preserve">Q. If a licence is rated </w:t>
      </w:r>
      <w:r w:rsidR="002222A8" w:rsidRPr="002D4941">
        <w:rPr>
          <w:b/>
          <w:bCs/>
        </w:rPr>
        <w:t>L</w:t>
      </w:r>
      <w:r w:rsidRPr="002D4941">
        <w:rPr>
          <w:b/>
          <w:bCs/>
        </w:rPr>
        <w:t>ow under the Provider Performance Framework, and there are no extenuating circumstances</w:t>
      </w:r>
      <w:r w:rsidR="00D56931" w:rsidRPr="002D4941">
        <w:rPr>
          <w:b/>
          <w:bCs/>
        </w:rPr>
        <w:t xml:space="preserve"> that have impacted the Provider's performance</w:t>
      </w:r>
      <w:r w:rsidRPr="002D4941">
        <w:rPr>
          <w:b/>
          <w:bCs/>
        </w:rPr>
        <w:t>, does that mean there will be no licence extension post</w:t>
      </w:r>
      <w:r w:rsidR="00255F47" w:rsidRPr="002D4941">
        <w:rPr>
          <w:b/>
          <w:bCs/>
        </w:rPr>
        <w:t>-</w:t>
      </w:r>
      <w:r w:rsidRPr="002D4941">
        <w:rPr>
          <w:b/>
          <w:bCs/>
        </w:rPr>
        <w:t>June 2025</w:t>
      </w:r>
      <w:r w:rsidR="00D56931" w:rsidRPr="002D4941">
        <w:rPr>
          <w:b/>
          <w:bCs/>
        </w:rPr>
        <w:t xml:space="preserve"> for that Provider</w:t>
      </w:r>
      <w:r w:rsidRPr="002D4941">
        <w:rPr>
          <w:b/>
          <w:bCs/>
        </w:rPr>
        <w:t>?</w:t>
      </w:r>
    </w:p>
    <w:p w14:paraId="56F98E89" w14:textId="77777777" w:rsidR="003179AF" w:rsidRPr="00F42328" w:rsidRDefault="00D80731" w:rsidP="003179AF">
      <w:pPr>
        <w:spacing w:after="240"/>
        <w:rPr>
          <w:rFonts w:ascii="Calibri" w:eastAsia="Calibri" w:hAnsi="Calibri" w:cs="Calibri"/>
          <w:szCs w:val="20"/>
        </w:rPr>
      </w:pPr>
      <w:r w:rsidRPr="002D4941">
        <w:rPr>
          <w:rFonts w:ascii="Calibri" w:eastAsia="Calibri" w:hAnsi="Calibri" w:cs="Calibri"/>
          <w:szCs w:val="20"/>
        </w:rPr>
        <w:t xml:space="preserve">All licences will be examined in the Review and the Provider Performance Framework outcomes are only one contributing factor. No decisions about licence extensions will be made based only on the Provider Performance </w:t>
      </w:r>
      <w:r w:rsidRPr="00F42328">
        <w:rPr>
          <w:rFonts w:ascii="Calibri" w:eastAsia="Calibri" w:hAnsi="Calibri" w:cs="Calibri"/>
          <w:szCs w:val="20"/>
        </w:rPr>
        <w:t xml:space="preserve">Framework ratings. </w:t>
      </w:r>
    </w:p>
    <w:p w14:paraId="56F2E980" w14:textId="77777777" w:rsidR="00F57F5E" w:rsidRPr="00F57F5E" w:rsidRDefault="00F57F5E" w:rsidP="00F57F5E">
      <w:pPr>
        <w:spacing w:after="240"/>
        <w:rPr>
          <w:b/>
          <w:bCs/>
        </w:rPr>
      </w:pPr>
      <w:r w:rsidRPr="00F57F5E">
        <w:rPr>
          <w:b/>
          <w:bCs/>
        </w:rPr>
        <w:t>Q: Will I be provided the reasons for a decision?  </w:t>
      </w:r>
    </w:p>
    <w:p w14:paraId="3FF4ACF7" w14:textId="77777777" w:rsidR="00F57F5E" w:rsidRPr="00F42328" w:rsidRDefault="00F57F5E" w:rsidP="00F57F5E">
      <w:pPr>
        <w:spacing w:after="240"/>
      </w:pPr>
      <w:r w:rsidRPr="00F57F5E">
        <w:t>All decisions under the Licence Review will be made with reference to the factors that we have previously made available to Providers as part of the Licence Review FAQ document. Such factors will be related to performance of Workforce Australia Services since its introduction. A letter will be sent to Providers stating the high-level outcomes and reasons for the decision in early 2025.</w:t>
      </w:r>
    </w:p>
    <w:p w14:paraId="289C54ED" w14:textId="77777777" w:rsidR="00F57F5E" w:rsidRPr="00F57F5E" w:rsidRDefault="00F57F5E" w:rsidP="00F57F5E">
      <w:pPr>
        <w:rPr>
          <w:b/>
          <w:bCs/>
        </w:rPr>
      </w:pPr>
      <w:r w:rsidRPr="00F57F5E">
        <w:rPr>
          <w:b/>
          <w:bCs/>
        </w:rPr>
        <w:t>Q: Will Providers be offered a debrief after the outcomes are known?</w:t>
      </w:r>
    </w:p>
    <w:p w14:paraId="1072CFBB" w14:textId="77777777" w:rsidR="00F57F5E" w:rsidRPr="00F57F5E" w:rsidRDefault="00F57F5E" w:rsidP="00F57F5E">
      <w:pPr>
        <w:spacing w:after="240"/>
      </w:pPr>
      <w:r w:rsidRPr="00F57F5E">
        <w:t xml:space="preserve">No. A debrief process is used by the </w:t>
      </w:r>
      <w:r w:rsidRPr="00F42328">
        <w:t>d</w:t>
      </w:r>
      <w:r w:rsidRPr="00F57F5E">
        <w:t xml:space="preserve">epartment to provide feedback to a Tenderer about how their submission could have been more competitive or compelling </w:t>
      </w:r>
      <w:proofErr w:type="gramStart"/>
      <w:r w:rsidRPr="00F57F5E">
        <w:t>in a given</w:t>
      </w:r>
      <w:proofErr w:type="gramEnd"/>
      <w:r w:rsidRPr="00F57F5E">
        <w:t xml:space="preserve"> procurement process. This process does not apply in the context of the Licence Review. The Licence Review is not comparing Licences against one another but is a departmental (case by case) assessment of performance by the relevant Provider and other relevant factors. However, the </w:t>
      </w:r>
      <w:r w:rsidRPr="00F42328">
        <w:t>d</w:t>
      </w:r>
      <w:r w:rsidRPr="00F57F5E">
        <w:t>epartment will provide Providers with an explanation of the high-level outcomes and reasons for those outcomes in early 2025.</w:t>
      </w:r>
    </w:p>
    <w:p w14:paraId="7CED9C29" w14:textId="77777777" w:rsidR="00562FE6" w:rsidRPr="00F42328" w:rsidRDefault="00562FE6" w:rsidP="003F48BD">
      <w:pPr>
        <w:rPr>
          <w:i/>
          <w:iCs/>
        </w:rPr>
      </w:pPr>
    </w:p>
    <w:p w14:paraId="3871DADF" w14:textId="77777777" w:rsidR="00F57F5E" w:rsidRPr="00F42328" w:rsidRDefault="00F57F5E" w:rsidP="003F48BD">
      <w:pPr>
        <w:rPr>
          <w:i/>
          <w:iCs/>
        </w:rPr>
      </w:pPr>
    </w:p>
    <w:p w14:paraId="6559C2DE" w14:textId="57746E56" w:rsidR="00880E0D" w:rsidRPr="00F42328" w:rsidRDefault="00D80731" w:rsidP="002D4941">
      <w:pPr>
        <w:rPr>
          <w:b/>
          <w:bCs/>
        </w:rPr>
      </w:pPr>
      <w:r w:rsidRPr="00F42328">
        <w:rPr>
          <w:i/>
          <w:iCs/>
        </w:rPr>
        <w:t>Q</w:t>
      </w:r>
      <w:bookmarkEnd w:id="2"/>
      <w:r w:rsidRPr="00F42328">
        <w:rPr>
          <w:i/>
          <w:iCs/>
        </w:rPr>
        <w:t>uestions responded to via the ESLicenceReview</w:t>
      </w:r>
      <w:r w:rsidR="00252826" w:rsidRPr="00F42328">
        <w:rPr>
          <w:i/>
          <w:iCs/>
        </w:rPr>
        <w:t xml:space="preserve">@dewr.gov.au </w:t>
      </w:r>
      <w:r w:rsidRPr="00F42328">
        <w:rPr>
          <w:i/>
          <w:iCs/>
        </w:rPr>
        <w:t xml:space="preserve">inbox: </w:t>
      </w:r>
      <w:r w:rsidRPr="00F42328">
        <w:rPr>
          <w:i/>
          <w:iCs/>
        </w:rPr>
        <w:br/>
      </w:r>
      <w:r w:rsidR="002D4941" w:rsidRPr="00F42328">
        <w:rPr>
          <w:b/>
          <w:bCs/>
        </w:rPr>
        <w:br/>
      </w:r>
      <w:r w:rsidRPr="00F42328">
        <w:rPr>
          <w:b/>
          <w:bCs/>
        </w:rPr>
        <w:t>Q. Can I have an extension beyond 1 November to provide the information requested by the department for the Review?</w:t>
      </w:r>
    </w:p>
    <w:p w14:paraId="3F95A381" w14:textId="77777777" w:rsidR="00880E0D" w:rsidRPr="00F42328" w:rsidRDefault="00D80731" w:rsidP="004E62BC">
      <w:pPr>
        <w:spacing w:after="240"/>
      </w:pPr>
      <w:r w:rsidRPr="00F42328">
        <w:t>No. All documentation must be received by 1 November 2024 to allow for the Licence Review to be finalised by early 2025.</w:t>
      </w:r>
    </w:p>
    <w:p w14:paraId="6AAE5212" w14:textId="77777777" w:rsidR="00880E0D" w:rsidRPr="00F42328" w:rsidRDefault="00D80731" w:rsidP="00562FE6">
      <w:pPr>
        <w:spacing w:before="240"/>
        <w:rPr>
          <w:b/>
          <w:bCs/>
        </w:rPr>
      </w:pPr>
      <w:r w:rsidRPr="00F42328">
        <w:rPr>
          <w:b/>
          <w:bCs/>
        </w:rPr>
        <w:t xml:space="preserve">Q. Is the 500-word limit for Low </w:t>
      </w:r>
      <w:r w:rsidR="001F4E4A" w:rsidRPr="00F42328">
        <w:rPr>
          <w:b/>
          <w:bCs/>
        </w:rPr>
        <w:t xml:space="preserve">Provider Performance Framework </w:t>
      </w:r>
      <w:r w:rsidRPr="00F42328">
        <w:rPr>
          <w:b/>
          <w:bCs/>
        </w:rPr>
        <w:t>rated licence holder submissions per region/licence or 500 words overall?</w:t>
      </w:r>
    </w:p>
    <w:p w14:paraId="3C8F5DF2" w14:textId="77777777" w:rsidR="00880E0D" w:rsidRPr="00F42328" w:rsidRDefault="00D80731" w:rsidP="004E62BC">
      <w:pPr>
        <w:spacing w:after="240"/>
      </w:pPr>
      <w:r w:rsidRPr="00F42328">
        <w:t>The 500-word limit applies per Low rated licence.</w:t>
      </w:r>
    </w:p>
    <w:p w14:paraId="6313EBD9" w14:textId="77777777" w:rsidR="00252826" w:rsidRPr="00F42328" w:rsidRDefault="00D80731" w:rsidP="00562FE6">
      <w:pPr>
        <w:spacing w:before="240"/>
        <w:rPr>
          <w:b/>
          <w:bCs/>
        </w:rPr>
      </w:pPr>
      <w:r w:rsidRPr="00F42328">
        <w:rPr>
          <w:b/>
          <w:bCs/>
        </w:rPr>
        <w:t xml:space="preserve">Q. What type of documentary evidence should be submitted with an extenuating circumstances statement? </w:t>
      </w:r>
    </w:p>
    <w:p w14:paraId="0E4BC2FF" w14:textId="77777777" w:rsidR="00252826" w:rsidRPr="00F42328" w:rsidRDefault="00D80731" w:rsidP="00252826">
      <w:pPr>
        <w:spacing w:after="240"/>
      </w:pPr>
      <w:r w:rsidRPr="00F42328">
        <w:t xml:space="preserve">This will depend on the type of extenuating circumstance outlined in the 500-word summary. Independent documentary evidence to support the claims regarding the circumstance, why it was out of the control of the organisation and what has been done to mitigate it occurring again are permitted. </w:t>
      </w:r>
    </w:p>
    <w:p w14:paraId="0B8457FA" w14:textId="77777777" w:rsidR="00252826" w:rsidRPr="00F42328" w:rsidRDefault="00D80731" w:rsidP="00562FE6">
      <w:pPr>
        <w:spacing w:before="240"/>
        <w:rPr>
          <w:b/>
          <w:bCs/>
        </w:rPr>
      </w:pPr>
      <w:bookmarkStart w:id="3" w:name="_Hlk180157887"/>
      <w:r w:rsidRPr="00F42328">
        <w:rPr>
          <w:b/>
          <w:bCs/>
        </w:rPr>
        <w:t xml:space="preserve">Q. I am a Panel </w:t>
      </w:r>
      <w:proofErr w:type="gramStart"/>
      <w:r w:rsidRPr="00F42328">
        <w:rPr>
          <w:b/>
          <w:bCs/>
        </w:rPr>
        <w:t>member</w:t>
      </w:r>
      <w:proofErr w:type="gramEnd"/>
      <w:r w:rsidRPr="00F42328">
        <w:rPr>
          <w:b/>
          <w:bCs/>
        </w:rPr>
        <w:t xml:space="preserve"> and I would like to add/remove a subcontractor I used in my Tender response to the original Workforce Australia Services Request for Proposal in 2021. What attachments should I include when completing my Panel Member Declaration Form?</w:t>
      </w:r>
    </w:p>
    <w:p w14:paraId="6F2FD328" w14:textId="77777777" w:rsidR="00252826" w:rsidRPr="00F42328" w:rsidRDefault="00D80731" w:rsidP="00252826">
      <w:pPr>
        <w:spacing w:after="240"/>
      </w:pPr>
      <w:r w:rsidRPr="00F42328">
        <w:t xml:space="preserve">If you would like to remove a subcontractor who was identified in your original Tender for the </w:t>
      </w:r>
      <w:r w:rsidRPr="00F42328">
        <w:rPr>
          <w:i/>
          <w:iCs/>
        </w:rPr>
        <w:t>Workforce Australia Services Deed of Standing Offer 2022 – 2028</w:t>
      </w:r>
      <w:r w:rsidRPr="00F42328">
        <w:t xml:space="preserve">, please provide this advice in writing to the department via your Provider Lead (refer clause </w:t>
      </w:r>
      <w:r w:rsidRPr="00F42328">
        <w:rPr>
          <w:i/>
          <w:iCs/>
        </w:rPr>
        <w:t>59.1 of the Workforce Australia Services Deed of Standing Offer 2022 – 2028</w:t>
      </w:r>
      <w:r w:rsidRPr="00F42328">
        <w:t xml:space="preserve">: “The Provider must not, without the </w:t>
      </w:r>
      <w:bookmarkStart w:id="4" w:name="_9kR3WTr673457"/>
      <w:r w:rsidRPr="00F42328">
        <w:t>Department's</w:t>
      </w:r>
      <w:bookmarkEnd w:id="4"/>
      <w:r w:rsidRPr="00F42328">
        <w:t xml:space="preserve"> prior written approval, enter into, or terminate, a Subcontract.”). </w:t>
      </w:r>
    </w:p>
    <w:p w14:paraId="18C48E5C" w14:textId="77777777" w:rsidR="00252826" w:rsidRPr="00F42328" w:rsidRDefault="00D80731" w:rsidP="00252826">
      <w:pPr>
        <w:spacing w:after="240"/>
      </w:pPr>
      <w:r w:rsidRPr="00F42328">
        <w:t xml:space="preserve">In this instance, you would not be required to provide </w:t>
      </w:r>
      <w:r w:rsidRPr="00F42328">
        <w:rPr>
          <w:u w:val="single"/>
        </w:rPr>
        <w:t>Attachment B</w:t>
      </w:r>
      <w:r w:rsidRPr="00F42328">
        <w:t xml:space="preserve"> to the Panel Member Declaration Form for that organisation.</w:t>
      </w:r>
    </w:p>
    <w:p w14:paraId="47961765" w14:textId="77777777" w:rsidR="00252826" w:rsidRPr="00F42328" w:rsidRDefault="00D80731" w:rsidP="00252826">
      <w:pPr>
        <w:spacing w:after="240"/>
      </w:pPr>
      <w:r w:rsidRPr="00F42328">
        <w:t xml:space="preserve">Should you wish to nominate a new subcontractor, you can do this by notifying your Provider Lead and completing </w:t>
      </w:r>
      <w:r w:rsidRPr="00F42328">
        <w:rPr>
          <w:u w:val="single"/>
        </w:rPr>
        <w:t>Attachment B</w:t>
      </w:r>
      <w:r w:rsidRPr="00F42328">
        <w:t xml:space="preserve"> for that organisation.</w:t>
      </w:r>
    </w:p>
    <w:p w14:paraId="5FD48A92" w14:textId="77777777" w:rsidR="00F57F5E" w:rsidRPr="00F42328" w:rsidRDefault="00F57F5E">
      <w:pPr>
        <w:spacing w:after="160" w:line="259" w:lineRule="auto"/>
        <w:rPr>
          <w:b/>
          <w:bCs/>
        </w:rPr>
      </w:pPr>
      <w:r w:rsidRPr="00F42328">
        <w:rPr>
          <w:b/>
          <w:bCs/>
        </w:rPr>
        <w:br w:type="page"/>
      </w:r>
    </w:p>
    <w:p w14:paraId="640C4B77" w14:textId="02E6804C" w:rsidR="00E03BA6" w:rsidRPr="00F42328" w:rsidRDefault="00D80731" w:rsidP="00562FE6">
      <w:pPr>
        <w:spacing w:before="240"/>
        <w:rPr>
          <w:b/>
          <w:bCs/>
        </w:rPr>
      </w:pPr>
      <w:r w:rsidRPr="00F42328">
        <w:rPr>
          <w:b/>
          <w:bCs/>
        </w:rPr>
        <w:t xml:space="preserve">Q. Will in scope providers </w:t>
      </w:r>
      <w:proofErr w:type="gramStart"/>
      <w:r w:rsidRPr="00F42328">
        <w:rPr>
          <w:b/>
          <w:bCs/>
        </w:rPr>
        <w:t>have the opportunity to</w:t>
      </w:r>
      <w:proofErr w:type="gramEnd"/>
      <w:r w:rsidRPr="00F42328">
        <w:rPr>
          <w:b/>
          <w:bCs/>
        </w:rPr>
        <w:t xml:space="preserve"> present their performance improvement strategies and relevant data reflecting outcomes after the June 2024 Performance Framework data release? </w:t>
      </w:r>
    </w:p>
    <w:p w14:paraId="46B802E6" w14:textId="77777777" w:rsidR="00E03BA6" w:rsidRPr="00F42328" w:rsidRDefault="00D80731" w:rsidP="00E03BA6">
      <w:pPr>
        <w:spacing w:after="240"/>
      </w:pPr>
      <w:r w:rsidRPr="00F42328">
        <w:t xml:space="preserve">Strategies which Providers with a </w:t>
      </w:r>
      <w:proofErr w:type="gramStart"/>
      <w:r w:rsidRPr="00F42328">
        <w:t>low-rating</w:t>
      </w:r>
      <w:proofErr w:type="gramEnd"/>
      <w:r w:rsidRPr="00F42328">
        <w:t xml:space="preserve"> in June 2024 may outline must be related to extenuating circumstances. In general, you should outline how you have critically examined the issue that has arisen, and the processes and systems that have been put in place within your organisation to improve performance under and in accordance with the Workforce Australia Services Deed of Standing Offer 2022 – 2028. Documentary evidence can be used to substantiate your claim. </w:t>
      </w:r>
    </w:p>
    <w:p w14:paraId="1C541643" w14:textId="04197201" w:rsidR="00E03BA6" w:rsidRPr="00F42328" w:rsidRDefault="00D80731" w:rsidP="00E03BA6">
      <w:pPr>
        <w:spacing w:after="240"/>
      </w:pPr>
      <w:r w:rsidRPr="00F42328">
        <w:t>In relation to data post</w:t>
      </w:r>
      <w:r w:rsidR="00255F47" w:rsidRPr="00F42328">
        <w:t>-</w:t>
      </w:r>
      <w:r w:rsidRPr="00F42328">
        <w:t xml:space="preserve">June 2024, the department may </w:t>
      </w:r>
      <w:proofErr w:type="gramStart"/>
      <w:r w:rsidRPr="00F42328">
        <w:t>give consideration to</w:t>
      </w:r>
      <w:proofErr w:type="gramEnd"/>
      <w:r w:rsidRPr="00F42328">
        <w:t xml:space="preserve"> all available performance-related data (including post-June 2024 data) when determining whether or not to extend a Provider's licence or impose conditions on a Provider's licence. This includes, for example, consideration of performance data in the assessment of an extenuating circumstances submission provided by a Provider with a Low rating.</w:t>
      </w:r>
    </w:p>
    <w:p w14:paraId="60E6C09C" w14:textId="79B8A009" w:rsidR="00E03BA6" w:rsidRPr="00F42328" w:rsidRDefault="00D80731" w:rsidP="00562FE6">
      <w:pPr>
        <w:spacing w:before="240"/>
        <w:rPr>
          <w:b/>
          <w:bCs/>
        </w:rPr>
      </w:pPr>
      <w:r w:rsidRPr="00F42328">
        <w:rPr>
          <w:b/>
          <w:bCs/>
        </w:rPr>
        <w:t xml:space="preserve">Q. Can the 500-word summary be used to demonstrate performance improvement, or should it be limited to addressing extenuating circumstances? </w:t>
      </w:r>
    </w:p>
    <w:p w14:paraId="0F780A53" w14:textId="77777777" w:rsidR="00E03BA6" w:rsidRPr="00F42328" w:rsidRDefault="00D80731" w:rsidP="00E03BA6">
      <w:pPr>
        <w:spacing w:after="240"/>
      </w:pPr>
      <w:r w:rsidRPr="00F42328">
        <w:t>The 500-word claim and supporting documentation process is limited to advising the department of any extenuating circumstances. Extenuating circumstances are those beyond a Provider's control, which negatively impacted its performance and for which strategies or actions have been or will be put in place to improve performance. Independent documentary evidence to support the claims regarding the circumstance, why it was out of the control of the organisation and what has been done to mitigate it occurring again are permitted.</w:t>
      </w:r>
    </w:p>
    <w:p w14:paraId="0B30C9FA" w14:textId="77777777" w:rsidR="00E03BA6" w:rsidRPr="00F42328" w:rsidRDefault="00D80731" w:rsidP="00562FE6">
      <w:pPr>
        <w:spacing w:before="240"/>
        <w:rPr>
          <w:b/>
          <w:bCs/>
        </w:rPr>
      </w:pPr>
      <w:r w:rsidRPr="00F42328">
        <w:rPr>
          <w:b/>
          <w:bCs/>
        </w:rPr>
        <w:t>Q. Will providers have an opportunity to meet with the Review Committee to discuss their performance and present a case for a license extension or an extension with conditions?</w:t>
      </w:r>
    </w:p>
    <w:p w14:paraId="69C13BA8" w14:textId="77777777" w:rsidR="00E03BA6" w:rsidRPr="00F42328" w:rsidRDefault="00D80731" w:rsidP="00E03BA6">
      <w:pPr>
        <w:spacing w:after="240"/>
      </w:pPr>
      <w:r w:rsidRPr="00F42328">
        <w:t>The Review Committee will not be meeting with Panel members. If the Committee needs to engage with a Provider as the Review progresses, or request information for example, this will be done via correspondence.</w:t>
      </w:r>
    </w:p>
    <w:p w14:paraId="1EEEA1CE" w14:textId="76CA77C4" w:rsidR="00662314" w:rsidRPr="00F42328" w:rsidRDefault="00662314" w:rsidP="00662314">
      <w:pPr>
        <w:rPr>
          <w:b/>
          <w:bCs/>
        </w:rPr>
      </w:pPr>
      <w:r w:rsidRPr="00F42328">
        <w:rPr>
          <w:b/>
          <w:bCs/>
        </w:rPr>
        <w:t>Q: At what level is the Licence Review occurring?</w:t>
      </w:r>
    </w:p>
    <w:p w14:paraId="351A92F2" w14:textId="6FD4C8D0" w:rsidR="004E62BC" w:rsidRPr="00F42328" w:rsidRDefault="00662314" w:rsidP="003E268F">
      <w:pPr>
        <w:spacing w:after="240"/>
      </w:pPr>
      <w:r w:rsidRPr="00F42328">
        <w:t>Under the Workforce Australia Services Deed of Standing Offer 2022–2028 Licences are issued for the delivery of Workforce Australia Services in a specific Employment Region. All 176 Workforce Australia Services Provider licences are due to expire on 30 June 2025 and each licence is being reviewed.</w:t>
      </w:r>
      <w:bookmarkEnd w:id="3"/>
    </w:p>
    <w:p w14:paraId="6DF9DE9D" w14:textId="77777777" w:rsidR="00F57F5E" w:rsidRPr="00F57F5E" w:rsidRDefault="00F57F5E" w:rsidP="00F57F5E">
      <w:pPr>
        <w:rPr>
          <w:b/>
          <w:bCs/>
        </w:rPr>
      </w:pPr>
      <w:r w:rsidRPr="00F57F5E">
        <w:rPr>
          <w:b/>
          <w:bCs/>
        </w:rPr>
        <w:t xml:space="preserve">Q: Will I be provided ‘Licence Review’ or ‘Committee’ documentation with the outcomes of the process? </w:t>
      </w:r>
    </w:p>
    <w:p w14:paraId="4F01534F" w14:textId="6D586BB0" w:rsidR="00F57F5E" w:rsidRPr="00F57F5E" w:rsidRDefault="00F57F5E" w:rsidP="00F57F5E">
      <w:pPr>
        <w:spacing w:after="240"/>
      </w:pPr>
      <w:r w:rsidRPr="00F57F5E">
        <w:t xml:space="preserve">No. Documentation available to or produced throughout the Review will not be made public. A letter will be sent to Providers stating the </w:t>
      </w:r>
      <w:proofErr w:type="gramStart"/>
      <w:r w:rsidRPr="00F57F5E">
        <w:t>high level</w:t>
      </w:r>
      <w:proofErr w:type="gramEnd"/>
      <w:r w:rsidRPr="00F57F5E">
        <w:t xml:space="preserve"> outcomes and reasons for the decision in early 2025. </w:t>
      </w:r>
    </w:p>
    <w:sectPr w:rsidR="00F57F5E" w:rsidRPr="00F57F5E" w:rsidSect="002D4941">
      <w:type w:val="continuous"/>
      <w:pgSz w:w="11906" w:h="16838"/>
      <w:pgMar w:top="1134" w:right="1021" w:bottom="851"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B52C8" w14:textId="77777777" w:rsidR="00BB5462" w:rsidRDefault="00BB5462" w:rsidP="00EE7FDA">
      <w:pPr>
        <w:spacing w:after="0"/>
      </w:pPr>
      <w:r>
        <w:separator/>
      </w:r>
    </w:p>
  </w:endnote>
  <w:endnote w:type="continuationSeparator" w:id="0">
    <w:p w14:paraId="2359F808" w14:textId="77777777" w:rsidR="00BB5462" w:rsidRDefault="00BB5462" w:rsidP="00EE7FDA">
      <w:pPr>
        <w:spacing w:after="0"/>
      </w:pPr>
      <w:r>
        <w:continuationSeparator/>
      </w:r>
    </w:p>
  </w:endnote>
  <w:endnote w:type="continuationNotice" w:id="1">
    <w:p w14:paraId="37EA860A" w14:textId="77777777" w:rsidR="00BB5462" w:rsidRDefault="00BB54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283702"/>
      <w:docPartObj>
        <w:docPartGallery w:val="Page Numbers (Bottom of Page)"/>
        <w:docPartUnique/>
      </w:docPartObj>
    </w:sdtPr>
    <w:sdtEndPr>
      <w:rPr>
        <w:noProof/>
      </w:rPr>
    </w:sdtEndPr>
    <w:sdtContent>
      <w:p w14:paraId="46D3ACB4" w14:textId="77777777" w:rsidR="000204B9" w:rsidRDefault="00D80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541BE" w14:textId="77777777" w:rsidR="00CA48FA" w:rsidRDefault="00CA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4C73" w14:textId="77777777" w:rsidR="00CA48FA" w:rsidRDefault="00D80731">
    <w:pPr>
      <w:pStyle w:val="Footer"/>
    </w:pPr>
    <w:r>
      <w:rPr>
        <w:noProof/>
      </w:rPr>
      <w:drawing>
        <wp:anchor distT="0" distB="0" distL="114300" distR="114300" simplePos="0" relativeHeight="251658240" behindDoc="1" locked="0" layoutInCell="1" allowOverlap="1" wp14:anchorId="181D4C17" wp14:editId="36FCCCEC">
          <wp:simplePos x="0" y="0"/>
          <wp:positionH relativeFrom="page">
            <wp:posOffset>0</wp:posOffset>
          </wp:positionH>
          <wp:positionV relativeFrom="page">
            <wp:posOffset>9337371</wp:posOffset>
          </wp:positionV>
          <wp:extent cx="7560000" cy="1353483"/>
          <wp:effectExtent l="0" t="0" r="3175" b="0"/>
          <wp:wrapNone/>
          <wp:docPr id="1011715090" name="Picture 1011715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509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E862E" w14:textId="77777777" w:rsidR="00BB5462" w:rsidRDefault="00BB5462" w:rsidP="00D105E6">
      <w:pPr>
        <w:spacing w:after="60"/>
      </w:pPr>
      <w:r>
        <w:separator/>
      </w:r>
    </w:p>
  </w:footnote>
  <w:footnote w:type="continuationSeparator" w:id="0">
    <w:p w14:paraId="34700652" w14:textId="77777777" w:rsidR="00BB5462" w:rsidRDefault="00BB5462" w:rsidP="00EE7FDA">
      <w:pPr>
        <w:spacing w:after="0"/>
      </w:pPr>
      <w:r>
        <w:continuationSeparator/>
      </w:r>
    </w:p>
  </w:footnote>
  <w:footnote w:type="continuationNotice" w:id="1">
    <w:p w14:paraId="0696B94A" w14:textId="77777777" w:rsidR="00BB5462" w:rsidRDefault="00BB54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B5918DB"/>
    <w:multiLevelType w:val="hybridMultilevel"/>
    <w:tmpl w:val="3C0E4A78"/>
    <w:lvl w:ilvl="0" w:tplc="B95CB4D6">
      <w:start w:val="1"/>
      <w:numFmt w:val="decimal"/>
      <w:lvlText w:val="%1)"/>
      <w:lvlJc w:val="left"/>
      <w:pPr>
        <w:ind w:left="720" w:hanging="360"/>
      </w:pPr>
    </w:lvl>
    <w:lvl w:ilvl="1" w:tplc="03D6A2D6">
      <w:start w:val="1"/>
      <w:numFmt w:val="bullet"/>
      <w:lvlText w:val="o"/>
      <w:lvlJc w:val="left"/>
      <w:pPr>
        <w:ind w:left="1440" w:hanging="360"/>
      </w:pPr>
      <w:rPr>
        <w:rFonts w:ascii="Courier New" w:hAnsi="Courier New" w:cs="Courier New" w:hint="default"/>
      </w:rPr>
    </w:lvl>
    <w:lvl w:ilvl="2" w:tplc="60FC0814">
      <w:start w:val="1"/>
      <w:numFmt w:val="bullet"/>
      <w:lvlText w:val=""/>
      <w:lvlJc w:val="left"/>
      <w:pPr>
        <w:ind w:left="2160" w:hanging="360"/>
      </w:pPr>
      <w:rPr>
        <w:rFonts w:ascii="Wingdings" w:hAnsi="Wingdings" w:hint="default"/>
      </w:rPr>
    </w:lvl>
    <w:lvl w:ilvl="3" w:tplc="46B89456">
      <w:start w:val="1"/>
      <w:numFmt w:val="bullet"/>
      <w:lvlText w:val=""/>
      <w:lvlJc w:val="left"/>
      <w:pPr>
        <w:ind w:left="2880" w:hanging="360"/>
      </w:pPr>
      <w:rPr>
        <w:rFonts w:ascii="Symbol" w:hAnsi="Symbol" w:hint="default"/>
      </w:rPr>
    </w:lvl>
    <w:lvl w:ilvl="4" w:tplc="2F5433A8">
      <w:start w:val="1"/>
      <w:numFmt w:val="bullet"/>
      <w:lvlText w:val="o"/>
      <w:lvlJc w:val="left"/>
      <w:pPr>
        <w:ind w:left="3600" w:hanging="360"/>
      </w:pPr>
      <w:rPr>
        <w:rFonts w:ascii="Courier New" w:hAnsi="Courier New" w:cs="Courier New" w:hint="default"/>
      </w:rPr>
    </w:lvl>
    <w:lvl w:ilvl="5" w:tplc="40A0AA90">
      <w:start w:val="1"/>
      <w:numFmt w:val="bullet"/>
      <w:lvlText w:val=""/>
      <w:lvlJc w:val="left"/>
      <w:pPr>
        <w:ind w:left="4320" w:hanging="360"/>
      </w:pPr>
      <w:rPr>
        <w:rFonts w:ascii="Wingdings" w:hAnsi="Wingdings" w:hint="default"/>
      </w:rPr>
    </w:lvl>
    <w:lvl w:ilvl="6" w:tplc="03D08F48">
      <w:start w:val="1"/>
      <w:numFmt w:val="bullet"/>
      <w:lvlText w:val=""/>
      <w:lvlJc w:val="left"/>
      <w:pPr>
        <w:ind w:left="5040" w:hanging="360"/>
      </w:pPr>
      <w:rPr>
        <w:rFonts w:ascii="Symbol" w:hAnsi="Symbol" w:hint="default"/>
      </w:rPr>
    </w:lvl>
    <w:lvl w:ilvl="7" w:tplc="50AA0362">
      <w:start w:val="1"/>
      <w:numFmt w:val="bullet"/>
      <w:lvlText w:val="o"/>
      <w:lvlJc w:val="left"/>
      <w:pPr>
        <w:ind w:left="5760" w:hanging="360"/>
      </w:pPr>
      <w:rPr>
        <w:rFonts w:ascii="Courier New" w:hAnsi="Courier New" w:cs="Courier New" w:hint="default"/>
      </w:rPr>
    </w:lvl>
    <w:lvl w:ilvl="8" w:tplc="1DFA62F0">
      <w:start w:val="1"/>
      <w:numFmt w:val="bullet"/>
      <w:lvlText w:val=""/>
      <w:lvlJc w:val="left"/>
      <w:pPr>
        <w:ind w:left="6480" w:hanging="360"/>
      </w:pPr>
      <w:rPr>
        <w:rFonts w:ascii="Wingdings" w:hAnsi="Wingdings" w:hint="default"/>
      </w:r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562858"/>
    <w:multiLevelType w:val="hybridMultilevel"/>
    <w:tmpl w:val="CCD6C9F4"/>
    <w:lvl w:ilvl="0" w:tplc="D5104B28">
      <w:start w:val="1"/>
      <w:numFmt w:val="bullet"/>
      <w:lvlText w:val=""/>
      <w:lvlJc w:val="left"/>
      <w:pPr>
        <w:ind w:left="720" w:hanging="360"/>
      </w:pPr>
      <w:rPr>
        <w:rFonts w:ascii="Symbol" w:hAnsi="Symbol" w:hint="default"/>
      </w:rPr>
    </w:lvl>
    <w:lvl w:ilvl="1" w:tplc="BF16242E" w:tentative="1">
      <w:start w:val="1"/>
      <w:numFmt w:val="bullet"/>
      <w:lvlText w:val="o"/>
      <w:lvlJc w:val="left"/>
      <w:pPr>
        <w:ind w:left="1440" w:hanging="360"/>
      </w:pPr>
      <w:rPr>
        <w:rFonts w:ascii="Courier New" w:hAnsi="Courier New" w:cs="Courier New" w:hint="default"/>
      </w:rPr>
    </w:lvl>
    <w:lvl w:ilvl="2" w:tplc="744E61B0" w:tentative="1">
      <w:start w:val="1"/>
      <w:numFmt w:val="bullet"/>
      <w:lvlText w:val=""/>
      <w:lvlJc w:val="left"/>
      <w:pPr>
        <w:ind w:left="2160" w:hanging="360"/>
      </w:pPr>
      <w:rPr>
        <w:rFonts w:ascii="Wingdings" w:hAnsi="Wingdings" w:hint="default"/>
      </w:rPr>
    </w:lvl>
    <w:lvl w:ilvl="3" w:tplc="235827DC" w:tentative="1">
      <w:start w:val="1"/>
      <w:numFmt w:val="bullet"/>
      <w:lvlText w:val=""/>
      <w:lvlJc w:val="left"/>
      <w:pPr>
        <w:ind w:left="2880" w:hanging="360"/>
      </w:pPr>
      <w:rPr>
        <w:rFonts w:ascii="Symbol" w:hAnsi="Symbol" w:hint="default"/>
      </w:rPr>
    </w:lvl>
    <w:lvl w:ilvl="4" w:tplc="91BC47FA" w:tentative="1">
      <w:start w:val="1"/>
      <w:numFmt w:val="bullet"/>
      <w:lvlText w:val="o"/>
      <w:lvlJc w:val="left"/>
      <w:pPr>
        <w:ind w:left="3600" w:hanging="360"/>
      </w:pPr>
      <w:rPr>
        <w:rFonts w:ascii="Courier New" w:hAnsi="Courier New" w:cs="Courier New" w:hint="default"/>
      </w:rPr>
    </w:lvl>
    <w:lvl w:ilvl="5" w:tplc="C1F4337A" w:tentative="1">
      <w:start w:val="1"/>
      <w:numFmt w:val="bullet"/>
      <w:lvlText w:val=""/>
      <w:lvlJc w:val="left"/>
      <w:pPr>
        <w:ind w:left="4320" w:hanging="360"/>
      </w:pPr>
      <w:rPr>
        <w:rFonts w:ascii="Wingdings" w:hAnsi="Wingdings" w:hint="default"/>
      </w:rPr>
    </w:lvl>
    <w:lvl w:ilvl="6" w:tplc="384048BC" w:tentative="1">
      <w:start w:val="1"/>
      <w:numFmt w:val="bullet"/>
      <w:lvlText w:val=""/>
      <w:lvlJc w:val="left"/>
      <w:pPr>
        <w:ind w:left="5040" w:hanging="360"/>
      </w:pPr>
      <w:rPr>
        <w:rFonts w:ascii="Symbol" w:hAnsi="Symbol" w:hint="default"/>
      </w:rPr>
    </w:lvl>
    <w:lvl w:ilvl="7" w:tplc="B9AEB91A" w:tentative="1">
      <w:start w:val="1"/>
      <w:numFmt w:val="bullet"/>
      <w:lvlText w:val="o"/>
      <w:lvlJc w:val="left"/>
      <w:pPr>
        <w:ind w:left="5760" w:hanging="360"/>
      </w:pPr>
      <w:rPr>
        <w:rFonts w:ascii="Courier New" w:hAnsi="Courier New" w:cs="Courier New" w:hint="default"/>
      </w:rPr>
    </w:lvl>
    <w:lvl w:ilvl="8" w:tplc="BF244BAE" w:tentative="1">
      <w:start w:val="1"/>
      <w:numFmt w:val="bullet"/>
      <w:lvlText w:val=""/>
      <w:lvlJc w:val="left"/>
      <w:pPr>
        <w:ind w:left="6480" w:hanging="360"/>
      </w:pPr>
      <w:rPr>
        <w:rFonts w:ascii="Wingdings" w:hAnsi="Wingdings" w:hint="default"/>
      </w:rPr>
    </w:lvl>
  </w:abstractNum>
  <w:abstractNum w:abstractNumId="4" w15:restartNumberingAfterBreak="0">
    <w:nsid w:val="10194EE8"/>
    <w:multiLevelType w:val="hybridMultilevel"/>
    <w:tmpl w:val="F6E2FDEC"/>
    <w:lvl w:ilvl="0" w:tplc="1494E50C">
      <w:start w:val="1"/>
      <w:numFmt w:val="bullet"/>
      <w:pStyle w:val="Bullets"/>
      <w:lvlText w:val=""/>
      <w:lvlJc w:val="left"/>
      <w:pPr>
        <w:ind w:left="360" w:hanging="360"/>
      </w:pPr>
      <w:rPr>
        <w:rFonts w:ascii="Symbol" w:hAnsi="Symbol" w:hint="default"/>
        <w:color w:val="3C54A5"/>
      </w:rPr>
    </w:lvl>
    <w:lvl w:ilvl="1" w:tplc="A718B2C2" w:tentative="1">
      <w:start w:val="1"/>
      <w:numFmt w:val="bullet"/>
      <w:lvlText w:val="o"/>
      <w:lvlJc w:val="left"/>
      <w:pPr>
        <w:ind w:left="1440" w:hanging="360"/>
      </w:pPr>
      <w:rPr>
        <w:rFonts w:ascii="Courier New" w:hAnsi="Courier New" w:cs="Courier New" w:hint="default"/>
      </w:rPr>
    </w:lvl>
    <w:lvl w:ilvl="2" w:tplc="65B89DE8" w:tentative="1">
      <w:start w:val="1"/>
      <w:numFmt w:val="bullet"/>
      <w:lvlText w:val=""/>
      <w:lvlJc w:val="left"/>
      <w:pPr>
        <w:ind w:left="2160" w:hanging="360"/>
      </w:pPr>
      <w:rPr>
        <w:rFonts w:ascii="Wingdings" w:hAnsi="Wingdings" w:hint="default"/>
      </w:rPr>
    </w:lvl>
    <w:lvl w:ilvl="3" w:tplc="6032E266" w:tentative="1">
      <w:start w:val="1"/>
      <w:numFmt w:val="bullet"/>
      <w:lvlText w:val=""/>
      <w:lvlJc w:val="left"/>
      <w:pPr>
        <w:ind w:left="2880" w:hanging="360"/>
      </w:pPr>
      <w:rPr>
        <w:rFonts w:ascii="Symbol" w:hAnsi="Symbol" w:hint="default"/>
      </w:rPr>
    </w:lvl>
    <w:lvl w:ilvl="4" w:tplc="DEA4D8D2" w:tentative="1">
      <w:start w:val="1"/>
      <w:numFmt w:val="bullet"/>
      <w:lvlText w:val="o"/>
      <w:lvlJc w:val="left"/>
      <w:pPr>
        <w:ind w:left="3600" w:hanging="360"/>
      </w:pPr>
      <w:rPr>
        <w:rFonts w:ascii="Courier New" w:hAnsi="Courier New" w:cs="Courier New" w:hint="default"/>
      </w:rPr>
    </w:lvl>
    <w:lvl w:ilvl="5" w:tplc="693232AA" w:tentative="1">
      <w:start w:val="1"/>
      <w:numFmt w:val="bullet"/>
      <w:lvlText w:val=""/>
      <w:lvlJc w:val="left"/>
      <w:pPr>
        <w:ind w:left="4320" w:hanging="360"/>
      </w:pPr>
      <w:rPr>
        <w:rFonts w:ascii="Wingdings" w:hAnsi="Wingdings" w:hint="default"/>
      </w:rPr>
    </w:lvl>
    <w:lvl w:ilvl="6" w:tplc="09206BF2" w:tentative="1">
      <w:start w:val="1"/>
      <w:numFmt w:val="bullet"/>
      <w:lvlText w:val=""/>
      <w:lvlJc w:val="left"/>
      <w:pPr>
        <w:ind w:left="5040" w:hanging="360"/>
      </w:pPr>
      <w:rPr>
        <w:rFonts w:ascii="Symbol" w:hAnsi="Symbol" w:hint="default"/>
      </w:rPr>
    </w:lvl>
    <w:lvl w:ilvl="7" w:tplc="89423638" w:tentative="1">
      <w:start w:val="1"/>
      <w:numFmt w:val="bullet"/>
      <w:lvlText w:val="o"/>
      <w:lvlJc w:val="left"/>
      <w:pPr>
        <w:ind w:left="5760" w:hanging="360"/>
      </w:pPr>
      <w:rPr>
        <w:rFonts w:ascii="Courier New" w:hAnsi="Courier New" w:cs="Courier New" w:hint="default"/>
      </w:rPr>
    </w:lvl>
    <w:lvl w:ilvl="8" w:tplc="5F4C686E" w:tentative="1">
      <w:start w:val="1"/>
      <w:numFmt w:val="bullet"/>
      <w:lvlText w:val=""/>
      <w:lvlJc w:val="left"/>
      <w:pPr>
        <w:ind w:left="6480" w:hanging="360"/>
      </w:pPr>
      <w:rPr>
        <w:rFonts w:ascii="Wingdings" w:hAnsi="Wingdings" w:hint="default"/>
      </w:rPr>
    </w:lvl>
  </w:abstractNum>
  <w:abstractNum w:abstractNumId="5" w15:restartNumberingAfterBreak="0">
    <w:nsid w:val="11871AB2"/>
    <w:multiLevelType w:val="hybridMultilevel"/>
    <w:tmpl w:val="9FC84A16"/>
    <w:lvl w:ilvl="0" w:tplc="4DE6ED6C">
      <w:start w:val="1"/>
      <w:numFmt w:val="bullet"/>
      <w:lvlText w:val=""/>
      <w:lvlJc w:val="left"/>
      <w:pPr>
        <w:ind w:left="720" w:hanging="360"/>
      </w:pPr>
      <w:rPr>
        <w:rFonts w:ascii="Symbol" w:hAnsi="Symbol" w:hint="default"/>
      </w:rPr>
    </w:lvl>
    <w:lvl w:ilvl="1" w:tplc="DFCE7FDA">
      <w:start w:val="1"/>
      <w:numFmt w:val="bullet"/>
      <w:lvlText w:val="o"/>
      <w:lvlJc w:val="left"/>
      <w:pPr>
        <w:ind w:left="1440" w:hanging="360"/>
      </w:pPr>
      <w:rPr>
        <w:rFonts w:ascii="Courier New" w:hAnsi="Courier New" w:cs="Courier New" w:hint="default"/>
      </w:rPr>
    </w:lvl>
    <w:lvl w:ilvl="2" w:tplc="6E6822BA" w:tentative="1">
      <w:start w:val="1"/>
      <w:numFmt w:val="bullet"/>
      <w:lvlText w:val=""/>
      <w:lvlJc w:val="left"/>
      <w:pPr>
        <w:ind w:left="2160" w:hanging="360"/>
      </w:pPr>
      <w:rPr>
        <w:rFonts w:ascii="Wingdings" w:hAnsi="Wingdings" w:hint="default"/>
      </w:rPr>
    </w:lvl>
    <w:lvl w:ilvl="3" w:tplc="B9C4213A" w:tentative="1">
      <w:start w:val="1"/>
      <w:numFmt w:val="bullet"/>
      <w:lvlText w:val=""/>
      <w:lvlJc w:val="left"/>
      <w:pPr>
        <w:ind w:left="2880" w:hanging="360"/>
      </w:pPr>
      <w:rPr>
        <w:rFonts w:ascii="Symbol" w:hAnsi="Symbol" w:hint="default"/>
      </w:rPr>
    </w:lvl>
    <w:lvl w:ilvl="4" w:tplc="3618A422" w:tentative="1">
      <w:start w:val="1"/>
      <w:numFmt w:val="bullet"/>
      <w:lvlText w:val="o"/>
      <w:lvlJc w:val="left"/>
      <w:pPr>
        <w:ind w:left="3600" w:hanging="360"/>
      </w:pPr>
      <w:rPr>
        <w:rFonts w:ascii="Courier New" w:hAnsi="Courier New" w:cs="Courier New" w:hint="default"/>
      </w:rPr>
    </w:lvl>
    <w:lvl w:ilvl="5" w:tplc="356E324E" w:tentative="1">
      <w:start w:val="1"/>
      <w:numFmt w:val="bullet"/>
      <w:lvlText w:val=""/>
      <w:lvlJc w:val="left"/>
      <w:pPr>
        <w:ind w:left="4320" w:hanging="360"/>
      </w:pPr>
      <w:rPr>
        <w:rFonts w:ascii="Wingdings" w:hAnsi="Wingdings" w:hint="default"/>
      </w:rPr>
    </w:lvl>
    <w:lvl w:ilvl="6" w:tplc="41D606F2" w:tentative="1">
      <w:start w:val="1"/>
      <w:numFmt w:val="bullet"/>
      <w:lvlText w:val=""/>
      <w:lvlJc w:val="left"/>
      <w:pPr>
        <w:ind w:left="5040" w:hanging="360"/>
      </w:pPr>
      <w:rPr>
        <w:rFonts w:ascii="Symbol" w:hAnsi="Symbol" w:hint="default"/>
      </w:rPr>
    </w:lvl>
    <w:lvl w:ilvl="7" w:tplc="C4F476D0" w:tentative="1">
      <w:start w:val="1"/>
      <w:numFmt w:val="bullet"/>
      <w:lvlText w:val="o"/>
      <w:lvlJc w:val="left"/>
      <w:pPr>
        <w:ind w:left="5760" w:hanging="360"/>
      </w:pPr>
      <w:rPr>
        <w:rFonts w:ascii="Courier New" w:hAnsi="Courier New" w:cs="Courier New" w:hint="default"/>
      </w:rPr>
    </w:lvl>
    <w:lvl w:ilvl="8" w:tplc="64E297AE" w:tentative="1">
      <w:start w:val="1"/>
      <w:numFmt w:val="bullet"/>
      <w:lvlText w:val=""/>
      <w:lvlJc w:val="left"/>
      <w:pPr>
        <w:ind w:left="6480" w:hanging="360"/>
      </w:pPr>
      <w:rPr>
        <w:rFonts w:ascii="Wingdings" w:hAnsi="Wingdings" w:hint="default"/>
      </w:rPr>
    </w:lvl>
  </w:abstractNum>
  <w:abstractNum w:abstractNumId="6" w15:restartNumberingAfterBreak="0">
    <w:nsid w:val="1E8224E2"/>
    <w:multiLevelType w:val="multilevel"/>
    <w:tmpl w:val="B10A65AC"/>
    <w:numStyleLink w:val="Style1"/>
  </w:abstractNum>
  <w:abstractNum w:abstractNumId="7"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D148A6"/>
    <w:multiLevelType w:val="hybridMultilevel"/>
    <w:tmpl w:val="A0F20F4C"/>
    <w:lvl w:ilvl="0" w:tplc="30942D52">
      <w:start w:val="1"/>
      <w:numFmt w:val="bullet"/>
      <w:pStyle w:val="ListBullet2"/>
      <w:lvlText w:val="̶"/>
      <w:lvlJc w:val="left"/>
      <w:pPr>
        <w:ind w:left="1004" w:hanging="360"/>
      </w:pPr>
      <w:rPr>
        <w:rFonts w:ascii="Calibri" w:hAnsi="Calibri" w:hint="default"/>
      </w:rPr>
    </w:lvl>
    <w:lvl w:ilvl="1" w:tplc="EF949364" w:tentative="1">
      <w:start w:val="1"/>
      <w:numFmt w:val="bullet"/>
      <w:lvlText w:val="o"/>
      <w:lvlJc w:val="left"/>
      <w:pPr>
        <w:ind w:left="1724" w:hanging="360"/>
      </w:pPr>
      <w:rPr>
        <w:rFonts w:ascii="Courier New" w:hAnsi="Courier New" w:cs="Courier New" w:hint="default"/>
      </w:rPr>
    </w:lvl>
    <w:lvl w:ilvl="2" w:tplc="C8B09176" w:tentative="1">
      <w:start w:val="1"/>
      <w:numFmt w:val="bullet"/>
      <w:lvlText w:val=""/>
      <w:lvlJc w:val="left"/>
      <w:pPr>
        <w:ind w:left="2444" w:hanging="360"/>
      </w:pPr>
      <w:rPr>
        <w:rFonts w:ascii="Wingdings" w:hAnsi="Wingdings" w:hint="default"/>
      </w:rPr>
    </w:lvl>
    <w:lvl w:ilvl="3" w:tplc="ED4CFFD4" w:tentative="1">
      <w:start w:val="1"/>
      <w:numFmt w:val="bullet"/>
      <w:lvlText w:val=""/>
      <w:lvlJc w:val="left"/>
      <w:pPr>
        <w:ind w:left="3164" w:hanging="360"/>
      </w:pPr>
      <w:rPr>
        <w:rFonts w:ascii="Symbol" w:hAnsi="Symbol" w:hint="default"/>
      </w:rPr>
    </w:lvl>
    <w:lvl w:ilvl="4" w:tplc="23D04CDE" w:tentative="1">
      <w:start w:val="1"/>
      <w:numFmt w:val="bullet"/>
      <w:lvlText w:val="o"/>
      <w:lvlJc w:val="left"/>
      <w:pPr>
        <w:ind w:left="3884" w:hanging="360"/>
      </w:pPr>
      <w:rPr>
        <w:rFonts w:ascii="Courier New" w:hAnsi="Courier New" w:cs="Courier New" w:hint="default"/>
      </w:rPr>
    </w:lvl>
    <w:lvl w:ilvl="5" w:tplc="62000EF4" w:tentative="1">
      <w:start w:val="1"/>
      <w:numFmt w:val="bullet"/>
      <w:lvlText w:val=""/>
      <w:lvlJc w:val="left"/>
      <w:pPr>
        <w:ind w:left="4604" w:hanging="360"/>
      </w:pPr>
      <w:rPr>
        <w:rFonts w:ascii="Wingdings" w:hAnsi="Wingdings" w:hint="default"/>
      </w:rPr>
    </w:lvl>
    <w:lvl w:ilvl="6" w:tplc="2C4CDDE2" w:tentative="1">
      <w:start w:val="1"/>
      <w:numFmt w:val="bullet"/>
      <w:lvlText w:val=""/>
      <w:lvlJc w:val="left"/>
      <w:pPr>
        <w:ind w:left="5324" w:hanging="360"/>
      </w:pPr>
      <w:rPr>
        <w:rFonts w:ascii="Symbol" w:hAnsi="Symbol" w:hint="default"/>
      </w:rPr>
    </w:lvl>
    <w:lvl w:ilvl="7" w:tplc="D4685144" w:tentative="1">
      <w:start w:val="1"/>
      <w:numFmt w:val="bullet"/>
      <w:lvlText w:val="o"/>
      <w:lvlJc w:val="left"/>
      <w:pPr>
        <w:ind w:left="6044" w:hanging="360"/>
      </w:pPr>
      <w:rPr>
        <w:rFonts w:ascii="Courier New" w:hAnsi="Courier New" w:cs="Courier New" w:hint="default"/>
      </w:rPr>
    </w:lvl>
    <w:lvl w:ilvl="8" w:tplc="012C4888" w:tentative="1">
      <w:start w:val="1"/>
      <w:numFmt w:val="bullet"/>
      <w:lvlText w:val=""/>
      <w:lvlJc w:val="left"/>
      <w:pPr>
        <w:ind w:left="6764" w:hanging="360"/>
      </w:pPr>
      <w:rPr>
        <w:rFonts w:ascii="Wingdings" w:hAnsi="Wingdings" w:hint="default"/>
      </w:rPr>
    </w:lvl>
  </w:abstractNum>
  <w:abstractNum w:abstractNumId="9" w15:restartNumberingAfterBreak="0">
    <w:nsid w:val="26331AD7"/>
    <w:multiLevelType w:val="hybridMultilevel"/>
    <w:tmpl w:val="E4DC676C"/>
    <w:lvl w:ilvl="0" w:tplc="2A4ABCC2">
      <w:start w:val="1"/>
      <w:numFmt w:val="bullet"/>
      <w:lvlText w:val=""/>
      <w:lvlJc w:val="left"/>
      <w:pPr>
        <w:ind w:left="720" w:hanging="360"/>
      </w:pPr>
      <w:rPr>
        <w:rFonts w:ascii="Symbol" w:hAnsi="Symbol" w:hint="default"/>
      </w:rPr>
    </w:lvl>
    <w:lvl w:ilvl="1" w:tplc="F8C676DE" w:tentative="1">
      <w:start w:val="1"/>
      <w:numFmt w:val="bullet"/>
      <w:lvlText w:val="o"/>
      <w:lvlJc w:val="left"/>
      <w:pPr>
        <w:ind w:left="1440" w:hanging="360"/>
      </w:pPr>
      <w:rPr>
        <w:rFonts w:ascii="Courier New" w:hAnsi="Courier New" w:cs="Courier New" w:hint="default"/>
      </w:rPr>
    </w:lvl>
    <w:lvl w:ilvl="2" w:tplc="9EEAF85A" w:tentative="1">
      <w:start w:val="1"/>
      <w:numFmt w:val="bullet"/>
      <w:lvlText w:val=""/>
      <w:lvlJc w:val="left"/>
      <w:pPr>
        <w:ind w:left="2160" w:hanging="360"/>
      </w:pPr>
      <w:rPr>
        <w:rFonts w:ascii="Wingdings" w:hAnsi="Wingdings" w:hint="default"/>
      </w:rPr>
    </w:lvl>
    <w:lvl w:ilvl="3" w:tplc="2B2C9420" w:tentative="1">
      <w:start w:val="1"/>
      <w:numFmt w:val="bullet"/>
      <w:lvlText w:val=""/>
      <w:lvlJc w:val="left"/>
      <w:pPr>
        <w:ind w:left="2880" w:hanging="360"/>
      </w:pPr>
      <w:rPr>
        <w:rFonts w:ascii="Symbol" w:hAnsi="Symbol" w:hint="default"/>
      </w:rPr>
    </w:lvl>
    <w:lvl w:ilvl="4" w:tplc="1AA0D46C" w:tentative="1">
      <w:start w:val="1"/>
      <w:numFmt w:val="bullet"/>
      <w:lvlText w:val="o"/>
      <w:lvlJc w:val="left"/>
      <w:pPr>
        <w:ind w:left="3600" w:hanging="360"/>
      </w:pPr>
      <w:rPr>
        <w:rFonts w:ascii="Courier New" w:hAnsi="Courier New" w:cs="Courier New" w:hint="default"/>
      </w:rPr>
    </w:lvl>
    <w:lvl w:ilvl="5" w:tplc="D9EA6D74" w:tentative="1">
      <w:start w:val="1"/>
      <w:numFmt w:val="bullet"/>
      <w:lvlText w:val=""/>
      <w:lvlJc w:val="left"/>
      <w:pPr>
        <w:ind w:left="4320" w:hanging="360"/>
      </w:pPr>
      <w:rPr>
        <w:rFonts w:ascii="Wingdings" w:hAnsi="Wingdings" w:hint="default"/>
      </w:rPr>
    </w:lvl>
    <w:lvl w:ilvl="6" w:tplc="9626DB44" w:tentative="1">
      <w:start w:val="1"/>
      <w:numFmt w:val="bullet"/>
      <w:lvlText w:val=""/>
      <w:lvlJc w:val="left"/>
      <w:pPr>
        <w:ind w:left="5040" w:hanging="360"/>
      </w:pPr>
      <w:rPr>
        <w:rFonts w:ascii="Symbol" w:hAnsi="Symbol" w:hint="default"/>
      </w:rPr>
    </w:lvl>
    <w:lvl w:ilvl="7" w:tplc="7D60517C" w:tentative="1">
      <w:start w:val="1"/>
      <w:numFmt w:val="bullet"/>
      <w:lvlText w:val="o"/>
      <w:lvlJc w:val="left"/>
      <w:pPr>
        <w:ind w:left="5760" w:hanging="360"/>
      </w:pPr>
      <w:rPr>
        <w:rFonts w:ascii="Courier New" w:hAnsi="Courier New" w:cs="Courier New" w:hint="default"/>
      </w:rPr>
    </w:lvl>
    <w:lvl w:ilvl="8" w:tplc="8EAAA2DA" w:tentative="1">
      <w:start w:val="1"/>
      <w:numFmt w:val="bullet"/>
      <w:lvlText w:val=""/>
      <w:lvlJc w:val="left"/>
      <w:pPr>
        <w:ind w:left="6480" w:hanging="360"/>
      </w:pPr>
      <w:rPr>
        <w:rFonts w:ascii="Wingdings" w:hAnsi="Wingdings" w:hint="default"/>
      </w:rPr>
    </w:lvl>
  </w:abstractNum>
  <w:abstractNum w:abstractNumId="10" w15:restartNumberingAfterBreak="0">
    <w:nsid w:val="2EE53EF4"/>
    <w:multiLevelType w:val="multilevel"/>
    <w:tmpl w:val="4C06E666"/>
    <w:numStyleLink w:val="RSCBNumberList1"/>
  </w:abstractNum>
  <w:abstractNum w:abstractNumId="11" w15:restartNumberingAfterBreak="0">
    <w:nsid w:val="38A553FF"/>
    <w:multiLevelType w:val="multilevel"/>
    <w:tmpl w:val="2416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1261A"/>
    <w:multiLevelType w:val="multilevel"/>
    <w:tmpl w:val="C690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4633ECE"/>
    <w:multiLevelType w:val="hybridMultilevel"/>
    <w:tmpl w:val="4908355E"/>
    <w:lvl w:ilvl="0" w:tplc="6B923F5C">
      <w:start w:val="17"/>
      <w:numFmt w:val="upperLetter"/>
      <w:lvlText w:val="%1."/>
      <w:lvlJc w:val="left"/>
      <w:pPr>
        <w:ind w:left="720" w:hanging="360"/>
      </w:pPr>
      <w:rPr>
        <w:rFonts w:hint="default"/>
      </w:rPr>
    </w:lvl>
    <w:lvl w:ilvl="1" w:tplc="183E557E" w:tentative="1">
      <w:start w:val="1"/>
      <w:numFmt w:val="lowerLetter"/>
      <w:lvlText w:val="%2."/>
      <w:lvlJc w:val="left"/>
      <w:pPr>
        <w:ind w:left="1440" w:hanging="360"/>
      </w:pPr>
    </w:lvl>
    <w:lvl w:ilvl="2" w:tplc="2A544422" w:tentative="1">
      <w:start w:val="1"/>
      <w:numFmt w:val="lowerRoman"/>
      <w:lvlText w:val="%3."/>
      <w:lvlJc w:val="right"/>
      <w:pPr>
        <w:ind w:left="2160" w:hanging="180"/>
      </w:pPr>
    </w:lvl>
    <w:lvl w:ilvl="3" w:tplc="61160560" w:tentative="1">
      <w:start w:val="1"/>
      <w:numFmt w:val="decimal"/>
      <w:lvlText w:val="%4."/>
      <w:lvlJc w:val="left"/>
      <w:pPr>
        <w:ind w:left="2880" w:hanging="360"/>
      </w:pPr>
    </w:lvl>
    <w:lvl w:ilvl="4" w:tplc="7772AD54" w:tentative="1">
      <w:start w:val="1"/>
      <w:numFmt w:val="lowerLetter"/>
      <w:lvlText w:val="%5."/>
      <w:lvlJc w:val="left"/>
      <w:pPr>
        <w:ind w:left="3600" w:hanging="360"/>
      </w:pPr>
    </w:lvl>
    <w:lvl w:ilvl="5" w:tplc="F23C7C98" w:tentative="1">
      <w:start w:val="1"/>
      <w:numFmt w:val="lowerRoman"/>
      <w:lvlText w:val="%6."/>
      <w:lvlJc w:val="right"/>
      <w:pPr>
        <w:ind w:left="4320" w:hanging="180"/>
      </w:pPr>
    </w:lvl>
    <w:lvl w:ilvl="6" w:tplc="4E187D28" w:tentative="1">
      <w:start w:val="1"/>
      <w:numFmt w:val="decimal"/>
      <w:lvlText w:val="%7."/>
      <w:lvlJc w:val="left"/>
      <w:pPr>
        <w:ind w:left="5040" w:hanging="360"/>
      </w:pPr>
    </w:lvl>
    <w:lvl w:ilvl="7" w:tplc="D27A2604" w:tentative="1">
      <w:start w:val="1"/>
      <w:numFmt w:val="lowerLetter"/>
      <w:lvlText w:val="%8."/>
      <w:lvlJc w:val="left"/>
      <w:pPr>
        <w:ind w:left="5760" w:hanging="360"/>
      </w:pPr>
    </w:lvl>
    <w:lvl w:ilvl="8" w:tplc="CD804F8C" w:tentative="1">
      <w:start w:val="1"/>
      <w:numFmt w:val="lowerRoman"/>
      <w:lvlText w:val="%9."/>
      <w:lvlJc w:val="right"/>
      <w:pPr>
        <w:ind w:left="6480" w:hanging="180"/>
      </w:pPr>
    </w:lvl>
  </w:abstractNum>
  <w:abstractNum w:abstractNumId="15" w15:restartNumberingAfterBreak="0">
    <w:nsid w:val="48BA4FB5"/>
    <w:multiLevelType w:val="hybridMultilevel"/>
    <w:tmpl w:val="D03AF21E"/>
    <w:lvl w:ilvl="0" w:tplc="62CCBBD0">
      <w:numFmt w:val="bullet"/>
      <w:lvlText w:val="-"/>
      <w:lvlJc w:val="left"/>
      <w:pPr>
        <w:ind w:left="720" w:hanging="360"/>
      </w:pPr>
      <w:rPr>
        <w:rFonts w:ascii="Aptos" w:eastAsia="Aptos" w:hAnsi="Aptos" w:cs="Times New Roman" w:hint="default"/>
      </w:rPr>
    </w:lvl>
    <w:lvl w:ilvl="1" w:tplc="B8BA4A3C">
      <w:start w:val="1"/>
      <w:numFmt w:val="bullet"/>
      <w:lvlText w:val="o"/>
      <w:lvlJc w:val="left"/>
      <w:pPr>
        <w:ind w:left="1440" w:hanging="360"/>
      </w:pPr>
      <w:rPr>
        <w:rFonts w:ascii="Courier New" w:hAnsi="Courier New" w:cs="Courier New" w:hint="default"/>
      </w:rPr>
    </w:lvl>
    <w:lvl w:ilvl="2" w:tplc="51325F82">
      <w:start w:val="1"/>
      <w:numFmt w:val="bullet"/>
      <w:lvlText w:val=""/>
      <w:lvlJc w:val="left"/>
      <w:pPr>
        <w:ind w:left="2160" w:hanging="360"/>
      </w:pPr>
      <w:rPr>
        <w:rFonts w:ascii="Wingdings" w:hAnsi="Wingdings" w:hint="default"/>
      </w:rPr>
    </w:lvl>
    <w:lvl w:ilvl="3" w:tplc="8D2C78F8">
      <w:start w:val="1"/>
      <w:numFmt w:val="bullet"/>
      <w:lvlText w:val=""/>
      <w:lvlJc w:val="left"/>
      <w:pPr>
        <w:ind w:left="2880" w:hanging="360"/>
      </w:pPr>
      <w:rPr>
        <w:rFonts w:ascii="Symbol" w:hAnsi="Symbol" w:hint="default"/>
      </w:rPr>
    </w:lvl>
    <w:lvl w:ilvl="4" w:tplc="4762E078">
      <w:start w:val="1"/>
      <w:numFmt w:val="bullet"/>
      <w:lvlText w:val="o"/>
      <w:lvlJc w:val="left"/>
      <w:pPr>
        <w:ind w:left="3600" w:hanging="360"/>
      </w:pPr>
      <w:rPr>
        <w:rFonts w:ascii="Courier New" w:hAnsi="Courier New" w:cs="Courier New" w:hint="default"/>
      </w:rPr>
    </w:lvl>
    <w:lvl w:ilvl="5" w:tplc="0C6CE70C">
      <w:start w:val="1"/>
      <w:numFmt w:val="bullet"/>
      <w:lvlText w:val=""/>
      <w:lvlJc w:val="left"/>
      <w:pPr>
        <w:ind w:left="4320" w:hanging="360"/>
      </w:pPr>
      <w:rPr>
        <w:rFonts w:ascii="Wingdings" w:hAnsi="Wingdings" w:hint="default"/>
      </w:rPr>
    </w:lvl>
    <w:lvl w:ilvl="6" w:tplc="688ACFE2">
      <w:start w:val="1"/>
      <w:numFmt w:val="bullet"/>
      <w:lvlText w:val=""/>
      <w:lvlJc w:val="left"/>
      <w:pPr>
        <w:ind w:left="5040" w:hanging="360"/>
      </w:pPr>
      <w:rPr>
        <w:rFonts w:ascii="Symbol" w:hAnsi="Symbol" w:hint="default"/>
      </w:rPr>
    </w:lvl>
    <w:lvl w:ilvl="7" w:tplc="9C10BA00">
      <w:start w:val="1"/>
      <w:numFmt w:val="bullet"/>
      <w:lvlText w:val="o"/>
      <w:lvlJc w:val="left"/>
      <w:pPr>
        <w:ind w:left="5760" w:hanging="360"/>
      </w:pPr>
      <w:rPr>
        <w:rFonts w:ascii="Courier New" w:hAnsi="Courier New" w:cs="Courier New" w:hint="default"/>
      </w:rPr>
    </w:lvl>
    <w:lvl w:ilvl="8" w:tplc="344A682E">
      <w:start w:val="1"/>
      <w:numFmt w:val="bullet"/>
      <w:lvlText w:val=""/>
      <w:lvlJc w:val="left"/>
      <w:pPr>
        <w:ind w:left="6480" w:hanging="360"/>
      </w:pPr>
      <w:rPr>
        <w:rFonts w:ascii="Wingdings" w:hAnsi="Wingdings" w:hint="default"/>
      </w:rPr>
    </w:lvl>
  </w:abstractNum>
  <w:abstractNum w:abstractNumId="16" w15:restartNumberingAfterBreak="0">
    <w:nsid w:val="4C0F319D"/>
    <w:multiLevelType w:val="hybridMultilevel"/>
    <w:tmpl w:val="11FA0010"/>
    <w:lvl w:ilvl="0" w:tplc="E1B22C58">
      <w:start w:val="1"/>
      <w:numFmt w:val="decimal"/>
      <w:lvlText w:val="%1."/>
      <w:lvlJc w:val="left"/>
      <w:pPr>
        <w:ind w:left="720" w:hanging="360"/>
      </w:pPr>
      <w:rPr>
        <w:rFonts w:hint="default"/>
        <w:b w:val="0"/>
        <w:bCs w:val="0"/>
      </w:rPr>
    </w:lvl>
    <w:lvl w:ilvl="1" w:tplc="752CAEE6">
      <w:start w:val="1"/>
      <w:numFmt w:val="lowerLetter"/>
      <w:lvlText w:val="%2."/>
      <w:lvlJc w:val="left"/>
      <w:pPr>
        <w:ind w:left="1440" w:hanging="360"/>
      </w:pPr>
    </w:lvl>
    <w:lvl w:ilvl="2" w:tplc="289E97FC" w:tentative="1">
      <w:start w:val="1"/>
      <w:numFmt w:val="lowerRoman"/>
      <w:lvlText w:val="%3."/>
      <w:lvlJc w:val="right"/>
      <w:pPr>
        <w:ind w:left="2160" w:hanging="180"/>
      </w:pPr>
    </w:lvl>
    <w:lvl w:ilvl="3" w:tplc="47D418EE" w:tentative="1">
      <w:start w:val="1"/>
      <w:numFmt w:val="decimal"/>
      <w:lvlText w:val="%4."/>
      <w:lvlJc w:val="left"/>
      <w:pPr>
        <w:ind w:left="2880" w:hanging="360"/>
      </w:pPr>
    </w:lvl>
    <w:lvl w:ilvl="4" w:tplc="B7524744" w:tentative="1">
      <w:start w:val="1"/>
      <w:numFmt w:val="lowerLetter"/>
      <w:lvlText w:val="%5."/>
      <w:lvlJc w:val="left"/>
      <w:pPr>
        <w:ind w:left="3600" w:hanging="360"/>
      </w:pPr>
    </w:lvl>
    <w:lvl w:ilvl="5" w:tplc="5094BDEC" w:tentative="1">
      <w:start w:val="1"/>
      <w:numFmt w:val="lowerRoman"/>
      <w:lvlText w:val="%6."/>
      <w:lvlJc w:val="right"/>
      <w:pPr>
        <w:ind w:left="4320" w:hanging="180"/>
      </w:pPr>
    </w:lvl>
    <w:lvl w:ilvl="6" w:tplc="767A948A" w:tentative="1">
      <w:start w:val="1"/>
      <w:numFmt w:val="decimal"/>
      <w:lvlText w:val="%7."/>
      <w:lvlJc w:val="left"/>
      <w:pPr>
        <w:ind w:left="5040" w:hanging="360"/>
      </w:pPr>
    </w:lvl>
    <w:lvl w:ilvl="7" w:tplc="04D49BA6" w:tentative="1">
      <w:start w:val="1"/>
      <w:numFmt w:val="lowerLetter"/>
      <w:lvlText w:val="%8."/>
      <w:lvlJc w:val="left"/>
      <w:pPr>
        <w:ind w:left="5760" w:hanging="360"/>
      </w:pPr>
    </w:lvl>
    <w:lvl w:ilvl="8" w:tplc="BAE8E3EC" w:tentative="1">
      <w:start w:val="1"/>
      <w:numFmt w:val="lowerRoman"/>
      <w:lvlText w:val="%9."/>
      <w:lvlJc w:val="right"/>
      <w:pPr>
        <w:ind w:left="6480" w:hanging="180"/>
      </w:pPr>
    </w:lvl>
  </w:abstractNum>
  <w:abstractNum w:abstractNumId="17" w15:restartNumberingAfterBreak="0">
    <w:nsid w:val="53DF5968"/>
    <w:multiLevelType w:val="multilevel"/>
    <w:tmpl w:val="86CC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D04F5"/>
    <w:multiLevelType w:val="multilevel"/>
    <w:tmpl w:val="4C06E666"/>
    <w:numStyleLink w:val="RSCBNumberList1"/>
  </w:abstractNum>
  <w:abstractNum w:abstractNumId="19" w15:restartNumberingAfterBreak="0">
    <w:nsid w:val="618F0889"/>
    <w:multiLevelType w:val="hybridMultilevel"/>
    <w:tmpl w:val="404C12DE"/>
    <w:lvl w:ilvl="0" w:tplc="1A385CA4">
      <w:start w:val="17"/>
      <w:numFmt w:val="upperLetter"/>
      <w:lvlText w:val="%1."/>
      <w:lvlJc w:val="left"/>
      <w:pPr>
        <w:ind w:left="720" w:hanging="360"/>
      </w:pPr>
      <w:rPr>
        <w:rFonts w:hint="default"/>
      </w:rPr>
    </w:lvl>
    <w:lvl w:ilvl="1" w:tplc="91A86C54" w:tentative="1">
      <w:start w:val="1"/>
      <w:numFmt w:val="lowerLetter"/>
      <w:lvlText w:val="%2."/>
      <w:lvlJc w:val="left"/>
      <w:pPr>
        <w:ind w:left="1440" w:hanging="360"/>
      </w:pPr>
    </w:lvl>
    <w:lvl w:ilvl="2" w:tplc="56F0C1FE" w:tentative="1">
      <w:start w:val="1"/>
      <w:numFmt w:val="lowerRoman"/>
      <w:lvlText w:val="%3."/>
      <w:lvlJc w:val="right"/>
      <w:pPr>
        <w:ind w:left="2160" w:hanging="180"/>
      </w:pPr>
    </w:lvl>
    <w:lvl w:ilvl="3" w:tplc="AB0C8D34" w:tentative="1">
      <w:start w:val="1"/>
      <w:numFmt w:val="decimal"/>
      <w:lvlText w:val="%4."/>
      <w:lvlJc w:val="left"/>
      <w:pPr>
        <w:ind w:left="2880" w:hanging="360"/>
      </w:pPr>
    </w:lvl>
    <w:lvl w:ilvl="4" w:tplc="893E8906" w:tentative="1">
      <w:start w:val="1"/>
      <w:numFmt w:val="lowerLetter"/>
      <w:lvlText w:val="%5."/>
      <w:lvlJc w:val="left"/>
      <w:pPr>
        <w:ind w:left="3600" w:hanging="360"/>
      </w:pPr>
    </w:lvl>
    <w:lvl w:ilvl="5" w:tplc="52725AFC" w:tentative="1">
      <w:start w:val="1"/>
      <w:numFmt w:val="lowerRoman"/>
      <w:lvlText w:val="%6."/>
      <w:lvlJc w:val="right"/>
      <w:pPr>
        <w:ind w:left="4320" w:hanging="180"/>
      </w:pPr>
    </w:lvl>
    <w:lvl w:ilvl="6" w:tplc="DC32243E" w:tentative="1">
      <w:start w:val="1"/>
      <w:numFmt w:val="decimal"/>
      <w:lvlText w:val="%7."/>
      <w:lvlJc w:val="left"/>
      <w:pPr>
        <w:ind w:left="5040" w:hanging="360"/>
      </w:pPr>
    </w:lvl>
    <w:lvl w:ilvl="7" w:tplc="C91855C4" w:tentative="1">
      <w:start w:val="1"/>
      <w:numFmt w:val="lowerLetter"/>
      <w:lvlText w:val="%8."/>
      <w:lvlJc w:val="left"/>
      <w:pPr>
        <w:ind w:left="5760" w:hanging="360"/>
      </w:pPr>
    </w:lvl>
    <w:lvl w:ilvl="8" w:tplc="BBBCAD22" w:tentative="1">
      <w:start w:val="1"/>
      <w:numFmt w:val="lowerRoman"/>
      <w:lvlText w:val="%9."/>
      <w:lvlJc w:val="right"/>
      <w:pPr>
        <w:ind w:left="6480" w:hanging="180"/>
      </w:pPr>
    </w:lvl>
  </w:abstractNum>
  <w:abstractNum w:abstractNumId="20" w15:restartNumberingAfterBreak="0">
    <w:nsid w:val="67E04C31"/>
    <w:multiLevelType w:val="multilevel"/>
    <w:tmpl w:val="5412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F42796"/>
    <w:multiLevelType w:val="hybridMultilevel"/>
    <w:tmpl w:val="B3CAD822"/>
    <w:lvl w:ilvl="0" w:tplc="1EAE5110">
      <w:start w:val="1"/>
      <w:numFmt w:val="decimal"/>
      <w:lvlText w:val="%1."/>
      <w:lvlJc w:val="left"/>
      <w:pPr>
        <w:ind w:left="720" w:hanging="360"/>
      </w:pPr>
    </w:lvl>
    <w:lvl w:ilvl="1" w:tplc="62CEFEC8">
      <w:start w:val="1"/>
      <w:numFmt w:val="lowerLetter"/>
      <w:lvlText w:val="%2."/>
      <w:lvlJc w:val="left"/>
      <w:pPr>
        <w:ind w:left="1440" w:hanging="360"/>
      </w:pPr>
    </w:lvl>
    <w:lvl w:ilvl="2" w:tplc="05B8A7BA">
      <w:start w:val="1"/>
      <w:numFmt w:val="lowerRoman"/>
      <w:lvlText w:val="%3."/>
      <w:lvlJc w:val="right"/>
      <w:pPr>
        <w:ind w:left="2160" w:hanging="180"/>
      </w:pPr>
    </w:lvl>
    <w:lvl w:ilvl="3" w:tplc="3A486FF4">
      <w:start w:val="1"/>
      <w:numFmt w:val="decimal"/>
      <w:lvlText w:val="%4."/>
      <w:lvlJc w:val="left"/>
      <w:pPr>
        <w:ind w:left="2880" w:hanging="360"/>
      </w:pPr>
    </w:lvl>
    <w:lvl w:ilvl="4" w:tplc="835E1CC8">
      <w:start w:val="1"/>
      <w:numFmt w:val="lowerLetter"/>
      <w:lvlText w:val="%5."/>
      <w:lvlJc w:val="left"/>
      <w:pPr>
        <w:ind w:left="3600" w:hanging="360"/>
      </w:pPr>
    </w:lvl>
    <w:lvl w:ilvl="5" w:tplc="76866C92">
      <w:start w:val="1"/>
      <w:numFmt w:val="lowerRoman"/>
      <w:lvlText w:val="%6."/>
      <w:lvlJc w:val="right"/>
      <w:pPr>
        <w:ind w:left="4320" w:hanging="180"/>
      </w:pPr>
    </w:lvl>
    <w:lvl w:ilvl="6" w:tplc="AB66EE04">
      <w:start w:val="1"/>
      <w:numFmt w:val="decimal"/>
      <w:lvlText w:val="%7."/>
      <w:lvlJc w:val="left"/>
      <w:pPr>
        <w:ind w:left="5040" w:hanging="360"/>
      </w:pPr>
    </w:lvl>
    <w:lvl w:ilvl="7" w:tplc="A53C6EA6">
      <w:start w:val="1"/>
      <w:numFmt w:val="lowerLetter"/>
      <w:lvlText w:val="%8."/>
      <w:lvlJc w:val="left"/>
      <w:pPr>
        <w:ind w:left="5760" w:hanging="360"/>
      </w:pPr>
    </w:lvl>
    <w:lvl w:ilvl="8" w:tplc="2E1EA15C">
      <w:start w:val="1"/>
      <w:numFmt w:val="lowerRoman"/>
      <w:lvlText w:val="%9."/>
      <w:lvlJc w:val="right"/>
      <w:pPr>
        <w:ind w:left="6480" w:hanging="180"/>
      </w:pPr>
    </w:lvl>
  </w:abstractNum>
  <w:abstractNum w:abstractNumId="23" w15:restartNumberingAfterBreak="0">
    <w:nsid w:val="713A20C8"/>
    <w:multiLevelType w:val="multilevel"/>
    <w:tmpl w:val="F1481754"/>
    <w:styleLink w:val="BulletList"/>
    <w:lvl w:ilvl="0">
      <w:start w:val="1"/>
      <w:numFmt w:val="bullet"/>
      <w:lvlText w:val=""/>
      <w:lvlJc w:val="left"/>
      <w:pPr>
        <w:ind w:left="489" w:hanging="357"/>
      </w:pPr>
      <w:rPr>
        <w:rFonts w:ascii="Symbol" w:hAnsi="Symbol" w:cs="Times New Roman" w:hint="default"/>
        <w:color w:val="auto"/>
      </w:rPr>
    </w:lvl>
    <w:lvl w:ilvl="1">
      <w:start w:val="1"/>
      <w:numFmt w:val="bullet"/>
      <w:lvlText w:val="○"/>
      <w:lvlJc w:val="left"/>
      <w:pPr>
        <w:ind w:left="983" w:hanging="494"/>
      </w:pPr>
      <w:rPr>
        <w:rFonts w:ascii="Courier New" w:hAnsi="Courier New" w:cs="Times New Roman" w:hint="default"/>
        <w:color w:val="auto"/>
      </w:rPr>
    </w:lvl>
    <w:lvl w:ilvl="2">
      <w:start w:val="1"/>
      <w:numFmt w:val="bullet"/>
      <w:lvlText w:val="–"/>
      <w:lvlJc w:val="left"/>
      <w:pPr>
        <w:tabs>
          <w:tab w:val="num" w:pos="2117"/>
        </w:tabs>
        <w:ind w:left="1550" w:hanging="567"/>
      </w:pPr>
      <w:rPr>
        <w:rFonts w:ascii="Calibri" w:hAnsi="Calibri" w:cs="Times New Roman" w:hint="default"/>
        <w:color w:val="auto"/>
      </w:rPr>
    </w:lvl>
    <w:lvl w:ilvl="3">
      <w:start w:val="1"/>
      <w:numFmt w:val="bullet"/>
      <w:lvlText w:val=""/>
      <w:lvlJc w:val="left"/>
      <w:pPr>
        <w:tabs>
          <w:tab w:val="num" w:pos="2684"/>
        </w:tabs>
        <w:ind w:left="2258" w:hanging="567"/>
      </w:pPr>
      <w:rPr>
        <w:rFonts w:ascii="Wingdings" w:hAnsi="Wingdings" w:cs="Times New Roman" w:hint="default"/>
        <w:color w:val="auto"/>
      </w:rPr>
    </w:lvl>
    <w:lvl w:ilvl="4">
      <w:start w:val="1"/>
      <w:numFmt w:val="lowerLetter"/>
      <w:lvlText w:val="(%5)"/>
      <w:lvlJc w:val="left"/>
      <w:pPr>
        <w:ind w:left="1932" w:hanging="360"/>
      </w:pPr>
      <w:rPr>
        <w:rFonts w:hint="default"/>
      </w:rPr>
    </w:lvl>
    <w:lvl w:ilvl="5">
      <w:start w:val="1"/>
      <w:numFmt w:val="lowerRoman"/>
      <w:lvlText w:val="(%6)"/>
      <w:lvlJc w:val="left"/>
      <w:pPr>
        <w:ind w:left="2292" w:hanging="360"/>
      </w:pPr>
      <w:rPr>
        <w:rFonts w:hint="default"/>
      </w:rPr>
    </w:lvl>
    <w:lvl w:ilvl="6">
      <w:start w:val="1"/>
      <w:numFmt w:val="decimal"/>
      <w:lvlText w:val="%7."/>
      <w:lvlJc w:val="left"/>
      <w:pPr>
        <w:ind w:left="2652" w:hanging="360"/>
      </w:pPr>
      <w:rPr>
        <w:rFonts w:hint="default"/>
      </w:rPr>
    </w:lvl>
    <w:lvl w:ilvl="7">
      <w:start w:val="1"/>
      <w:numFmt w:val="lowerLetter"/>
      <w:lvlText w:val="%8."/>
      <w:lvlJc w:val="left"/>
      <w:pPr>
        <w:ind w:left="3012" w:hanging="360"/>
      </w:pPr>
      <w:rPr>
        <w:rFonts w:hint="default"/>
      </w:rPr>
    </w:lvl>
    <w:lvl w:ilvl="8">
      <w:start w:val="1"/>
      <w:numFmt w:val="lowerRoman"/>
      <w:lvlText w:val="%9."/>
      <w:lvlJc w:val="left"/>
      <w:pPr>
        <w:ind w:left="3372" w:hanging="360"/>
      </w:pPr>
      <w:rPr>
        <w:rFonts w:hint="default"/>
      </w:rPr>
    </w:lvl>
  </w:abstractNum>
  <w:abstractNum w:abstractNumId="24" w15:restartNumberingAfterBreak="0">
    <w:nsid w:val="731118A0"/>
    <w:multiLevelType w:val="multilevel"/>
    <w:tmpl w:val="ADE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DB6FC5"/>
    <w:multiLevelType w:val="hybridMultilevel"/>
    <w:tmpl w:val="711A7E56"/>
    <w:lvl w:ilvl="0" w:tplc="DAA45A38">
      <w:start w:val="1"/>
      <w:numFmt w:val="bullet"/>
      <w:lvlText w:val=""/>
      <w:lvlJc w:val="left"/>
      <w:pPr>
        <w:ind w:left="720" w:hanging="360"/>
      </w:pPr>
      <w:rPr>
        <w:rFonts w:ascii="Symbol" w:hAnsi="Symbol" w:hint="default"/>
      </w:rPr>
    </w:lvl>
    <w:lvl w:ilvl="1" w:tplc="8D44007E" w:tentative="1">
      <w:start w:val="1"/>
      <w:numFmt w:val="bullet"/>
      <w:lvlText w:val="o"/>
      <w:lvlJc w:val="left"/>
      <w:pPr>
        <w:ind w:left="1440" w:hanging="360"/>
      </w:pPr>
      <w:rPr>
        <w:rFonts w:ascii="Courier New" w:hAnsi="Courier New" w:cs="Courier New" w:hint="default"/>
      </w:rPr>
    </w:lvl>
    <w:lvl w:ilvl="2" w:tplc="33161906" w:tentative="1">
      <w:start w:val="1"/>
      <w:numFmt w:val="bullet"/>
      <w:lvlText w:val=""/>
      <w:lvlJc w:val="left"/>
      <w:pPr>
        <w:ind w:left="2160" w:hanging="360"/>
      </w:pPr>
      <w:rPr>
        <w:rFonts w:ascii="Wingdings" w:hAnsi="Wingdings" w:hint="default"/>
      </w:rPr>
    </w:lvl>
    <w:lvl w:ilvl="3" w:tplc="73783246" w:tentative="1">
      <w:start w:val="1"/>
      <w:numFmt w:val="bullet"/>
      <w:lvlText w:val=""/>
      <w:lvlJc w:val="left"/>
      <w:pPr>
        <w:ind w:left="2880" w:hanging="360"/>
      </w:pPr>
      <w:rPr>
        <w:rFonts w:ascii="Symbol" w:hAnsi="Symbol" w:hint="default"/>
      </w:rPr>
    </w:lvl>
    <w:lvl w:ilvl="4" w:tplc="27AC7F1A" w:tentative="1">
      <w:start w:val="1"/>
      <w:numFmt w:val="bullet"/>
      <w:lvlText w:val="o"/>
      <w:lvlJc w:val="left"/>
      <w:pPr>
        <w:ind w:left="3600" w:hanging="360"/>
      </w:pPr>
      <w:rPr>
        <w:rFonts w:ascii="Courier New" w:hAnsi="Courier New" w:cs="Courier New" w:hint="default"/>
      </w:rPr>
    </w:lvl>
    <w:lvl w:ilvl="5" w:tplc="87508AFC" w:tentative="1">
      <w:start w:val="1"/>
      <w:numFmt w:val="bullet"/>
      <w:lvlText w:val=""/>
      <w:lvlJc w:val="left"/>
      <w:pPr>
        <w:ind w:left="4320" w:hanging="360"/>
      </w:pPr>
      <w:rPr>
        <w:rFonts w:ascii="Wingdings" w:hAnsi="Wingdings" w:hint="default"/>
      </w:rPr>
    </w:lvl>
    <w:lvl w:ilvl="6" w:tplc="5272658A" w:tentative="1">
      <w:start w:val="1"/>
      <w:numFmt w:val="bullet"/>
      <w:lvlText w:val=""/>
      <w:lvlJc w:val="left"/>
      <w:pPr>
        <w:ind w:left="5040" w:hanging="360"/>
      </w:pPr>
      <w:rPr>
        <w:rFonts w:ascii="Symbol" w:hAnsi="Symbol" w:hint="default"/>
      </w:rPr>
    </w:lvl>
    <w:lvl w:ilvl="7" w:tplc="EFDEB3B2" w:tentative="1">
      <w:start w:val="1"/>
      <w:numFmt w:val="bullet"/>
      <w:lvlText w:val="o"/>
      <w:lvlJc w:val="left"/>
      <w:pPr>
        <w:ind w:left="5760" w:hanging="360"/>
      </w:pPr>
      <w:rPr>
        <w:rFonts w:ascii="Courier New" w:hAnsi="Courier New" w:cs="Courier New" w:hint="default"/>
      </w:rPr>
    </w:lvl>
    <w:lvl w:ilvl="8" w:tplc="4D54FE04" w:tentative="1">
      <w:start w:val="1"/>
      <w:numFmt w:val="bullet"/>
      <w:lvlText w:val=""/>
      <w:lvlJc w:val="left"/>
      <w:pPr>
        <w:ind w:left="6480" w:hanging="360"/>
      </w:pPr>
      <w:rPr>
        <w:rFonts w:ascii="Wingdings" w:hAnsi="Wingdings" w:hint="default"/>
      </w:rPr>
    </w:lvl>
  </w:abstractNum>
  <w:abstractNum w:abstractNumId="26" w15:restartNumberingAfterBreak="0">
    <w:nsid w:val="77B81735"/>
    <w:multiLevelType w:val="multilevel"/>
    <w:tmpl w:val="EBF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AC5C2D"/>
    <w:multiLevelType w:val="hybridMultilevel"/>
    <w:tmpl w:val="C2188854"/>
    <w:lvl w:ilvl="0" w:tplc="2B1A0724">
      <w:start w:val="1"/>
      <w:numFmt w:val="upperLetter"/>
      <w:lvlText w:val="%1."/>
      <w:lvlJc w:val="left"/>
      <w:pPr>
        <w:ind w:left="720" w:hanging="360"/>
      </w:pPr>
      <w:rPr>
        <w:rFonts w:hint="default"/>
      </w:rPr>
    </w:lvl>
    <w:lvl w:ilvl="1" w:tplc="5FC69798" w:tentative="1">
      <w:start w:val="1"/>
      <w:numFmt w:val="lowerLetter"/>
      <w:lvlText w:val="%2."/>
      <w:lvlJc w:val="left"/>
      <w:pPr>
        <w:ind w:left="1440" w:hanging="360"/>
      </w:pPr>
    </w:lvl>
    <w:lvl w:ilvl="2" w:tplc="29DC570E" w:tentative="1">
      <w:start w:val="1"/>
      <w:numFmt w:val="lowerRoman"/>
      <w:lvlText w:val="%3."/>
      <w:lvlJc w:val="right"/>
      <w:pPr>
        <w:ind w:left="2160" w:hanging="180"/>
      </w:pPr>
    </w:lvl>
    <w:lvl w:ilvl="3" w:tplc="49A49B44" w:tentative="1">
      <w:start w:val="1"/>
      <w:numFmt w:val="decimal"/>
      <w:lvlText w:val="%4."/>
      <w:lvlJc w:val="left"/>
      <w:pPr>
        <w:ind w:left="2880" w:hanging="360"/>
      </w:pPr>
    </w:lvl>
    <w:lvl w:ilvl="4" w:tplc="F37ED53E" w:tentative="1">
      <w:start w:val="1"/>
      <w:numFmt w:val="lowerLetter"/>
      <w:lvlText w:val="%5."/>
      <w:lvlJc w:val="left"/>
      <w:pPr>
        <w:ind w:left="3600" w:hanging="360"/>
      </w:pPr>
    </w:lvl>
    <w:lvl w:ilvl="5" w:tplc="4A6C7D14" w:tentative="1">
      <w:start w:val="1"/>
      <w:numFmt w:val="lowerRoman"/>
      <w:lvlText w:val="%6."/>
      <w:lvlJc w:val="right"/>
      <w:pPr>
        <w:ind w:left="4320" w:hanging="180"/>
      </w:pPr>
    </w:lvl>
    <w:lvl w:ilvl="6" w:tplc="09FA00E8" w:tentative="1">
      <w:start w:val="1"/>
      <w:numFmt w:val="decimal"/>
      <w:lvlText w:val="%7."/>
      <w:lvlJc w:val="left"/>
      <w:pPr>
        <w:ind w:left="5040" w:hanging="360"/>
      </w:pPr>
    </w:lvl>
    <w:lvl w:ilvl="7" w:tplc="2D7EB44E" w:tentative="1">
      <w:start w:val="1"/>
      <w:numFmt w:val="lowerLetter"/>
      <w:lvlText w:val="%8."/>
      <w:lvlJc w:val="left"/>
      <w:pPr>
        <w:ind w:left="5760" w:hanging="360"/>
      </w:pPr>
    </w:lvl>
    <w:lvl w:ilvl="8" w:tplc="C7D4B13E" w:tentative="1">
      <w:start w:val="1"/>
      <w:numFmt w:val="lowerRoman"/>
      <w:lvlText w:val="%9."/>
      <w:lvlJc w:val="right"/>
      <w:pPr>
        <w:ind w:left="6480" w:hanging="180"/>
      </w:pPr>
    </w:lvl>
  </w:abstractNum>
  <w:num w:numId="1" w16cid:durableId="2080011484">
    <w:abstractNumId w:val="13"/>
  </w:num>
  <w:num w:numId="2" w16cid:durableId="1667706484">
    <w:abstractNumId w:val="18"/>
  </w:num>
  <w:num w:numId="3" w16cid:durableId="725103817">
    <w:abstractNumId w:val="21"/>
  </w:num>
  <w:num w:numId="4" w16cid:durableId="329598783">
    <w:abstractNumId w:val="6"/>
  </w:num>
  <w:num w:numId="5" w16cid:durableId="338627919">
    <w:abstractNumId w:val="2"/>
  </w:num>
  <w:num w:numId="6" w16cid:durableId="1784229079">
    <w:abstractNumId w:val="7"/>
  </w:num>
  <w:num w:numId="7" w16cid:durableId="765269593">
    <w:abstractNumId w:val="4"/>
  </w:num>
  <w:num w:numId="8" w16cid:durableId="1439449855">
    <w:abstractNumId w:val="8"/>
  </w:num>
  <w:num w:numId="9" w16cid:durableId="1703356012">
    <w:abstractNumId w:val="10"/>
  </w:num>
  <w:num w:numId="10" w16cid:durableId="2009819964">
    <w:abstractNumId w:val="11"/>
  </w:num>
  <w:num w:numId="11" w16cid:durableId="554048800">
    <w:abstractNumId w:val="26"/>
  </w:num>
  <w:num w:numId="12" w16cid:durableId="1391420723">
    <w:abstractNumId w:val="12"/>
  </w:num>
  <w:num w:numId="13" w16cid:durableId="932128442">
    <w:abstractNumId w:val="24"/>
  </w:num>
  <w:num w:numId="14" w16cid:durableId="1464231406">
    <w:abstractNumId w:val="20"/>
  </w:num>
  <w:num w:numId="15" w16cid:durableId="2010868935">
    <w:abstractNumId w:val="17"/>
  </w:num>
  <w:num w:numId="16" w16cid:durableId="971861762">
    <w:abstractNumId w:val="16"/>
  </w:num>
  <w:num w:numId="17" w16cid:durableId="1169172355">
    <w:abstractNumId w:val="5"/>
  </w:num>
  <w:num w:numId="18" w16cid:durableId="1143740980">
    <w:abstractNumId w:val="27"/>
  </w:num>
  <w:num w:numId="19" w16cid:durableId="472404344">
    <w:abstractNumId w:val="14"/>
  </w:num>
  <w:num w:numId="20" w16cid:durableId="1084915497">
    <w:abstractNumId w:val="9"/>
  </w:num>
  <w:num w:numId="21" w16cid:durableId="1697803577">
    <w:abstractNumId w:val="25"/>
  </w:num>
  <w:num w:numId="22" w16cid:durableId="229465827">
    <w:abstractNumId w:val="15"/>
  </w:num>
  <w:num w:numId="23" w16cid:durableId="782921255">
    <w:abstractNumId w:val="1"/>
    <w:lvlOverride w:ilvl="0">
      <w:startOverride w:val="1"/>
    </w:lvlOverride>
    <w:lvlOverride w:ilvl="1"/>
    <w:lvlOverride w:ilvl="2"/>
    <w:lvlOverride w:ilvl="3"/>
    <w:lvlOverride w:ilvl="4"/>
    <w:lvlOverride w:ilvl="5"/>
    <w:lvlOverride w:ilvl="6"/>
    <w:lvlOverride w:ilvl="7"/>
    <w:lvlOverride w:ilvl="8"/>
  </w:num>
  <w:num w:numId="24" w16cid:durableId="10877759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335228">
    <w:abstractNumId w:val="22"/>
  </w:num>
  <w:num w:numId="26" w16cid:durableId="1798063071">
    <w:abstractNumId w:val="3"/>
  </w:num>
  <w:num w:numId="27" w16cid:durableId="1344823021">
    <w:abstractNumId w:val="23"/>
  </w:num>
  <w:num w:numId="28" w16cid:durableId="1806384556">
    <w:abstractNumId w:val="0"/>
  </w:num>
  <w:num w:numId="29" w16cid:durableId="212364256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3C69"/>
    <w:rsid w:val="00011BA5"/>
    <w:rsid w:val="000204B9"/>
    <w:rsid w:val="00037765"/>
    <w:rsid w:val="00040F83"/>
    <w:rsid w:val="00052659"/>
    <w:rsid w:val="00052B07"/>
    <w:rsid w:val="000614EF"/>
    <w:rsid w:val="00064BA4"/>
    <w:rsid w:val="0006734F"/>
    <w:rsid w:val="00075AE8"/>
    <w:rsid w:val="000911E4"/>
    <w:rsid w:val="0009541A"/>
    <w:rsid w:val="00097997"/>
    <w:rsid w:val="000A09F8"/>
    <w:rsid w:val="000A1FBC"/>
    <w:rsid w:val="000A5ABD"/>
    <w:rsid w:val="000B762D"/>
    <w:rsid w:val="000D18CC"/>
    <w:rsid w:val="000E2FE7"/>
    <w:rsid w:val="000E406E"/>
    <w:rsid w:val="00100A91"/>
    <w:rsid w:val="00105919"/>
    <w:rsid w:val="00106A64"/>
    <w:rsid w:val="0013557F"/>
    <w:rsid w:val="00144211"/>
    <w:rsid w:val="00145A12"/>
    <w:rsid w:val="00147A70"/>
    <w:rsid w:val="00155F8B"/>
    <w:rsid w:val="00161E05"/>
    <w:rsid w:val="0016510A"/>
    <w:rsid w:val="00165A2C"/>
    <w:rsid w:val="00175536"/>
    <w:rsid w:val="00180875"/>
    <w:rsid w:val="001842B7"/>
    <w:rsid w:val="00185C20"/>
    <w:rsid w:val="0019355C"/>
    <w:rsid w:val="00195EF0"/>
    <w:rsid w:val="001A5DEB"/>
    <w:rsid w:val="001B6D04"/>
    <w:rsid w:val="001C3939"/>
    <w:rsid w:val="001C6347"/>
    <w:rsid w:val="001C65BE"/>
    <w:rsid w:val="001D207A"/>
    <w:rsid w:val="001D4E6F"/>
    <w:rsid w:val="001E3AA8"/>
    <w:rsid w:val="001E3D0E"/>
    <w:rsid w:val="001E66DD"/>
    <w:rsid w:val="001F2783"/>
    <w:rsid w:val="001F444A"/>
    <w:rsid w:val="001F4E4A"/>
    <w:rsid w:val="001F7332"/>
    <w:rsid w:val="0020623F"/>
    <w:rsid w:val="002222A8"/>
    <w:rsid w:val="0024264A"/>
    <w:rsid w:val="00244DD6"/>
    <w:rsid w:val="002462D7"/>
    <w:rsid w:val="00252826"/>
    <w:rsid w:val="00253AD5"/>
    <w:rsid w:val="00255F47"/>
    <w:rsid w:val="00257065"/>
    <w:rsid w:val="00257C13"/>
    <w:rsid w:val="00262FF7"/>
    <w:rsid w:val="002678F4"/>
    <w:rsid w:val="00270911"/>
    <w:rsid w:val="00275860"/>
    <w:rsid w:val="00275D69"/>
    <w:rsid w:val="00286F3C"/>
    <w:rsid w:val="00296198"/>
    <w:rsid w:val="002A5E22"/>
    <w:rsid w:val="002A6973"/>
    <w:rsid w:val="002B4F53"/>
    <w:rsid w:val="002D4941"/>
    <w:rsid w:val="002D4F71"/>
    <w:rsid w:val="002E1A56"/>
    <w:rsid w:val="002E766F"/>
    <w:rsid w:val="002F4FF6"/>
    <w:rsid w:val="00312F55"/>
    <w:rsid w:val="003130E8"/>
    <w:rsid w:val="0031425C"/>
    <w:rsid w:val="00315164"/>
    <w:rsid w:val="00316088"/>
    <w:rsid w:val="003178EC"/>
    <w:rsid w:val="003179AF"/>
    <w:rsid w:val="00322D61"/>
    <w:rsid w:val="003267A5"/>
    <w:rsid w:val="00330BFC"/>
    <w:rsid w:val="0033316A"/>
    <w:rsid w:val="00350836"/>
    <w:rsid w:val="0035087A"/>
    <w:rsid w:val="00364915"/>
    <w:rsid w:val="003815B1"/>
    <w:rsid w:val="00384A7C"/>
    <w:rsid w:val="00386790"/>
    <w:rsid w:val="00386B82"/>
    <w:rsid w:val="003A14E0"/>
    <w:rsid w:val="003A5284"/>
    <w:rsid w:val="003B13B2"/>
    <w:rsid w:val="003B35BD"/>
    <w:rsid w:val="003B4544"/>
    <w:rsid w:val="003B4C80"/>
    <w:rsid w:val="003D0279"/>
    <w:rsid w:val="003D3B47"/>
    <w:rsid w:val="003E0E76"/>
    <w:rsid w:val="003E21F8"/>
    <w:rsid w:val="003E268F"/>
    <w:rsid w:val="003E44F1"/>
    <w:rsid w:val="003E5F9F"/>
    <w:rsid w:val="003F0880"/>
    <w:rsid w:val="003F21B9"/>
    <w:rsid w:val="003F2BEA"/>
    <w:rsid w:val="003F48BD"/>
    <w:rsid w:val="00426E46"/>
    <w:rsid w:val="00431224"/>
    <w:rsid w:val="00432128"/>
    <w:rsid w:val="00435725"/>
    <w:rsid w:val="00440F0C"/>
    <w:rsid w:val="00446A44"/>
    <w:rsid w:val="00453317"/>
    <w:rsid w:val="004536EE"/>
    <w:rsid w:val="0046637C"/>
    <w:rsid w:val="0047432C"/>
    <w:rsid w:val="00482C70"/>
    <w:rsid w:val="004976BD"/>
    <w:rsid w:val="004978D4"/>
    <w:rsid w:val="004A7D74"/>
    <w:rsid w:val="004B1FE5"/>
    <w:rsid w:val="004B48A5"/>
    <w:rsid w:val="004D00B2"/>
    <w:rsid w:val="004E62BC"/>
    <w:rsid w:val="004F3745"/>
    <w:rsid w:val="004F3CE3"/>
    <w:rsid w:val="004F5993"/>
    <w:rsid w:val="00501532"/>
    <w:rsid w:val="00510B63"/>
    <w:rsid w:val="005123DA"/>
    <w:rsid w:val="00517064"/>
    <w:rsid w:val="00520CA0"/>
    <w:rsid w:val="00522E88"/>
    <w:rsid w:val="00534DC7"/>
    <w:rsid w:val="005458DE"/>
    <w:rsid w:val="00552A43"/>
    <w:rsid w:val="005565B8"/>
    <w:rsid w:val="00556F17"/>
    <w:rsid w:val="00562FE6"/>
    <w:rsid w:val="00566A2E"/>
    <w:rsid w:val="00567047"/>
    <w:rsid w:val="005720B6"/>
    <w:rsid w:val="005725B2"/>
    <w:rsid w:val="00574FB4"/>
    <w:rsid w:val="00575DFC"/>
    <w:rsid w:val="0057612B"/>
    <w:rsid w:val="00577A33"/>
    <w:rsid w:val="0058094A"/>
    <w:rsid w:val="00582D06"/>
    <w:rsid w:val="00586EA4"/>
    <w:rsid w:val="005937A7"/>
    <w:rsid w:val="00594F30"/>
    <w:rsid w:val="005B691E"/>
    <w:rsid w:val="005C2C84"/>
    <w:rsid w:val="005C6C64"/>
    <w:rsid w:val="005D150B"/>
    <w:rsid w:val="005D2489"/>
    <w:rsid w:val="005E142D"/>
    <w:rsid w:val="005F08A3"/>
    <w:rsid w:val="005F249F"/>
    <w:rsid w:val="005F7D4B"/>
    <w:rsid w:val="00607F1C"/>
    <w:rsid w:val="006116C4"/>
    <w:rsid w:val="006273D2"/>
    <w:rsid w:val="0063350D"/>
    <w:rsid w:val="00650B64"/>
    <w:rsid w:val="00654A65"/>
    <w:rsid w:val="00654F35"/>
    <w:rsid w:val="00657B92"/>
    <w:rsid w:val="00662314"/>
    <w:rsid w:val="006701F8"/>
    <w:rsid w:val="00691F21"/>
    <w:rsid w:val="00695DAE"/>
    <w:rsid w:val="006B157C"/>
    <w:rsid w:val="006D1E27"/>
    <w:rsid w:val="006D7710"/>
    <w:rsid w:val="006D7FCD"/>
    <w:rsid w:val="006E6495"/>
    <w:rsid w:val="006F2229"/>
    <w:rsid w:val="006F752D"/>
    <w:rsid w:val="00700E73"/>
    <w:rsid w:val="00706143"/>
    <w:rsid w:val="007211FE"/>
    <w:rsid w:val="00730B97"/>
    <w:rsid w:val="0073259F"/>
    <w:rsid w:val="00737C1D"/>
    <w:rsid w:val="00742FC8"/>
    <w:rsid w:val="00752E19"/>
    <w:rsid w:val="007558B6"/>
    <w:rsid w:val="00773249"/>
    <w:rsid w:val="00774602"/>
    <w:rsid w:val="00774BA7"/>
    <w:rsid w:val="00781455"/>
    <w:rsid w:val="0078584C"/>
    <w:rsid w:val="007A3566"/>
    <w:rsid w:val="007A3BE1"/>
    <w:rsid w:val="007A41A6"/>
    <w:rsid w:val="007B1611"/>
    <w:rsid w:val="007C2DCD"/>
    <w:rsid w:val="007C3D4E"/>
    <w:rsid w:val="007D4962"/>
    <w:rsid w:val="007E0D88"/>
    <w:rsid w:val="007E39C7"/>
    <w:rsid w:val="007E79B5"/>
    <w:rsid w:val="007F63CC"/>
    <w:rsid w:val="0080594C"/>
    <w:rsid w:val="00810267"/>
    <w:rsid w:val="00813629"/>
    <w:rsid w:val="0081611C"/>
    <w:rsid w:val="00817BD6"/>
    <w:rsid w:val="008250F7"/>
    <w:rsid w:val="00825E43"/>
    <w:rsid w:val="0082702C"/>
    <w:rsid w:val="00832F2D"/>
    <w:rsid w:val="00841E1A"/>
    <w:rsid w:val="00844569"/>
    <w:rsid w:val="008447BA"/>
    <w:rsid w:val="00852CA2"/>
    <w:rsid w:val="0086370B"/>
    <w:rsid w:val="00872E83"/>
    <w:rsid w:val="00876539"/>
    <w:rsid w:val="00880C7F"/>
    <w:rsid w:val="00880E0D"/>
    <w:rsid w:val="00883917"/>
    <w:rsid w:val="00887244"/>
    <w:rsid w:val="008A28DA"/>
    <w:rsid w:val="008A5429"/>
    <w:rsid w:val="008C0B01"/>
    <w:rsid w:val="008D012E"/>
    <w:rsid w:val="008D1EEC"/>
    <w:rsid w:val="008D77F3"/>
    <w:rsid w:val="008E702B"/>
    <w:rsid w:val="008F24CE"/>
    <w:rsid w:val="00903430"/>
    <w:rsid w:val="009055D9"/>
    <w:rsid w:val="00907E50"/>
    <w:rsid w:val="00931FEE"/>
    <w:rsid w:val="009354EE"/>
    <w:rsid w:val="00947232"/>
    <w:rsid w:val="00951E81"/>
    <w:rsid w:val="00961F5C"/>
    <w:rsid w:val="00965F3D"/>
    <w:rsid w:val="00973379"/>
    <w:rsid w:val="00976CC6"/>
    <w:rsid w:val="009876A3"/>
    <w:rsid w:val="009900FA"/>
    <w:rsid w:val="00995E59"/>
    <w:rsid w:val="00997BE6"/>
    <w:rsid w:val="009A6084"/>
    <w:rsid w:val="009B11CF"/>
    <w:rsid w:val="009B4E33"/>
    <w:rsid w:val="009C299A"/>
    <w:rsid w:val="009C40B8"/>
    <w:rsid w:val="009D079F"/>
    <w:rsid w:val="009E37C4"/>
    <w:rsid w:val="009E79CE"/>
    <w:rsid w:val="009F4846"/>
    <w:rsid w:val="009F4A71"/>
    <w:rsid w:val="009F652B"/>
    <w:rsid w:val="00A112E2"/>
    <w:rsid w:val="00A14D30"/>
    <w:rsid w:val="00A1654A"/>
    <w:rsid w:val="00A16FD1"/>
    <w:rsid w:val="00A23D73"/>
    <w:rsid w:val="00A31086"/>
    <w:rsid w:val="00A34D39"/>
    <w:rsid w:val="00A373DB"/>
    <w:rsid w:val="00A37C14"/>
    <w:rsid w:val="00A42B90"/>
    <w:rsid w:val="00A50E53"/>
    <w:rsid w:val="00A513A6"/>
    <w:rsid w:val="00A52FAE"/>
    <w:rsid w:val="00A612B9"/>
    <w:rsid w:val="00A70AA7"/>
    <w:rsid w:val="00A70EEB"/>
    <w:rsid w:val="00A713BC"/>
    <w:rsid w:val="00A71AA5"/>
    <w:rsid w:val="00A73602"/>
    <w:rsid w:val="00A74FD2"/>
    <w:rsid w:val="00A81FB9"/>
    <w:rsid w:val="00A82BDB"/>
    <w:rsid w:val="00A93690"/>
    <w:rsid w:val="00AA03F6"/>
    <w:rsid w:val="00AA1DC6"/>
    <w:rsid w:val="00AA2FD8"/>
    <w:rsid w:val="00AA6089"/>
    <w:rsid w:val="00AB08FA"/>
    <w:rsid w:val="00AB49D3"/>
    <w:rsid w:val="00AE0540"/>
    <w:rsid w:val="00B00423"/>
    <w:rsid w:val="00B02466"/>
    <w:rsid w:val="00B04580"/>
    <w:rsid w:val="00B17A97"/>
    <w:rsid w:val="00B240D9"/>
    <w:rsid w:val="00B3292D"/>
    <w:rsid w:val="00B333D0"/>
    <w:rsid w:val="00B571DD"/>
    <w:rsid w:val="00B63C9B"/>
    <w:rsid w:val="00B67C99"/>
    <w:rsid w:val="00B7071A"/>
    <w:rsid w:val="00B70C25"/>
    <w:rsid w:val="00B81A68"/>
    <w:rsid w:val="00B833AD"/>
    <w:rsid w:val="00B843CB"/>
    <w:rsid w:val="00B94BD0"/>
    <w:rsid w:val="00B9535B"/>
    <w:rsid w:val="00BA20F8"/>
    <w:rsid w:val="00BA48C8"/>
    <w:rsid w:val="00BA65B4"/>
    <w:rsid w:val="00BB5462"/>
    <w:rsid w:val="00BB57FE"/>
    <w:rsid w:val="00BB70F1"/>
    <w:rsid w:val="00BC71D9"/>
    <w:rsid w:val="00BD6E26"/>
    <w:rsid w:val="00BE133B"/>
    <w:rsid w:val="00BE42FB"/>
    <w:rsid w:val="00BE4A23"/>
    <w:rsid w:val="00BE4B48"/>
    <w:rsid w:val="00BE54EE"/>
    <w:rsid w:val="00BE6D94"/>
    <w:rsid w:val="00BF2EE7"/>
    <w:rsid w:val="00BF5B33"/>
    <w:rsid w:val="00BF7BDF"/>
    <w:rsid w:val="00C04E0C"/>
    <w:rsid w:val="00C230BC"/>
    <w:rsid w:val="00C2409D"/>
    <w:rsid w:val="00C30A1E"/>
    <w:rsid w:val="00C31838"/>
    <w:rsid w:val="00C427C9"/>
    <w:rsid w:val="00C44A19"/>
    <w:rsid w:val="00C455FC"/>
    <w:rsid w:val="00C50AA1"/>
    <w:rsid w:val="00C55508"/>
    <w:rsid w:val="00C55A70"/>
    <w:rsid w:val="00C6337C"/>
    <w:rsid w:val="00C66B71"/>
    <w:rsid w:val="00C73E48"/>
    <w:rsid w:val="00C8407A"/>
    <w:rsid w:val="00C90F49"/>
    <w:rsid w:val="00C94FCC"/>
    <w:rsid w:val="00C96B4D"/>
    <w:rsid w:val="00CA1930"/>
    <w:rsid w:val="00CA2306"/>
    <w:rsid w:val="00CA48FA"/>
    <w:rsid w:val="00CD3682"/>
    <w:rsid w:val="00CD38C9"/>
    <w:rsid w:val="00CD5F0D"/>
    <w:rsid w:val="00CE5D11"/>
    <w:rsid w:val="00CE6808"/>
    <w:rsid w:val="00CF134C"/>
    <w:rsid w:val="00CF2F3E"/>
    <w:rsid w:val="00CF3BD3"/>
    <w:rsid w:val="00CF43E8"/>
    <w:rsid w:val="00CF6EBF"/>
    <w:rsid w:val="00D00401"/>
    <w:rsid w:val="00D00634"/>
    <w:rsid w:val="00D06759"/>
    <w:rsid w:val="00D105E6"/>
    <w:rsid w:val="00D123FD"/>
    <w:rsid w:val="00D31D01"/>
    <w:rsid w:val="00D46006"/>
    <w:rsid w:val="00D535EA"/>
    <w:rsid w:val="00D56931"/>
    <w:rsid w:val="00D60324"/>
    <w:rsid w:val="00D61A56"/>
    <w:rsid w:val="00D62FE1"/>
    <w:rsid w:val="00D75672"/>
    <w:rsid w:val="00D76F62"/>
    <w:rsid w:val="00D77996"/>
    <w:rsid w:val="00D80731"/>
    <w:rsid w:val="00D84DC0"/>
    <w:rsid w:val="00D910F9"/>
    <w:rsid w:val="00D91ECB"/>
    <w:rsid w:val="00D97626"/>
    <w:rsid w:val="00D97AEA"/>
    <w:rsid w:val="00DA06DB"/>
    <w:rsid w:val="00DA46BB"/>
    <w:rsid w:val="00DA7A7A"/>
    <w:rsid w:val="00DD4EBE"/>
    <w:rsid w:val="00DD558A"/>
    <w:rsid w:val="00DE034F"/>
    <w:rsid w:val="00DE1663"/>
    <w:rsid w:val="00DE6A07"/>
    <w:rsid w:val="00DF0B8A"/>
    <w:rsid w:val="00DF2BFC"/>
    <w:rsid w:val="00DF60E1"/>
    <w:rsid w:val="00DF6437"/>
    <w:rsid w:val="00DF759F"/>
    <w:rsid w:val="00E03BA6"/>
    <w:rsid w:val="00E1465D"/>
    <w:rsid w:val="00E1733F"/>
    <w:rsid w:val="00E27C17"/>
    <w:rsid w:val="00E55470"/>
    <w:rsid w:val="00E66905"/>
    <w:rsid w:val="00E676BE"/>
    <w:rsid w:val="00E76A9F"/>
    <w:rsid w:val="00E814A0"/>
    <w:rsid w:val="00E855A1"/>
    <w:rsid w:val="00E8604D"/>
    <w:rsid w:val="00E94C49"/>
    <w:rsid w:val="00EA4301"/>
    <w:rsid w:val="00EC4486"/>
    <w:rsid w:val="00EC63BF"/>
    <w:rsid w:val="00ED2268"/>
    <w:rsid w:val="00ED3F85"/>
    <w:rsid w:val="00ED471F"/>
    <w:rsid w:val="00EE511B"/>
    <w:rsid w:val="00EE59F7"/>
    <w:rsid w:val="00EE68B6"/>
    <w:rsid w:val="00EE7FDA"/>
    <w:rsid w:val="00EF27F0"/>
    <w:rsid w:val="00EF64EE"/>
    <w:rsid w:val="00F10E21"/>
    <w:rsid w:val="00F121AC"/>
    <w:rsid w:val="00F23048"/>
    <w:rsid w:val="00F23C4B"/>
    <w:rsid w:val="00F25A17"/>
    <w:rsid w:val="00F27C1C"/>
    <w:rsid w:val="00F32AB3"/>
    <w:rsid w:val="00F36B35"/>
    <w:rsid w:val="00F42328"/>
    <w:rsid w:val="00F45A5F"/>
    <w:rsid w:val="00F5014E"/>
    <w:rsid w:val="00F54B75"/>
    <w:rsid w:val="00F55BB9"/>
    <w:rsid w:val="00F57F5E"/>
    <w:rsid w:val="00F66E25"/>
    <w:rsid w:val="00F7444C"/>
    <w:rsid w:val="00F7630B"/>
    <w:rsid w:val="00F8751E"/>
    <w:rsid w:val="00F97893"/>
    <w:rsid w:val="00FA1736"/>
    <w:rsid w:val="00FA5779"/>
    <w:rsid w:val="00FA667C"/>
    <w:rsid w:val="00FB3A53"/>
    <w:rsid w:val="00FB518D"/>
    <w:rsid w:val="00FB6517"/>
    <w:rsid w:val="00FC3F35"/>
    <w:rsid w:val="00FD6726"/>
    <w:rsid w:val="00FE0BBC"/>
    <w:rsid w:val="00FE653E"/>
    <w:rsid w:val="00FF0318"/>
    <w:rsid w:val="00FF36DA"/>
    <w:rsid w:val="00FF5068"/>
    <w:rsid w:val="00FF6BF7"/>
    <w:rsid w:val="00FF73BA"/>
    <w:rsid w:val="01A5B33E"/>
    <w:rsid w:val="02366192"/>
    <w:rsid w:val="02A4B7A3"/>
    <w:rsid w:val="03FD963A"/>
    <w:rsid w:val="050A78BD"/>
    <w:rsid w:val="064A330F"/>
    <w:rsid w:val="09F34FD5"/>
    <w:rsid w:val="0AE2FACE"/>
    <w:rsid w:val="0B137830"/>
    <w:rsid w:val="0C816C7E"/>
    <w:rsid w:val="105BD2AF"/>
    <w:rsid w:val="10EACB6A"/>
    <w:rsid w:val="1133C00D"/>
    <w:rsid w:val="134B6A2F"/>
    <w:rsid w:val="14C7DE24"/>
    <w:rsid w:val="15D8BB3F"/>
    <w:rsid w:val="160378FD"/>
    <w:rsid w:val="16E2495B"/>
    <w:rsid w:val="16F0D4E0"/>
    <w:rsid w:val="1A26136F"/>
    <w:rsid w:val="1A7E3CE0"/>
    <w:rsid w:val="1BCB2AD4"/>
    <w:rsid w:val="1BE9DC98"/>
    <w:rsid w:val="1C4E2C14"/>
    <w:rsid w:val="1CD324BD"/>
    <w:rsid w:val="1DFFBB27"/>
    <w:rsid w:val="2007F786"/>
    <w:rsid w:val="214142A8"/>
    <w:rsid w:val="2247F1CE"/>
    <w:rsid w:val="2518B97B"/>
    <w:rsid w:val="27BF3AC4"/>
    <w:rsid w:val="2AF7F76C"/>
    <w:rsid w:val="2B377E97"/>
    <w:rsid w:val="2C975913"/>
    <w:rsid w:val="2CA24580"/>
    <w:rsid w:val="30086E57"/>
    <w:rsid w:val="34C2B4CC"/>
    <w:rsid w:val="35F7711A"/>
    <w:rsid w:val="36BDC4B1"/>
    <w:rsid w:val="36D7039A"/>
    <w:rsid w:val="371DA3C4"/>
    <w:rsid w:val="394DDCD5"/>
    <w:rsid w:val="39E43EB6"/>
    <w:rsid w:val="39E4B6BD"/>
    <w:rsid w:val="3B12FBC5"/>
    <w:rsid w:val="3B1857AA"/>
    <w:rsid w:val="3DC18662"/>
    <w:rsid w:val="41515918"/>
    <w:rsid w:val="41AC7CF3"/>
    <w:rsid w:val="445C0B6E"/>
    <w:rsid w:val="4485D977"/>
    <w:rsid w:val="451C06AB"/>
    <w:rsid w:val="45B3C154"/>
    <w:rsid w:val="4698DD97"/>
    <w:rsid w:val="476F96F0"/>
    <w:rsid w:val="4873795E"/>
    <w:rsid w:val="48B4C61F"/>
    <w:rsid w:val="49F8A5EA"/>
    <w:rsid w:val="4BD0E83C"/>
    <w:rsid w:val="4C50E9E2"/>
    <w:rsid w:val="4C65549A"/>
    <w:rsid w:val="4C959E8D"/>
    <w:rsid w:val="4F794A1F"/>
    <w:rsid w:val="4F96E681"/>
    <w:rsid w:val="4FF3C066"/>
    <w:rsid w:val="508D2DF6"/>
    <w:rsid w:val="509B5A96"/>
    <w:rsid w:val="50BFAD52"/>
    <w:rsid w:val="52B052CA"/>
    <w:rsid w:val="5415095C"/>
    <w:rsid w:val="5547176E"/>
    <w:rsid w:val="55D56277"/>
    <w:rsid w:val="562A8357"/>
    <w:rsid w:val="57431A84"/>
    <w:rsid w:val="58693BA6"/>
    <w:rsid w:val="5AB6580A"/>
    <w:rsid w:val="5B6E9393"/>
    <w:rsid w:val="5D8EABB4"/>
    <w:rsid w:val="5FAFC843"/>
    <w:rsid w:val="60770BCC"/>
    <w:rsid w:val="621F46BC"/>
    <w:rsid w:val="63202275"/>
    <w:rsid w:val="64A88CE4"/>
    <w:rsid w:val="66F47077"/>
    <w:rsid w:val="679D08D6"/>
    <w:rsid w:val="686D8095"/>
    <w:rsid w:val="68824D03"/>
    <w:rsid w:val="6940334D"/>
    <w:rsid w:val="6A56B305"/>
    <w:rsid w:val="6B83BD89"/>
    <w:rsid w:val="6CC11720"/>
    <w:rsid w:val="6CEFD9DB"/>
    <w:rsid w:val="6DF02256"/>
    <w:rsid w:val="6E4A5940"/>
    <w:rsid w:val="6EADB78C"/>
    <w:rsid w:val="6FE6BCA8"/>
    <w:rsid w:val="71BC907F"/>
    <w:rsid w:val="71D7E434"/>
    <w:rsid w:val="71F7C853"/>
    <w:rsid w:val="732976BE"/>
    <w:rsid w:val="76BBD4BF"/>
    <w:rsid w:val="7845DF01"/>
    <w:rsid w:val="7960B2F0"/>
    <w:rsid w:val="79ACC19F"/>
    <w:rsid w:val="7A063A76"/>
    <w:rsid w:val="7AE5477C"/>
    <w:rsid w:val="7B6715C8"/>
    <w:rsid w:val="7BC31D43"/>
    <w:rsid w:val="7F258025"/>
    <w:rsid w:val="7F4D90D8"/>
    <w:rsid w:val="7F595457"/>
    <w:rsid w:val="7FC631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8C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DE"/>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2"/>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2"/>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2"/>
      </w:numPr>
      <w:tabs>
        <w:tab w:val="left" w:pos="1021"/>
      </w:tabs>
      <w:contextualSpacing/>
    </w:pPr>
  </w:style>
  <w:style w:type="paragraph" w:styleId="ListNumber4">
    <w:name w:val="List Number 4"/>
    <w:basedOn w:val="Normal"/>
    <w:uiPriority w:val="99"/>
    <w:qFormat/>
    <w:rsid w:val="003F0880"/>
    <w:pPr>
      <w:numPr>
        <w:ilvl w:val="3"/>
        <w:numId w:val="2"/>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Body Bullets 1,Bullet Point,Bullet point,Bullet points,CV text,Content descriptions,Dot pt,F5 List Paragraph,L,List Paragraph1,List Paragraph11,List Paragraph111,Main,Medium Grid 1 - Accent 21,Numbered Paragraph,Recommendation,Table text"/>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F249F"/>
    <w:rPr>
      <w:color w:val="605E5C"/>
      <w:shd w:val="clear" w:color="auto" w:fill="E1DFDD"/>
    </w:rPr>
  </w:style>
  <w:style w:type="character" w:customStyle="1" w:styleId="ListParagraphChar">
    <w:name w:val="List Paragraph Char"/>
    <w:aliases w:val="Body Bullets 1 Char,Bullet Point Char,Bullet point Char,Bullet points Char,CV text Char,Content descriptions Char,Dot pt Char,F5 List Paragraph Char,L Char,List Paragraph1 Char,List Paragraph11 Char,List Paragraph111 Char,Main Char"/>
    <w:basedOn w:val="DefaultParagraphFont"/>
    <w:link w:val="ListParagraph"/>
    <w:uiPriority w:val="34"/>
    <w:qFormat/>
    <w:rsid w:val="009900FA"/>
    <w:rPr>
      <w:sz w:val="20"/>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sid w:val="00386B82"/>
    <w:rPr>
      <w:b/>
      <w:bCs/>
    </w:rPr>
  </w:style>
  <w:style w:type="character" w:customStyle="1" w:styleId="CommentSubjectChar">
    <w:name w:val="Comment Subject Char"/>
    <w:basedOn w:val="CommentTextChar"/>
    <w:link w:val="CommentSubject"/>
    <w:uiPriority w:val="99"/>
    <w:semiHidden/>
    <w:rsid w:val="00386B82"/>
    <w:rPr>
      <w:b/>
      <w:bCs/>
      <w:sz w:val="20"/>
      <w:szCs w:val="20"/>
    </w:rPr>
  </w:style>
  <w:style w:type="paragraph" w:styleId="Revision">
    <w:name w:val="Revision"/>
    <w:hidden/>
    <w:uiPriority w:val="99"/>
    <w:semiHidden/>
    <w:rsid w:val="004F3745"/>
    <w:pPr>
      <w:spacing w:after="0" w:line="240" w:lineRule="auto"/>
    </w:pPr>
    <w:rPr>
      <w:sz w:val="20"/>
    </w:rPr>
  </w:style>
  <w:style w:type="character" w:styleId="FollowedHyperlink">
    <w:name w:val="FollowedHyperlink"/>
    <w:basedOn w:val="DefaultParagraphFont"/>
    <w:uiPriority w:val="99"/>
    <w:semiHidden/>
    <w:rsid w:val="009B4E33"/>
    <w:rPr>
      <w:color w:val="954F72" w:themeColor="followedHyperlink"/>
      <w:u w:val="single"/>
    </w:rPr>
  </w:style>
  <w:style w:type="numbering" w:customStyle="1" w:styleId="BulletList">
    <w:name w:val="Bullet List"/>
    <w:uiPriority w:val="99"/>
    <w:rsid w:val="00384A7C"/>
    <w:pPr>
      <w:numPr>
        <w:numId w:val="27"/>
      </w:numPr>
    </w:pPr>
  </w:style>
  <w:style w:type="paragraph" w:customStyle="1" w:styleId="Leadin">
    <w:name w:val="Lead in"/>
    <w:basedOn w:val="Normal"/>
    <w:next w:val="ListBullet"/>
    <w:qFormat/>
    <w:rsid w:val="00384A7C"/>
    <w:pPr>
      <w:keepNext/>
      <w:spacing w:after="6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1622">
      <w:bodyDiv w:val="1"/>
      <w:marLeft w:val="0"/>
      <w:marRight w:val="0"/>
      <w:marTop w:val="0"/>
      <w:marBottom w:val="0"/>
      <w:divBdr>
        <w:top w:val="none" w:sz="0" w:space="0" w:color="auto"/>
        <w:left w:val="none" w:sz="0" w:space="0" w:color="auto"/>
        <w:bottom w:val="none" w:sz="0" w:space="0" w:color="auto"/>
        <w:right w:val="none" w:sz="0" w:space="0" w:color="auto"/>
      </w:divBdr>
    </w:div>
    <w:div w:id="191194034">
      <w:bodyDiv w:val="1"/>
      <w:marLeft w:val="0"/>
      <w:marRight w:val="0"/>
      <w:marTop w:val="0"/>
      <w:marBottom w:val="0"/>
      <w:divBdr>
        <w:top w:val="none" w:sz="0" w:space="0" w:color="auto"/>
        <w:left w:val="none" w:sz="0" w:space="0" w:color="auto"/>
        <w:bottom w:val="none" w:sz="0" w:space="0" w:color="auto"/>
        <w:right w:val="none" w:sz="0" w:space="0" w:color="auto"/>
      </w:divBdr>
    </w:div>
    <w:div w:id="410930211">
      <w:bodyDiv w:val="1"/>
      <w:marLeft w:val="0"/>
      <w:marRight w:val="0"/>
      <w:marTop w:val="0"/>
      <w:marBottom w:val="0"/>
      <w:divBdr>
        <w:top w:val="none" w:sz="0" w:space="0" w:color="auto"/>
        <w:left w:val="none" w:sz="0" w:space="0" w:color="auto"/>
        <w:bottom w:val="none" w:sz="0" w:space="0" w:color="auto"/>
        <w:right w:val="none" w:sz="0" w:space="0" w:color="auto"/>
      </w:divBdr>
    </w:div>
    <w:div w:id="931859611">
      <w:bodyDiv w:val="1"/>
      <w:marLeft w:val="0"/>
      <w:marRight w:val="0"/>
      <w:marTop w:val="0"/>
      <w:marBottom w:val="0"/>
      <w:divBdr>
        <w:top w:val="none" w:sz="0" w:space="0" w:color="auto"/>
        <w:left w:val="none" w:sz="0" w:space="0" w:color="auto"/>
        <w:bottom w:val="none" w:sz="0" w:space="0" w:color="auto"/>
        <w:right w:val="none" w:sz="0" w:space="0" w:color="auto"/>
      </w:divBdr>
    </w:div>
    <w:div w:id="1111318680">
      <w:bodyDiv w:val="1"/>
      <w:marLeft w:val="0"/>
      <w:marRight w:val="0"/>
      <w:marTop w:val="0"/>
      <w:marBottom w:val="0"/>
      <w:divBdr>
        <w:top w:val="none" w:sz="0" w:space="0" w:color="auto"/>
        <w:left w:val="none" w:sz="0" w:space="0" w:color="auto"/>
        <w:bottom w:val="none" w:sz="0" w:space="0" w:color="auto"/>
        <w:right w:val="none" w:sz="0" w:space="0" w:color="auto"/>
      </w:divBdr>
    </w:div>
    <w:div w:id="1178622035">
      <w:bodyDiv w:val="1"/>
      <w:marLeft w:val="0"/>
      <w:marRight w:val="0"/>
      <w:marTop w:val="0"/>
      <w:marBottom w:val="0"/>
      <w:divBdr>
        <w:top w:val="none" w:sz="0" w:space="0" w:color="auto"/>
        <w:left w:val="none" w:sz="0" w:space="0" w:color="auto"/>
        <w:bottom w:val="none" w:sz="0" w:space="0" w:color="auto"/>
        <w:right w:val="none" w:sz="0" w:space="0" w:color="auto"/>
      </w:divBdr>
    </w:div>
    <w:div w:id="1289360929">
      <w:bodyDiv w:val="1"/>
      <w:marLeft w:val="0"/>
      <w:marRight w:val="0"/>
      <w:marTop w:val="0"/>
      <w:marBottom w:val="0"/>
      <w:divBdr>
        <w:top w:val="none" w:sz="0" w:space="0" w:color="auto"/>
        <w:left w:val="none" w:sz="0" w:space="0" w:color="auto"/>
        <w:bottom w:val="none" w:sz="0" w:space="0" w:color="auto"/>
        <w:right w:val="none" w:sz="0" w:space="0" w:color="auto"/>
      </w:divBdr>
    </w:div>
    <w:div w:id="14187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providerperformanceframework@dewr.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rperformanceframework@dewr.gov.au" TargetMode="External"/><Relationship Id="rId5" Type="http://schemas.openxmlformats.org/officeDocument/2006/relationships/footnotes" Target="footnotes.xml"/><Relationship Id="rId10" Type="http://schemas.openxmlformats.org/officeDocument/2006/relationships/hyperlink" Target="https://www.dewr.gov.au/employment-services-refor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2910</Words>
  <Characters>16589</Characters>
  <Application>Microsoft Office Word</Application>
  <DocSecurity>0</DocSecurity>
  <Lines>138</Lines>
  <Paragraphs>38</Paragraphs>
  <ScaleCrop>false</ScaleCrop>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Review FAQs - 6 December 2024 v4</dc:title>
  <dc:creator/>
  <cp:lastModifiedBy/>
  <cp:revision>1</cp:revision>
  <dcterms:created xsi:type="dcterms:W3CDTF">2024-12-06T04:41:00Z</dcterms:created>
  <dcterms:modified xsi:type="dcterms:W3CDTF">2024-12-06T04:41:00Z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2024-12-06T04:40:54Z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bfab5af4-1cda-4934-a22c-2a277c3d7111</vt:lpwstr>
  </property>
  <property fmtid="{D5CDD505-2E9C-101B-9397-08002B2CF9AE}" pid="8" name="MSIP_Label_79d889eb-932f-4752-8739-64d25806ef64_ContentBits">
    <vt:lpwstr>0</vt:lpwstr>
  </property>
</Properties>
</file>