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772C2" w14:textId="77777777" w:rsidR="00325093" w:rsidRDefault="00325093" w:rsidP="007D3EA4">
      <w:pPr>
        <w:tabs>
          <w:tab w:val="center" w:pos="5587"/>
        </w:tabs>
        <w:ind w:left="709"/>
        <w:rPr>
          <w:noProof/>
        </w:rPr>
      </w:pPr>
    </w:p>
    <w:p w14:paraId="0A0F0106" w14:textId="005A54BF" w:rsidR="00A668BF" w:rsidRPr="00AA4FD8" w:rsidRDefault="00325093" w:rsidP="00325093">
      <w:pPr>
        <w:tabs>
          <w:tab w:val="center" w:pos="5587"/>
        </w:tabs>
        <w:jc w:val="center"/>
        <w:rPr>
          <w:color w:val="002D3F" w:themeColor="accent1"/>
        </w:rPr>
        <w:sectPr w:rsidR="00A668BF" w:rsidRPr="00AA4FD8" w:rsidSect="002A7840">
          <w:headerReference w:type="default" r:id="rId11"/>
          <w:footerReference w:type="default" r:id="rId12"/>
          <w:type w:val="continuous"/>
          <w:pgSz w:w="11906" w:h="16838"/>
          <w:pgMar w:top="567" w:right="720" w:bottom="720" w:left="720" w:header="708" w:footer="708" w:gutter="0"/>
          <w:cols w:space="708"/>
          <w:docGrid w:linePitch="360"/>
        </w:sectPr>
      </w:pPr>
      <w:r w:rsidRPr="00AA4FD8">
        <w:rPr>
          <w:noProof/>
          <w:color w:val="002D3F" w:themeColor="accent1"/>
        </w:rPr>
        <w:drawing>
          <wp:inline distT="0" distB="0" distL="0" distR="0" wp14:anchorId="45660834" wp14:editId="26D4E2D9">
            <wp:extent cx="5653129" cy="2671638"/>
            <wp:effectExtent l="0" t="0" r="5080" b="0"/>
            <wp:docPr id="4" name="Picture 4" descr="Delivering Training and Assessment Programmes in Pakistan with Melbourne Polytechnic"/>
            <wp:cNvGraphicFramePr/>
            <a:graphic xmlns:a="http://schemas.openxmlformats.org/drawingml/2006/main">
              <a:graphicData uri="http://schemas.openxmlformats.org/drawingml/2006/picture">
                <pic:pic xmlns:pic="http://schemas.openxmlformats.org/drawingml/2006/picture">
                  <pic:nvPicPr>
                    <pic:cNvPr id="4" name="Picture 4" descr="Delivering Training and Assessment Programmes in Pakistan with Melbourne Polytechnic"/>
                    <pic:cNvPicPr/>
                  </pic:nvPicPr>
                  <pic:blipFill rotWithShape="1">
                    <a:blip r:embed="rId13">
                      <a:extLst>
                        <a:ext uri="{28A0092B-C50C-407E-A947-70E740481C1C}">
                          <a14:useLocalDpi xmlns:a14="http://schemas.microsoft.com/office/drawing/2010/main" val="0"/>
                        </a:ext>
                      </a:extLst>
                    </a:blip>
                    <a:srcRect t="13892" b="20683"/>
                    <a:stretch/>
                  </pic:blipFill>
                  <pic:spPr bwMode="auto">
                    <a:xfrm>
                      <a:off x="0" y="0"/>
                      <a:ext cx="5661054" cy="2675383"/>
                    </a:xfrm>
                    <a:prstGeom prst="rect">
                      <a:avLst/>
                    </a:prstGeom>
                    <a:noFill/>
                    <a:ln>
                      <a:noFill/>
                    </a:ln>
                    <a:extLst>
                      <a:ext uri="{53640926-AAD7-44D8-BBD7-CCE9431645EC}">
                        <a14:shadowObscured xmlns:a14="http://schemas.microsoft.com/office/drawing/2010/main"/>
                      </a:ext>
                    </a:extLst>
                  </pic:spPr>
                </pic:pic>
              </a:graphicData>
            </a:graphic>
          </wp:inline>
        </w:drawing>
      </w:r>
    </w:p>
    <w:p w14:paraId="7FC8BA8D" w14:textId="2A364E79" w:rsidR="00325093" w:rsidRPr="00AA4FD8" w:rsidRDefault="00325093" w:rsidP="00325093">
      <w:pPr>
        <w:jc w:val="center"/>
        <w:rPr>
          <w:color w:val="002D3F" w:themeColor="accent1"/>
        </w:rPr>
      </w:pPr>
      <w:r w:rsidRPr="00AA4FD8">
        <w:rPr>
          <w:rStyle w:val="TitleChar"/>
          <w:color w:val="002D3F" w:themeColor="accent1"/>
          <w:sz w:val="32"/>
          <w:szCs w:val="28"/>
        </w:rPr>
        <w:t>Delivering Training and Assessment Programmes in Pakistan wit</w:t>
      </w:r>
      <w:r w:rsidR="00AA4FD8" w:rsidRPr="00AA4FD8">
        <w:rPr>
          <w:rStyle w:val="TitleChar"/>
          <w:color w:val="002D3F" w:themeColor="accent1"/>
          <w:sz w:val="32"/>
          <w:szCs w:val="28"/>
        </w:rPr>
        <w:t>h Melbourne Polytechnic</w:t>
      </w:r>
    </w:p>
    <w:p w14:paraId="78627BF8" w14:textId="6A8C4087" w:rsidR="007E512C" w:rsidRDefault="000C5CA3" w:rsidP="0071332D">
      <w:pPr>
        <w:jc w:val="both"/>
      </w:pPr>
      <w:r>
        <w:rPr>
          <w:noProof/>
        </w:rPr>
        <mc:AlternateContent>
          <mc:Choice Requires="wps">
            <w:drawing>
              <wp:anchor distT="45720" distB="45720" distL="114300" distR="114300" simplePos="0" relativeHeight="251659264" behindDoc="0" locked="0" layoutInCell="1" allowOverlap="1" wp14:anchorId="47B0814F" wp14:editId="2827EEFF">
                <wp:simplePos x="0" y="0"/>
                <wp:positionH relativeFrom="column">
                  <wp:posOffset>-21590</wp:posOffset>
                </wp:positionH>
                <wp:positionV relativeFrom="paragraph">
                  <wp:posOffset>14605</wp:posOffset>
                </wp:positionV>
                <wp:extent cx="2360930" cy="1505585"/>
                <wp:effectExtent l="0" t="0" r="127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05585"/>
                        </a:xfrm>
                        <a:prstGeom prst="rect">
                          <a:avLst/>
                        </a:prstGeom>
                        <a:solidFill>
                          <a:schemeClr val="bg1"/>
                        </a:solidFill>
                        <a:ln>
                          <a:headEnd/>
                          <a:tailEnd/>
                        </a:ln>
                      </wps:spPr>
                      <wps:style>
                        <a:lnRef idx="1">
                          <a:schemeClr val="accent2"/>
                        </a:lnRef>
                        <a:fillRef idx="2">
                          <a:schemeClr val="accent2"/>
                        </a:fillRef>
                        <a:effectRef idx="1">
                          <a:schemeClr val="accent2"/>
                        </a:effectRef>
                        <a:fontRef idx="minor">
                          <a:schemeClr val="dk1"/>
                        </a:fontRef>
                      </wps:style>
                      <wps:txbx>
                        <w:txbxContent>
                          <w:p w14:paraId="0381A17E" w14:textId="55799C96" w:rsidR="00423592" w:rsidRPr="007248D1" w:rsidRDefault="000C5CA3">
                            <w:pPr>
                              <w:rPr>
                                <w:b/>
                                <w:bCs/>
                              </w:rPr>
                            </w:pPr>
                            <w:r w:rsidRPr="007248D1">
                              <w:rPr>
                                <w:b/>
                                <w:bCs/>
                              </w:rPr>
                              <w:t>When:</w:t>
                            </w:r>
                            <w:r w:rsidRPr="007248D1">
                              <w:t xml:space="preserve"> January – April 2019 </w:t>
                            </w:r>
                            <w:r w:rsidR="00691791" w:rsidRPr="007248D1">
                              <w:br/>
                            </w:r>
                            <w:r w:rsidR="00691791" w:rsidRPr="007248D1">
                              <w:rPr>
                                <w:b/>
                                <w:bCs/>
                              </w:rPr>
                              <w:t>Where:</w:t>
                            </w:r>
                            <w:r w:rsidR="00691791" w:rsidRPr="007248D1">
                              <w:t xml:space="preserve"> Pakistan </w:t>
                            </w:r>
                            <w:r w:rsidR="00723AC5" w:rsidRPr="007248D1">
                              <w:br/>
                            </w:r>
                            <w:r w:rsidR="00723AC5" w:rsidRPr="007248D1">
                              <w:rPr>
                                <w:b/>
                                <w:bCs/>
                              </w:rPr>
                              <w:t>Who:</w:t>
                            </w:r>
                            <w:r w:rsidR="00723AC5" w:rsidRPr="007248D1">
                              <w:t xml:space="preserve"> </w:t>
                            </w:r>
                            <w:r w:rsidR="00423592" w:rsidRPr="007248D1">
                              <w:t xml:space="preserve">German </w:t>
                            </w:r>
                            <w:r w:rsidR="00911ABB" w:rsidRPr="007248D1">
                              <w:t xml:space="preserve">Development Agency </w:t>
                            </w:r>
                            <w:r w:rsidR="00423592" w:rsidRPr="007248D1">
                              <w:t>(GIZ)</w:t>
                            </w:r>
                            <w:r w:rsidR="00CF70AC" w:rsidRPr="007248D1">
                              <w:br/>
                            </w:r>
                            <w:r w:rsidR="00C37FBB" w:rsidRPr="007248D1">
                              <w:rPr>
                                <w:b/>
                                <w:bCs/>
                              </w:rPr>
                              <w:t xml:space="preserve">Learners: </w:t>
                            </w:r>
                            <w:r w:rsidR="001A5A2A" w:rsidRPr="007248D1">
                              <w:t>145</w:t>
                            </w:r>
                            <w:r w:rsidR="00423592" w:rsidRPr="007248D1">
                              <w:br/>
                            </w:r>
                            <w:r w:rsidR="00C37FBB" w:rsidRPr="007248D1">
                              <w:rPr>
                                <w:b/>
                                <w:bCs/>
                              </w:rPr>
                              <w:t>Courses:</w:t>
                            </w:r>
                            <w:r w:rsidR="001A5A2A" w:rsidRPr="007248D1">
                              <w:rPr>
                                <w:b/>
                                <w:bCs/>
                              </w:rPr>
                              <w:t xml:space="preserve"> </w:t>
                            </w:r>
                            <w:r w:rsidR="007732EC" w:rsidRPr="007248D1">
                              <w:t>TVETC001, TVETC002 and TVETC003</w:t>
                            </w:r>
                            <w:r w:rsidR="00C37FBB" w:rsidRPr="007248D1">
                              <w:rPr>
                                <w:b/>
                                <w:bCs/>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7B0814F" id="_x0000_t202" coordsize="21600,21600" o:spt="202" path="m,l,21600r21600,l21600,xe">
                <v:stroke joinstyle="miter"/>
                <v:path gradientshapeok="t" o:connecttype="rect"/>
              </v:shapetype>
              <v:shape id="Text Box 2" o:spid="_x0000_s1026" type="#_x0000_t202" style="position:absolute;left:0;text-align:left;margin-left:-1.7pt;margin-top:1.15pt;width:185.9pt;height:118.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" fillcolor="white [3212]" strokecolor="#f26322 [3205]" strokeweight=".5pt">
                <v:textbox>
                  <w:txbxContent>
                    <w:p w14:paraId="0381A17E" w14:textId="55799C96" w:rsidR="00423592" w:rsidRPr="007248D1" w:rsidRDefault="000C5CA3">
                      <w:pPr>
                        <w:rPr>
                          <w:b/>
                          <w:bCs/>
                        </w:rPr>
                      </w:pPr>
                      <w:r w:rsidRPr="007248D1">
                        <w:rPr>
                          <w:b/>
                          <w:bCs/>
                        </w:rPr>
                        <w:t>When:</w:t>
                      </w:r>
                      <w:r w:rsidRPr="007248D1">
                        <w:t xml:space="preserve"> January – April 2019 </w:t>
                      </w:r>
                      <w:r w:rsidR="00691791" w:rsidRPr="007248D1">
                        <w:br/>
                      </w:r>
                      <w:r w:rsidR="00691791" w:rsidRPr="007248D1">
                        <w:rPr>
                          <w:b/>
                          <w:bCs/>
                        </w:rPr>
                        <w:t>Where:</w:t>
                      </w:r>
                      <w:r w:rsidR="00691791" w:rsidRPr="007248D1">
                        <w:t xml:space="preserve"> Pakistan </w:t>
                      </w:r>
                      <w:r w:rsidR="00723AC5" w:rsidRPr="007248D1">
                        <w:br/>
                      </w:r>
                      <w:r w:rsidR="00723AC5" w:rsidRPr="007248D1">
                        <w:rPr>
                          <w:b/>
                          <w:bCs/>
                        </w:rPr>
                        <w:t>Who:</w:t>
                      </w:r>
                      <w:r w:rsidR="00723AC5" w:rsidRPr="007248D1">
                        <w:t xml:space="preserve"> </w:t>
                      </w:r>
                      <w:r w:rsidR="00423592" w:rsidRPr="007248D1">
                        <w:t xml:space="preserve">German </w:t>
                      </w:r>
                      <w:r w:rsidR="00911ABB" w:rsidRPr="007248D1">
                        <w:t xml:space="preserve">Development Agency </w:t>
                      </w:r>
                      <w:r w:rsidR="00423592" w:rsidRPr="007248D1">
                        <w:t>(GIZ)</w:t>
                      </w:r>
                      <w:r w:rsidR="00CF70AC" w:rsidRPr="007248D1">
                        <w:br/>
                      </w:r>
                      <w:r w:rsidR="00C37FBB" w:rsidRPr="007248D1">
                        <w:rPr>
                          <w:b/>
                          <w:bCs/>
                        </w:rPr>
                        <w:t xml:space="preserve">Learners: </w:t>
                      </w:r>
                      <w:r w:rsidR="001A5A2A" w:rsidRPr="007248D1">
                        <w:t>145</w:t>
                      </w:r>
                      <w:r w:rsidR="00423592" w:rsidRPr="007248D1">
                        <w:br/>
                      </w:r>
                      <w:r w:rsidR="00C37FBB" w:rsidRPr="007248D1">
                        <w:rPr>
                          <w:b/>
                          <w:bCs/>
                        </w:rPr>
                        <w:t>Courses:</w:t>
                      </w:r>
                      <w:r w:rsidR="001A5A2A" w:rsidRPr="007248D1">
                        <w:rPr>
                          <w:b/>
                          <w:bCs/>
                        </w:rPr>
                        <w:t xml:space="preserve"> </w:t>
                      </w:r>
                      <w:r w:rsidR="007732EC" w:rsidRPr="007248D1">
                        <w:t>TVETC001, TVETC002 and TVETC003</w:t>
                      </w:r>
                      <w:r w:rsidR="00C37FBB" w:rsidRPr="007248D1">
                        <w:rPr>
                          <w:b/>
                          <w:bCs/>
                        </w:rPr>
                        <w:t xml:space="preserve"> </w:t>
                      </w:r>
                    </w:p>
                  </w:txbxContent>
                </v:textbox>
                <w10:wrap type="square"/>
              </v:shape>
            </w:pict>
          </mc:Fallback>
        </mc:AlternateContent>
      </w:r>
      <w:r w:rsidR="00EC345D">
        <w:t xml:space="preserve">From January to April 2019, Melbourne Polytechnic supported the Pakistan government in the first phase of their TVET Sector Support Programme (TVETSSP.) The project was implemented in partnership with the German development agency GIZ, with the goal of supporting capacity development and reform in the Pakistan TVET system. </w:t>
      </w:r>
    </w:p>
    <w:p w14:paraId="431448F5" w14:textId="2F37EED3" w:rsidR="00EC345D" w:rsidRDefault="00EC345D" w:rsidP="0071332D">
      <w:pPr>
        <w:jc w:val="both"/>
      </w:pPr>
      <w:r>
        <w:t>Melbourne Polytechnic successfully delivered the IST suite to 145 vocational trainers, including 35 who completed all three courses and qualified as ‘chief master trainers.’</w:t>
      </w:r>
      <w:r w:rsidR="009573B8">
        <w:t xml:space="preserve"> </w:t>
      </w:r>
      <w:r>
        <w:t xml:space="preserve">Competency-based training and assessment and a cascading model of training for capacity development are key components of the Pakistan TVETSSP. The IST suite was thus particularly suited for this endeavour. Feedback from the program was very positive, from both participants and stakeholders. The trainers expressed </w:t>
      </w:r>
      <w:r w:rsidR="0071332D">
        <w:t>appreciation</w:t>
      </w:r>
      <w:r>
        <w:t xml:space="preserve"> for the concept of competency and a willingness to incorporate competency-based training and assessment into their teaching practice.</w:t>
      </w:r>
    </w:p>
    <w:p w14:paraId="6D4D4EC0" w14:textId="5EE55AF0" w:rsidR="007E512C" w:rsidRDefault="007E512C" w:rsidP="0071332D">
      <w:pPr>
        <w:jc w:val="both"/>
      </w:pPr>
      <w:r w:rsidRPr="00325093">
        <w:rPr>
          <w:noProof/>
        </w:rPr>
        <w:drawing>
          <wp:anchor distT="0" distB="0" distL="114300" distR="114300" simplePos="0" relativeHeight="251660288" behindDoc="0" locked="0" layoutInCell="1" allowOverlap="1" wp14:anchorId="552C9DE8" wp14:editId="6C0F15F8">
            <wp:simplePos x="0" y="0"/>
            <wp:positionH relativeFrom="column">
              <wp:posOffset>3097161</wp:posOffset>
            </wp:positionH>
            <wp:positionV relativeFrom="paragraph">
              <wp:posOffset>9894</wp:posOffset>
            </wp:positionV>
            <wp:extent cx="2560320" cy="763604"/>
            <wp:effectExtent l="0" t="0" r="0" b="0"/>
            <wp:wrapSquare wrapText="bothSides"/>
            <wp:docPr id="1" name="Picture 1" descr="Melbourne Polytechn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lbourne Polytechnic logo"/>
                    <pic:cNvPicPr/>
                  </pic:nvPicPr>
                  <pic:blipFill>
                    <a:blip r:embed="rId14"/>
                    <a:stretch>
                      <a:fillRect/>
                    </a:stretch>
                  </pic:blipFill>
                  <pic:spPr>
                    <a:xfrm>
                      <a:off x="0" y="0"/>
                      <a:ext cx="2560320" cy="763604"/>
                    </a:xfrm>
                    <a:prstGeom prst="rect">
                      <a:avLst/>
                    </a:prstGeom>
                  </pic:spPr>
                </pic:pic>
              </a:graphicData>
            </a:graphic>
          </wp:anchor>
        </w:drawing>
      </w:r>
      <w:r w:rsidRPr="007E512C">
        <w:t xml:space="preserve">A number of participants in the program have since been in contact, including some who completed all three courses. They note that they have successfully adapted training materials that were introduced to </w:t>
      </w:r>
      <w:r w:rsidRPr="007E512C">
        <w:lastRenderedPageBreak/>
        <w:t>them by our trainers, and that they carry out validation and moderation of assessment consistent with competency-based training.</w:t>
      </w:r>
    </w:p>
    <w:p w14:paraId="37795F40" w14:textId="695DEF61" w:rsidR="00B22D51" w:rsidRDefault="00EC345D" w:rsidP="009573B8">
      <w:pPr>
        <w:jc w:val="both"/>
      </w:pPr>
      <w:r>
        <w:t>The training was delivered in person in Faisalabad. Phase 2 of the TVETSSP has been disrupted by the COVID-19 pandemic, but Melbourne Polytechnic has been invited to tender for further IST training in a blended model of delivery.</w:t>
      </w:r>
    </w:p>
    <w:p w14:paraId="53B55E3D" w14:textId="77777777" w:rsidR="007E512C" w:rsidRDefault="007E512C" w:rsidP="009573B8">
      <w:pPr>
        <w:jc w:val="both"/>
      </w:pPr>
    </w:p>
    <w:p w14:paraId="684D036F" w14:textId="4ADCD218" w:rsidR="00AA4FD8" w:rsidRPr="00A56FC7" w:rsidRDefault="00AA4FD8" w:rsidP="009573B8">
      <w:pPr>
        <w:jc w:val="both"/>
      </w:pPr>
    </w:p>
    <w:sectPr w:rsidR="00AA4FD8" w:rsidRPr="00A56FC7" w:rsidSect="008507C1">
      <w:head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D7E39" w14:textId="77777777" w:rsidR="00610D7D" w:rsidRDefault="00610D7D" w:rsidP="0051352E">
      <w:pPr>
        <w:spacing w:after="0" w:line="240" w:lineRule="auto"/>
      </w:pPr>
      <w:r>
        <w:separator/>
      </w:r>
    </w:p>
  </w:endnote>
  <w:endnote w:type="continuationSeparator" w:id="0">
    <w:p w14:paraId="5E3986C5" w14:textId="77777777" w:rsidR="00610D7D" w:rsidRDefault="00610D7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FA58" w14:textId="1C45F34C" w:rsidR="007D3EA4" w:rsidRDefault="007D3EA4" w:rsidP="007D3EA4">
    <w:pPr>
      <w:pStyle w:val="Footer"/>
      <w:jc w:val="center"/>
    </w:pPr>
    <w:r>
      <w:rPr>
        <w:color w:val="1F497D"/>
      </w:rPr>
      <w:t>© Commonwealth of Australia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99500" w14:textId="77777777" w:rsidR="00610D7D" w:rsidRDefault="00610D7D" w:rsidP="0051352E">
      <w:pPr>
        <w:spacing w:after="0" w:line="240" w:lineRule="auto"/>
      </w:pPr>
      <w:r>
        <w:separator/>
      </w:r>
    </w:p>
  </w:footnote>
  <w:footnote w:type="continuationSeparator" w:id="0">
    <w:p w14:paraId="563DED5D" w14:textId="77777777" w:rsidR="00610D7D" w:rsidRDefault="00610D7D"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1EC00" w14:textId="131B06D4" w:rsidR="007D3EA4" w:rsidRDefault="007D3EA4" w:rsidP="00325093">
    <w:pPr>
      <w:pStyle w:val="Header"/>
      <w:jc w:val="center"/>
    </w:pPr>
    <w:r>
      <w:rPr>
        <w:noProof/>
      </w:rPr>
      <w:drawing>
        <wp:inline distT="0" distB="0" distL="0" distR="0" wp14:anchorId="0DF970AF" wp14:editId="5AB879EB">
          <wp:extent cx="5340830" cy="1741887"/>
          <wp:effectExtent l="0" t="0" r="0" b="0"/>
          <wp:docPr id="2" name="Picture 2" descr="Logo banner incorporating International Skill Training Courses, Australian Government crest and International Skills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banner incorporating International Skill Training Courses, Australian Government crest and International Skills Training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15311" b="10772"/>
                  <a:stretch/>
                </pic:blipFill>
                <pic:spPr bwMode="auto">
                  <a:xfrm>
                    <a:off x="0" y="0"/>
                    <a:ext cx="5376250" cy="175343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28118" w14:textId="4AD36E00" w:rsidR="007D3EA4" w:rsidRDefault="007D3EA4" w:rsidP="007D3EA4">
    <w:pPr>
      <w:pStyle w:val="Header"/>
      <w:jc w:val="center"/>
    </w:pPr>
    <w:r>
      <w:rPr>
        <w:noProof/>
      </w:rPr>
      <w:drawing>
        <wp:inline distT="0" distB="0" distL="0" distR="0" wp14:anchorId="2C2FE0A0" wp14:editId="5769C296">
          <wp:extent cx="2910177" cy="882386"/>
          <wp:effectExtent l="0" t="0" r="5080" b="0"/>
          <wp:docPr id="5" name="Picture 5" descr="Australian Government crest and International Skills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crest and International Skills Train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844" cy="8898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D7"/>
    <w:rsid w:val="00052BBC"/>
    <w:rsid w:val="000A453D"/>
    <w:rsid w:val="000C5CA3"/>
    <w:rsid w:val="00157F35"/>
    <w:rsid w:val="0017653B"/>
    <w:rsid w:val="001A1ACB"/>
    <w:rsid w:val="001A5A2A"/>
    <w:rsid w:val="00217EAB"/>
    <w:rsid w:val="0022498C"/>
    <w:rsid w:val="002724D0"/>
    <w:rsid w:val="002A7840"/>
    <w:rsid w:val="002B1CE5"/>
    <w:rsid w:val="002C5F42"/>
    <w:rsid w:val="002F4DB3"/>
    <w:rsid w:val="00325093"/>
    <w:rsid w:val="00350FFA"/>
    <w:rsid w:val="00363146"/>
    <w:rsid w:val="00382F07"/>
    <w:rsid w:val="003E4CA4"/>
    <w:rsid w:val="00414677"/>
    <w:rsid w:val="00423592"/>
    <w:rsid w:val="00441E31"/>
    <w:rsid w:val="00453C04"/>
    <w:rsid w:val="00497764"/>
    <w:rsid w:val="0051352E"/>
    <w:rsid w:val="00517DA7"/>
    <w:rsid w:val="00520A33"/>
    <w:rsid w:val="00527AE4"/>
    <w:rsid w:val="005418F0"/>
    <w:rsid w:val="0055569D"/>
    <w:rsid w:val="005A2CBD"/>
    <w:rsid w:val="005D7CE7"/>
    <w:rsid w:val="0060571A"/>
    <w:rsid w:val="00610A38"/>
    <w:rsid w:val="00610D7D"/>
    <w:rsid w:val="00630DDF"/>
    <w:rsid w:val="00691791"/>
    <w:rsid w:val="006E5D6E"/>
    <w:rsid w:val="0071332D"/>
    <w:rsid w:val="00721B03"/>
    <w:rsid w:val="00723AC5"/>
    <w:rsid w:val="007248D1"/>
    <w:rsid w:val="007570DC"/>
    <w:rsid w:val="007732EC"/>
    <w:rsid w:val="007B1ABA"/>
    <w:rsid w:val="007B74C5"/>
    <w:rsid w:val="007D3EA4"/>
    <w:rsid w:val="007E512C"/>
    <w:rsid w:val="008507C1"/>
    <w:rsid w:val="00861934"/>
    <w:rsid w:val="008B49B3"/>
    <w:rsid w:val="008F0AC9"/>
    <w:rsid w:val="00911ABB"/>
    <w:rsid w:val="0093473D"/>
    <w:rsid w:val="00944ECC"/>
    <w:rsid w:val="009573B8"/>
    <w:rsid w:val="00972F57"/>
    <w:rsid w:val="00995280"/>
    <w:rsid w:val="009C054A"/>
    <w:rsid w:val="009F22FF"/>
    <w:rsid w:val="00A24E6E"/>
    <w:rsid w:val="00A43694"/>
    <w:rsid w:val="00A56FC7"/>
    <w:rsid w:val="00A668BF"/>
    <w:rsid w:val="00A72575"/>
    <w:rsid w:val="00A74071"/>
    <w:rsid w:val="00A754E4"/>
    <w:rsid w:val="00A854EA"/>
    <w:rsid w:val="00AA124A"/>
    <w:rsid w:val="00AA2A96"/>
    <w:rsid w:val="00AA4FD8"/>
    <w:rsid w:val="00B100CC"/>
    <w:rsid w:val="00B22D51"/>
    <w:rsid w:val="00B6689D"/>
    <w:rsid w:val="00B72368"/>
    <w:rsid w:val="00C37FBB"/>
    <w:rsid w:val="00C54D58"/>
    <w:rsid w:val="00C573E1"/>
    <w:rsid w:val="00C60222"/>
    <w:rsid w:val="00C736D3"/>
    <w:rsid w:val="00C95DF6"/>
    <w:rsid w:val="00CF70AC"/>
    <w:rsid w:val="00DA1B7B"/>
    <w:rsid w:val="00DB79DF"/>
    <w:rsid w:val="00DE32BB"/>
    <w:rsid w:val="00EA32F7"/>
    <w:rsid w:val="00EC345D"/>
    <w:rsid w:val="00F230CD"/>
    <w:rsid w:val="00F32E3E"/>
    <w:rsid w:val="00F424D7"/>
    <w:rsid w:val="00F51C18"/>
    <w:rsid w:val="00F90539"/>
    <w:rsid w:val="00FA31E2"/>
    <w:rsid w:val="00FF09A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64681D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normaltextrun">
    <w:name w:val="normaltextrun"/>
    <w:basedOn w:val="DefaultParagraphFont"/>
    <w:rsid w:val="00FF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247833">
      <w:bodyDiv w:val="1"/>
      <w:marLeft w:val="0"/>
      <w:marRight w:val="0"/>
      <w:marTop w:val="0"/>
      <w:marBottom w:val="0"/>
      <w:divBdr>
        <w:top w:val="none" w:sz="0" w:space="0" w:color="auto"/>
        <w:left w:val="none" w:sz="0" w:space="0" w:color="auto"/>
        <w:bottom w:val="none" w:sz="0" w:space="0" w:color="auto"/>
        <w:right w:val="none" w:sz="0" w:space="0" w:color="auto"/>
      </w:divBdr>
    </w:div>
    <w:div w:id="19273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customXml/itemProps3.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0</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2022-01-14T00:36:00Z</dcterms:created>
  <dcterms:modified xsi:type="dcterms:W3CDTF">2022-01-25T02:35:00Z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