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7BC1" w14:textId="77777777" w:rsidR="00984FB8" w:rsidRPr="00C90260" w:rsidRDefault="00984FB8" w:rsidP="00C90260">
      <w:r>
        <w:rPr>
          <w:noProof/>
        </w:rPr>
        <w:drawing>
          <wp:inline distT="0" distB="0" distL="0" distR="0" wp14:anchorId="5309CA72" wp14:editId="39A864E3">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0C331A68" wp14:editId="15A04A1A">
            <wp:simplePos x="0" y="0"/>
            <wp:positionH relativeFrom="column">
              <wp:posOffset>-791972</wp:posOffset>
            </wp:positionH>
            <wp:positionV relativeFrom="page">
              <wp:posOffset>-36576</wp:posOffset>
            </wp:positionV>
            <wp:extent cx="7673234" cy="2450592"/>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0"/>
                    <a:stretch>
                      <a:fillRect/>
                    </a:stretch>
                  </pic:blipFill>
                  <pic:spPr>
                    <a:xfrm>
                      <a:off x="0" y="0"/>
                      <a:ext cx="7717927" cy="2464866"/>
                    </a:xfrm>
                    <a:prstGeom prst="rect">
                      <a:avLst/>
                    </a:prstGeom>
                  </pic:spPr>
                </pic:pic>
              </a:graphicData>
            </a:graphic>
            <wp14:sizeRelH relativeFrom="page">
              <wp14:pctWidth>0</wp14:pctWidth>
            </wp14:sizeRelH>
            <wp14:sizeRelV relativeFrom="page">
              <wp14:pctHeight>0</wp14:pctHeight>
            </wp14:sizeRelV>
          </wp:anchor>
        </w:drawing>
      </w:r>
    </w:p>
    <w:p w14:paraId="63DC642B" w14:textId="5496C4F3" w:rsidR="00930CDA" w:rsidRPr="00984FB8" w:rsidRDefault="002746B2" w:rsidP="00C90260">
      <w:pPr>
        <w:pStyle w:val="Title"/>
        <w:spacing w:line="240" w:lineRule="auto"/>
        <w:ind w:left="1276"/>
        <w:rPr>
          <w:noProof/>
          <w:color w:val="404246"/>
          <w:lang w:eastAsia="en-AU"/>
        </w:rPr>
      </w:pPr>
      <w:r>
        <w:rPr>
          <w:noProof/>
          <w:color w:val="404246"/>
          <w:lang w:eastAsia="en-AU"/>
        </w:rPr>
        <w:t>Guidelines for Skilled Migration Assessing Authorities</w:t>
      </w:r>
    </w:p>
    <w:p w14:paraId="18FBA349" w14:textId="76037E8B" w:rsidR="007855CC" w:rsidRDefault="007855CC" w:rsidP="007855CC">
      <w:pPr>
        <w:pStyle w:val="Subtitle"/>
        <w:spacing w:before="240"/>
        <w:ind w:left="1276"/>
        <w:rPr>
          <w:noProof/>
          <w:lang w:eastAsia="en-AU"/>
        </w:rPr>
      </w:pPr>
    </w:p>
    <w:p w14:paraId="08B3DCF2" w14:textId="5DEA9A49" w:rsidR="00930CDA" w:rsidRPr="00370DA1" w:rsidRDefault="00930CDA" w:rsidP="0095636C">
      <w:pPr>
        <w:rPr>
          <w:color w:val="669900"/>
        </w:rPr>
      </w:pPr>
      <w:r>
        <w:rPr>
          <w:noProof/>
          <w:lang w:eastAsia="en-AU"/>
        </w:rPr>
        <w:br w:type="page"/>
      </w:r>
    </w:p>
    <w:p w14:paraId="772FF6F1" w14:textId="77777777" w:rsidR="002B1CE5" w:rsidRDefault="002B1CE5" w:rsidP="002B1CE5">
      <w:pPr>
        <w:pStyle w:val="Title"/>
      </w:pPr>
      <w:r>
        <w:t>Title</w:t>
      </w:r>
    </w:p>
    <w:p w14:paraId="06218340" w14:textId="77777777" w:rsidR="00053554" w:rsidRPr="003C539C" w:rsidRDefault="00053554" w:rsidP="00053554">
      <w:pPr>
        <w:tabs>
          <w:tab w:val="left" w:pos="5856"/>
        </w:tabs>
        <w:spacing w:before="8040"/>
        <w:contextualSpacing/>
      </w:pPr>
      <w:bookmarkStart w:id="0" w:name="_Toc30065222"/>
      <w:r w:rsidRPr="003C539C">
        <w:t>ISBN</w:t>
      </w:r>
    </w:p>
    <w:p w14:paraId="4EB4DFED" w14:textId="77777777" w:rsidR="00053554" w:rsidRPr="003C539C" w:rsidRDefault="00053554" w:rsidP="00053554">
      <w:r w:rsidRPr="003C539C">
        <w:rPr>
          <w:highlight w:val="yellow"/>
        </w:rPr>
        <w:t>xxx-x-xxx-xxxxx-x</w:t>
      </w:r>
      <w:r w:rsidRPr="003C539C">
        <w:t xml:space="preserve"> [PRINT]</w:t>
      </w:r>
      <w:r w:rsidRPr="003C539C">
        <w:rPr>
          <w:highlight w:val="yellow"/>
        </w:rPr>
        <w:br/>
        <w:t>xxx-x-xxx-xxxxx-x</w:t>
      </w:r>
      <w:r w:rsidRPr="003C539C">
        <w:t xml:space="preserve"> [PDF]</w:t>
      </w:r>
      <w:r w:rsidRPr="003C539C">
        <w:br/>
      </w:r>
      <w:r w:rsidRPr="003C539C">
        <w:rPr>
          <w:highlight w:val="yellow"/>
        </w:rPr>
        <w:t>xxx-x-xxx-xxxxx-x</w:t>
      </w:r>
      <w:r w:rsidRPr="003C539C">
        <w:t xml:space="preserve"> [DOCX]</w:t>
      </w:r>
    </w:p>
    <w:p w14:paraId="0BFF7159" w14:textId="77777777" w:rsidR="00053554" w:rsidRPr="003C539C" w:rsidRDefault="00053554" w:rsidP="00053554">
      <w:r w:rsidRPr="003C539C">
        <w:rPr>
          <w:noProof/>
        </w:rPr>
        <w:drawing>
          <wp:inline distT="0" distB="0" distL="0" distR="0" wp14:anchorId="5A9EAEFE" wp14:editId="14AC3672">
            <wp:extent cx="847725" cy="285750"/>
            <wp:effectExtent l="0" t="0" r="9525" b="0"/>
            <wp:docPr id="5"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1" r:link="rId12"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61AC2C89" w14:textId="77777777" w:rsidR="00053554" w:rsidRPr="00155022" w:rsidRDefault="00053554" w:rsidP="00053554">
      <w:r w:rsidRPr="00155022">
        <w:t>With the exception of the Commonwealth Coat of Arms, the Department’s logo, any material protected by a trade mark and where otherwise noted all material presented in this document is</w:t>
      </w:r>
      <w:r>
        <w:t> </w:t>
      </w:r>
      <w:r w:rsidRPr="00155022">
        <w:t xml:space="preserve">provided under a </w:t>
      </w:r>
      <w:hyperlink r:id="rId13" w:history="1">
        <w:r w:rsidRPr="00155022">
          <w:rPr>
            <w:rStyle w:val="Hyperlink"/>
          </w:rPr>
          <w:t>Creative Commons Attribution 4.0 International</w:t>
        </w:r>
      </w:hyperlink>
      <w:r w:rsidRPr="00155022">
        <w:t xml:space="preserve"> (https://creativecommons.org/licenses/by/4.0/) licence.</w:t>
      </w:r>
    </w:p>
    <w:p w14:paraId="25356F5E" w14:textId="77777777" w:rsidR="00053554" w:rsidRPr="00155022" w:rsidRDefault="00053554" w:rsidP="00053554">
      <w:r w:rsidRPr="00155022">
        <w:t xml:space="preserve">The details of the relevant licence conditions are available on the Creative Commons website (accessible using the links provided) as is the full legal code for the </w:t>
      </w:r>
      <w:hyperlink r:id="rId14" w:history="1">
        <w:r w:rsidRPr="00155022">
          <w:rPr>
            <w:rStyle w:val="Hyperlink"/>
          </w:rPr>
          <w:t>CC BY 4.0 International</w:t>
        </w:r>
      </w:hyperlink>
      <w:r w:rsidRPr="00155022">
        <w:t xml:space="preserve"> (https://creativecommons.org/licenses/by/4.0/legalcode)</w:t>
      </w:r>
    </w:p>
    <w:p w14:paraId="0DFE3CB2" w14:textId="63385DAB" w:rsidR="00EA67FC" w:rsidRDefault="00053554" w:rsidP="00053554">
      <w:r w:rsidRPr="003C539C">
        <w:t xml:space="preserve">The document must be attributed as the </w:t>
      </w:r>
      <w:r w:rsidR="003B2571">
        <w:rPr>
          <w:i/>
          <w:iCs/>
        </w:rPr>
        <w:t>Guidelines for Skilled Migration Assessing Authorities</w:t>
      </w:r>
      <w:r w:rsidRPr="003C539C">
        <w:t>.</w:t>
      </w:r>
      <w:r w:rsidR="00EA67FC">
        <w:br w:type="page"/>
      </w:r>
    </w:p>
    <w:p w14:paraId="6D6B4071" w14:textId="77777777" w:rsidR="007855CC" w:rsidRDefault="007855CC" w:rsidP="007855CC">
      <w:pPr>
        <w:sectPr w:rsidR="007855CC" w:rsidSect="00EA67FC">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46942FB4" w14:textId="1CCD34F5" w:rsidR="007855CC" w:rsidRPr="003C539C" w:rsidRDefault="007855CC" w:rsidP="007855CC">
          <w:pPr>
            <w:pStyle w:val="TOCHeading"/>
          </w:pPr>
          <w:r w:rsidRPr="00D84395">
            <w:t>Contents</w:t>
          </w:r>
        </w:p>
        <w:p w14:paraId="67C3EBC0" w14:textId="0FFBE89E" w:rsidR="0068117C" w:rsidRDefault="0095636C">
          <w:pPr>
            <w:pStyle w:val="TOC1"/>
            <w:tabs>
              <w:tab w:val="right" w:leader="dot" w:pos="9060"/>
            </w:tabs>
            <w:rPr>
              <w:rFonts w:eastAsiaTheme="minorEastAsia"/>
              <w:b w:val="0"/>
              <w:noProof/>
              <w:lang w:eastAsia="en-AU"/>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117596787" w:history="1">
            <w:r w:rsidR="0068117C" w:rsidRPr="00837911">
              <w:rPr>
                <w:rStyle w:val="Hyperlink"/>
                <w:noProof/>
              </w:rPr>
              <w:t>Overview</w:t>
            </w:r>
            <w:r w:rsidR="0068117C">
              <w:rPr>
                <w:noProof/>
                <w:webHidden/>
              </w:rPr>
              <w:tab/>
            </w:r>
            <w:r w:rsidR="0068117C">
              <w:rPr>
                <w:noProof/>
                <w:webHidden/>
              </w:rPr>
              <w:fldChar w:fldCharType="begin"/>
            </w:r>
            <w:r w:rsidR="0068117C">
              <w:rPr>
                <w:noProof/>
                <w:webHidden/>
              </w:rPr>
              <w:instrText xml:space="preserve"> PAGEREF _Toc117596787 \h </w:instrText>
            </w:r>
            <w:r w:rsidR="0068117C">
              <w:rPr>
                <w:noProof/>
                <w:webHidden/>
              </w:rPr>
            </w:r>
            <w:r w:rsidR="0068117C">
              <w:rPr>
                <w:noProof/>
                <w:webHidden/>
              </w:rPr>
              <w:fldChar w:fldCharType="separate"/>
            </w:r>
            <w:r w:rsidR="0068117C">
              <w:rPr>
                <w:noProof/>
                <w:webHidden/>
              </w:rPr>
              <w:t>4</w:t>
            </w:r>
            <w:r w:rsidR="0068117C">
              <w:rPr>
                <w:noProof/>
                <w:webHidden/>
              </w:rPr>
              <w:fldChar w:fldCharType="end"/>
            </w:r>
          </w:hyperlink>
        </w:p>
        <w:p w14:paraId="623802DC" w14:textId="197DA2DB" w:rsidR="0068117C" w:rsidRDefault="00E01619">
          <w:pPr>
            <w:pStyle w:val="TOC2"/>
            <w:rPr>
              <w:rFonts w:eastAsiaTheme="minorEastAsia"/>
              <w:b w:val="0"/>
              <w:bCs w:val="0"/>
              <w:lang w:eastAsia="en-AU"/>
            </w:rPr>
          </w:pPr>
          <w:hyperlink w:anchor="_Toc117596788" w:history="1">
            <w:r w:rsidR="0068117C" w:rsidRPr="00837911">
              <w:rPr>
                <w:rStyle w:val="Hyperlink"/>
              </w:rPr>
              <w:t>Guidelines for Skilled Migration Assessing Authorities</w:t>
            </w:r>
            <w:r w:rsidR="0068117C">
              <w:rPr>
                <w:webHidden/>
              </w:rPr>
              <w:tab/>
            </w:r>
            <w:r w:rsidR="0068117C">
              <w:rPr>
                <w:webHidden/>
              </w:rPr>
              <w:fldChar w:fldCharType="begin"/>
            </w:r>
            <w:r w:rsidR="0068117C">
              <w:rPr>
                <w:webHidden/>
              </w:rPr>
              <w:instrText xml:space="preserve"> PAGEREF _Toc117596788 \h </w:instrText>
            </w:r>
            <w:r w:rsidR="0068117C">
              <w:rPr>
                <w:webHidden/>
              </w:rPr>
            </w:r>
            <w:r w:rsidR="0068117C">
              <w:rPr>
                <w:webHidden/>
              </w:rPr>
              <w:fldChar w:fldCharType="separate"/>
            </w:r>
            <w:r w:rsidR="0068117C">
              <w:rPr>
                <w:webHidden/>
              </w:rPr>
              <w:t>4</w:t>
            </w:r>
            <w:r w:rsidR="0068117C">
              <w:rPr>
                <w:webHidden/>
              </w:rPr>
              <w:fldChar w:fldCharType="end"/>
            </w:r>
          </w:hyperlink>
        </w:p>
        <w:p w14:paraId="19D29129" w14:textId="3833ADE9" w:rsidR="0068117C" w:rsidRDefault="00E01619">
          <w:pPr>
            <w:pStyle w:val="TOC1"/>
            <w:tabs>
              <w:tab w:val="right" w:leader="dot" w:pos="9060"/>
            </w:tabs>
            <w:rPr>
              <w:rFonts w:eastAsiaTheme="minorEastAsia"/>
              <w:b w:val="0"/>
              <w:noProof/>
              <w:lang w:eastAsia="en-AU"/>
            </w:rPr>
          </w:pPr>
          <w:hyperlink w:anchor="_Toc117596789" w:history="1">
            <w:r w:rsidR="0068117C" w:rsidRPr="00837911">
              <w:rPr>
                <w:rStyle w:val="Hyperlink"/>
                <w:noProof/>
              </w:rPr>
              <w:t>PART ONE: Applying for assessing authority approval</w:t>
            </w:r>
            <w:r w:rsidR="0068117C">
              <w:rPr>
                <w:noProof/>
                <w:webHidden/>
              </w:rPr>
              <w:tab/>
            </w:r>
            <w:r w:rsidR="0068117C">
              <w:rPr>
                <w:noProof/>
                <w:webHidden/>
              </w:rPr>
              <w:fldChar w:fldCharType="begin"/>
            </w:r>
            <w:r w:rsidR="0068117C">
              <w:rPr>
                <w:noProof/>
                <w:webHidden/>
              </w:rPr>
              <w:instrText xml:space="preserve"> PAGEREF _Toc117596789 \h </w:instrText>
            </w:r>
            <w:r w:rsidR="0068117C">
              <w:rPr>
                <w:noProof/>
                <w:webHidden/>
              </w:rPr>
            </w:r>
            <w:r w:rsidR="0068117C">
              <w:rPr>
                <w:noProof/>
                <w:webHidden/>
              </w:rPr>
              <w:fldChar w:fldCharType="separate"/>
            </w:r>
            <w:r w:rsidR="0068117C">
              <w:rPr>
                <w:noProof/>
                <w:webHidden/>
              </w:rPr>
              <w:t>5</w:t>
            </w:r>
            <w:r w:rsidR="0068117C">
              <w:rPr>
                <w:noProof/>
                <w:webHidden/>
              </w:rPr>
              <w:fldChar w:fldCharType="end"/>
            </w:r>
          </w:hyperlink>
        </w:p>
        <w:p w14:paraId="3E178033" w14:textId="5A64A117" w:rsidR="0068117C" w:rsidRDefault="00E01619">
          <w:pPr>
            <w:pStyle w:val="TOC2"/>
            <w:rPr>
              <w:rFonts w:eastAsiaTheme="minorEastAsia"/>
              <w:b w:val="0"/>
              <w:bCs w:val="0"/>
              <w:lang w:eastAsia="en-AU"/>
            </w:rPr>
          </w:pPr>
          <w:hyperlink w:anchor="_Toc117596790" w:history="1">
            <w:r w:rsidR="0068117C" w:rsidRPr="00837911">
              <w:rPr>
                <w:rStyle w:val="Hyperlink"/>
              </w:rPr>
              <w:t>1. Application process</w:t>
            </w:r>
            <w:r w:rsidR="0068117C">
              <w:rPr>
                <w:webHidden/>
              </w:rPr>
              <w:tab/>
            </w:r>
            <w:r w:rsidR="0068117C">
              <w:rPr>
                <w:webHidden/>
              </w:rPr>
              <w:fldChar w:fldCharType="begin"/>
            </w:r>
            <w:r w:rsidR="0068117C">
              <w:rPr>
                <w:webHidden/>
              </w:rPr>
              <w:instrText xml:space="preserve"> PAGEREF _Toc117596790 \h </w:instrText>
            </w:r>
            <w:r w:rsidR="0068117C">
              <w:rPr>
                <w:webHidden/>
              </w:rPr>
            </w:r>
            <w:r w:rsidR="0068117C">
              <w:rPr>
                <w:webHidden/>
              </w:rPr>
              <w:fldChar w:fldCharType="separate"/>
            </w:r>
            <w:r w:rsidR="0068117C">
              <w:rPr>
                <w:webHidden/>
              </w:rPr>
              <w:t>5</w:t>
            </w:r>
            <w:r w:rsidR="0068117C">
              <w:rPr>
                <w:webHidden/>
              </w:rPr>
              <w:fldChar w:fldCharType="end"/>
            </w:r>
          </w:hyperlink>
        </w:p>
        <w:p w14:paraId="269E081C" w14:textId="7BE1097B" w:rsidR="0068117C" w:rsidRDefault="00E01619">
          <w:pPr>
            <w:pStyle w:val="TOC2"/>
            <w:rPr>
              <w:rFonts w:eastAsiaTheme="minorEastAsia"/>
              <w:b w:val="0"/>
              <w:bCs w:val="0"/>
              <w:lang w:eastAsia="en-AU"/>
            </w:rPr>
          </w:pPr>
          <w:hyperlink w:anchor="_Toc117596791" w:history="1">
            <w:r w:rsidR="0068117C" w:rsidRPr="00837911">
              <w:rPr>
                <w:rStyle w:val="Hyperlink"/>
              </w:rPr>
              <w:t>2. Roles and responsibilities</w:t>
            </w:r>
            <w:r w:rsidR="0068117C">
              <w:rPr>
                <w:webHidden/>
              </w:rPr>
              <w:tab/>
            </w:r>
            <w:r w:rsidR="0068117C">
              <w:rPr>
                <w:webHidden/>
              </w:rPr>
              <w:fldChar w:fldCharType="begin"/>
            </w:r>
            <w:r w:rsidR="0068117C">
              <w:rPr>
                <w:webHidden/>
              </w:rPr>
              <w:instrText xml:space="preserve"> PAGEREF _Toc117596791 \h </w:instrText>
            </w:r>
            <w:r w:rsidR="0068117C">
              <w:rPr>
                <w:webHidden/>
              </w:rPr>
            </w:r>
            <w:r w:rsidR="0068117C">
              <w:rPr>
                <w:webHidden/>
              </w:rPr>
              <w:fldChar w:fldCharType="separate"/>
            </w:r>
            <w:r w:rsidR="0068117C">
              <w:rPr>
                <w:webHidden/>
              </w:rPr>
              <w:t>6</w:t>
            </w:r>
            <w:r w:rsidR="0068117C">
              <w:rPr>
                <w:webHidden/>
              </w:rPr>
              <w:fldChar w:fldCharType="end"/>
            </w:r>
          </w:hyperlink>
        </w:p>
        <w:p w14:paraId="17A9DD03" w14:textId="021A553C" w:rsidR="0068117C" w:rsidRDefault="00E01619">
          <w:pPr>
            <w:pStyle w:val="TOC2"/>
            <w:rPr>
              <w:rFonts w:eastAsiaTheme="minorEastAsia"/>
              <w:b w:val="0"/>
              <w:bCs w:val="0"/>
              <w:lang w:eastAsia="en-AU"/>
            </w:rPr>
          </w:pPr>
          <w:hyperlink w:anchor="_Toc117596792" w:history="1">
            <w:r w:rsidR="0068117C" w:rsidRPr="00837911">
              <w:rPr>
                <w:rStyle w:val="Hyperlink"/>
              </w:rPr>
              <w:t>3. Approval Criteria</w:t>
            </w:r>
            <w:r w:rsidR="0068117C">
              <w:rPr>
                <w:webHidden/>
              </w:rPr>
              <w:tab/>
            </w:r>
            <w:r w:rsidR="0068117C">
              <w:rPr>
                <w:webHidden/>
              </w:rPr>
              <w:fldChar w:fldCharType="begin"/>
            </w:r>
            <w:r w:rsidR="0068117C">
              <w:rPr>
                <w:webHidden/>
              </w:rPr>
              <w:instrText xml:space="preserve"> PAGEREF _Toc117596792 \h </w:instrText>
            </w:r>
            <w:r w:rsidR="0068117C">
              <w:rPr>
                <w:webHidden/>
              </w:rPr>
            </w:r>
            <w:r w:rsidR="0068117C">
              <w:rPr>
                <w:webHidden/>
              </w:rPr>
              <w:fldChar w:fldCharType="separate"/>
            </w:r>
            <w:r w:rsidR="0068117C">
              <w:rPr>
                <w:webHidden/>
              </w:rPr>
              <w:t>7</w:t>
            </w:r>
            <w:r w:rsidR="0068117C">
              <w:rPr>
                <w:webHidden/>
              </w:rPr>
              <w:fldChar w:fldCharType="end"/>
            </w:r>
          </w:hyperlink>
        </w:p>
        <w:p w14:paraId="6A907076" w14:textId="330EF934" w:rsidR="0068117C" w:rsidRDefault="00E01619">
          <w:pPr>
            <w:pStyle w:val="TOC2"/>
            <w:rPr>
              <w:rFonts w:eastAsiaTheme="minorEastAsia"/>
              <w:b w:val="0"/>
              <w:bCs w:val="0"/>
              <w:lang w:eastAsia="en-AU"/>
            </w:rPr>
          </w:pPr>
          <w:hyperlink w:anchor="_Toc117596793" w:history="1">
            <w:r w:rsidR="0068117C" w:rsidRPr="00837911">
              <w:rPr>
                <w:rStyle w:val="Hyperlink"/>
              </w:rPr>
              <w:t>Criterion 1 – Eligibility</w:t>
            </w:r>
            <w:r w:rsidR="0068117C">
              <w:rPr>
                <w:webHidden/>
              </w:rPr>
              <w:tab/>
            </w:r>
            <w:r w:rsidR="0068117C">
              <w:rPr>
                <w:webHidden/>
              </w:rPr>
              <w:fldChar w:fldCharType="begin"/>
            </w:r>
            <w:r w:rsidR="0068117C">
              <w:rPr>
                <w:webHidden/>
              </w:rPr>
              <w:instrText xml:space="preserve"> PAGEREF _Toc117596793 \h </w:instrText>
            </w:r>
            <w:r w:rsidR="0068117C">
              <w:rPr>
                <w:webHidden/>
              </w:rPr>
            </w:r>
            <w:r w:rsidR="0068117C">
              <w:rPr>
                <w:webHidden/>
              </w:rPr>
              <w:fldChar w:fldCharType="separate"/>
            </w:r>
            <w:r w:rsidR="0068117C">
              <w:rPr>
                <w:webHidden/>
              </w:rPr>
              <w:t>7</w:t>
            </w:r>
            <w:r w:rsidR="0068117C">
              <w:rPr>
                <w:webHidden/>
              </w:rPr>
              <w:fldChar w:fldCharType="end"/>
            </w:r>
          </w:hyperlink>
        </w:p>
        <w:p w14:paraId="42375DCC" w14:textId="1D40C9CE" w:rsidR="0068117C" w:rsidRDefault="00E01619">
          <w:pPr>
            <w:pStyle w:val="TOC2"/>
            <w:rPr>
              <w:rFonts w:eastAsiaTheme="minorEastAsia"/>
              <w:b w:val="0"/>
              <w:bCs w:val="0"/>
              <w:lang w:eastAsia="en-AU"/>
            </w:rPr>
          </w:pPr>
          <w:hyperlink w:anchor="_Toc117596794" w:history="1">
            <w:r w:rsidR="0068117C" w:rsidRPr="00837911">
              <w:rPr>
                <w:rStyle w:val="Hyperlink"/>
              </w:rPr>
              <w:t>Criterion 2 – Sound business practice</w:t>
            </w:r>
            <w:r w:rsidR="0068117C">
              <w:rPr>
                <w:webHidden/>
              </w:rPr>
              <w:tab/>
            </w:r>
            <w:r w:rsidR="0068117C">
              <w:rPr>
                <w:webHidden/>
              </w:rPr>
              <w:fldChar w:fldCharType="begin"/>
            </w:r>
            <w:r w:rsidR="0068117C">
              <w:rPr>
                <w:webHidden/>
              </w:rPr>
              <w:instrText xml:space="preserve"> PAGEREF _Toc117596794 \h </w:instrText>
            </w:r>
            <w:r w:rsidR="0068117C">
              <w:rPr>
                <w:webHidden/>
              </w:rPr>
            </w:r>
            <w:r w:rsidR="0068117C">
              <w:rPr>
                <w:webHidden/>
              </w:rPr>
              <w:fldChar w:fldCharType="separate"/>
            </w:r>
            <w:r w:rsidR="0068117C">
              <w:rPr>
                <w:webHidden/>
              </w:rPr>
              <w:t>7</w:t>
            </w:r>
            <w:r w:rsidR="0068117C">
              <w:rPr>
                <w:webHidden/>
              </w:rPr>
              <w:fldChar w:fldCharType="end"/>
            </w:r>
          </w:hyperlink>
        </w:p>
        <w:p w14:paraId="61162968" w14:textId="7256DA24" w:rsidR="0068117C" w:rsidRDefault="00E01619">
          <w:pPr>
            <w:pStyle w:val="TOC2"/>
            <w:rPr>
              <w:rFonts w:eastAsiaTheme="minorEastAsia"/>
              <w:b w:val="0"/>
              <w:bCs w:val="0"/>
              <w:lang w:eastAsia="en-AU"/>
            </w:rPr>
          </w:pPr>
          <w:hyperlink w:anchor="_Toc117596795" w:history="1">
            <w:r w:rsidR="0068117C" w:rsidRPr="00837911">
              <w:rPr>
                <w:rStyle w:val="Hyperlink"/>
              </w:rPr>
              <w:t>Criterion 3 – Skills assessment process</w:t>
            </w:r>
            <w:r w:rsidR="0068117C">
              <w:rPr>
                <w:webHidden/>
              </w:rPr>
              <w:tab/>
            </w:r>
            <w:r w:rsidR="0068117C">
              <w:rPr>
                <w:webHidden/>
              </w:rPr>
              <w:fldChar w:fldCharType="begin"/>
            </w:r>
            <w:r w:rsidR="0068117C">
              <w:rPr>
                <w:webHidden/>
              </w:rPr>
              <w:instrText xml:space="preserve"> PAGEREF _Toc117596795 \h </w:instrText>
            </w:r>
            <w:r w:rsidR="0068117C">
              <w:rPr>
                <w:webHidden/>
              </w:rPr>
            </w:r>
            <w:r w:rsidR="0068117C">
              <w:rPr>
                <w:webHidden/>
              </w:rPr>
              <w:fldChar w:fldCharType="separate"/>
            </w:r>
            <w:r w:rsidR="0068117C">
              <w:rPr>
                <w:webHidden/>
              </w:rPr>
              <w:t>9</w:t>
            </w:r>
            <w:r w:rsidR="0068117C">
              <w:rPr>
                <w:webHidden/>
              </w:rPr>
              <w:fldChar w:fldCharType="end"/>
            </w:r>
          </w:hyperlink>
        </w:p>
        <w:p w14:paraId="2A3F73DE" w14:textId="7A72AE7F" w:rsidR="0068117C" w:rsidRDefault="00E01619">
          <w:pPr>
            <w:pStyle w:val="TOC2"/>
            <w:rPr>
              <w:rFonts w:eastAsiaTheme="minorEastAsia"/>
              <w:b w:val="0"/>
              <w:bCs w:val="0"/>
              <w:lang w:eastAsia="en-AU"/>
            </w:rPr>
          </w:pPr>
          <w:hyperlink w:anchor="_Toc117596796" w:history="1">
            <w:r w:rsidR="0068117C" w:rsidRPr="00837911">
              <w:rPr>
                <w:rStyle w:val="Hyperlink"/>
              </w:rPr>
              <w:t>Part Two: Retaining assessing authority approval</w:t>
            </w:r>
            <w:r w:rsidR="0068117C">
              <w:rPr>
                <w:webHidden/>
              </w:rPr>
              <w:tab/>
            </w:r>
            <w:r w:rsidR="0068117C">
              <w:rPr>
                <w:webHidden/>
              </w:rPr>
              <w:fldChar w:fldCharType="begin"/>
            </w:r>
            <w:r w:rsidR="0068117C">
              <w:rPr>
                <w:webHidden/>
              </w:rPr>
              <w:instrText xml:space="preserve"> PAGEREF _Toc117596796 \h </w:instrText>
            </w:r>
            <w:r w:rsidR="0068117C">
              <w:rPr>
                <w:webHidden/>
              </w:rPr>
            </w:r>
            <w:r w:rsidR="0068117C">
              <w:rPr>
                <w:webHidden/>
              </w:rPr>
              <w:fldChar w:fldCharType="separate"/>
            </w:r>
            <w:r w:rsidR="0068117C">
              <w:rPr>
                <w:webHidden/>
              </w:rPr>
              <w:t>13</w:t>
            </w:r>
            <w:r w:rsidR="0068117C">
              <w:rPr>
                <w:webHidden/>
              </w:rPr>
              <w:fldChar w:fldCharType="end"/>
            </w:r>
          </w:hyperlink>
        </w:p>
        <w:p w14:paraId="5F4CD381" w14:textId="7FC6882D" w:rsidR="0068117C" w:rsidRDefault="00E01619">
          <w:pPr>
            <w:pStyle w:val="TOC2"/>
            <w:rPr>
              <w:rFonts w:eastAsiaTheme="minorEastAsia"/>
              <w:b w:val="0"/>
              <w:bCs w:val="0"/>
              <w:lang w:eastAsia="en-AU"/>
            </w:rPr>
          </w:pPr>
          <w:hyperlink w:anchor="_Toc117596797" w:history="1">
            <w:r w:rsidR="0068117C" w:rsidRPr="00837911">
              <w:rPr>
                <w:rStyle w:val="Hyperlink"/>
              </w:rPr>
              <w:t>4. Unreasonable barriers</w:t>
            </w:r>
            <w:r w:rsidR="0068117C">
              <w:rPr>
                <w:webHidden/>
              </w:rPr>
              <w:tab/>
            </w:r>
            <w:r w:rsidR="0068117C">
              <w:rPr>
                <w:webHidden/>
              </w:rPr>
              <w:fldChar w:fldCharType="begin"/>
            </w:r>
            <w:r w:rsidR="0068117C">
              <w:rPr>
                <w:webHidden/>
              </w:rPr>
              <w:instrText xml:space="preserve"> PAGEREF _Toc117596797 \h </w:instrText>
            </w:r>
            <w:r w:rsidR="0068117C">
              <w:rPr>
                <w:webHidden/>
              </w:rPr>
            </w:r>
            <w:r w:rsidR="0068117C">
              <w:rPr>
                <w:webHidden/>
              </w:rPr>
              <w:fldChar w:fldCharType="separate"/>
            </w:r>
            <w:r w:rsidR="0068117C">
              <w:rPr>
                <w:webHidden/>
              </w:rPr>
              <w:t>13</w:t>
            </w:r>
            <w:r w:rsidR="0068117C">
              <w:rPr>
                <w:webHidden/>
              </w:rPr>
              <w:fldChar w:fldCharType="end"/>
            </w:r>
          </w:hyperlink>
        </w:p>
        <w:p w14:paraId="215ADD1F" w14:textId="360178FD" w:rsidR="0068117C" w:rsidRDefault="00E01619">
          <w:pPr>
            <w:pStyle w:val="TOC2"/>
            <w:rPr>
              <w:rFonts w:eastAsiaTheme="minorEastAsia"/>
              <w:b w:val="0"/>
              <w:bCs w:val="0"/>
              <w:lang w:eastAsia="en-AU"/>
            </w:rPr>
          </w:pPr>
          <w:hyperlink w:anchor="_Toc117596798" w:history="1">
            <w:r w:rsidR="0068117C" w:rsidRPr="00837911">
              <w:rPr>
                <w:rStyle w:val="Hyperlink"/>
              </w:rPr>
              <w:t>5. Risk management</w:t>
            </w:r>
            <w:r w:rsidR="0068117C">
              <w:rPr>
                <w:webHidden/>
              </w:rPr>
              <w:tab/>
            </w:r>
            <w:r w:rsidR="0068117C">
              <w:rPr>
                <w:webHidden/>
              </w:rPr>
              <w:fldChar w:fldCharType="begin"/>
            </w:r>
            <w:r w:rsidR="0068117C">
              <w:rPr>
                <w:webHidden/>
              </w:rPr>
              <w:instrText xml:space="preserve"> PAGEREF _Toc117596798 \h </w:instrText>
            </w:r>
            <w:r w:rsidR="0068117C">
              <w:rPr>
                <w:webHidden/>
              </w:rPr>
            </w:r>
            <w:r w:rsidR="0068117C">
              <w:rPr>
                <w:webHidden/>
              </w:rPr>
              <w:fldChar w:fldCharType="separate"/>
            </w:r>
            <w:r w:rsidR="0068117C">
              <w:rPr>
                <w:webHidden/>
              </w:rPr>
              <w:t>14</w:t>
            </w:r>
            <w:r w:rsidR="0068117C">
              <w:rPr>
                <w:webHidden/>
              </w:rPr>
              <w:fldChar w:fldCharType="end"/>
            </w:r>
          </w:hyperlink>
        </w:p>
        <w:p w14:paraId="35E1BF43" w14:textId="73528A97" w:rsidR="0068117C" w:rsidRDefault="00E01619">
          <w:pPr>
            <w:pStyle w:val="TOC2"/>
            <w:rPr>
              <w:rFonts w:eastAsiaTheme="minorEastAsia"/>
              <w:b w:val="0"/>
              <w:bCs w:val="0"/>
              <w:lang w:eastAsia="en-AU"/>
            </w:rPr>
          </w:pPr>
          <w:hyperlink w:anchor="_Toc117596799" w:history="1">
            <w:r w:rsidR="0068117C" w:rsidRPr="00837911">
              <w:rPr>
                <w:rStyle w:val="Hyperlink"/>
              </w:rPr>
              <w:t>6. Monitoring</w:t>
            </w:r>
            <w:r w:rsidR="0068117C">
              <w:rPr>
                <w:webHidden/>
              </w:rPr>
              <w:tab/>
            </w:r>
            <w:r w:rsidR="0068117C">
              <w:rPr>
                <w:webHidden/>
              </w:rPr>
              <w:fldChar w:fldCharType="begin"/>
            </w:r>
            <w:r w:rsidR="0068117C">
              <w:rPr>
                <w:webHidden/>
              </w:rPr>
              <w:instrText xml:space="preserve"> PAGEREF _Toc117596799 \h </w:instrText>
            </w:r>
            <w:r w:rsidR="0068117C">
              <w:rPr>
                <w:webHidden/>
              </w:rPr>
            </w:r>
            <w:r w:rsidR="0068117C">
              <w:rPr>
                <w:webHidden/>
              </w:rPr>
              <w:fldChar w:fldCharType="separate"/>
            </w:r>
            <w:r w:rsidR="0068117C">
              <w:rPr>
                <w:webHidden/>
              </w:rPr>
              <w:t>17</w:t>
            </w:r>
            <w:r w:rsidR="0068117C">
              <w:rPr>
                <w:webHidden/>
              </w:rPr>
              <w:fldChar w:fldCharType="end"/>
            </w:r>
          </w:hyperlink>
        </w:p>
        <w:p w14:paraId="30732E61" w14:textId="7B6590D5" w:rsidR="0068117C" w:rsidRDefault="00E01619">
          <w:pPr>
            <w:pStyle w:val="TOC2"/>
            <w:rPr>
              <w:rFonts w:eastAsiaTheme="minorEastAsia"/>
              <w:b w:val="0"/>
              <w:bCs w:val="0"/>
              <w:lang w:eastAsia="en-AU"/>
            </w:rPr>
          </w:pPr>
          <w:hyperlink w:anchor="_Toc117596800" w:history="1">
            <w:r w:rsidR="0068117C" w:rsidRPr="00837911">
              <w:rPr>
                <w:rStyle w:val="Hyperlink"/>
              </w:rPr>
              <w:t>7. Support</w:t>
            </w:r>
            <w:r w:rsidR="0068117C">
              <w:rPr>
                <w:webHidden/>
              </w:rPr>
              <w:tab/>
            </w:r>
            <w:r w:rsidR="0068117C">
              <w:rPr>
                <w:webHidden/>
              </w:rPr>
              <w:fldChar w:fldCharType="begin"/>
            </w:r>
            <w:r w:rsidR="0068117C">
              <w:rPr>
                <w:webHidden/>
              </w:rPr>
              <w:instrText xml:space="preserve"> PAGEREF _Toc117596800 \h </w:instrText>
            </w:r>
            <w:r w:rsidR="0068117C">
              <w:rPr>
                <w:webHidden/>
              </w:rPr>
            </w:r>
            <w:r w:rsidR="0068117C">
              <w:rPr>
                <w:webHidden/>
              </w:rPr>
              <w:fldChar w:fldCharType="separate"/>
            </w:r>
            <w:r w:rsidR="0068117C">
              <w:rPr>
                <w:webHidden/>
              </w:rPr>
              <w:t>18</w:t>
            </w:r>
            <w:r w:rsidR="0068117C">
              <w:rPr>
                <w:webHidden/>
              </w:rPr>
              <w:fldChar w:fldCharType="end"/>
            </w:r>
          </w:hyperlink>
        </w:p>
        <w:p w14:paraId="2A03662F" w14:textId="4DC70C30" w:rsidR="007855CC" w:rsidRPr="0095636C" w:rsidRDefault="0095636C" w:rsidP="0095636C">
          <w:r>
            <w:rPr>
              <w:rFonts w:ascii="Calibri" w:eastAsiaTheme="majorEastAsia" w:hAnsi="Calibri" w:cstheme="majorBidi"/>
              <w:b/>
              <w:color w:val="343741"/>
              <w:sz w:val="32"/>
              <w:szCs w:val="32"/>
            </w:rPr>
            <w:fldChar w:fldCharType="end"/>
          </w:r>
        </w:p>
      </w:sdtContent>
    </w:sdt>
    <w:p w14:paraId="5F73D923" w14:textId="349B8B92" w:rsidR="007855CC" w:rsidRPr="0095636C" w:rsidRDefault="007855CC" w:rsidP="0095636C">
      <w:r>
        <w:br w:type="page"/>
      </w:r>
    </w:p>
    <w:p w14:paraId="59E3D918" w14:textId="0C053847" w:rsidR="00A905F5" w:rsidRDefault="00A905F5" w:rsidP="00A905F5">
      <w:pPr>
        <w:pStyle w:val="Heading1"/>
      </w:pPr>
      <w:bookmarkStart w:id="1" w:name="_Toc117510945"/>
      <w:bookmarkStart w:id="2" w:name="_Toc117596787"/>
      <w:bookmarkEnd w:id="0"/>
      <w:r>
        <w:t>Overview</w:t>
      </w:r>
      <w:bookmarkEnd w:id="1"/>
      <w:bookmarkEnd w:id="2"/>
    </w:p>
    <w:p w14:paraId="70279DD1" w14:textId="09DF62F4" w:rsidR="00A905F5" w:rsidRDefault="00A905F5" w:rsidP="00A905F5">
      <w:pPr>
        <w:ind w:left="-5" w:right="30"/>
      </w:pPr>
      <w:r>
        <w:t xml:space="preserve">Australia’s skilled migration program contributes to Australia’s economic and workforce needs in skill areas identified by the Australian Government. The program requires prospective migrants to undergo an assessment of their skills, qualifications and/or work experience to ensure they meet the occupational assessment standards needed for employment in Australia. </w:t>
      </w:r>
    </w:p>
    <w:p w14:paraId="3ADE4553" w14:textId="77777777" w:rsidR="00A905F5" w:rsidRDefault="00A905F5" w:rsidP="00A905F5">
      <w:pPr>
        <w:ind w:left="-5" w:right="30"/>
      </w:pPr>
      <w:r>
        <w:t xml:space="preserve">Assessing authorities approved by the Government conduct assessments to ensure that a potential migrant’s skills meet the industry standards required to work in a relevant occupation, with outcomes used to inform the Department of Home Affairs (Home Affairs) on skilled migration visas. </w:t>
      </w:r>
    </w:p>
    <w:p w14:paraId="764AF89E" w14:textId="77777777" w:rsidR="00A564C0" w:rsidRDefault="00A905F5" w:rsidP="00A564C0">
      <w:pPr>
        <w:spacing w:after="902"/>
        <w:ind w:left="-5" w:right="30"/>
      </w:pPr>
      <w:r>
        <w:t xml:space="preserve">The Minister for Employment, Skills, Small and Family Business, referred to as the ‘Skills Assessment Minister’ under Regulation 2.26B of the </w:t>
      </w:r>
      <w:hyperlink r:id="rId21" w:history="1">
        <w:r w:rsidRPr="00370DA1">
          <w:rPr>
            <w:rStyle w:val="Hyperlink"/>
            <w:i/>
            <w:color w:val="669900"/>
          </w:rPr>
          <w:t xml:space="preserve">Migration Regulations </w:t>
        </w:r>
      </w:hyperlink>
      <w:hyperlink r:id="rId22" w:history="1">
        <w:r w:rsidRPr="00370DA1">
          <w:rPr>
            <w:rStyle w:val="Hyperlink"/>
            <w:i/>
            <w:color w:val="669900"/>
          </w:rPr>
          <w:t>1994</w:t>
        </w:r>
      </w:hyperlink>
      <w:r>
        <w:rPr>
          <w:i/>
        </w:rPr>
        <w:t>,</w:t>
      </w:r>
      <w:r>
        <w:rPr>
          <w:i/>
          <w:color w:val="2A7DB2"/>
        </w:rPr>
        <w:t xml:space="preserve"> </w:t>
      </w:r>
      <w:r>
        <w:t>is responsible for approving assessing authorities. The Department of Employment and Workplace Relations (the Department) supports the Minister and provides governance of assessing authorities.</w:t>
      </w:r>
      <w:bookmarkStart w:id="3" w:name="_Toc117510946"/>
    </w:p>
    <w:p w14:paraId="1459DCF1" w14:textId="5B6CC193" w:rsidR="00A905F5" w:rsidRPr="00A905F5" w:rsidRDefault="00A905F5" w:rsidP="00A564C0">
      <w:pPr>
        <w:pStyle w:val="Heading2"/>
      </w:pPr>
      <w:bookmarkStart w:id="4" w:name="_Toc117596788"/>
      <w:r w:rsidRPr="00A905F5">
        <w:t>Guidelines for Skilled Migration Assessing Authorities</w:t>
      </w:r>
      <w:bookmarkEnd w:id="3"/>
      <w:bookmarkEnd w:id="4"/>
      <w:r w:rsidRPr="00A905F5">
        <w:t xml:space="preserve"> </w:t>
      </w:r>
    </w:p>
    <w:p w14:paraId="7691CBFF" w14:textId="77777777" w:rsidR="00A905F5" w:rsidRDefault="00A905F5" w:rsidP="00A905F5">
      <w:pPr>
        <w:ind w:left="-5" w:right="30"/>
      </w:pPr>
      <w:r>
        <w:t xml:space="preserve">The purpose of the </w:t>
      </w:r>
      <w:r>
        <w:rPr>
          <w:i/>
        </w:rPr>
        <w:t>Guidelines for Skilled Migration Assessing Authorities</w:t>
      </w:r>
      <w:r>
        <w:t xml:space="preserve"> (Guidelines) is to outline the policy and procedure framework for organisations seeking to become assessing authorities and manage ongoing compliance.</w:t>
      </w:r>
    </w:p>
    <w:p w14:paraId="4B85AAFB" w14:textId="77777777" w:rsidR="00370DA1" w:rsidRDefault="00A905F5" w:rsidP="00370DA1">
      <w:pPr>
        <w:ind w:left="-5" w:right="30"/>
      </w:pPr>
      <w:r>
        <w:t>In addition, it aims to:</w:t>
      </w:r>
    </w:p>
    <w:p w14:paraId="443D6C38" w14:textId="7E70E171" w:rsidR="00A905F5" w:rsidRPr="00800B9E" w:rsidRDefault="00A905F5" w:rsidP="00370DA1">
      <w:pPr>
        <w:pStyle w:val="ListParagraph"/>
        <w:numPr>
          <w:ilvl w:val="0"/>
          <w:numId w:val="37"/>
        </w:numPr>
        <w:ind w:right="30"/>
        <w:rPr>
          <w:bCs/>
        </w:rPr>
      </w:pPr>
      <w:r w:rsidRPr="00800B9E">
        <w:rPr>
          <w:bCs/>
        </w:rPr>
        <w:t>explain the criteria to be considered and the process to be followed by organisations wishing to be approved as assessing authorities for an occupation</w:t>
      </w:r>
    </w:p>
    <w:p w14:paraId="036D75C4" w14:textId="77777777" w:rsidR="00A905F5" w:rsidRPr="00800B9E" w:rsidRDefault="00A905F5" w:rsidP="00370DA1">
      <w:pPr>
        <w:pStyle w:val="ListParagraph"/>
        <w:numPr>
          <w:ilvl w:val="0"/>
          <w:numId w:val="37"/>
        </w:numPr>
        <w:spacing w:after="70" w:line="259" w:lineRule="auto"/>
        <w:ind w:right="30"/>
        <w:rPr>
          <w:bCs/>
        </w:rPr>
      </w:pPr>
      <w:r w:rsidRPr="00800B9E">
        <w:rPr>
          <w:bCs/>
        </w:rPr>
        <w:t>assist assessing authorities to continue to meet the conditions under which they were approved</w:t>
      </w:r>
    </w:p>
    <w:p w14:paraId="194B9661" w14:textId="77777777" w:rsidR="00A905F5" w:rsidRDefault="00A905F5" w:rsidP="00370DA1">
      <w:pPr>
        <w:pStyle w:val="ListParagraph"/>
        <w:numPr>
          <w:ilvl w:val="0"/>
          <w:numId w:val="37"/>
        </w:numPr>
        <w:spacing w:after="113" w:line="259" w:lineRule="auto"/>
        <w:ind w:right="30"/>
      </w:pPr>
      <w:r w:rsidRPr="00800B9E">
        <w:rPr>
          <w:bCs/>
        </w:rPr>
        <w:t>advise assessing</w:t>
      </w:r>
      <w:r w:rsidRPr="00800B9E">
        <w:t xml:space="preserve"> </w:t>
      </w:r>
      <w:r>
        <w:t>authorities of changes to policy or process.</w:t>
      </w:r>
    </w:p>
    <w:p w14:paraId="03D4C73B" w14:textId="5B563C88" w:rsidR="00A905F5" w:rsidRDefault="00A905F5" w:rsidP="00A905F5">
      <w:pPr>
        <w:ind w:left="-5" w:right="30"/>
      </w:pPr>
      <w:r>
        <w:t xml:space="preserve">The Guidelines are available on the Department’s website </w:t>
      </w:r>
      <w:hyperlink r:id="rId23" w:history="1">
        <w:r w:rsidR="000E14F9" w:rsidRPr="004A018D">
          <w:rPr>
            <w:rStyle w:val="Hyperlink"/>
            <w:color w:val="669900"/>
          </w:rPr>
          <w:t>www.dewr.gov.au</w:t>
        </w:r>
      </w:hyperlink>
      <w:r w:rsidR="000E14F9">
        <w:t xml:space="preserve"> </w:t>
      </w:r>
      <w:r>
        <w:t xml:space="preserve">and with a link on the Home Affairs website. </w:t>
      </w:r>
    </w:p>
    <w:p w14:paraId="5364C783" w14:textId="1D7AC816" w:rsidR="00A905F5" w:rsidRDefault="00A905F5" w:rsidP="00A564C0">
      <w:pPr>
        <w:ind w:left="-5" w:right="30"/>
      </w:pPr>
      <w:r>
        <w:t>The Guidelines are subject to review by the Department.</w:t>
      </w:r>
    </w:p>
    <w:p w14:paraId="0A5AC42B" w14:textId="6823DF17" w:rsidR="001468CE" w:rsidRDefault="001468CE">
      <w:pPr>
        <w:spacing w:after="160" w:line="259" w:lineRule="auto"/>
      </w:pPr>
      <w:r>
        <w:br w:type="page"/>
      </w:r>
    </w:p>
    <w:p w14:paraId="7B348970" w14:textId="3DBF65C1" w:rsidR="00A905F5" w:rsidRPr="001468CE" w:rsidRDefault="00A905F5" w:rsidP="00A905F5">
      <w:pPr>
        <w:pStyle w:val="Heading1"/>
        <w:ind w:left="-5" w:right="-15"/>
        <w:rPr>
          <w:sz w:val="40"/>
          <w:szCs w:val="40"/>
        </w:rPr>
      </w:pPr>
      <w:bookmarkStart w:id="5" w:name="_Toc117510947"/>
      <w:bookmarkStart w:id="6" w:name="_Toc117596789"/>
      <w:r w:rsidRPr="001468CE">
        <w:rPr>
          <w:sz w:val="40"/>
          <w:szCs w:val="40"/>
        </w:rPr>
        <w:t>PART ONE: Applying for assessing authority approval</w:t>
      </w:r>
      <w:bookmarkEnd w:id="5"/>
      <w:bookmarkEnd w:id="6"/>
    </w:p>
    <w:p w14:paraId="37E62F18" w14:textId="3A06037A" w:rsidR="00A564C0" w:rsidRDefault="00A905F5" w:rsidP="009155CA">
      <w:pPr>
        <w:spacing w:after="590" w:line="249" w:lineRule="auto"/>
        <w:ind w:left="-5" w:right="513"/>
      </w:pPr>
      <w:r w:rsidRPr="00A905F5">
        <w:t>This part sets out the criteria that an organisation must meet to be approved as an assessing authority.</w:t>
      </w:r>
    </w:p>
    <w:p w14:paraId="353BE377" w14:textId="255C8D48" w:rsidR="009155CA" w:rsidRDefault="000E64ED" w:rsidP="000E64ED">
      <w:pPr>
        <w:pStyle w:val="Heading2"/>
      </w:pPr>
      <w:bookmarkStart w:id="7" w:name="_Toc117510948"/>
      <w:bookmarkStart w:id="8" w:name="_Toc117596790"/>
      <w:r w:rsidRPr="000E64ED">
        <w:t>1.</w:t>
      </w:r>
      <w:r>
        <w:t xml:space="preserve"> </w:t>
      </w:r>
      <w:r w:rsidR="009155CA">
        <w:t>Application process</w:t>
      </w:r>
      <w:bookmarkEnd w:id="7"/>
      <w:bookmarkEnd w:id="8"/>
    </w:p>
    <w:p w14:paraId="12F91F0A" w14:textId="1E0390BD" w:rsidR="009155CA" w:rsidRDefault="009155CA" w:rsidP="007B2835">
      <w:pPr>
        <w:ind w:right="30"/>
      </w:pPr>
      <w:r>
        <w:t xml:space="preserve">Organisations seeking to become an assessing authority </w:t>
      </w:r>
      <w:r w:rsidR="006E78BC">
        <w:t>may apply</w:t>
      </w:r>
      <w:r>
        <w:t xml:space="preserve"> to the Department. In addition, either Home Affairs or the Department may identify an organisation as a prospective assessing authority for a nominated occupation and request an organisation submit an application. Notwithstanding historical precedent, only one assessing authority per occupation will be approved except in extraordinary circumstances.</w:t>
      </w:r>
    </w:p>
    <w:p w14:paraId="6FEA9C6D" w14:textId="2D3D20F7" w:rsidR="009155CA" w:rsidRDefault="009155CA" w:rsidP="007B2835">
      <w:pPr>
        <w:ind w:right="30"/>
      </w:pPr>
      <w:r>
        <w:t xml:space="preserve">The Department considers all requests in consultation with relevant institutions and makes a recommendation to the Skills Assessment Minister (the Minister). </w:t>
      </w:r>
    </w:p>
    <w:p w14:paraId="640149A3" w14:textId="46926F79" w:rsidR="009155CA" w:rsidRDefault="009155CA" w:rsidP="007B2835">
      <w:pPr>
        <w:ind w:right="30"/>
      </w:pPr>
      <w:r>
        <w:t>If the Minister approves an organisation, the Minister will then advise the Minister for Immigration, Citizenship, Migrant Services and Multicultural Affairs (Minister for Immigration) and request that a legislative instrument naming the assessing authority be made. The Department and Home Affairs list the approved assessing authority on their websites and the organisation is then eligible to undertake skills assessments.</w:t>
      </w:r>
    </w:p>
    <w:p w14:paraId="192CDB76" w14:textId="21EF6DB8" w:rsidR="009155CA" w:rsidRDefault="009155CA" w:rsidP="007B2835">
      <w:pPr>
        <w:ind w:right="30"/>
        <w:rPr>
          <w:i/>
        </w:rPr>
      </w:pPr>
      <w:r>
        <w:t xml:space="preserve">In circumstances where an assessing authority does not continue to meet the conditions under which it was approved, the Skills Assessment Minister may revoke the assessing authority’s approval by virtue of subsection 33(3) of the </w:t>
      </w:r>
      <w:r>
        <w:rPr>
          <w:i/>
        </w:rPr>
        <w:t>Acts Interpretation Act 1901.</w:t>
      </w:r>
    </w:p>
    <w:p w14:paraId="20DFC9F7" w14:textId="17560440" w:rsidR="007B2835" w:rsidRDefault="007B2835" w:rsidP="007B2835">
      <w:pPr>
        <w:spacing w:after="160" w:line="259" w:lineRule="auto"/>
        <w:rPr>
          <w:i/>
        </w:rPr>
      </w:pPr>
      <w:r>
        <w:rPr>
          <w:i/>
        </w:rPr>
        <w:br w:type="page"/>
      </w:r>
    </w:p>
    <w:p w14:paraId="7061175E" w14:textId="44DD4B72" w:rsidR="009155CA" w:rsidRPr="009155CA" w:rsidRDefault="000E64ED" w:rsidP="000E64ED">
      <w:pPr>
        <w:pStyle w:val="Heading2"/>
      </w:pPr>
      <w:bookmarkStart w:id="9" w:name="_Toc117510949"/>
      <w:bookmarkStart w:id="10" w:name="_Toc117596791"/>
      <w:r w:rsidRPr="000E64ED">
        <w:t>2</w:t>
      </w:r>
      <w:r w:rsidRPr="000E64ED">
        <w:rPr>
          <w:b w:val="0"/>
        </w:rPr>
        <w:t>.</w:t>
      </w:r>
      <w:r>
        <w:t xml:space="preserve"> </w:t>
      </w:r>
      <w:r w:rsidR="009155CA">
        <w:t xml:space="preserve">Roles and </w:t>
      </w:r>
      <w:r w:rsidR="007B2835">
        <w:t>responsibilities</w:t>
      </w:r>
      <w:bookmarkEnd w:id="9"/>
      <w:bookmarkEnd w:id="10"/>
      <w:r w:rsidR="007B2835">
        <w:t xml:space="preserve"> </w:t>
      </w:r>
    </w:p>
    <w:p w14:paraId="4F4292D4" w14:textId="7CC74647" w:rsidR="007B2835" w:rsidRDefault="007B2835" w:rsidP="001468CE">
      <w:pPr>
        <w:spacing w:after="41"/>
        <w:ind w:right="775"/>
      </w:pPr>
      <w:r>
        <w:t xml:space="preserve">The table below identifies the roles and responsibilities for entities connected to skills assessments and governance arrangements. </w:t>
      </w:r>
    </w:p>
    <w:tbl>
      <w:tblPr>
        <w:tblStyle w:val="PlainTable4"/>
        <w:tblW w:w="0" w:type="auto"/>
        <w:tblLook w:val="04A0" w:firstRow="1" w:lastRow="0" w:firstColumn="1" w:lastColumn="0" w:noHBand="0" w:noVBand="1"/>
      </w:tblPr>
      <w:tblGrid>
        <w:gridCol w:w="3994"/>
        <w:gridCol w:w="5076"/>
      </w:tblGrid>
      <w:tr w:rsidR="007B2835" w14:paraId="7381D526" w14:textId="77777777" w:rsidTr="001468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669900"/>
          </w:tcPr>
          <w:p w14:paraId="23B02A20" w14:textId="7CA1581C" w:rsidR="007B2835" w:rsidRPr="007B2835" w:rsidRDefault="007B2835" w:rsidP="001A05B0">
            <w:pPr>
              <w:tabs>
                <w:tab w:val="right" w:pos="3539"/>
              </w:tabs>
              <w:spacing w:after="41"/>
              <w:ind w:right="775"/>
              <w:rPr>
                <w:b w:val="0"/>
                <w:bCs w:val="0"/>
              </w:rPr>
            </w:pPr>
            <w:r w:rsidRPr="007B2835">
              <w:t>Entity</w:t>
            </w:r>
            <w:r w:rsidR="001A05B0">
              <w:rPr>
                <w:b w:val="0"/>
                <w:bCs w:val="0"/>
              </w:rPr>
              <w:tab/>
            </w:r>
          </w:p>
        </w:tc>
        <w:tc>
          <w:tcPr>
            <w:tcW w:w="5809" w:type="dxa"/>
            <w:shd w:val="clear" w:color="auto" w:fill="669900"/>
          </w:tcPr>
          <w:p w14:paraId="384CC081" w14:textId="6E6223D3" w:rsidR="007B2835" w:rsidRPr="007B2835" w:rsidRDefault="007B2835" w:rsidP="007B2835">
            <w:pPr>
              <w:spacing w:after="41"/>
              <w:ind w:right="775"/>
              <w:cnfStyle w:val="100000000000" w:firstRow="1" w:lastRow="0" w:firstColumn="0" w:lastColumn="0" w:oddVBand="0" w:evenVBand="0" w:oddHBand="0" w:evenHBand="0" w:firstRowFirstColumn="0" w:firstRowLastColumn="0" w:lastRowFirstColumn="0" w:lastRowLastColumn="0"/>
              <w:rPr>
                <w:b w:val="0"/>
                <w:bCs w:val="0"/>
              </w:rPr>
            </w:pPr>
            <w:r w:rsidRPr="007B2835">
              <w:t>Responsibilities</w:t>
            </w:r>
          </w:p>
        </w:tc>
      </w:tr>
      <w:tr w:rsidR="007B2835" w14:paraId="63EB8FD7" w14:textId="77777777" w:rsidTr="001468CE">
        <w:trPr>
          <w:cnfStyle w:val="000000100000" w:firstRow="0" w:lastRow="0" w:firstColumn="0" w:lastColumn="0" w:oddVBand="0" w:evenVBand="0" w:oddHBand="1" w:evenHBand="0" w:firstRowFirstColumn="0" w:firstRowLastColumn="0" w:lastRowFirstColumn="0" w:lastRowLastColumn="0"/>
          <w:trHeight w:val="2537"/>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6DB0D29" w14:textId="207CDA98" w:rsidR="007B2835" w:rsidRDefault="007B2835" w:rsidP="001A05B0">
            <w:pPr>
              <w:tabs>
                <w:tab w:val="right" w:pos="3539"/>
              </w:tabs>
              <w:spacing w:after="41"/>
              <w:ind w:right="775"/>
            </w:pPr>
            <w:r>
              <w:t>Assessing Authority</w:t>
            </w:r>
          </w:p>
        </w:tc>
        <w:tc>
          <w:tcPr>
            <w:tcW w:w="5809" w:type="dxa"/>
            <w:shd w:val="clear" w:color="auto" w:fill="auto"/>
          </w:tcPr>
          <w:p w14:paraId="70DACE1C" w14:textId="77777777" w:rsidR="007B2835" w:rsidRDefault="007B2835" w:rsidP="007B2835">
            <w:pPr>
              <w:pStyle w:val="ListParagraph"/>
              <w:numPr>
                <w:ilvl w:val="0"/>
                <w:numId w:val="18"/>
              </w:numPr>
              <w:spacing w:after="6" w:line="256" w:lineRule="auto"/>
              <w:cnfStyle w:val="000000100000" w:firstRow="0" w:lastRow="0" w:firstColumn="0" w:lastColumn="0" w:oddVBand="0" w:evenVBand="0" w:oddHBand="1" w:evenHBand="0" w:firstRowFirstColumn="0" w:firstRowLastColumn="0" w:lastRowFirstColumn="0" w:lastRowLastColumn="0"/>
            </w:pPr>
            <w:r>
              <w:t xml:space="preserve">Deliver a skills assessment service to prospective migrants aligned with Australian Government skills recognition policies and Guidelines </w:t>
            </w:r>
          </w:p>
          <w:p w14:paraId="4A42DE8B" w14:textId="77777777" w:rsidR="007B2835" w:rsidRPr="007B2835" w:rsidRDefault="007B2835" w:rsidP="007B2835">
            <w:pPr>
              <w:pStyle w:val="ListParagraph"/>
              <w:numPr>
                <w:ilvl w:val="0"/>
                <w:numId w:val="18"/>
              </w:numPr>
              <w:spacing w:after="6" w:line="256" w:lineRule="auto"/>
              <w:cnfStyle w:val="000000100000" w:firstRow="0" w:lastRow="0" w:firstColumn="0" w:lastColumn="0" w:oddVBand="0" w:evenVBand="0" w:oddHBand="1" w:evenHBand="0" w:firstRowFirstColumn="0" w:firstRowLastColumn="0" w:lastRowFirstColumn="0" w:lastRowLastColumn="0"/>
            </w:pPr>
            <w:r>
              <w:t xml:space="preserve">Adhere to the Guidelines and ongoing compliance requirements </w:t>
            </w:r>
            <w:r>
              <w:rPr>
                <w:color w:val="2A7DB2"/>
              </w:rPr>
              <w:t xml:space="preserve"> </w:t>
            </w:r>
          </w:p>
          <w:p w14:paraId="2C94CF90" w14:textId="284BA6B9" w:rsidR="001468CE" w:rsidRPr="001468CE" w:rsidRDefault="007B2835" w:rsidP="001468CE">
            <w:pPr>
              <w:pStyle w:val="ListParagraph"/>
              <w:numPr>
                <w:ilvl w:val="0"/>
                <w:numId w:val="18"/>
              </w:numPr>
              <w:spacing w:after="6" w:line="256" w:lineRule="auto"/>
              <w:cnfStyle w:val="000000100000" w:firstRow="0" w:lastRow="0" w:firstColumn="0" w:lastColumn="0" w:oddVBand="0" w:evenVBand="0" w:oddHBand="1" w:evenHBand="0" w:firstRowFirstColumn="0" w:firstRowLastColumn="0" w:lastRowFirstColumn="0" w:lastRowLastColumn="0"/>
            </w:pPr>
            <w:r>
              <w:t>Work effectively with the Australian Government, including through participating in monitoring and support arrangements</w:t>
            </w:r>
          </w:p>
        </w:tc>
      </w:tr>
      <w:tr w:rsidR="007B2835" w14:paraId="0CF67A87" w14:textId="77777777" w:rsidTr="00800B9E">
        <w:trPr>
          <w:trHeight w:val="3693"/>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5EFA24B6" w14:textId="38223828" w:rsidR="007B2835" w:rsidRDefault="007B2835" w:rsidP="007B2835">
            <w:pPr>
              <w:spacing w:after="41"/>
              <w:ind w:right="775"/>
            </w:pPr>
            <w:r>
              <w:t>Assessing Authorities Quality Assurance (AAQA) function within the Department</w:t>
            </w:r>
          </w:p>
        </w:tc>
        <w:tc>
          <w:tcPr>
            <w:tcW w:w="0" w:type="dxa"/>
            <w:shd w:val="clear" w:color="auto" w:fill="D9D9D9" w:themeFill="background1" w:themeFillShade="D9"/>
          </w:tcPr>
          <w:p w14:paraId="13D13A30" w14:textId="77777777" w:rsidR="007B2835" w:rsidRDefault="007B2835" w:rsidP="007B2835">
            <w:pPr>
              <w:pStyle w:val="ListParagraph"/>
              <w:numPr>
                <w:ilvl w:val="0"/>
                <w:numId w:val="18"/>
              </w:numPr>
              <w:spacing w:after="6" w:line="256" w:lineRule="auto"/>
              <w:cnfStyle w:val="000000000000" w:firstRow="0" w:lastRow="0" w:firstColumn="0" w:lastColumn="0" w:oddVBand="0" w:evenVBand="0" w:oddHBand="0" w:evenHBand="0" w:firstRowFirstColumn="0" w:firstRowLastColumn="0" w:lastRowFirstColumn="0" w:lastRowLastColumn="0"/>
            </w:pPr>
            <w:r>
              <w:t xml:space="preserve">Assess organisations against the approval criteria based on evidence provided </w:t>
            </w:r>
          </w:p>
          <w:p w14:paraId="5CB20D3E" w14:textId="77777777" w:rsidR="007B2835" w:rsidRDefault="007B2835" w:rsidP="007B2835">
            <w:pPr>
              <w:pStyle w:val="ListParagraph"/>
              <w:numPr>
                <w:ilvl w:val="0"/>
                <w:numId w:val="18"/>
              </w:numPr>
              <w:spacing w:after="6" w:line="256" w:lineRule="auto"/>
              <w:cnfStyle w:val="000000000000" w:firstRow="0" w:lastRow="0" w:firstColumn="0" w:lastColumn="0" w:oddVBand="0" w:evenVBand="0" w:oddHBand="0" w:evenHBand="0" w:firstRowFirstColumn="0" w:firstRowLastColumn="0" w:lastRowFirstColumn="0" w:lastRowLastColumn="0"/>
            </w:pPr>
            <w:r>
              <w:t>Recommend organisations to the Minister for approval</w:t>
            </w:r>
          </w:p>
          <w:p w14:paraId="35B2DA24" w14:textId="77777777" w:rsidR="007B2835" w:rsidRDefault="007B2835" w:rsidP="007B2835">
            <w:pPr>
              <w:pStyle w:val="ListParagraph"/>
              <w:numPr>
                <w:ilvl w:val="0"/>
                <w:numId w:val="18"/>
              </w:numPr>
              <w:spacing w:after="6" w:line="256" w:lineRule="auto"/>
              <w:cnfStyle w:val="000000000000" w:firstRow="0" w:lastRow="0" w:firstColumn="0" w:lastColumn="0" w:oddVBand="0" w:evenVBand="0" w:oddHBand="0" w:evenHBand="0" w:firstRowFirstColumn="0" w:firstRowLastColumn="0" w:lastRowFirstColumn="0" w:lastRowLastColumn="0"/>
            </w:pPr>
            <w:r>
              <w:t>Monitor assessing authorities and make recommendations to the Minister accordingly</w:t>
            </w:r>
          </w:p>
          <w:p w14:paraId="29677005" w14:textId="241DE375" w:rsidR="007B2835" w:rsidRDefault="007B2835" w:rsidP="007B2835">
            <w:pPr>
              <w:pStyle w:val="ListParagraph"/>
              <w:numPr>
                <w:ilvl w:val="0"/>
                <w:numId w:val="18"/>
              </w:numPr>
              <w:spacing w:after="6" w:line="256" w:lineRule="auto"/>
              <w:cnfStyle w:val="000000000000" w:firstRow="0" w:lastRow="0" w:firstColumn="0" w:lastColumn="0" w:oddVBand="0" w:evenVBand="0" w:oddHBand="0" w:evenHBand="0" w:firstRowFirstColumn="0" w:firstRowLastColumn="0" w:lastRowFirstColumn="0" w:lastRowLastColumn="0"/>
            </w:pPr>
            <w:r>
              <w:t>Provide skills recognition policy advice to assessing authorities</w:t>
            </w:r>
          </w:p>
          <w:p w14:paraId="160855A4" w14:textId="77777777" w:rsidR="007B2835" w:rsidRDefault="007B2835" w:rsidP="007B2835">
            <w:pPr>
              <w:pStyle w:val="ListParagraph"/>
              <w:numPr>
                <w:ilvl w:val="0"/>
                <w:numId w:val="18"/>
              </w:numPr>
              <w:spacing w:after="6" w:line="256" w:lineRule="auto"/>
              <w:cnfStyle w:val="000000000000" w:firstRow="0" w:lastRow="0" w:firstColumn="0" w:lastColumn="0" w:oddVBand="0" w:evenVBand="0" w:oddHBand="0" w:evenHBand="0" w:firstRowFirstColumn="0" w:firstRowLastColumn="0" w:lastRowFirstColumn="0" w:lastRowLastColumn="0"/>
            </w:pPr>
            <w:r>
              <w:t>Liaise with Home Affairs and other Australian Government agencies</w:t>
            </w:r>
          </w:p>
          <w:p w14:paraId="3D5F52C1" w14:textId="61EB2C1E" w:rsidR="007B2835" w:rsidRDefault="007B2835" w:rsidP="007B2835">
            <w:pPr>
              <w:pStyle w:val="ListParagraph"/>
              <w:numPr>
                <w:ilvl w:val="0"/>
                <w:numId w:val="18"/>
              </w:numPr>
              <w:spacing w:after="6" w:line="256" w:lineRule="auto"/>
              <w:cnfStyle w:val="000000000000" w:firstRow="0" w:lastRow="0" w:firstColumn="0" w:lastColumn="0" w:oddVBand="0" w:evenVBand="0" w:oddHBand="0" w:evenHBand="0" w:firstRowFirstColumn="0" w:firstRowLastColumn="0" w:lastRowFirstColumn="0" w:lastRowLastColumn="0"/>
            </w:pPr>
            <w:r>
              <w:t>Ensure demonstration of Australia’s international obligations in skills recognition</w:t>
            </w:r>
          </w:p>
        </w:tc>
      </w:tr>
      <w:tr w:rsidR="007B2835" w14:paraId="1E4F1160" w14:textId="77777777" w:rsidTr="00800B9E">
        <w:trPr>
          <w:cnfStyle w:val="000000100000" w:firstRow="0" w:lastRow="0" w:firstColumn="0" w:lastColumn="0" w:oddVBand="0" w:evenVBand="0" w:oddHBand="1" w:evenHBand="0" w:firstRowFirstColumn="0" w:firstRowLastColumn="0" w:lastRowFirstColumn="0" w:lastRowLastColumn="0"/>
          <w:trHeight w:val="1961"/>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C21C534" w14:textId="77777777" w:rsidR="007B2835" w:rsidRDefault="007B2835" w:rsidP="007B2835">
            <w:pPr>
              <w:spacing w:after="41"/>
              <w:ind w:right="775"/>
              <w:rPr>
                <w:b w:val="0"/>
              </w:rPr>
            </w:pPr>
            <w:r w:rsidRPr="00097904">
              <w:t>Home Affairs</w:t>
            </w:r>
          </w:p>
          <w:p w14:paraId="671F5D30" w14:textId="77777777" w:rsidR="001A05B0" w:rsidRDefault="001A05B0" w:rsidP="001A05B0">
            <w:pPr>
              <w:rPr>
                <w:b w:val="0"/>
              </w:rPr>
            </w:pPr>
          </w:p>
          <w:p w14:paraId="66C73A4C" w14:textId="3946F146" w:rsidR="001A05B0" w:rsidRPr="001A05B0" w:rsidRDefault="001A05B0" w:rsidP="001A05B0">
            <w:pPr>
              <w:tabs>
                <w:tab w:val="left" w:pos="3105"/>
              </w:tabs>
            </w:pPr>
            <w:r>
              <w:tab/>
            </w:r>
          </w:p>
        </w:tc>
        <w:tc>
          <w:tcPr>
            <w:tcW w:w="0" w:type="dxa"/>
            <w:shd w:val="clear" w:color="auto" w:fill="auto"/>
          </w:tcPr>
          <w:p w14:paraId="1CA9012C" w14:textId="01BC1D60" w:rsidR="007B2835" w:rsidRDefault="007B2835" w:rsidP="000E64ED">
            <w:pPr>
              <w:pStyle w:val="ListParagraph"/>
              <w:numPr>
                <w:ilvl w:val="0"/>
                <w:numId w:val="22"/>
              </w:numPr>
              <w:tabs>
                <w:tab w:val="right" w:pos="8569"/>
              </w:tabs>
              <w:spacing w:after="10" w:line="276" w:lineRule="auto"/>
              <w:cnfStyle w:val="000000100000" w:firstRow="0" w:lastRow="0" w:firstColumn="0" w:lastColumn="0" w:oddVBand="0" w:evenVBand="0" w:oddHBand="1" w:evenHBand="0" w:firstRowFirstColumn="0" w:firstRowLastColumn="0" w:lastRowFirstColumn="0" w:lastRowLastColumn="0"/>
            </w:pPr>
            <w:r>
              <w:t>Facilitate the Minister for Immigration’s specification of organisations through the relevant legislative instrument</w:t>
            </w:r>
          </w:p>
          <w:p w14:paraId="04146ABA" w14:textId="7B43137C" w:rsidR="007B2835" w:rsidRDefault="007B2835" w:rsidP="00103AFA">
            <w:pPr>
              <w:pStyle w:val="ListParagraph"/>
              <w:numPr>
                <w:ilvl w:val="0"/>
                <w:numId w:val="22"/>
              </w:numPr>
              <w:spacing w:after="6" w:line="256" w:lineRule="auto"/>
              <w:cnfStyle w:val="000000100000" w:firstRow="0" w:lastRow="0" w:firstColumn="0" w:lastColumn="0" w:oddVBand="0" w:evenVBand="0" w:oddHBand="1" w:evenHBand="0" w:firstRowFirstColumn="0" w:firstRowLastColumn="0" w:lastRowFirstColumn="0" w:lastRowLastColumn="0"/>
            </w:pPr>
            <w:r>
              <w:t>Provide migration policy advice to assessing authorities, government agencies and other stakeholders</w:t>
            </w:r>
          </w:p>
        </w:tc>
      </w:tr>
      <w:tr w:rsidR="000E64ED" w14:paraId="7D72AAE5" w14:textId="77777777" w:rsidTr="00800B9E">
        <w:trPr>
          <w:trHeight w:val="724"/>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5A5A655E" w14:textId="1C849FA5" w:rsidR="000E64ED" w:rsidRDefault="000E64ED" w:rsidP="000E64ED">
            <w:pPr>
              <w:spacing w:after="41"/>
              <w:ind w:right="775"/>
            </w:pPr>
            <w:r>
              <w:t>Minister for Immigration</w:t>
            </w:r>
          </w:p>
        </w:tc>
        <w:tc>
          <w:tcPr>
            <w:tcW w:w="0" w:type="dxa"/>
            <w:shd w:val="clear" w:color="auto" w:fill="D9D9D9" w:themeFill="background1" w:themeFillShade="D9"/>
          </w:tcPr>
          <w:p w14:paraId="58EFAAA7" w14:textId="26ED4C11" w:rsidR="000E64ED" w:rsidRDefault="000E64ED" w:rsidP="000E64ED">
            <w:pPr>
              <w:pStyle w:val="ListParagraph"/>
              <w:numPr>
                <w:ilvl w:val="0"/>
                <w:numId w:val="23"/>
              </w:numPr>
              <w:spacing w:after="41" w:line="276" w:lineRule="auto"/>
              <w:ind w:right="775"/>
              <w:cnfStyle w:val="000000000000" w:firstRow="0" w:lastRow="0" w:firstColumn="0" w:lastColumn="0" w:oddVBand="0" w:evenVBand="0" w:oddHBand="0" w:evenHBand="0" w:firstRowFirstColumn="0" w:firstRowLastColumn="0" w:lastRowFirstColumn="0" w:lastRowLastColumn="0"/>
            </w:pPr>
            <w:r>
              <w:t>Specify organisations as assessing authorities</w:t>
            </w:r>
          </w:p>
        </w:tc>
      </w:tr>
      <w:tr w:rsidR="000E64ED" w14:paraId="52EECE97" w14:textId="77777777" w:rsidTr="00800B9E">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313186A" w14:textId="005028E9" w:rsidR="000E64ED" w:rsidRDefault="000E64ED" w:rsidP="000E64ED">
            <w:pPr>
              <w:spacing w:after="41"/>
              <w:ind w:right="775"/>
            </w:pPr>
            <w:r w:rsidRPr="003765D8">
              <w:t>Organisation</w:t>
            </w:r>
          </w:p>
        </w:tc>
        <w:tc>
          <w:tcPr>
            <w:tcW w:w="0" w:type="dxa"/>
            <w:shd w:val="clear" w:color="auto" w:fill="auto"/>
          </w:tcPr>
          <w:p w14:paraId="7E9C72D8" w14:textId="1E3E138A" w:rsidR="000E64ED" w:rsidRDefault="000E64ED" w:rsidP="000E64ED">
            <w:pPr>
              <w:pStyle w:val="ListParagraph"/>
              <w:numPr>
                <w:ilvl w:val="0"/>
                <w:numId w:val="23"/>
              </w:numPr>
              <w:spacing w:after="41" w:line="276" w:lineRule="auto"/>
              <w:ind w:right="775"/>
              <w:cnfStyle w:val="000000100000" w:firstRow="0" w:lastRow="0" w:firstColumn="0" w:lastColumn="0" w:oddVBand="0" w:evenVBand="0" w:oddHBand="1" w:evenHBand="0" w:firstRowFirstColumn="0" w:firstRowLastColumn="0" w:lastRowFirstColumn="0" w:lastRowLastColumn="0"/>
            </w:pPr>
            <w:r w:rsidRPr="003765D8">
              <w:t>An entity applying for assessing authority approval</w:t>
            </w:r>
          </w:p>
        </w:tc>
      </w:tr>
      <w:tr w:rsidR="000E64ED" w14:paraId="587B1AC2" w14:textId="77777777" w:rsidTr="00800B9E">
        <w:trPr>
          <w:trHeight w:val="2020"/>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2E785617" w14:textId="05F258FA" w:rsidR="000E64ED" w:rsidRDefault="000E64ED" w:rsidP="000E64ED">
            <w:pPr>
              <w:spacing w:after="41"/>
              <w:ind w:right="775"/>
            </w:pPr>
            <w:r>
              <w:t>Skills Assessment Minister</w:t>
            </w:r>
          </w:p>
        </w:tc>
        <w:tc>
          <w:tcPr>
            <w:tcW w:w="0" w:type="dxa"/>
            <w:shd w:val="clear" w:color="auto" w:fill="D9D9D9" w:themeFill="background1" w:themeFillShade="D9"/>
          </w:tcPr>
          <w:p w14:paraId="3D4C2AFD" w14:textId="77777777" w:rsidR="000E64ED" w:rsidRDefault="000E64ED" w:rsidP="000E64ED">
            <w:pPr>
              <w:pStyle w:val="ListParagraph"/>
              <w:numPr>
                <w:ilvl w:val="0"/>
                <w:numId w:val="18"/>
              </w:numPr>
              <w:spacing w:after="6" w:line="256" w:lineRule="auto"/>
              <w:ind w:left="416"/>
              <w:cnfStyle w:val="000000000000" w:firstRow="0" w:lastRow="0" w:firstColumn="0" w:lastColumn="0" w:oddVBand="0" w:evenVBand="0" w:oddHBand="0" w:evenHBand="0" w:firstRowFirstColumn="0" w:firstRowLastColumn="0" w:lastRowFirstColumn="0" w:lastRowLastColumn="0"/>
            </w:pPr>
            <w:r>
              <w:t>Approve organisations as assessing authorities</w:t>
            </w:r>
          </w:p>
          <w:p w14:paraId="2E1A0048" w14:textId="2865BC18" w:rsidR="000E64ED" w:rsidRDefault="000E64ED" w:rsidP="000E64ED">
            <w:pPr>
              <w:pStyle w:val="ListParagraph"/>
              <w:numPr>
                <w:ilvl w:val="0"/>
                <w:numId w:val="18"/>
              </w:numPr>
              <w:spacing w:after="6" w:line="256" w:lineRule="auto"/>
              <w:ind w:left="416"/>
              <w:cnfStyle w:val="000000000000" w:firstRow="0" w:lastRow="0" w:firstColumn="0" w:lastColumn="0" w:oddVBand="0" w:evenVBand="0" w:oddHBand="0" w:evenHBand="0" w:firstRowFirstColumn="0" w:firstRowLastColumn="0" w:lastRowFirstColumn="0" w:lastRowLastColumn="0"/>
            </w:pPr>
            <w:r>
              <w:t>Notify the Minister for Immigration of approval of organisations as assessing authorities and requesting their specification</w:t>
            </w:r>
          </w:p>
          <w:p w14:paraId="598B8506" w14:textId="368991DD" w:rsidR="000E64ED" w:rsidRDefault="000E64ED" w:rsidP="000E64ED">
            <w:pPr>
              <w:pStyle w:val="ListParagraph"/>
              <w:numPr>
                <w:ilvl w:val="0"/>
                <w:numId w:val="18"/>
              </w:numPr>
              <w:spacing w:after="41" w:line="276" w:lineRule="auto"/>
              <w:ind w:right="775"/>
              <w:cnfStyle w:val="000000000000" w:firstRow="0" w:lastRow="0" w:firstColumn="0" w:lastColumn="0" w:oddVBand="0" w:evenVBand="0" w:oddHBand="0" w:evenHBand="0" w:firstRowFirstColumn="0" w:firstRowLastColumn="0" w:lastRowFirstColumn="0" w:lastRowLastColumn="0"/>
            </w:pPr>
            <w:r>
              <w:t>Revoke approval of organisations as assessing authorities</w:t>
            </w:r>
          </w:p>
        </w:tc>
      </w:tr>
    </w:tbl>
    <w:p w14:paraId="5917A247" w14:textId="2F3C01E1" w:rsidR="009155CA" w:rsidRDefault="000E64ED" w:rsidP="000E64ED">
      <w:pPr>
        <w:pStyle w:val="Heading2"/>
      </w:pPr>
      <w:bookmarkStart w:id="11" w:name="_Toc117510950"/>
      <w:bookmarkStart w:id="12" w:name="_Toc117596792"/>
      <w:r>
        <w:t>3. Approval Criteria</w:t>
      </w:r>
      <w:bookmarkStart w:id="13" w:name="_Toc30065223"/>
      <w:bookmarkEnd w:id="11"/>
      <w:bookmarkEnd w:id="12"/>
    </w:p>
    <w:p w14:paraId="541006DC" w14:textId="539231BF" w:rsidR="000E64ED" w:rsidRDefault="000E64ED" w:rsidP="000E64ED">
      <w:pPr>
        <w:ind w:right="30"/>
      </w:pPr>
      <w:r>
        <w:t xml:space="preserve">The approval criteria provide a framework for the approval of an organisation as an assessing authority. The criteria align with Australian Government skills recognition policy, which includes outcomes-based approaches to skills recognition, the principles of comparability, and the elimination of barriers to recognition. </w:t>
      </w:r>
    </w:p>
    <w:p w14:paraId="05E40037" w14:textId="22F1B1C2" w:rsidR="000E64ED" w:rsidRDefault="000E64ED" w:rsidP="000E64ED">
      <w:pPr>
        <w:spacing w:after="332"/>
        <w:ind w:right="104"/>
      </w:pPr>
      <w:r>
        <w:t xml:space="preserve">The approval criteria also align with Australia’s international obligations as a Party to the United Nations Educational, Scientific and Cultural Organization qualifications recognition conventions. </w:t>
      </w:r>
    </w:p>
    <w:p w14:paraId="3BF3E4B0" w14:textId="4A96EB4A" w:rsidR="000E64ED" w:rsidRPr="009C5CED" w:rsidRDefault="000E64ED" w:rsidP="009C5CED">
      <w:pPr>
        <w:pStyle w:val="Heading2"/>
        <w:rPr>
          <w:sz w:val="24"/>
          <w:szCs w:val="22"/>
        </w:rPr>
      </w:pPr>
      <w:bookmarkStart w:id="14" w:name="_Toc117596793"/>
      <w:r w:rsidRPr="009C5CED">
        <w:rPr>
          <w:sz w:val="24"/>
          <w:szCs w:val="22"/>
        </w:rPr>
        <w:t>Criterion 1 – Eligibility</w:t>
      </w:r>
      <w:bookmarkEnd w:id="14"/>
      <w:r w:rsidRPr="009C5CED">
        <w:rPr>
          <w:sz w:val="24"/>
          <w:szCs w:val="22"/>
        </w:rPr>
        <w:t xml:space="preserve"> </w:t>
      </w:r>
    </w:p>
    <w:p w14:paraId="2DA63F96" w14:textId="5D4A9166" w:rsidR="000E64ED" w:rsidRDefault="000E64ED" w:rsidP="000E64ED">
      <w:pPr>
        <w:spacing w:after="235"/>
        <w:ind w:left="-5" w:right="598"/>
      </w:pPr>
      <w:r>
        <w:t>An organisation must demonstrate its eligibility to be considered as an assessing authority.</w:t>
      </w:r>
    </w:p>
    <w:p w14:paraId="1EFABF9F" w14:textId="77777777" w:rsidR="002B5A99" w:rsidRPr="009C5CED" w:rsidRDefault="002B5A99" w:rsidP="002B5A99">
      <w:pPr>
        <w:pStyle w:val="Heading4"/>
        <w:spacing w:after="100"/>
        <w:ind w:left="-5"/>
        <w:rPr>
          <w:b/>
          <w:bCs/>
          <w:color w:val="auto"/>
          <w:sz w:val="22"/>
          <w:szCs w:val="18"/>
        </w:rPr>
      </w:pPr>
      <w:r w:rsidRPr="009C5CED">
        <w:rPr>
          <w:b/>
          <w:bCs/>
          <w:color w:val="auto"/>
          <w:sz w:val="22"/>
          <w:szCs w:val="18"/>
        </w:rPr>
        <w:t>1.1. Eligible organisation</w:t>
      </w:r>
    </w:p>
    <w:p w14:paraId="10B8DCC9" w14:textId="287B8BEB" w:rsidR="002B5A99" w:rsidRDefault="002B5A99" w:rsidP="002B5A99">
      <w:pPr>
        <w:spacing w:after="136"/>
        <w:ind w:left="-5" w:right="30"/>
      </w:pPr>
      <w:r>
        <w:t xml:space="preserve">To meet this criterion, the organisation should be described as one or more of the following: </w:t>
      </w:r>
    </w:p>
    <w:p w14:paraId="4B10B594" w14:textId="77777777" w:rsidR="000E64ED" w:rsidRDefault="000E64ED" w:rsidP="000E64ED">
      <w:pPr>
        <w:ind w:left="495" w:right="30" w:hanging="510"/>
      </w:pPr>
      <w:r w:rsidRPr="009C5CED">
        <w:rPr>
          <w:rStyle w:val="Heading4Char"/>
          <w:b/>
          <w:bCs/>
          <w:sz w:val="22"/>
          <w:szCs w:val="18"/>
        </w:rPr>
        <w:t>1.1.1</w:t>
      </w:r>
      <w:r w:rsidRPr="002B5A99">
        <w:rPr>
          <w:rStyle w:val="Heading4Char"/>
          <w:sz w:val="22"/>
          <w:szCs w:val="18"/>
        </w:rPr>
        <w:t>.</w:t>
      </w:r>
      <w:r w:rsidRPr="002B5A99">
        <w:rPr>
          <w:b/>
          <w:color w:val="2A7DB2"/>
          <w:sz w:val="18"/>
          <w:szCs w:val="18"/>
        </w:rPr>
        <w:t xml:space="preserve"> </w:t>
      </w:r>
      <w:r>
        <w:rPr>
          <w:b/>
          <w:bCs/>
        </w:rPr>
        <w:t>Government Body</w:t>
      </w:r>
      <w:r>
        <w:t xml:space="preserve"> – an Australian Commonwealth, state or territory government organisation or body. </w:t>
      </w:r>
    </w:p>
    <w:p w14:paraId="5B12BD5D" w14:textId="77777777" w:rsidR="000E64ED" w:rsidRDefault="000E64ED" w:rsidP="000E64ED">
      <w:pPr>
        <w:ind w:left="495" w:right="533" w:hanging="510"/>
      </w:pPr>
      <w:r w:rsidRPr="009C5CED">
        <w:rPr>
          <w:rStyle w:val="Heading4Char"/>
          <w:b/>
          <w:bCs/>
          <w:sz w:val="22"/>
          <w:szCs w:val="18"/>
        </w:rPr>
        <w:t>1.1.2</w:t>
      </w:r>
      <w:r w:rsidRPr="002B5A99">
        <w:rPr>
          <w:rStyle w:val="Heading4Char"/>
          <w:sz w:val="22"/>
          <w:szCs w:val="18"/>
        </w:rPr>
        <w:t>.</w:t>
      </w:r>
      <w:r w:rsidRPr="002B5A99">
        <w:rPr>
          <w:b/>
          <w:color w:val="2A7DB2"/>
          <w:sz w:val="18"/>
          <w:szCs w:val="18"/>
        </w:rPr>
        <w:t xml:space="preserve"> </w:t>
      </w:r>
      <w:r>
        <w:rPr>
          <w:b/>
          <w:bCs/>
        </w:rPr>
        <w:t>Peak Professional Body</w:t>
      </w:r>
      <w:r>
        <w:t xml:space="preserve"> – a leading body nationally accepted as a legitimate “voice” or representative of a profession or industry.</w:t>
      </w:r>
    </w:p>
    <w:p w14:paraId="78F78760" w14:textId="77777777" w:rsidR="000E64ED" w:rsidRDefault="000E64ED" w:rsidP="000E64ED">
      <w:pPr>
        <w:ind w:left="495" w:right="30" w:hanging="510"/>
      </w:pPr>
      <w:r w:rsidRPr="009C5CED">
        <w:rPr>
          <w:rStyle w:val="Heading4Char"/>
          <w:b/>
          <w:bCs/>
          <w:sz w:val="22"/>
          <w:szCs w:val="18"/>
        </w:rPr>
        <w:t>1.1.3.</w:t>
      </w:r>
      <w:r w:rsidRPr="002B5A99">
        <w:rPr>
          <w:b/>
          <w:color w:val="2A7DB2"/>
          <w:sz w:val="18"/>
          <w:szCs w:val="18"/>
        </w:rPr>
        <w:t xml:space="preserve"> </w:t>
      </w:r>
      <w:r>
        <w:rPr>
          <w:b/>
          <w:bCs/>
        </w:rPr>
        <w:t>Regulatory Body</w:t>
      </w:r>
      <w:r>
        <w:t xml:space="preserve"> – a body that formally accredits, approves and recognises training. The body that sets standards for, and regulates, entry into trades and professions.</w:t>
      </w:r>
    </w:p>
    <w:p w14:paraId="4B1171F9" w14:textId="77777777" w:rsidR="000E64ED" w:rsidRDefault="000E64ED" w:rsidP="000E64ED">
      <w:pPr>
        <w:spacing w:after="312"/>
        <w:ind w:left="495" w:right="313" w:hanging="510"/>
      </w:pPr>
      <w:r w:rsidRPr="009C5CED">
        <w:rPr>
          <w:rStyle w:val="Heading4Char"/>
          <w:b/>
          <w:bCs/>
          <w:sz w:val="22"/>
          <w:szCs w:val="18"/>
        </w:rPr>
        <w:t>1.1.4</w:t>
      </w:r>
      <w:r w:rsidRPr="002B5A99">
        <w:rPr>
          <w:rStyle w:val="Heading4Char"/>
          <w:sz w:val="22"/>
          <w:szCs w:val="18"/>
        </w:rPr>
        <w:t>.</w:t>
      </w:r>
      <w:r w:rsidRPr="002B5A99">
        <w:rPr>
          <w:b/>
          <w:color w:val="2A7DB2"/>
          <w:sz w:val="18"/>
          <w:szCs w:val="18"/>
        </w:rPr>
        <w:t xml:space="preserve"> </w:t>
      </w:r>
      <w:r>
        <w:rPr>
          <w:b/>
          <w:bCs/>
        </w:rPr>
        <w:t>Accreditation Authority</w:t>
      </w:r>
      <w:r>
        <w:t xml:space="preserve"> – a non-government organisation or an organisation supported by a government body, that grants or withholds accreditation in accordance with its standards.</w:t>
      </w:r>
    </w:p>
    <w:p w14:paraId="55ADBDEB" w14:textId="080AEFCB" w:rsidR="000E64ED" w:rsidRPr="009C5CED" w:rsidRDefault="00C32437" w:rsidP="009C5CED">
      <w:pPr>
        <w:pStyle w:val="Heading2"/>
        <w:rPr>
          <w:sz w:val="24"/>
          <w:szCs w:val="22"/>
        </w:rPr>
      </w:pPr>
      <w:bookmarkStart w:id="15" w:name="_Toc117596794"/>
      <w:r w:rsidRPr="009C5CED">
        <w:rPr>
          <w:sz w:val="24"/>
          <w:szCs w:val="22"/>
        </w:rPr>
        <w:t>Criterion 2 – Sound business practice</w:t>
      </w:r>
      <w:bookmarkEnd w:id="15"/>
      <w:r w:rsidRPr="009C5CED">
        <w:rPr>
          <w:sz w:val="24"/>
          <w:szCs w:val="22"/>
        </w:rPr>
        <w:t xml:space="preserve"> </w:t>
      </w:r>
    </w:p>
    <w:p w14:paraId="15E5223A" w14:textId="03EC4F1A" w:rsidR="00BC317B" w:rsidRPr="009C5CED" w:rsidRDefault="00C32437" w:rsidP="009C5CED">
      <w:pPr>
        <w:ind w:left="-5" w:right="30"/>
      </w:pPr>
      <w:r>
        <w:t xml:space="preserve">An organisation must demonstrate that it can reasonably expect to carry out the functions of an assessing authority including demonstrating financial viability, appropriate risk management and information management in alignment with sound business practice. </w:t>
      </w:r>
    </w:p>
    <w:p w14:paraId="07878F2B" w14:textId="0745A55A" w:rsidR="00C32437" w:rsidRPr="009C5CED" w:rsidRDefault="00C32437" w:rsidP="00BC317B">
      <w:pPr>
        <w:pStyle w:val="Heading4"/>
        <w:rPr>
          <w:b/>
          <w:bCs/>
          <w:color w:val="auto"/>
          <w:sz w:val="22"/>
          <w:szCs w:val="18"/>
        </w:rPr>
      </w:pPr>
      <w:r w:rsidRPr="009C5CED">
        <w:rPr>
          <w:b/>
          <w:bCs/>
          <w:color w:val="auto"/>
          <w:sz w:val="22"/>
          <w:szCs w:val="18"/>
        </w:rPr>
        <w:t>2.1. Financial viability</w:t>
      </w:r>
    </w:p>
    <w:p w14:paraId="768C177F" w14:textId="77777777" w:rsidR="00C32437" w:rsidRDefault="00C32437" w:rsidP="00C32437">
      <w:pPr>
        <w:ind w:left="-5" w:right="1406"/>
      </w:pPr>
      <w:r>
        <w:t xml:space="preserve">If the organisation is an Australian Government entity or a non-government agency that is registered with Australian Skills Quality Authority (ASQA) or Tertiary Education Quality and Standards Agency (TEQSA), it does not need to complete this criterion. Please go to </w:t>
      </w:r>
      <w:hyperlink r:id="rId24" w:anchor="_2.2._Risk_management" w:history="1">
        <w:r w:rsidRPr="00D24126">
          <w:rPr>
            <w:rStyle w:val="Hyperlink"/>
            <w:b/>
            <w:bCs/>
            <w:color w:val="auto"/>
          </w:rPr>
          <w:t>Section 2.2</w:t>
        </w:r>
      </w:hyperlink>
      <w:r>
        <w:t>.</w:t>
      </w:r>
    </w:p>
    <w:p w14:paraId="776E49C9" w14:textId="400FA1A8" w:rsidR="00C32437" w:rsidRDefault="00C32437" w:rsidP="00C32437">
      <w:pPr>
        <w:ind w:left="-5" w:right="880"/>
      </w:pPr>
      <w:r>
        <w:t>If the organisation is a non-government agency that has been operating for more than one year, the organisation will be requested to provide audited General-Purpose Financial Statements for the most recent three complete financial years.</w:t>
      </w:r>
    </w:p>
    <w:p w14:paraId="5D119E87" w14:textId="46280A0B" w:rsidR="00C32437" w:rsidRDefault="00C32437" w:rsidP="00C32437">
      <w:pPr>
        <w:spacing w:after="235"/>
        <w:ind w:left="-5" w:right="1343"/>
      </w:pPr>
      <w:r>
        <w:t>If the organisation has been operating for less than one financial year, it will be requested to provide a projected operating budget for the current and next financial year that has been certified by a member of the accounting profession.</w:t>
      </w:r>
    </w:p>
    <w:p w14:paraId="3B99EDC9" w14:textId="5A900B2D" w:rsidR="00BE36BC" w:rsidRPr="00370DA1" w:rsidRDefault="00BE36BC" w:rsidP="00BE36BC">
      <w:pPr>
        <w:pStyle w:val="Heading4"/>
        <w:rPr>
          <w:b/>
          <w:bCs/>
          <w:color w:val="auto"/>
          <w:sz w:val="24"/>
          <w:szCs w:val="20"/>
        </w:rPr>
      </w:pPr>
      <w:r w:rsidRPr="00370DA1">
        <w:rPr>
          <w:b/>
          <w:bCs/>
          <w:color w:val="auto"/>
          <w:sz w:val="22"/>
          <w:szCs w:val="18"/>
        </w:rPr>
        <w:t>2.2. Risk management</w:t>
      </w:r>
    </w:p>
    <w:p w14:paraId="1B43FF94" w14:textId="18009ED5" w:rsidR="00BE36BC" w:rsidRDefault="00BE36BC" w:rsidP="00BE36BC">
      <w:pPr>
        <w:ind w:left="-5" w:right="1222"/>
      </w:pPr>
      <w:r>
        <w:t xml:space="preserve">The organisation must have a risk management plan for identifying and managing identity and document fraud. Organisations should have regard to </w:t>
      </w:r>
      <w:hyperlink w:anchor="_5._Risk_management" w:history="1">
        <w:r w:rsidRPr="00800B9E">
          <w:rPr>
            <w:rStyle w:val="Hyperlink"/>
            <w:b/>
            <w:bCs/>
          </w:rPr>
          <w:t>Section 5 – Risk management</w:t>
        </w:r>
      </w:hyperlink>
      <w:r>
        <w:t xml:space="preserve"> of the Guidelines when addressing this criterion.</w:t>
      </w:r>
    </w:p>
    <w:p w14:paraId="1AB09627" w14:textId="719D88D1" w:rsidR="00BE36BC" w:rsidRDefault="00BE36BC" w:rsidP="00BE36BC">
      <w:pPr>
        <w:spacing w:after="139"/>
        <w:ind w:left="-5" w:right="30"/>
      </w:pPr>
      <w:r>
        <w:t>The organisation will be required to provide:</w:t>
      </w:r>
    </w:p>
    <w:p w14:paraId="037D114A" w14:textId="475D3ED9" w:rsidR="00BE36BC" w:rsidRDefault="00BE36BC" w:rsidP="00BE36BC">
      <w:pPr>
        <w:numPr>
          <w:ilvl w:val="0"/>
          <w:numId w:val="25"/>
        </w:numPr>
        <w:spacing w:after="62" w:line="259" w:lineRule="auto"/>
        <w:ind w:right="860" w:hanging="227"/>
      </w:pPr>
      <w:r>
        <w:t>a copy of its process for identifying and evaluating possible identity and/or document fraud in skills assessment applications</w:t>
      </w:r>
    </w:p>
    <w:p w14:paraId="700D036B" w14:textId="351FE2B9" w:rsidR="00BE36BC" w:rsidRDefault="00BC317B" w:rsidP="00BE36BC">
      <w:pPr>
        <w:numPr>
          <w:ilvl w:val="0"/>
          <w:numId w:val="25"/>
        </w:numPr>
        <w:spacing w:after="319" w:line="259" w:lineRule="auto"/>
        <w:ind w:right="860" w:hanging="227"/>
      </w:pPr>
      <w:r>
        <w:rPr>
          <w:noProof/>
        </w:rPr>
        <mc:AlternateContent>
          <mc:Choice Requires="wps">
            <w:drawing>
              <wp:anchor distT="0" distB="0" distL="114300" distR="114300" simplePos="0" relativeHeight="251660288" behindDoc="1" locked="0" layoutInCell="1" allowOverlap="1" wp14:anchorId="4D950185" wp14:editId="3488B553">
                <wp:simplePos x="0" y="0"/>
                <wp:positionH relativeFrom="margin">
                  <wp:align>center</wp:align>
                </wp:positionH>
                <wp:positionV relativeFrom="paragraph">
                  <wp:posOffset>535305</wp:posOffset>
                </wp:positionV>
                <wp:extent cx="3343275" cy="552450"/>
                <wp:effectExtent l="0" t="0" r="28575" b="19050"/>
                <wp:wrapTight wrapText="bothSides">
                  <wp:wrapPolygon edited="0">
                    <wp:start x="123" y="0"/>
                    <wp:lineTo x="0" y="745"/>
                    <wp:lineTo x="0" y="21600"/>
                    <wp:lineTo x="21662" y="21600"/>
                    <wp:lineTo x="21662" y="0"/>
                    <wp:lineTo x="123" y="0"/>
                  </wp:wrapPolygon>
                </wp:wrapTight>
                <wp:docPr id="24" name="Rectangle: Rounded Corners 24"/>
                <wp:cNvGraphicFramePr/>
                <a:graphic xmlns:a="http://schemas.openxmlformats.org/drawingml/2006/main">
                  <a:graphicData uri="http://schemas.microsoft.com/office/word/2010/wordprocessingShape">
                    <wps:wsp>
                      <wps:cNvSpPr/>
                      <wps:spPr>
                        <a:xfrm>
                          <a:off x="0" y="0"/>
                          <a:ext cx="3343275" cy="552450"/>
                        </a:xfrm>
                        <a:prstGeom prst="roundRect">
                          <a:avLst/>
                        </a:prstGeom>
                        <a:solidFill>
                          <a:schemeClr val="bg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7507DB" w14:textId="2638CE25" w:rsidR="00BE36BC" w:rsidRPr="00BE36BC" w:rsidRDefault="00BE36BC" w:rsidP="00BE36BC">
                            <w:pPr>
                              <w:rPr>
                                <w:b/>
                                <w:bCs/>
                              </w:rPr>
                            </w:pPr>
                            <w:r w:rsidRPr="00BE36BC">
                              <w:rPr>
                                <w:b/>
                                <w:bCs/>
                              </w:rPr>
                              <w:t>The organisation is required to provide a copy of its risk management plan</w:t>
                            </w:r>
                            <w:r w:rsidR="00FC1F8C">
                              <w:rPr>
                                <w:b/>
                                <w:bCs/>
                              </w:rPr>
                              <w:t>.</w:t>
                            </w:r>
                          </w:p>
                          <w:p w14:paraId="3262AF0B" w14:textId="77777777" w:rsidR="00BE36BC" w:rsidRDefault="00BE36BC" w:rsidP="00BE36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950185" id="Rectangle: Rounded Corners 24" o:spid="_x0000_s1026" style="position:absolute;left:0;text-align:left;margin-left:0;margin-top:42.15pt;width:263.25pt;height:43.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DWhQIAAHoFAAAOAAAAZHJzL2Uyb0RvYy54bWysVFFPGzEMfp+0/xDlfVxb2sEqrqgCMU1i&#10;gICJ5zSX9CIlcZakvet+/Zzc9doxtEnT+pDasf05/s72xWVrNNkKHxTYko5PRpQIy6FSdl3Sb883&#10;H84pCZHZimmwoqQ7Eejl4v27i8bNxQRq0JXwBEFsmDeupHWMbl4UgdfCsHACTlg0SvCGRVT9uqg8&#10;axDd6GIyGn0sGvCV88BFCHh73RnpIuNLKXi8lzKISHRJ8W0xnz6fq3QWiws2X3vmasX7Z7B/eIVh&#10;ymLSAeqaRUY2Xv0GZRT3EEDGEw6mACkVF7kGrGY8elXNU82cyLUgOcENNIX/B8vvtk/uwSMNjQvz&#10;gGKqopXepH98H2kzWbuBLNFGwvHy9HR6OjmbUcLRNptNprPMZnGIdj7EzwIMSUJJPWxs9YhfJBPF&#10;trchYlr03/uljAG0qm6U1llJXSCutCdbht9vtZ7kUL0xX6Hq7mYj/KWviDi5aZJ7px2QikNtWYo7&#10;LRK+to9CElVhNR3ygNCBM86FjeOcNNSsEn/LmQETssQKBuwe4Ndi9tjd03v/FCpy1w7Boy77n4KH&#10;iJwZbByCjbLg3wLQWFWfufNHyo6oSWJsVy26JHEF1e7BEw/d+ATHbxR+0lsW4gPzOC84WbgD4j0e&#10;UkNTUuglSmrwP966T/7YxmilpMH5K2n4vmFeUKK/WGzwT+PpNA1sVqazswkq/tiyOrbYjbkCbJEx&#10;bhvHs5j8o96L0oN5wVWxTFnRxCzH3CXl0e+Vq9jtBVw2XCyX2Q2H1LF4a58cT+CJ4NStz+0L867v&#10;64gTcQf7WWXzV53d+aZIC8tNBKly2x947anHAc992y+jtEGO9ex1WJmLnwAAAP//AwBQSwMEFAAG&#10;AAgAAAAhAI1Tl6HfAAAABwEAAA8AAABkcnMvZG93bnJldi54bWxMj0FPwkAUhO8m/IfNI/FiZAtI&#10;KbVbYlAPxHAASbgu3Wfb2H3bdLdQ/fU+T3qczGTmm2w92EZcsPO1IwXTSQQCqXCmplLB8f31PgHh&#10;gyajG0eo4As9rPPRTaZT4660x8shlIJLyKdaQRVCm0rpiwqt9hPXIrH34TqrA8uulKbTVy63jZxF&#10;USytrokXKt3ipsLi89BbBXL1nTyXfbzZnbYv22L3hi3t75S6HQ9PjyACDuEvDL/4jA45M51dT8aL&#10;RgEfCQqShzkIdhezeAHizLHldA4yz+R//vwHAAD//wMAUEsBAi0AFAAGAAgAAAAhALaDOJL+AAAA&#10;4QEAABMAAAAAAAAAAAAAAAAAAAAAAFtDb250ZW50X1R5cGVzXS54bWxQSwECLQAUAAYACAAAACEA&#10;OP0h/9YAAACUAQAACwAAAAAAAAAAAAAAAAAvAQAAX3JlbHMvLnJlbHNQSwECLQAUAAYACAAAACEA&#10;9CQg1oUCAAB6BQAADgAAAAAAAAAAAAAAAAAuAgAAZHJzL2Uyb0RvYy54bWxQSwECLQAUAAYACAAA&#10;ACEAjVOXod8AAAAHAQAADwAAAAAAAAAAAAAAAADfBAAAZHJzL2Rvd25yZXYueG1sUEsFBgAAAAAE&#10;AAQA8wAAAOsFAAAAAA==&#10;" fillcolor="#747070 [1614]" strokecolor="#00161f [1604]" strokeweight="1pt">
                <v:stroke joinstyle="miter"/>
                <v:textbox>
                  <w:txbxContent>
                    <w:p w14:paraId="127507DB" w14:textId="2638CE25" w:rsidR="00BE36BC" w:rsidRPr="00BE36BC" w:rsidRDefault="00BE36BC" w:rsidP="00BE36BC">
                      <w:pPr>
                        <w:rPr>
                          <w:b/>
                          <w:bCs/>
                        </w:rPr>
                      </w:pPr>
                      <w:r w:rsidRPr="00BE36BC">
                        <w:rPr>
                          <w:b/>
                          <w:bCs/>
                        </w:rPr>
                        <w:t>The organisation is required to provide a copy of its risk management plan</w:t>
                      </w:r>
                      <w:r w:rsidR="00FC1F8C">
                        <w:rPr>
                          <w:b/>
                          <w:bCs/>
                        </w:rPr>
                        <w:t>.</w:t>
                      </w:r>
                    </w:p>
                    <w:p w14:paraId="3262AF0B" w14:textId="77777777" w:rsidR="00BE36BC" w:rsidRDefault="00BE36BC" w:rsidP="00BE36BC">
                      <w:pPr>
                        <w:jc w:val="center"/>
                      </w:pPr>
                    </w:p>
                  </w:txbxContent>
                </v:textbox>
                <w10:wrap type="tight" anchorx="margin"/>
              </v:roundrect>
            </w:pict>
          </mc:Fallback>
        </mc:AlternateContent>
      </w:r>
      <w:r w:rsidR="00143746">
        <w:t>confirmation</w:t>
      </w:r>
      <w:r w:rsidR="00BE36BC">
        <w:t xml:space="preserve"> of training offered on risk and fraud for officers processing skills assessment applications. </w:t>
      </w:r>
    </w:p>
    <w:p w14:paraId="0CA3444D" w14:textId="27E9B523" w:rsidR="00E113A7" w:rsidRDefault="00E113A7" w:rsidP="00BE36BC">
      <w:pPr>
        <w:pStyle w:val="Heading4"/>
      </w:pPr>
    </w:p>
    <w:p w14:paraId="2DCBE7E2" w14:textId="77777777" w:rsidR="0068117C" w:rsidRDefault="0068117C" w:rsidP="00BE36BC">
      <w:pPr>
        <w:pStyle w:val="Heading4"/>
        <w:rPr>
          <w:b/>
          <w:bCs/>
          <w:color w:val="auto"/>
          <w:sz w:val="22"/>
          <w:szCs w:val="18"/>
        </w:rPr>
      </w:pPr>
    </w:p>
    <w:p w14:paraId="71C7CF52" w14:textId="585E1EAE" w:rsidR="00BE36BC" w:rsidRPr="00370DA1" w:rsidRDefault="00BE36BC" w:rsidP="00BE36BC">
      <w:pPr>
        <w:pStyle w:val="Heading4"/>
        <w:rPr>
          <w:b/>
          <w:bCs/>
          <w:color w:val="auto"/>
          <w:sz w:val="22"/>
          <w:szCs w:val="18"/>
        </w:rPr>
      </w:pPr>
      <w:r w:rsidRPr="00370DA1">
        <w:rPr>
          <w:b/>
          <w:bCs/>
          <w:color w:val="auto"/>
          <w:sz w:val="22"/>
          <w:szCs w:val="18"/>
        </w:rPr>
        <w:t xml:space="preserve">2.3. Records management </w:t>
      </w:r>
    </w:p>
    <w:p w14:paraId="19697726" w14:textId="1D2C994F" w:rsidR="00BE36BC" w:rsidRDefault="0068117C" w:rsidP="00BE36BC">
      <w:pPr>
        <w:spacing w:after="339"/>
        <w:ind w:left="-5" w:right="1114"/>
      </w:pPr>
      <w:r>
        <w:rPr>
          <w:noProof/>
        </w:rPr>
        <mc:AlternateContent>
          <mc:Choice Requires="wps">
            <w:drawing>
              <wp:anchor distT="0" distB="0" distL="114300" distR="114300" simplePos="0" relativeHeight="251661312" behindDoc="0" locked="0" layoutInCell="1" allowOverlap="1" wp14:anchorId="0425F605" wp14:editId="1F8CD562">
                <wp:simplePos x="0" y="0"/>
                <wp:positionH relativeFrom="margin">
                  <wp:posOffset>1233170</wp:posOffset>
                </wp:positionH>
                <wp:positionV relativeFrom="paragraph">
                  <wp:posOffset>708660</wp:posOffset>
                </wp:positionV>
                <wp:extent cx="3286125" cy="590550"/>
                <wp:effectExtent l="0" t="0" r="28575" b="19050"/>
                <wp:wrapNone/>
                <wp:docPr id="25" name="Rectangle: Rounded Corners 25"/>
                <wp:cNvGraphicFramePr/>
                <a:graphic xmlns:a="http://schemas.openxmlformats.org/drawingml/2006/main">
                  <a:graphicData uri="http://schemas.microsoft.com/office/word/2010/wordprocessingShape">
                    <wps:wsp>
                      <wps:cNvSpPr/>
                      <wps:spPr>
                        <a:xfrm>
                          <a:off x="0" y="0"/>
                          <a:ext cx="3286125" cy="590550"/>
                        </a:xfrm>
                        <a:prstGeom prst="roundRect">
                          <a:avLst/>
                        </a:prstGeom>
                        <a:solidFill>
                          <a:schemeClr val="bg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5FB4F1" w14:textId="2C7BD8CC" w:rsidR="00E113A7" w:rsidRPr="00E113A7" w:rsidRDefault="00E113A7" w:rsidP="00E113A7">
                            <w:pPr>
                              <w:rPr>
                                <w:b/>
                                <w:bCs/>
                              </w:rPr>
                            </w:pPr>
                            <w:r>
                              <w:rPr>
                                <w:b/>
                                <w:bCs/>
                              </w:rPr>
                              <w:t>The organisation is required to provide a copy of its records management policy and process</w:t>
                            </w:r>
                            <w:r w:rsidR="00FC1F8C">
                              <w:rPr>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25F605" id="Rectangle: Rounded Corners 25" o:spid="_x0000_s1027" style="position:absolute;left:0;text-align:left;margin-left:97.1pt;margin-top:55.8pt;width:258.75pt;height: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nSiQIAAIEFAAAOAAAAZHJzL2Uyb0RvYy54bWysVMFu2zAMvQ/YPwi6r3aypGuDOkWQosOA&#10;rg3aDj0rshQLkEVNUmJnXz9KdpysKzZgWA4OKZKP4hPJq+u21mQnnFdgCjo6yykRhkOpzKag355v&#10;P1xQ4gMzJdNgREH3wtPr+ft3V42diTFUoEvhCIIYP2tsQasQ7CzLPK9EzfwZWGHQKMHVLKDqNlnp&#10;WIPotc7GeX6eNeBK64AL7/H0pjPSecKXUvDwIKUXgeiC4t1C+rr0XcdvNr9is41jtlK8vwb7h1vU&#10;TBlMOkDdsMDI1qnfoGrFHXiQ4YxDnYGUiotUA1Yzyl9V81QxK1ItSI63A03+/8Hy+92TXTmkobF+&#10;5lGMVbTS1fEf70faRNZ+IEu0gXA8/Di+OB+Np5RwtE0v8+k0sZkdo63z4bOAmkShoA62pnzEF0lE&#10;sd2dD5gW/Q9+MaMHrcpbpXVSYheIpXZkx/D91ptxCtXb+iuU3dk0x198RcRJTRPdO+2IlB1rS1LY&#10;axHxtXkUkqgSq+mQB4QOnHEuTBilpL5ipfhbzgQYkSVWMGD3AL8Wc8Durt77x1CRunYIzrvsfwoe&#10;IlJmMGEIrpUB9xaAxqr6zJ0/UnZCTRRDu26RGxzq6BlP1lDuV4446KbIW36r8GXvmA8r5nBscMBw&#10;FYQH/EgNTUGhlyipwP146zz6YzejlZIGx7Cg/vuWOUGJ/mKwzy9Hk0mc26RMpp/GqLhTy/rUYrb1&#10;ErBTRrh0LE9i9A/6IEoH9QtujEXMiiZmOOYuKA/uoCxDtx5w53CxWCQ3nFXLwp15sjyCR55j0z63&#10;L8zZvr0DDsY9HEaWzV41eOcbIw0stgGkSt1/5LV/AZzz1L79ToqL5FRPXsfNOf8JAAD//wMAUEsD&#10;BBQABgAIAAAAIQC3qf9x4gAAAAsBAAAPAAAAZHJzL2Rvd25yZXYueG1sTI/BTsMwDIbvSLxDZCQu&#10;iKWppm4rTSc04DChHTaQuGaNaSsap2rSrfD0mNO4+Zc//f5crCfXiRMOofWkQc0SEEiVty3VGt7f&#10;Xu6XIEI0ZE3nCTV8Y4B1eX1VmNz6M+3xdIi14BIKudHQxNjnUoaqQWfCzPdIvPv0gzOR41BLO5gz&#10;l7tOpkmSSWda4guN6XHTYPV1GJ0GufpZPtVjttl9bJ+31e4Ve9rfaX17Mz0+gIg4xQsMf/qsDiU7&#10;Hf1INoiO82qeMsqDUhkIJhZKLUAcNaTJPANZFvL/D+UvAAAA//8DAFBLAQItABQABgAIAAAAIQC2&#10;gziS/gAAAOEBAAATAAAAAAAAAAAAAAAAAAAAAABbQ29udGVudF9UeXBlc10ueG1sUEsBAi0AFAAG&#10;AAgAAAAhADj9If/WAAAAlAEAAAsAAAAAAAAAAAAAAAAALwEAAF9yZWxzLy5yZWxzUEsBAi0AFAAG&#10;AAgAAAAhAFLladKJAgAAgQUAAA4AAAAAAAAAAAAAAAAALgIAAGRycy9lMm9Eb2MueG1sUEsBAi0A&#10;FAAGAAgAAAAhALep/3HiAAAACwEAAA8AAAAAAAAAAAAAAAAA4wQAAGRycy9kb3ducmV2LnhtbFBL&#10;BQYAAAAABAAEAPMAAADyBQAAAAA=&#10;" fillcolor="#747070 [1614]" strokecolor="#00161f [1604]" strokeweight="1pt">
                <v:stroke joinstyle="miter"/>
                <v:textbox>
                  <w:txbxContent>
                    <w:p w14:paraId="135FB4F1" w14:textId="2C7BD8CC" w:rsidR="00E113A7" w:rsidRPr="00E113A7" w:rsidRDefault="00E113A7" w:rsidP="00E113A7">
                      <w:pPr>
                        <w:rPr>
                          <w:b/>
                          <w:bCs/>
                        </w:rPr>
                      </w:pPr>
                      <w:r>
                        <w:rPr>
                          <w:b/>
                          <w:bCs/>
                        </w:rPr>
                        <w:t>The organisation is required to provide a copy of its records management policy and process</w:t>
                      </w:r>
                      <w:r w:rsidR="00FC1F8C">
                        <w:rPr>
                          <w:b/>
                          <w:bCs/>
                        </w:rPr>
                        <w:t>.</w:t>
                      </w:r>
                    </w:p>
                  </w:txbxContent>
                </v:textbox>
                <w10:wrap anchorx="margin"/>
              </v:roundrect>
            </w:pict>
          </mc:Fallback>
        </mc:AlternateContent>
      </w:r>
      <w:r w:rsidR="00BE36BC">
        <w:t xml:space="preserve">The organisation should have records management policies and processes that ensure accurate data collection of skills assessment applications, assessment results and the basis on which the assessment result was decided. </w:t>
      </w:r>
    </w:p>
    <w:p w14:paraId="638E779F" w14:textId="0F3FC9C7" w:rsidR="00BE36BC" w:rsidRDefault="00BE36BC" w:rsidP="001468CE">
      <w:pPr>
        <w:ind w:right="30"/>
      </w:pPr>
    </w:p>
    <w:p w14:paraId="103EEF8B" w14:textId="6E0CB4DE" w:rsidR="00BE36BC" w:rsidRDefault="00BE36BC" w:rsidP="00C32437">
      <w:pPr>
        <w:ind w:left="-5" w:right="30"/>
      </w:pPr>
    </w:p>
    <w:p w14:paraId="54C912DC" w14:textId="2411541E" w:rsidR="00E113A7" w:rsidRPr="00370DA1" w:rsidRDefault="00E113A7" w:rsidP="00E113A7">
      <w:pPr>
        <w:pStyle w:val="Heading4"/>
        <w:rPr>
          <w:b/>
          <w:bCs/>
          <w:color w:val="auto"/>
          <w:sz w:val="22"/>
          <w:szCs w:val="18"/>
        </w:rPr>
      </w:pPr>
      <w:r w:rsidRPr="00370DA1">
        <w:rPr>
          <w:b/>
          <w:bCs/>
          <w:color w:val="auto"/>
          <w:sz w:val="22"/>
          <w:szCs w:val="18"/>
        </w:rPr>
        <w:t>2.4. Privacy</w:t>
      </w:r>
    </w:p>
    <w:p w14:paraId="40E5759D" w14:textId="0BD41722" w:rsidR="00E113A7" w:rsidRDefault="00E113A7" w:rsidP="0068117C">
      <w:pPr>
        <w:spacing w:after="120"/>
        <w:ind w:left="-5" w:right="852"/>
      </w:pPr>
      <w:r>
        <w:t xml:space="preserve">The organisation must have a privacy policy regarding skilled migration applications that meets the requirements of the </w:t>
      </w:r>
      <w:hyperlink r:id="rId25" w:history="1">
        <w:r w:rsidRPr="000B0769">
          <w:rPr>
            <w:rStyle w:val="Hyperlink"/>
            <w:i/>
          </w:rPr>
          <w:t>Privacy Act 1988</w:t>
        </w:r>
      </w:hyperlink>
      <w:hyperlink r:id="rId26">
        <w:r w:rsidRPr="00143746">
          <w:t xml:space="preserve"> </w:t>
        </w:r>
      </w:hyperlink>
      <w:r>
        <w:t xml:space="preserve">and </w:t>
      </w:r>
      <w:hyperlink r:id="rId27">
        <w:r w:rsidRPr="00800B9E">
          <w:rPr>
            <w:u w:val="single" w:color="2A7DB2"/>
          </w:rPr>
          <w:t>Australian Privacy Principles</w:t>
        </w:r>
      </w:hyperlink>
      <w:hyperlink r:id="rId28">
        <w:r w:rsidRPr="00800B9E">
          <w:t xml:space="preserve"> </w:t>
        </w:r>
      </w:hyperlink>
      <w:r>
        <w:t>(APP). In its privacy policy, the organisation should:</w:t>
      </w:r>
    </w:p>
    <w:p w14:paraId="565F0049" w14:textId="1E2D1322" w:rsidR="00E113A7" w:rsidRDefault="00E113A7" w:rsidP="0068117C">
      <w:pPr>
        <w:spacing w:before="120" w:after="120"/>
        <w:ind w:left="495" w:right="30" w:hanging="510"/>
      </w:pPr>
      <w:r w:rsidRPr="00370DA1">
        <w:rPr>
          <w:rStyle w:val="Heading4Char"/>
          <w:b/>
          <w:bCs/>
          <w:sz w:val="22"/>
          <w:szCs w:val="18"/>
        </w:rPr>
        <w:t>2.4.1.</w:t>
      </w:r>
      <w:r w:rsidRPr="002B5A99">
        <w:rPr>
          <w:b/>
          <w:color w:val="2A7DB2"/>
          <w:sz w:val="18"/>
          <w:szCs w:val="18"/>
        </w:rPr>
        <w:t xml:space="preserve"> </w:t>
      </w:r>
      <w:r>
        <w:t>include reference to the steps taken to protect personal information from misuse, interference and loss, unauthorised access, modification or disclosure in accordance with APP 11</w:t>
      </w:r>
    </w:p>
    <w:p w14:paraId="159AD12E" w14:textId="2AE28F03" w:rsidR="00E113A7" w:rsidRDefault="00E113A7" w:rsidP="0068117C">
      <w:pPr>
        <w:spacing w:before="120" w:after="120"/>
        <w:ind w:left="495" w:right="30" w:hanging="510"/>
      </w:pPr>
      <w:r w:rsidRPr="00370DA1">
        <w:rPr>
          <w:rStyle w:val="Heading4Char"/>
          <w:b/>
          <w:bCs/>
          <w:sz w:val="22"/>
          <w:szCs w:val="18"/>
        </w:rPr>
        <w:t>2.4.2.</w:t>
      </w:r>
      <w:r w:rsidRPr="002B5A99">
        <w:rPr>
          <w:b/>
          <w:color w:val="2A7DB2"/>
          <w:sz w:val="18"/>
          <w:szCs w:val="18"/>
        </w:rPr>
        <w:t xml:space="preserve"> </w:t>
      </w:r>
      <w:r>
        <w:t>confirm that prospective migrants will be granted access to their own information as required by APP 12, and</w:t>
      </w:r>
    </w:p>
    <w:p w14:paraId="6F579153" w14:textId="3D78D5E9" w:rsidR="00E113A7" w:rsidRDefault="00E113A7" w:rsidP="0068117C">
      <w:pPr>
        <w:spacing w:before="120" w:after="120"/>
        <w:ind w:left="495" w:right="30" w:hanging="510"/>
      </w:pPr>
      <w:r w:rsidRPr="00370DA1">
        <w:rPr>
          <w:rStyle w:val="Heading4Char"/>
          <w:b/>
          <w:bCs/>
          <w:sz w:val="22"/>
          <w:szCs w:val="18"/>
        </w:rPr>
        <w:t>2.4.3.</w:t>
      </w:r>
      <w:r w:rsidRPr="002B5A99">
        <w:rPr>
          <w:b/>
          <w:color w:val="2A7DB2"/>
          <w:sz w:val="18"/>
          <w:szCs w:val="18"/>
        </w:rPr>
        <w:t xml:space="preserve"> </w:t>
      </w:r>
      <w:r>
        <w:t xml:space="preserve">advise that in the event of unauthorised access, or disclosure, of information that would be likely to result in serious harm to any of the individuals to whom the information relates, the affected individual will be notified, as is required by Section 26WL of the </w:t>
      </w:r>
      <w:r>
        <w:rPr>
          <w:i/>
        </w:rPr>
        <w:t>Privacy Act 1988</w:t>
      </w:r>
      <w:r>
        <w:t>.</w:t>
      </w:r>
    </w:p>
    <w:p w14:paraId="69C56FCD" w14:textId="5FB319A5" w:rsidR="00800B9E" w:rsidRDefault="00800B9E">
      <w:pPr>
        <w:spacing w:after="160" w:line="259" w:lineRule="auto"/>
      </w:pPr>
      <w:r w:rsidRPr="002B5A99">
        <w:rPr>
          <w:noProof/>
          <w:sz w:val="18"/>
          <w:szCs w:val="18"/>
        </w:rPr>
        <mc:AlternateContent>
          <mc:Choice Requires="wps">
            <w:drawing>
              <wp:anchor distT="0" distB="0" distL="114300" distR="114300" simplePos="0" relativeHeight="251662336" behindDoc="0" locked="0" layoutInCell="1" allowOverlap="1" wp14:anchorId="72E5EEF7" wp14:editId="013E3A4B">
                <wp:simplePos x="0" y="0"/>
                <wp:positionH relativeFrom="margin">
                  <wp:posOffset>1079500</wp:posOffset>
                </wp:positionH>
                <wp:positionV relativeFrom="paragraph">
                  <wp:posOffset>96520</wp:posOffset>
                </wp:positionV>
                <wp:extent cx="3276600" cy="543600"/>
                <wp:effectExtent l="0" t="0" r="19050" b="27940"/>
                <wp:wrapNone/>
                <wp:docPr id="26" name="Rectangle: Rounded Corners 26"/>
                <wp:cNvGraphicFramePr/>
                <a:graphic xmlns:a="http://schemas.openxmlformats.org/drawingml/2006/main">
                  <a:graphicData uri="http://schemas.microsoft.com/office/word/2010/wordprocessingShape">
                    <wps:wsp>
                      <wps:cNvSpPr/>
                      <wps:spPr>
                        <a:xfrm>
                          <a:off x="0" y="0"/>
                          <a:ext cx="3276600" cy="543600"/>
                        </a:xfrm>
                        <a:prstGeom prst="roundRect">
                          <a:avLst/>
                        </a:prstGeom>
                        <a:solidFill>
                          <a:schemeClr val="bg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A0EA04" w14:textId="05D73794" w:rsidR="00E113A7" w:rsidRPr="00E113A7" w:rsidRDefault="00E113A7" w:rsidP="00E113A7">
                            <w:pPr>
                              <w:rPr>
                                <w:b/>
                                <w:bCs/>
                              </w:rPr>
                            </w:pPr>
                            <w:r w:rsidRPr="00E113A7">
                              <w:rPr>
                                <w:b/>
                                <w:bCs/>
                              </w:rPr>
                              <w:t>The</w:t>
                            </w:r>
                            <w:r>
                              <w:rPr>
                                <w:b/>
                                <w:bCs/>
                              </w:rPr>
                              <w:t xml:space="preserve"> organisation is required to provide a copy of its privacy policy</w:t>
                            </w:r>
                            <w:r w:rsidR="00FC1F8C">
                              <w:rPr>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5EEF7" id="Rectangle: Rounded Corners 26" o:spid="_x0000_s1028" style="position:absolute;margin-left:85pt;margin-top:7.6pt;width:258pt;height:42.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YjhQIAAIEFAAAOAAAAZHJzL2Uyb0RvYy54bWysVFFv2yAQfp+0/4B4X+2kabtFdaooVaZJ&#10;XRu1nfpMMMRImGNAYme/fgd2nKyrNmmaH/DB3X3Hfdzd9U1ba7ITziswBR2d5ZQIw6FUZlPQb8/L&#10;Dx8p8YGZkmkwoqB74enN7P2768ZOxRgq0KVwBEGMnza2oFUIdpplnleiZv4MrDColOBqFnDrNlnp&#10;WIPotc7GeX6ZNeBK64AL7/H0tlPSWcKXUvDwIKUXgeiC4t1CWl1a13HNZtdsunHMVor312D/cIua&#10;KYNBB6hbFhjZOvUbVK24Aw8ynHGoM5BScZFywGxG+atsnipmRcoFyfF2oMn/P1h+v3uyK4c0NNZP&#10;PYoxi1a6Ov7xfqRNZO0HskQbCMfD8/HV5WWOnHLUXUzOo4ww2dHbOh8+C6hJFArqYGvKR3yRRBTb&#10;3fnQ2R/sYkQPWpVLpXXaxCoQC+3IjuH7rTfj5Kq39Vcou7OLHL8+biqaaJ5ucYKUHXNLUthrEfG1&#10;eRSSqBKz6ZAHhA6ccS5MGKWgvmKl+FvMBBiRJWYwYPcAvyZzwO4o6O2jq0hVOzjnXfQ/OQ8eKTKY&#10;MDjXyoB7C0BjVn3kzh4pO6EmiqFdt8hNpAYt48kayv3KEQddF3nLlwpf9o75sGIO2waLAUdBeMBF&#10;amgKCr1ESQXux1vn0R6rGbWUNNiGBfXft8wJSvQXg3X+aTSZxL5Nm8nF1Rg37lSzPtWYbb0ArJQR&#10;Dh3Lkxjtgz6I0kH9ghNjHqOiihmOsQvKgztsFqEbDzhzuJjPkxn2qmXhzjxZHsEjz7Fon9sX5mxf&#10;3gEb4x4OLcumrwq8s42eBubbAFKl6j/y2r8A9nkq334mxUFyuk9Wx8k5+wkAAP//AwBQSwMEFAAG&#10;AAgAAAAhAK5z58HeAAAACgEAAA8AAABkcnMvZG93bnJldi54bWxMT01PwkAQvZv4HzZj4sXIriTW&#10;WrslBvVADAeQhOvSHdqG7mzT3ULl1zuc8DbvI2/ey2eja8UR+9B40vA0USCQSm8bqjRsfr4eUxAh&#10;GrKm9YQafjHArLi9yU1m/YlWeFzHSnAIhcxoqGPsMilDWaMzYeI7JNb2vncmMuwraXtz4nDXyqlS&#10;iXSmIf5Qmw7nNZaH9eA0yNdz+lENyXy5XXwuyuU3drR60Pr+bnx/AxFxjFczXOpzdSi4084PZINo&#10;Gb8o3hL5eJ6CYEOSJkzsmFAqBVnk8v+E4g8AAP//AwBQSwECLQAUAAYACAAAACEAtoM4kv4AAADh&#10;AQAAEwAAAAAAAAAAAAAAAAAAAAAAW0NvbnRlbnRfVHlwZXNdLnhtbFBLAQItABQABgAIAAAAIQA4&#10;/SH/1gAAAJQBAAALAAAAAAAAAAAAAAAAAC8BAABfcmVscy8ucmVsc1BLAQItABQABgAIAAAAIQDH&#10;vjYjhQIAAIEFAAAOAAAAAAAAAAAAAAAAAC4CAABkcnMvZTJvRG9jLnhtbFBLAQItABQABgAIAAAA&#10;IQCuc+fB3gAAAAoBAAAPAAAAAAAAAAAAAAAAAN8EAABkcnMvZG93bnJldi54bWxQSwUGAAAAAAQA&#10;BADzAAAA6gUAAAAA&#10;" fillcolor="#747070 [1614]" strokecolor="#00161f [1604]" strokeweight="1pt">
                <v:stroke joinstyle="miter"/>
                <v:textbox>
                  <w:txbxContent>
                    <w:p w14:paraId="5BA0EA04" w14:textId="05D73794" w:rsidR="00E113A7" w:rsidRPr="00E113A7" w:rsidRDefault="00E113A7" w:rsidP="00E113A7">
                      <w:pPr>
                        <w:rPr>
                          <w:b/>
                          <w:bCs/>
                        </w:rPr>
                      </w:pPr>
                      <w:r w:rsidRPr="00E113A7">
                        <w:rPr>
                          <w:b/>
                          <w:bCs/>
                        </w:rPr>
                        <w:t>The</w:t>
                      </w:r>
                      <w:r>
                        <w:rPr>
                          <w:b/>
                          <w:bCs/>
                        </w:rPr>
                        <w:t xml:space="preserve"> organisation is required to provide a copy of its privacy policy</w:t>
                      </w:r>
                      <w:r w:rsidR="00FC1F8C">
                        <w:rPr>
                          <w:b/>
                          <w:bCs/>
                        </w:rPr>
                        <w:t>.</w:t>
                      </w:r>
                    </w:p>
                  </w:txbxContent>
                </v:textbox>
                <w10:wrap anchorx="margin"/>
              </v:roundrect>
            </w:pict>
          </mc:Fallback>
        </mc:AlternateContent>
      </w:r>
      <w:r>
        <w:br w:type="page"/>
      </w:r>
    </w:p>
    <w:p w14:paraId="63FF02CF" w14:textId="2D429113" w:rsidR="00E113A7" w:rsidRPr="008A3D25" w:rsidRDefault="00E113A7" w:rsidP="008A3D25">
      <w:pPr>
        <w:pStyle w:val="Heading2"/>
        <w:rPr>
          <w:sz w:val="24"/>
          <w:szCs w:val="22"/>
        </w:rPr>
      </w:pPr>
      <w:bookmarkStart w:id="16" w:name="_Toc117596795"/>
      <w:r w:rsidRPr="008A3D25">
        <w:rPr>
          <w:sz w:val="24"/>
          <w:szCs w:val="22"/>
        </w:rPr>
        <w:t>Criterion 3 – Skills assessment process</w:t>
      </w:r>
      <w:bookmarkEnd w:id="16"/>
    </w:p>
    <w:p w14:paraId="39C28927" w14:textId="6E30AEBB" w:rsidR="00E113A7" w:rsidRDefault="00E113A7" w:rsidP="00E113A7">
      <w:pPr>
        <w:spacing w:after="235"/>
        <w:ind w:left="-5" w:right="30"/>
      </w:pPr>
      <w:r>
        <w:t xml:space="preserve">An organisation must demonstrate that its skills assessment process is clear, transparent and user-friendly, with an appropriate </w:t>
      </w:r>
      <w:hyperlink w:anchor="_3.5._Review_and" w:history="1">
        <w:r w:rsidR="000B0769" w:rsidRPr="000B0769">
          <w:rPr>
            <w:rStyle w:val="Hyperlink"/>
          </w:rPr>
          <w:t>review and appeals process</w:t>
        </w:r>
      </w:hyperlink>
      <w:r w:rsidRPr="00370DA1">
        <w:rPr>
          <w:color w:val="669900"/>
        </w:rPr>
        <w:t>.</w:t>
      </w:r>
    </w:p>
    <w:p w14:paraId="21C61E38" w14:textId="0AE292AD" w:rsidR="002B5A99" w:rsidRPr="008A3D25" w:rsidRDefault="002B5A99" w:rsidP="002B5A99">
      <w:pPr>
        <w:pStyle w:val="Heading4"/>
        <w:rPr>
          <w:b/>
          <w:bCs/>
          <w:color w:val="auto"/>
          <w:sz w:val="22"/>
          <w:szCs w:val="18"/>
        </w:rPr>
      </w:pPr>
      <w:r w:rsidRPr="008A3D25">
        <w:rPr>
          <w:b/>
          <w:bCs/>
          <w:color w:val="auto"/>
          <w:sz w:val="22"/>
          <w:szCs w:val="18"/>
        </w:rPr>
        <w:t>3.1. Provision of information</w:t>
      </w:r>
    </w:p>
    <w:p w14:paraId="00CADA4F" w14:textId="17534EDB" w:rsidR="002B5A99" w:rsidRDefault="002B5A99" w:rsidP="002B5A99">
      <w:pPr>
        <w:ind w:left="-5" w:right="30"/>
      </w:pPr>
      <w:r>
        <w:t>The organisation will be required to provide draft copies of the information it intends to provide for applicants.</w:t>
      </w:r>
    </w:p>
    <w:p w14:paraId="42A178DE" w14:textId="49377B02" w:rsidR="002B5A99" w:rsidRDefault="002B5A99" w:rsidP="002B5A99">
      <w:pPr>
        <w:ind w:left="-5" w:right="30"/>
      </w:pPr>
      <w:r>
        <w:t xml:space="preserve">An organisation should ensure information to skills assessment applicants is in plain English that: </w:t>
      </w:r>
    </w:p>
    <w:p w14:paraId="180ACF02" w14:textId="77777777" w:rsidR="002B5A99" w:rsidRDefault="002B5A99" w:rsidP="002B5A99">
      <w:pPr>
        <w:ind w:left="-5" w:right="30"/>
      </w:pPr>
      <w:r w:rsidRPr="008A3D25">
        <w:rPr>
          <w:rStyle w:val="Heading4Char"/>
          <w:b/>
          <w:bCs/>
          <w:sz w:val="22"/>
          <w:szCs w:val="18"/>
        </w:rPr>
        <w:t>3.1.1.</w:t>
      </w:r>
      <w:r w:rsidRPr="002B5A99">
        <w:rPr>
          <w:b/>
          <w:color w:val="2A7DB2"/>
          <w:sz w:val="18"/>
          <w:szCs w:val="18"/>
        </w:rPr>
        <w:t xml:space="preserve"> </w:t>
      </w:r>
      <w:r>
        <w:t xml:space="preserve">explains the skills assessment process, including: </w:t>
      </w:r>
    </w:p>
    <w:p w14:paraId="71B43DFD" w14:textId="22CC592E" w:rsidR="002B5A99" w:rsidRDefault="002B5A99" w:rsidP="00370DA1">
      <w:pPr>
        <w:pStyle w:val="ListParagraph"/>
        <w:numPr>
          <w:ilvl w:val="0"/>
          <w:numId w:val="38"/>
        </w:numPr>
        <w:spacing w:after="67" w:line="340" w:lineRule="auto"/>
        <w:ind w:right="834"/>
        <w:jc w:val="both"/>
      </w:pPr>
      <w:r>
        <w:t>assessment standards</w:t>
      </w:r>
    </w:p>
    <w:p w14:paraId="2ABB10F1" w14:textId="574F84A4" w:rsidR="002B5A99" w:rsidRDefault="002B5A99" w:rsidP="00370DA1">
      <w:pPr>
        <w:pStyle w:val="ListParagraph"/>
        <w:numPr>
          <w:ilvl w:val="0"/>
          <w:numId w:val="38"/>
        </w:numPr>
        <w:spacing w:after="67" w:line="340" w:lineRule="auto"/>
        <w:ind w:right="834"/>
        <w:jc w:val="both"/>
      </w:pPr>
      <w:r>
        <w:t xml:space="preserve">assessment methodology </w:t>
      </w:r>
    </w:p>
    <w:p w14:paraId="6585B51B" w14:textId="77777777" w:rsidR="002B5A99" w:rsidRDefault="002B5A99" w:rsidP="00370DA1">
      <w:pPr>
        <w:pStyle w:val="ListParagraph"/>
        <w:numPr>
          <w:ilvl w:val="0"/>
          <w:numId w:val="38"/>
        </w:numPr>
        <w:spacing w:after="67" w:line="340" w:lineRule="auto"/>
        <w:ind w:right="834"/>
        <w:jc w:val="both"/>
      </w:pPr>
      <w:r>
        <w:t xml:space="preserve">application requirements </w:t>
      </w:r>
    </w:p>
    <w:p w14:paraId="5581B88E" w14:textId="77777777" w:rsidR="002B5A99" w:rsidRDefault="002B5A99" w:rsidP="00370DA1">
      <w:pPr>
        <w:pStyle w:val="ListParagraph"/>
        <w:numPr>
          <w:ilvl w:val="0"/>
          <w:numId w:val="38"/>
        </w:numPr>
        <w:spacing w:after="67" w:line="340" w:lineRule="auto"/>
        <w:ind w:right="834"/>
        <w:jc w:val="both"/>
      </w:pPr>
      <w:r>
        <w:t xml:space="preserve">assessment fees, and </w:t>
      </w:r>
    </w:p>
    <w:p w14:paraId="6C920111" w14:textId="77777777" w:rsidR="002B5A99" w:rsidRDefault="002B5A99" w:rsidP="00370DA1">
      <w:pPr>
        <w:pStyle w:val="ListParagraph"/>
        <w:numPr>
          <w:ilvl w:val="0"/>
          <w:numId w:val="38"/>
        </w:numPr>
        <w:spacing w:after="67" w:line="340" w:lineRule="auto"/>
        <w:ind w:right="834"/>
        <w:jc w:val="both"/>
      </w:pPr>
      <w:r>
        <w:t>review and appeals process.</w:t>
      </w:r>
    </w:p>
    <w:p w14:paraId="383FCF14" w14:textId="5476EB97" w:rsidR="002B5A99" w:rsidRDefault="002B5A99" w:rsidP="002B5A99">
      <w:pPr>
        <w:ind w:left="495" w:right="30" w:hanging="510"/>
      </w:pPr>
      <w:r w:rsidRPr="008A3D25">
        <w:rPr>
          <w:rStyle w:val="Heading4Char"/>
          <w:b/>
          <w:bCs/>
          <w:sz w:val="22"/>
          <w:szCs w:val="18"/>
        </w:rPr>
        <w:t>3.1.2</w:t>
      </w:r>
      <w:r w:rsidRPr="008A3D25">
        <w:rPr>
          <w:rStyle w:val="Heading4Char"/>
          <w:b/>
          <w:bCs/>
          <w:sz w:val="24"/>
          <w:szCs w:val="20"/>
        </w:rPr>
        <w:t>.</w:t>
      </w:r>
      <w:r w:rsidRPr="002B5A99">
        <w:rPr>
          <w:b/>
          <w:color w:val="2A7DB2"/>
          <w:sz w:val="20"/>
          <w:szCs w:val="20"/>
        </w:rPr>
        <w:t xml:space="preserve"> </w:t>
      </w:r>
      <w:r>
        <w:t>is detailed enough to allow prospective migrants to understand the likelihood of a positive outcome before making an application, and</w:t>
      </w:r>
    </w:p>
    <w:p w14:paraId="1AE6BE71" w14:textId="6BD9E2C8" w:rsidR="008A3D25" w:rsidRPr="008A3D25" w:rsidRDefault="002B5A99" w:rsidP="001468CE">
      <w:pPr>
        <w:ind w:left="495" w:right="634" w:hanging="510"/>
      </w:pPr>
      <w:r w:rsidRPr="008A3D25">
        <w:rPr>
          <w:rStyle w:val="Heading4Char"/>
          <w:b/>
          <w:bCs/>
          <w:sz w:val="22"/>
          <w:szCs w:val="18"/>
        </w:rPr>
        <w:t>3.1.3</w:t>
      </w:r>
      <w:r w:rsidRPr="008A3D25">
        <w:rPr>
          <w:rStyle w:val="Heading4Char"/>
          <w:b/>
          <w:bCs/>
          <w:sz w:val="24"/>
          <w:szCs w:val="20"/>
        </w:rPr>
        <w:t>.</w:t>
      </w:r>
      <w:r w:rsidRPr="002B5A99">
        <w:rPr>
          <w:b/>
          <w:color w:val="2A7DB2"/>
          <w:sz w:val="20"/>
          <w:szCs w:val="20"/>
        </w:rPr>
        <w:t xml:space="preserve"> </w:t>
      </w:r>
      <w:r>
        <w:t>includes contact details relating to registration, licensing, and membership of professional organisations and employment for suitable applicants.</w:t>
      </w:r>
    </w:p>
    <w:p w14:paraId="18C7FCB3" w14:textId="6118F5C1" w:rsidR="002B5A99" w:rsidRPr="008A3D25" w:rsidRDefault="002B5A99" w:rsidP="002B5A99">
      <w:pPr>
        <w:pStyle w:val="Heading4"/>
        <w:rPr>
          <w:b/>
          <w:bCs/>
          <w:color w:val="auto"/>
          <w:sz w:val="22"/>
          <w:szCs w:val="18"/>
        </w:rPr>
      </w:pPr>
      <w:r w:rsidRPr="008A3D25">
        <w:rPr>
          <w:b/>
          <w:bCs/>
          <w:color w:val="auto"/>
          <w:sz w:val="22"/>
          <w:szCs w:val="18"/>
        </w:rPr>
        <w:t>3.2. Occupational assessment standards</w:t>
      </w:r>
    </w:p>
    <w:p w14:paraId="4B3622C3" w14:textId="5774DBD6" w:rsidR="002B5A99" w:rsidRDefault="002B5A99" w:rsidP="002B5A99">
      <w:pPr>
        <w:ind w:left="-5" w:right="1107"/>
      </w:pPr>
      <w:r>
        <w:t>Occupation-specific organisations are those responsible for establishing and/or applying nationally recognised standards for the occupation they propose to assess. This can be through either licensing/registration or the accreditation of Australian Qualifications Framework (AQF) qualifications required for employment in Australia. Applicants should be issued with a skills assessment outcome that clearly states the suitability of their skills for migration purposes for the nominated occupation.</w:t>
      </w:r>
    </w:p>
    <w:p w14:paraId="76E07478" w14:textId="264CE35A" w:rsidR="002B5A99" w:rsidRDefault="002B5A99" w:rsidP="002B5A99">
      <w:pPr>
        <w:ind w:left="-5" w:right="1030"/>
      </w:pPr>
      <w:r>
        <w:t xml:space="preserve">Under Regulation 2.26B of the </w:t>
      </w:r>
      <w:hyperlink r:id="rId29">
        <w:r w:rsidRPr="00370DA1">
          <w:rPr>
            <w:i/>
            <w:color w:val="669900"/>
            <w:u w:val="single" w:color="2A7DB2"/>
          </w:rPr>
          <w:t>Migration Regulations 1994</w:t>
        </w:r>
      </w:hyperlink>
      <w:hyperlink r:id="rId30">
        <w:r w:rsidRPr="00370DA1">
          <w:rPr>
            <w:color w:val="669900"/>
          </w:rPr>
          <w:t>,</w:t>
        </w:r>
      </w:hyperlink>
      <w:r>
        <w:t xml:space="preserve"> an assessing authority must set occupational assessment standards against which the skills of a prospective migrant are assessed. This may vary depending on the type of visa. </w:t>
      </w:r>
    </w:p>
    <w:p w14:paraId="1BE1136F" w14:textId="11ADC06A" w:rsidR="002B5A99" w:rsidRDefault="002B5A99" w:rsidP="002B5A99">
      <w:pPr>
        <w:ind w:left="-5" w:right="1214"/>
      </w:pPr>
      <w:r>
        <w:t xml:space="preserve">Occupational assessment standards should not go beyond what is required for registration or licensing with respect to an occupation. They should be fair, sensible and relevant. If requested, assessing authorities should provide information about their standards, skills assessments, stakeholder consultation and complaints handling processes. This is to ensure that the process by which assessment standards are applied remains transparent, reliable, fair and non-discriminatory. </w:t>
      </w:r>
    </w:p>
    <w:p w14:paraId="531BC941" w14:textId="77777777" w:rsidR="00E535A7" w:rsidRDefault="00E535A7" w:rsidP="002B5A99">
      <w:pPr>
        <w:ind w:left="-5" w:right="1127"/>
      </w:pPr>
    </w:p>
    <w:p w14:paraId="35E73472" w14:textId="7562FC68" w:rsidR="002B5A99" w:rsidRDefault="002B5A99" w:rsidP="002B5A99">
      <w:pPr>
        <w:ind w:left="-5" w:right="1127"/>
      </w:pPr>
      <w:r>
        <w:t xml:space="preserve">The process by which the assessment standards are applied should be flexible enough to allow an applicant to meet the standards through a variety of pathways. It should deliver positive outcomes for prospective migrants with Australian qualifications accredited for entry to the nominated occupation. </w:t>
      </w:r>
    </w:p>
    <w:p w14:paraId="01D3D881" w14:textId="1C37EDCF" w:rsidR="002B5A99" w:rsidRDefault="002B5A99" w:rsidP="002B5A99">
      <w:pPr>
        <w:ind w:left="-5" w:right="961"/>
      </w:pPr>
      <w:r>
        <w:t>In addition, it is the responsibility of assessing authorities to demonstrate how they will liaise with relevant organisations on an ongoing basis to ensure streamlined recognition in the occupation, particularly if skills recognition decisions for migration and employment are made by different organisations.</w:t>
      </w:r>
    </w:p>
    <w:p w14:paraId="1E1D32A8" w14:textId="12A205C0" w:rsidR="002B5A99" w:rsidRDefault="002B5A99" w:rsidP="002B5A99">
      <w:pPr>
        <w:spacing w:after="138"/>
        <w:ind w:left="-5" w:right="428"/>
      </w:pPr>
      <w:r>
        <w:t>An organisation must demonstrate that its proposed occupational assessment standards:</w:t>
      </w:r>
    </w:p>
    <w:p w14:paraId="4EC7DAF9" w14:textId="775A0FCE" w:rsidR="002B5A99" w:rsidRDefault="002B5A99" w:rsidP="002B5A99">
      <w:pPr>
        <w:spacing w:line="262" w:lineRule="auto"/>
        <w:ind w:left="493" w:right="1338" w:hanging="510"/>
      </w:pPr>
      <w:r w:rsidRPr="008A3D25">
        <w:rPr>
          <w:rStyle w:val="Heading4Char"/>
          <w:b/>
          <w:bCs/>
          <w:sz w:val="22"/>
          <w:szCs w:val="18"/>
        </w:rPr>
        <w:t>3.2.1.</w:t>
      </w:r>
      <w:r w:rsidRPr="002B5A99">
        <w:rPr>
          <w:b/>
          <w:color w:val="2A7DB2"/>
          <w:sz w:val="18"/>
          <w:szCs w:val="18"/>
        </w:rPr>
        <w:t xml:space="preserve"> </w:t>
      </w:r>
      <w:r>
        <w:t>can be met through skills, qualifications and/or work experience</w:t>
      </w:r>
    </w:p>
    <w:p w14:paraId="64285A7F" w14:textId="5E67B410" w:rsidR="002B5A99" w:rsidRDefault="002B5A99" w:rsidP="002B5A99">
      <w:pPr>
        <w:ind w:left="495" w:right="605" w:hanging="510"/>
      </w:pPr>
      <w:r w:rsidRPr="008A3D25">
        <w:rPr>
          <w:rStyle w:val="Heading4Char"/>
          <w:b/>
          <w:bCs/>
          <w:sz w:val="22"/>
          <w:szCs w:val="18"/>
        </w:rPr>
        <w:t>3.2.2.</w:t>
      </w:r>
      <w:r w:rsidRPr="002B5A99">
        <w:rPr>
          <w:b/>
          <w:color w:val="2A7DB2"/>
          <w:sz w:val="18"/>
          <w:szCs w:val="18"/>
        </w:rPr>
        <w:t xml:space="preserve"> </w:t>
      </w:r>
      <w:r>
        <w:t>are limited to skills, qualifications and/or work experience relevant to the nominated occupation</w:t>
      </w:r>
    </w:p>
    <w:p w14:paraId="3F2F8C11" w14:textId="76B5EABD" w:rsidR="002B5A99" w:rsidRDefault="002B5A99" w:rsidP="002B5A99">
      <w:pPr>
        <w:ind w:left="-5" w:right="961"/>
      </w:pPr>
      <w:r w:rsidRPr="008A3D25">
        <w:rPr>
          <w:rStyle w:val="Heading4Char"/>
          <w:b/>
          <w:bCs/>
          <w:sz w:val="22"/>
          <w:szCs w:val="18"/>
        </w:rPr>
        <w:t>3.2.3.</w:t>
      </w:r>
      <w:r w:rsidRPr="002B5A99">
        <w:rPr>
          <w:b/>
          <w:color w:val="2A7DB2"/>
          <w:sz w:val="18"/>
          <w:szCs w:val="18"/>
        </w:rPr>
        <w:t xml:space="preserve"> </w:t>
      </w:r>
      <w:r>
        <w:t>are equivalent to an Australian workplace for employment in the nominated occupation</w:t>
      </w:r>
    </w:p>
    <w:p w14:paraId="4EBB4171" w14:textId="6B20AF76" w:rsidR="002B5A99" w:rsidRDefault="002B5A99" w:rsidP="002B5A99">
      <w:pPr>
        <w:ind w:left="495" w:right="529" w:hanging="510"/>
        <w:rPr>
          <w:rFonts w:cs="Myriad Pro Light"/>
          <w:szCs w:val="19"/>
        </w:rPr>
      </w:pPr>
      <w:r w:rsidRPr="008A3D25">
        <w:rPr>
          <w:rStyle w:val="Heading4Char"/>
          <w:b/>
          <w:bCs/>
          <w:sz w:val="22"/>
          <w:szCs w:val="18"/>
        </w:rPr>
        <w:t>3.2.4.</w:t>
      </w:r>
      <w:r w:rsidRPr="002B5A99">
        <w:rPr>
          <w:b/>
          <w:color w:val="2A7DB2"/>
          <w:sz w:val="18"/>
          <w:szCs w:val="18"/>
        </w:rPr>
        <w:t xml:space="preserve"> </w:t>
      </w:r>
      <w:r>
        <w:rPr>
          <w:rFonts w:cs="Myriad Pro Light"/>
          <w:szCs w:val="19"/>
        </w:rPr>
        <w:t>are based on:</w:t>
      </w:r>
    </w:p>
    <w:p w14:paraId="00CA6D16" w14:textId="413A160C" w:rsidR="002B5A99" w:rsidRPr="00DE0F46" w:rsidRDefault="002B5A99" w:rsidP="008A3D25">
      <w:pPr>
        <w:pStyle w:val="ListParagraph"/>
        <w:numPr>
          <w:ilvl w:val="0"/>
          <w:numId w:val="39"/>
        </w:numPr>
        <w:spacing w:after="67" w:line="240" w:lineRule="auto"/>
        <w:ind w:right="-17"/>
      </w:pPr>
      <w:r w:rsidRPr="00DE0F46">
        <w:t xml:space="preserve">nationally recognised standards for licensing/ registration in the nominated occupation, and/or </w:t>
      </w:r>
    </w:p>
    <w:p w14:paraId="4AD45485" w14:textId="0FC52EED" w:rsidR="002B5A99" w:rsidRDefault="002B5A99" w:rsidP="008A3D25">
      <w:pPr>
        <w:pStyle w:val="ListParagraph"/>
        <w:numPr>
          <w:ilvl w:val="0"/>
          <w:numId w:val="39"/>
        </w:numPr>
        <w:spacing w:line="276" w:lineRule="auto"/>
        <w:ind w:right="961"/>
      </w:pPr>
      <w:r w:rsidRPr="00DE0F46">
        <w:t>an Australian Qualifications Framework qualification required for employment in the nominated occupation</w:t>
      </w:r>
    </w:p>
    <w:p w14:paraId="2CBEFC71" w14:textId="1AA60301" w:rsidR="002B5A99" w:rsidRDefault="008A3D25" w:rsidP="00522D9E">
      <w:pPr>
        <w:ind w:left="-5" w:right="961"/>
      </w:pPr>
      <w:r>
        <w:rPr>
          <w:noProof/>
        </w:rPr>
        <mc:AlternateContent>
          <mc:Choice Requires="wps">
            <w:drawing>
              <wp:anchor distT="0" distB="0" distL="114300" distR="114300" simplePos="0" relativeHeight="251664384" behindDoc="0" locked="0" layoutInCell="1" allowOverlap="1" wp14:anchorId="3182B0B8" wp14:editId="3F59C85D">
                <wp:simplePos x="0" y="0"/>
                <wp:positionH relativeFrom="margin">
                  <wp:posOffset>584835</wp:posOffset>
                </wp:positionH>
                <wp:positionV relativeFrom="paragraph">
                  <wp:posOffset>61595</wp:posOffset>
                </wp:positionV>
                <wp:extent cx="4695825" cy="743112"/>
                <wp:effectExtent l="0" t="0" r="28575" b="19050"/>
                <wp:wrapNone/>
                <wp:docPr id="28" name="Rectangle: Rounded Corners 28"/>
                <wp:cNvGraphicFramePr/>
                <a:graphic xmlns:a="http://schemas.openxmlformats.org/drawingml/2006/main">
                  <a:graphicData uri="http://schemas.microsoft.com/office/word/2010/wordprocessingShape">
                    <wps:wsp>
                      <wps:cNvSpPr/>
                      <wps:spPr>
                        <a:xfrm>
                          <a:off x="0" y="0"/>
                          <a:ext cx="4695825" cy="743112"/>
                        </a:xfrm>
                        <a:prstGeom prst="roundRect">
                          <a:avLst/>
                        </a:prstGeom>
                        <a:solidFill>
                          <a:schemeClr val="bg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3C9661" w14:textId="6C493895" w:rsidR="009A44DD" w:rsidRPr="002B5A99" w:rsidRDefault="009A44DD" w:rsidP="00522D9E">
                            <w:pPr>
                              <w:ind w:left="-142"/>
                              <w:rPr>
                                <w:b/>
                                <w:bCs/>
                              </w:rPr>
                            </w:pPr>
                            <w:r>
                              <w:rPr>
                                <w:b/>
                                <w:bCs/>
                              </w:rPr>
                              <w:t>When completing the Skilled Migration Assessing Authority Application Form the organisation is required to provide a copy of the assessment standards for each occupation</w:t>
                            </w:r>
                            <w:r w:rsidR="00FC1F8C">
                              <w:rPr>
                                <w:b/>
                                <w:bCs/>
                              </w:rPr>
                              <w:t>.</w:t>
                            </w:r>
                          </w:p>
                          <w:p w14:paraId="1307C1B1" w14:textId="77777777" w:rsidR="009A44DD" w:rsidRDefault="009A44DD" w:rsidP="00522D9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2B0B8" id="Rectangle: Rounded Corners 28" o:spid="_x0000_s1029" style="position:absolute;left:0;text-align:left;margin-left:46.05pt;margin-top:4.85pt;width:369.75pt;height:5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lyiAIAAIEFAAAOAAAAZHJzL2Uyb0RvYy54bWysVE1v2zAMvQ/YfxB0Xx2nST+COkXQosOA&#10;rg3aDj0rshQbkERNUmJnv36U7DhZV2zAMB9kSiQfxSeSV9etVmQrnK/BFDQ/GVEiDIeyNuuCfnu5&#10;+3RBiQ/MlEyBEQXdCU+v5x8/XDV2JsZQgSqFIwhi/KyxBa1CsLMs87wSmvkTsMKgUoLTLODWrbPS&#10;sQbRtcrGo9FZ1oArrQMuvMfT205J5wlfSsHDo5ReBKIKincLaXVpXcU1m1+x2doxW9W8vwb7h1to&#10;VhsMOkDdssDIxtW/QemaO/AgwwkHnYGUNRcpB8wmH73J5rliVqRckBxvB5r8/4PlD9tnu3RIQ2P9&#10;zKMYs2il0/GP9yNtIms3kCXaQDgeTs4upxfjKSUcdeeT0zwfRzazg7d1PnwWoEkUCupgY8onfJFE&#10;FNve+9DZ7+1iRA+qLu9qpdImVoG4UY5sGb7faj1Ormqjv0LZnU1H+PVxU9FE83SLI6TskFuSwk6J&#10;iK/Mk5CkLjGbDnlA6MAZ58KEPAX1FSvF32ImwIgsMYMBuwf4NZk9dkdBbx9dRarawXnURf+T8+CR&#10;IoMJg7OuDbj3ABRm1Ufu7JGyI2qiGNpVi9wU9DRaxpMVlLulIw66LvKW39X4svfMhyVz2DbYYDgK&#10;wiMuUkFTUOglSipwP947j/ZYzailpME2LKj/vmFOUKK+GKzzy3wyiX2bNpPp+Rg37lizOtaYjb4B&#10;rJQch47lSYz2Qe1F6UC/4sRYxKioYoZj7ILy4Pabm9CNB5w5XCwWyQx71bJwb54tj+CR51i0L+0r&#10;c7Yv74CN8QD7lmWzNwXe2UZPA4tNAFmn6j/w2r8A9nkq334mxUFyvE9Wh8k5/wkAAP//AwBQSwME&#10;FAAGAAgAAAAhABX7ZVPgAAAACAEAAA8AAABkcnMvZG93bnJldi54bWxMj8FKw0AQhu9C32EZwYvY&#10;TVJI05hNKVUPRXpoFbxus2MSzM6G7KZNfXrHk56G4f/455tiPdlOnHHwrSMF8TwCgVQ501Kt4P3t&#10;5SED4YMmoztHqOCKHtbl7KbQuXEXOuD5GGrBJeRzraAJoc+l9FWDVvu565E4+3SD1YHXoZZm0Bcu&#10;t51MoiiVVrfEFxrd47bB6us4WgVy9Z091WO63X/snnfV/hV7OtwrdXc7bR5BBJzCHwy/+qwOJTud&#10;3EjGi07BKomZ5LkEwXG2iFMQJ+aSdAmyLOT/B8ofAAAA//8DAFBLAQItABQABgAIAAAAIQC2gziS&#10;/gAAAOEBAAATAAAAAAAAAAAAAAAAAAAAAABbQ29udGVudF9UeXBlc10ueG1sUEsBAi0AFAAGAAgA&#10;AAAhADj9If/WAAAAlAEAAAsAAAAAAAAAAAAAAAAALwEAAF9yZWxzLy5yZWxzUEsBAi0AFAAGAAgA&#10;AAAhAF3UuXKIAgAAgQUAAA4AAAAAAAAAAAAAAAAALgIAAGRycy9lMm9Eb2MueG1sUEsBAi0AFAAG&#10;AAgAAAAhABX7ZVPgAAAACAEAAA8AAAAAAAAAAAAAAAAA4gQAAGRycy9kb3ducmV2LnhtbFBLBQYA&#10;AAAABAAEAPMAAADvBQAAAAA=&#10;" fillcolor="#747070 [1614]" strokecolor="#00161f [1604]" strokeweight="1pt">
                <v:stroke joinstyle="miter"/>
                <v:textbox>
                  <w:txbxContent>
                    <w:p w14:paraId="783C9661" w14:textId="6C493895" w:rsidR="009A44DD" w:rsidRPr="002B5A99" w:rsidRDefault="009A44DD" w:rsidP="00522D9E">
                      <w:pPr>
                        <w:ind w:left="-142"/>
                        <w:rPr>
                          <w:b/>
                          <w:bCs/>
                        </w:rPr>
                      </w:pPr>
                      <w:r>
                        <w:rPr>
                          <w:b/>
                          <w:bCs/>
                        </w:rPr>
                        <w:t>When completing the Skilled Migration Assessing Authority Application Form the organisation is required to provide a copy of the assessment standards for each occupation</w:t>
                      </w:r>
                      <w:r w:rsidR="00FC1F8C">
                        <w:rPr>
                          <w:b/>
                          <w:bCs/>
                        </w:rPr>
                        <w:t>.</w:t>
                      </w:r>
                    </w:p>
                    <w:p w14:paraId="1307C1B1" w14:textId="77777777" w:rsidR="009A44DD" w:rsidRDefault="009A44DD" w:rsidP="00522D9E"/>
                  </w:txbxContent>
                </v:textbox>
                <w10:wrap anchorx="margin"/>
              </v:roundrect>
            </w:pict>
          </mc:Fallback>
        </mc:AlternateContent>
      </w:r>
    </w:p>
    <w:p w14:paraId="2AEC3C51" w14:textId="6C6B9AE2" w:rsidR="008A3D25" w:rsidRDefault="008A3D25" w:rsidP="00522D9E">
      <w:pPr>
        <w:ind w:left="-5" w:right="961"/>
      </w:pPr>
    </w:p>
    <w:p w14:paraId="7721CD9A" w14:textId="77777777" w:rsidR="008A3D25" w:rsidRDefault="008A3D25" w:rsidP="00522D9E">
      <w:pPr>
        <w:ind w:left="-5" w:right="961"/>
      </w:pPr>
    </w:p>
    <w:p w14:paraId="530A1854" w14:textId="77777777" w:rsidR="009A44DD" w:rsidRPr="00964C45" w:rsidRDefault="009A44DD" w:rsidP="00964C45">
      <w:pPr>
        <w:pStyle w:val="Heading4"/>
        <w:rPr>
          <w:b/>
          <w:bCs/>
          <w:color w:val="000000" w:themeColor="text1"/>
          <w:sz w:val="22"/>
          <w:szCs w:val="18"/>
        </w:rPr>
      </w:pPr>
      <w:r w:rsidRPr="00964C45">
        <w:rPr>
          <w:b/>
          <w:bCs/>
          <w:color w:val="000000" w:themeColor="text1"/>
          <w:sz w:val="22"/>
          <w:szCs w:val="18"/>
        </w:rPr>
        <w:t>3.3. Skills assessment application form declaration</w:t>
      </w:r>
    </w:p>
    <w:p w14:paraId="455426B5" w14:textId="77777777" w:rsidR="009A44DD" w:rsidRDefault="009A44DD" w:rsidP="009A44DD">
      <w:pPr>
        <w:ind w:left="-5" w:right="110"/>
      </w:pPr>
      <w:r>
        <w:t xml:space="preserve">The organisation must demonstrate that its skills assessment application form includes a declaration to the effect that the skilled migration applicant: </w:t>
      </w:r>
    </w:p>
    <w:p w14:paraId="485DBF93" w14:textId="77777777" w:rsidR="009A44DD" w:rsidRDefault="009A44DD" w:rsidP="009A44DD">
      <w:pPr>
        <w:ind w:left="-5" w:right="110"/>
      </w:pPr>
      <w:r w:rsidRPr="00964C45">
        <w:rPr>
          <w:rStyle w:val="Heading4Char"/>
          <w:b/>
          <w:bCs/>
          <w:sz w:val="22"/>
          <w:szCs w:val="18"/>
        </w:rPr>
        <w:t>3.3.1.</w:t>
      </w:r>
      <w:r w:rsidRPr="009A44DD">
        <w:rPr>
          <w:b/>
          <w:color w:val="2A7DB2"/>
          <w:sz w:val="18"/>
          <w:szCs w:val="18"/>
        </w:rPr>
        <w:t xml:space="preserve"> </w:t>
      </w:r>
      <w:r>
        <w:t>understands the purpose of the application</w:t>
      </w:r>
    </w:p>
    <w:p w14:paraId="4F8B51BA" w14:textId="77777777" w:rsidR="009A44DD" w:rsidRDefault="009A44DD" w:rsidP="009A44DD">
      <w:pPr>
        <w:ind w:left="495" w:right="30" w:hanging="510"/>
      </w:pPr>
      <w:r w:rsidRPr="00964C45">
        <w:rPr>
          <w:rStyle w:val="Heading4Char"/>
          <w:b/>
          <w:bCs/>
          <w:sz w:val="22"/>
          <w:szCs w:val="18"/>
        </w:rPr>
        <w:t>3.3.2.</w:t>
      </w:r>
      <w:r w:rsidRPr="009A44DD">
        <w:rPr>
          <w:b/>
          <w:color w:val="2A7DB2"/>
          <w:sz w:val="18"/>
          <w:szCs w:val="18"/>
        </w:rPr>
        <w:t xml:space="preserve"> </w:t>
      </w:r>
      <w:r>
        <w:t>has supplied information about themselves and understands the penalties for providing false and/or misleading information</w:t>
      </w:r>
    </w:p>
    <w:p w14:paraId="2ECB38EB" w14:textId="4F72B590" w:rsidR="009A44DD" w:rsidRDefault="009A44DD" w:rsidP="009A44DD">
      <w:pPr>
        <w:ind w:left="495" w:right="30" w:hanging="510"/>
      </w:pPr>
      <w:r w:rsidRPr="00964C45">
        <w:rPr>
          <w:rStyle w:val="Heading4Char"/>
          <w:b/>
          <w:bCs/>
          <w:sz w:val="22"/>
          <w:szCs w:val="18"/>
        </w:rPr>
        <w:t>3.3.3.</w:t>
      </w:r>
      <w:r w:rsidRPr="009A44DD">
        <w:rPr>
          <w:b/>
          <w:color w:val="2A7DB2"/>
          <w:sz w:val="18"/>
          <w:szCs w:val="18"/>
        </w:rPr>
        <w:t xml:space="preserve"> </w:t>
      </w:r>
      <w:r>
        <w:t xml:space="preserve">agrees to the release of his or her personal information in certain circumstances, and </w:t>
      </w:r>
    </w:p>
    <w:p w14:paraId="7EAC2E19" w14:textId="38D4A411" w:rsidR="009A44DD" w:rsidRDefault="009A44DD" w:rsidP="009A44DD">
      <w:pPr>
        <w:ind w:left="495" w:right="30" w:hanging="510"/>
      </w:pPr>
      <w:r w:rsidRPr="00964C45">
        <w:rPr>
          <w:rStyle w:val="Heading4Char"/>
          <w:b/>
          <w:bCs/>
          <w:sz w:val="22"/>
          <w:szCs w:val="18"/>
        </w:rPr>
        <w:t>3.3.4.</w:t>
      </w:r>
      <w:r w:rsidRPr="009A44DD">
        <w:rPr>
          <w:b/>
          <w:color w:val="2A7DB2"/>
          <w:sz w:val="18"/>
          <w:szCs w:val="18"/>
        </w:rPr>
        <w:t xml:space="preserve"> </w:t>
      </w:r>
      <w:r>
        <w:t>understands that reasonable enquiries relevant to his or her application may be made</w:t>
      </w:r>
      <w:r w:rsidR="00E535A7">
        <w:t>.</w:t>
      </w:r>
    </w:p>
    <w:p w14:paraId="41AE9D43" w14:textId="2205D007" w:rsidR="00E535A7" w:rsidRDefault="00E535A7" w:rsidP="009A44DD">
      <w:pPr>
        <w:pStyle w:val="Heading4"/>
        <w:rPr>
          <w:b/>
          <w:bCs/>
          <w:color w:val="auto"/>
          <w:sz w:val="22"/>
          <w:szCs w:val="18"/>
        </w:rPr>
      </w:pPr>
    </w:p>
    <w:p w14:paraId="540A5078" w14:textId="77777777" w:rsidR="00E535A7" w:rsidRPr="000B0769" w:rsidRDefault="00E535A7" w:rsidP="000B0769"/>
    <w:p w14:paraId="7A9C9E6A" w14:textId="6E4AABD3" w:rsidR="009A44DD" w:rsidRPr="00964C45" w:rsidRDefault="009A44DD" w:rsidP="009A44DD">
      <w:pPr>
        <w:pStyle w:val="Heading4"/>
        <w:rPr>
          <w:b/>
          <w:bCs/>
          <w:color w:val="auto"/>
          <w:sz w:val="22"/>
          <w:szCs w:val="18"/>
        </w:rPr>
      </w:pPr>
      <w:r w:rsidRPr="00964C45">
        <w:rPr>
          <w:b/>
          <w:bCs/>
          <w:color w:val="auto"/>
          <w:sz w:val="22"/>
          <w:szCs w:val="18"/>
        </w:rPr>
        <w:t>3.4. Skills assessments</w:t>
      </w:r>
    </w:p>
    <w:p w14:paraId="657636E0" w14:textId="77777777" w:rsidR="009A44DD" w:rsidRDefault="009A44DD" w:rsidP="009A44DD">
      <w:pPr>
        <w:ind w:left="-5" w:right="617"/>
        <w:rPr>
          <w:rFonts w:cs="Myriad Pro Light"/>
          <w:szCs w:val="19"/>
        </w:rPr>
      </w:pPr>
      <w:r>
        <w:rPr>
          <w:rFonts w:cs="Myriad Pro Light"/>
          <w:szCs w:val="19"/>
        </w:rPr>
        <w:t>The organisation should demonstrate its skills assessments:</w:t>
      </w:r>
    </w:p>
    <w:p w14:paraId="03241EA6" w14:textId="77777777" w:rsidR="009A44DD" w:rsidRDefault="009A44DD" w:rsidP="009A44DD">
      <w:pPr>
        <w:tabs>
          <w:tab w:val="center" w:pos="3119"/>
        </w:tabs>
        <w:spacing w:line="262" w:lineRule="auto"/>
        <w:ind w:left="493" w:right="618" w:hanging="510"/>
        <w:rPr>
          <w:rFonts w:cs="Myriad Pro Light"/>
          <w:szCs w:val="19"/>
        </w:rPr>
      </w:pPr>
      <w:r w:rsidRPr="00964C45">
        <w:rPr>
          <w:rStyle w:val="Heading4Char"/>
          <w:b/>
          <w:bCs/>
          <w:sz w:val="22"/>
        </w:rPr>
        <w:t>3.4.1.</w:t>
      </w:r>
      <w:r w:rsidRPr="009A44DD">
        <w:rPr>
          <w:b/>
          <w:color w:val="2A7DB2"/>
          <w:sz w:val="20"/>
          <w:szCs w:val="20"/>
        </w:rPr>
        <w:t xml:space="preserve"> </w:t>
      </w:r>
      <w:r>
        <w:rPr>
          <w:rFonts w:cs="Myriad Pro Light"/>
          <w:szCs w:val="19"/>
        </w:rPr>
        <w:t>establish the comparability of an overseas qualification(s) in terms of AQF qualification types</w:t>
      </w:r>
    </w:p>
    <w:p w14:paraId="1BB86FAB" w14:textId="77777777" w:rsidR="009A44DD" w:rsidRDefault="009A44DD" w:rsidP="009A44DD">
      <w:pPr>
        <w:tabs>
          <w:tab w:val="center" w:pos="3119"/>
        </w:tabs>
        <w:ind w:left="495" w:right="617" w:hanging="510"/>
        <w:rPr>
          <w:rFonts w:cs="Myriad Pro Light"/>
          <w:szCs w:val="19"/>
        </w:rPr>
      </w:pPr>
      <w:r w:rsidRPr="00964C45">
        <w:rPr>
          <w:rStyle w:val="Heading4Char"/>
          <w:b/>
          <w:bCs/>
          <w:sz w:val="22"/>
          <w:szCs w:val="18"/>
        </w:rPr>
        <w:t>3.4.2</w:t>
      </w:r>
      <w:r w:rsidRPr="00964C45">
        <w:rPr>
          <w:b/>
          <w:bCs/>
          <w:color w:val="2A7DB2"/>
        </w:rPr>
        <w:t>.</w:t>
      </w:r>
      <w:r>
        <w:rPr>
          <w:b/>
          <w:color w:val="2A7DB2"/>
        </w:rPr>
        <w:t xml:space="preserve"> </w:t>
      </w:r>
      <w:r>
        <w:rPr>
          <w:rFonts w:cs="Myriad Pro Light"/>
          <w:szCs w:val="19"/>
        </w:rPr>
        <w:t>are transparent, coherent, reliable, fair and non-discriminatory</w:t>
      </w:r>
    </w:p>
    <w:p w14:paraId="0DA0B0CB" w14:textId="77777777" w:rsidR="009A44DD" w:rsidRDefault="009A44DD" w:rsidP="009A44DD">
      <w:pPr>
        <w:tabs>
          <w:tab w:val="center" w:pos="3119"/>
        </w:tabs>
        <w:ind w:left="495" w:right="617" w:hanging="510"/>
        <w:rPr>
          <w:rFonts w:cs="Myriad Pro Light"/>
          <w:szCs w:val="19"/>
        </w:rPr>
      </w:pPr>
      <w:r w:rsidRPr="00964C45">
        <w:rPr>
          <w:rStyle w:val="Heading4Char"/>
          <w:b/>
          <w:bCs/>
          <w:sz w:val="22"/>
          <w:szCs w:val="18"/>
        </w:rPr>
        <w:t>3.4.3.</w:t>
      </w:r>
      <w:r w:rsidRPr="00F70F89">
        <w:rPr>
          <w:b/>
          <w:color w:val="2A7DB2"/>
          <w:sz w:val="18"/>
          <w:szCs w:val="18"/>
        </w:rPr>
        <w:t xml:space="preserve"> </w:t>
      </w:r>
      <w:r>
        <w:rPr>
          <w:rFonts w:cs="Myriad Pro Light"/>
          <w:szCs w:val="19"/>
        </w:rPr>
        <w:t>allow for applicants to correct errors or omissions in their applications</w:t>
      </w:r>
    </w:p>
    <w:p w14:paraId="68AB12AB" w14:textId="77777777" w:rsidR="009A44DD" w:rsidRDefault="009A44DD" w:rsidP="009A44DD">
      <w:pPr>
        <w:tabs>
          <w:tab w:val="center" w:pos="3119"/>
        </w:tabs>
        <w:ind w:left="495" w:right="617" w:hanging="510"/>
        <w:rPr>
          <w:rFonts w:cs="Myriad Pro Light"/>
          <w:szCs w:val="19"/>
        </w:rPr>
      </w:pPr>
      <w:r w:rsidRPr="00964C45">
        <w:rPr>
          <w:rStyle w:val="Heading4Char"/>
          <w:b/>
          <w:bCs/>
          <w:sz w:val="22"/>
          <w:szCs w:val="18"/>
        </w:rPr>
        <w:t>3.4.4.</w:t>
      </w:r>
      <w:r w:rsidRPr="00F70F89">
        <w:rPr>
          <w:b/>
          <w:color w:val="2A7DB2"/>
          <w:sz w:val="18"/>
          <w:szCs w:val="18"/>
        </w:rPr>
        <w:t xml:space="preserve"> </w:t>
      </w:r>
      <w:r>
        <w:rPr>
          <w:rFonts w:cs="Myriad Pro Light"/>
          <w:szCs w:val="19"/>
        </w:rPr>
        <w:t>are not unreasonable in terms of the type, format or certification of documents required</w:t>
      </w:r>
    </w:p>
    <w:p w14:paraId="4D532D38" w14:textId="581AB5CA" w:rsidR="009137C1" w:rsidRDefault="009A44DD" w:rsidP="009A44DD">
      <w:pPr>
        <w:ind w:left="495" w:right="1149" w:hanging="510"/>
      </w:pPr>
      <w:r w:rsidRPr="00964C45">
        <w:rPr>
          <w:rStyle w:val="Heading4Char"/>
          <w:b/>
          <w:bCs/>
          <w:sz w:val="22"/>
          <w:szCs w:val="18"/>
        </w:rPr>
        <w:t>3.4.5.</w:t>
      </w:r>
      <w:r w:rsidRPr="00F70F89">
        <w:rPr>
          <w:b/>
          <w:color w:val="2A7DB2"/>
          <w:sz w:val="18"/>
          <w:szCs w:val="18"/>
        </w:rPr>
        <w:t xml:space="preserve"> </w:t>
      </w:r>
      <w:r>
        <w:t>in the case of exams, are available at appropriate intervals throughout the year and in a range of geographic locations</w:t>
      </w:r>
      <w:r w:rsidR="009137C1">
        <w:t xml:space="preserve"> </w:t>
      </w:r>
      <w:r w:rsidR="00E535A7">
        <w:t>and</w:t>
      </w:r>
      <w:r>
        <w:t xml:space="preserve"> costs</w:t>
      </w:r>
      <w:r w:rsidR="00E535A7">
        <w:t xml:space="preserve"> are reasona</w:t>
      </w:r>
      <w:r w:rsidR="009137C1">
        <w:t>b</w:t>
      </w:r>
      <w:r w:rsidR="00E535A7">
        <w:t>le</w:t>
      </w:r>
      <w:r w:rsidR="000B0769">
        <w:t>,</w:t>
      </w:r>
      <w:r w:rsidR="00800B9E">
        <w:t xml:space="preserve"> </w:t>
      </w:r>
      <w:r w:rsidR="000B0769">
        <w:t>and</w:t>
      </w:r>
    </w:p>
    <w:p w14:paraId="78128C48" w14:textId="1BE01DBD" w:rsidR="009A44DD" w:rsidRDefault="00800B9E" w:rsidP="00EB5E43">
      <w:pPr>
        <w:ind w:right="30"/>
      </w:pPr>
      <w:r w:rsidRPr="00EB5E43">
        <w:rPr>
          <w:b/>
          <w:bCs/>
          <w:noProof/>
        </w:rPr>
        <mc:AlternateContent>
          <mc:Choice Requires="wps">
            <w:drawing>
              <wp:anchor distT="0" distB="0" distL="114300" distR="114300" simplePos="0" relativeHeight="251665408" behindDoc="0" locked="0" layoutInCell="1" allowOverlap="1" wp14:anchorId="4973130D" wp14:editId="40FAFBF4">
                <wp:simplePos x="0" y="0"/>
                <wp:positionH relativeFrom="margin">
                  <wp:posOffset>1174750</wp:posOffset>
                </wp:positionH>
                <wp:positionV relativeFrom="paragraph">
                  <wp:posOffset>279400</wp:posOffset>
                </wp:positionV>
                <wp:extent cx="3324225" cy="571500"/>
                <wp:effectExtent l="0" t="0" r="28575" b="19050"/>
                <wp:wrapNone/>
                <wp:docPr id="3" name="Rectangle: Rounded Corners 3"/>
                <wp:cNvGraphicFramePr/>
                <a:graphic xmlns:a="http://schemas.openxmlformats.org/drawingml/2006/main">
                  <a:graphicData uri="http://schemas.microsoft.com/office/word/2010/wordprocessingShape">
                    <wps:wsp>
                      <wps:cNvSpPr/>
                      <wps:spPr>
                        <a:xfrm>
                          <a:off x="0" y="0"/>
                          <a:ext cx="3324225" cy="571500"/>
                        </a:xfrm>
                        <a:prstGeom prst="roundRect">
                          <a:avLst/>
                        </a:prstGeom>
                        <a:solidFill>
                          <a:schemeClr val="bg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685CFC" w14:textId="40719E03" w:rsidR="00F70F89" w:rsidRPr="00F70F89" w:rsidRDefault="00F70F89" w:rsidP="00F70F89">
                            <w:pPr>
                              <w:rPr>
                                <w:b/>
                                <w:bCs/>
                              </w:rPr>
                            </w:pPr>
                            <w:r>
                              <w:rPr>
                                <w:b/>
                                <w:bCs/>
                              </w:rPr>
                              <w:t>The organisation is required to provide its policy and process for assessing skills assessment applications.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73130D" id="Rectangle: Rounded Corners 3" o:spid="_x0000_s1030" style="position:absolute;margin-left:92.5pt;margin-top:22pt;width:261.75pt;height: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aehgIAAIEFAAAOAAAAZHJzL2Uyb0RvYy54bWysVMFu2zAMvQ/YPwi6r07cZO2COEWQosOA&#10;ri3aDj0rshQbkERNUmJnXz9KdpysKzZg2EUmRfJRfCY5v2q1IjvhfA2moOOzESXCcChrsynot+eb&#10;D5eU+MBMyRQYUdC98PRq8f7dvLEzkUMFqhSOIIjxs8YWtArBzrLM80po5s/ACoNGCU6zgKrbZKVj&#10;DaJrleWj0cesAVdaB1x4j7fXnZEuEr6Ugod7Kb0IRBUU3xbS6dK5jme2mLPZxjFb1bx/BvuHV2hW&#10;G0w6QF2zwMjW1b9B6Zo78CDDGQedgZQ1F6kGrGY8elXNU8WsSLUgOd4ONPn/B8vvdk/2wSENjfUz&#10;j2KsopVOxy++j7SJrP1AlmgD4Xh5fp5P8nxKCUfb9GI8HSU2s2O0dT58FqBJFArqYGvKR/wjiSi2&#10;u/UB06L/wS9m9KDq8qZWKimxC8RKObJj+P/WmzyFqq3+CmV3h1mHvKlpontCPUHKjrUlKeyViPjK&#10;PApJ6hKr6ZAHhA6ccS5MGKekvmKl+FvOBBiRJVYwYPcAvxZzwO4o6P1jqEhdOwSPuux/Ch4iUmYw&#10;YQjWtQH3FoDCqvrMnT9SdkJNFEO7bpGbgk6iZ7xZQ7l/cMRBN0Xe8psa/+wt8+GBORwbHDBcBeEe&#10;D6mgKSj0EiUVuB9v3Ud/7Ga0UtLgGBbUf98yJyhRXwz2+afxZBLnNimT6UWOiju1rE8tZqtXgJ0y&#10;xqVjeRKjf1AHUTrQL7gxljErmpjhmLugPLiDsgrdesCdw8VymdxwVi0Lt+bJ8ggeeY5N+9y+MGf7&#10;9g44GHdwGFk2e9XgnW+MNLDcBpB16v4jr/0fwDlP7dvvpLhITvXkddyci58AAAD//wMAUEsDBBQA&#10;BgAIAAAAIQCMiZRo3wAAAAoBAAAPAAAAZHJzL2Rvd25yZXYueG1sTE/LTsMwELwj8Q/WInFB1AH6&#10;CCFOhQocKtRDSyWu23hJIuJ1FDtt4OtZTnBazc5oHvlydK06Uh8azwZuJgko4tLbhisD+7eX6xRU&#10;iMgWW89k4IsCLIvzsxwz60+8peMuVkpMOGRooI6xy7QOZU0Ow8R3xMJ9+N5hFNhX2vZ4EnPX6tsk&#10;mWuHDUtCjR2taio/d4MzoO+/06dqmK827+vndbl5pY63V8ZcXoyPD6AijfFPDL/1pToU0ungB7ZB&#10;tYLTmWyJBqZTuSJYJOkM1EGYO/noItf/JxQ/AAAA//8DAFBLAQItABQABgAIAAAAIQC2gziS/gAA&#10;AOEBAAATAAAAAAAAAAAAAAAAAAAAAABbQ29udGVudF9UeXBlc10ueG1sUEsBAi0AFAAGAAgAAAAh&#10;ADj9If/WAAAAlAEAAAsAAAAAAAAAAAAAAAAALwEAAF9yZWxzLy5yZWxzUEsBAi0AFAAGAAgAAAAh&#10;ANkktp6GAgAAgQUAAA4AAAAAAAAAAAAAAAAALgIAAGRycy9lMm9Eb2MueG1sUEsBAi0AFAAGAAgA&#10;AAAhAIyJlGjfAAAACgEAAA8AAAAAAAAAAAAAAAAA4AQAAGRycy9kb3ducmV2LnhtbFBLBQYAAAAA&#10;BAAEAPMAAADsBQAAAAA=&#10;" fillcolor="#747070 [1614]" strokecolor="#00161f [1604]" strokeweight="1pt">
                <v:stroke joinstyle="miter"/>
                <v:textbox>
                  <w:txbxContent>
                    <w:p w14:paraId="77685CFC" w14:textId="40719E03" w:rsidR="00F70F89" w:rsidRPr="00F70F89" w:rsidRDefault="00F70F89" w:rsidP="00F70F89">
                      <w:pPr>
                        <w:rPr>
                          <w:b/>
                          <w:bCs/>
                        </w:rPr>
                      </w:pPr>
                      <w:r>
                        <w:rPr>
                          <w:b/>
                          <w:bCs/>
                        </w:rPr>
                        <w:t>The organisation is required to provide its policy and process for assessing skills assessment applications.</w:t>
                      </w:r>
                    </w:p>
                  </w:txbxContent>
                </v:textbox>
                <w10:wrap anchorx="margin"/>
              </v:roundrect>
            </w:pict>
          </mc:Fallback>
        </mc:AlternateContent>
      </w:r>
      <w:r w:rsidR="009A44DD" w:rsidRPr="00EB5E43">
        <w:rPr>
          <w:rStyle w:val="Heading4Char"/>
          <w:b/>
          <w:bCs/>
          <w:sz w:val="22"/>
          <w:szCs w:val="18"/>
        </w:rPr>
        <w:t>3.4.6.</w:t>
      </w:r>
      <w:r w:rsidR="009A44DD" w:rsidRPr="00EB5E43">
        <w:rPr>
          <w:b/>
          <w:color w:val="2A7DB2"/>
          <w:sz w:val="18"/>
          <w:szCs w:val="18"/>
        </w:rPr>
        <w:t xml:space="preserve"> </w:t>
      </w:r>
      <w:r w:rsidR="009A44DD">
        <w:t>do not impose unreasonable barriers for recognition</w:t>
      </w:r>
    </w:p>
    <w:p w14:paraId="134E976C" w14:textId="6B50F551" w:rsidR="009A44DD" w:rsidRDefault="009A44DD" w:rsidP="009A44DD">
      <w:pPr>
        <w:ind w:left="495" w:right="30" w:hanging="510"/>
      </w:pPr>
    </w:p>
    <w:p w14:paraId="7E556B58" w14:textId="77777777" w:rsidR="009A44DD" w:rsidRDefault="009A44DD" w:rsidP="002B5A99">
      <w:pPr>
        <w:ind w:left="-5" w:right="1214"/>
      </w:pPr>
    </w:p>
    <w:p w14:paraId="1CE2A80A" w14:textId="77777777" w:rsidR="00F70F89" w:rsidRPr="00EB5E43" w:rsidRDefault="00F70F89" w:rsidP="00F70F89">
      <w:pPr>
        <w:pStyle w:val="Heading4"/>
        <w:rPr>
          <w:b/>
          <w:bCs/>
          <w:color w:val="auto"/>
          <w:sz w:val="22"/>
          <w:szCs w:val="18"/>
        </w:rPr>
      </w:pPr>
      <w:bookmarkStart w:id="17" w:name="_3.5._Review_and"/>
      <w:bookmarkEnd w:id="17"/>
      <w:r w:rsidRPr="00EB5E43">
        <w:rPr>
          <w:b/>
          <w:bCs/>
          <w:color w:val="auto"/>
          <w:sz w:val="22"/>
          <w:szCs w:val="18"/>
        </w:rPr>
        <w:t>3.5. Review and appeal procedure</w:t>
      </w:r>
    </w:p>
    <w:p w14:paraId="3E5546B9" w14:textId="5F512584" w:rsidR="00F70F89" w:rsidRDefault="00F70F89" w:rsidP="00F70F89">
      <w:pPr>
        <w:ind w:left="-5" w:right="30"/>
      </w:pPr>
      <w:r>
        <w:t xml:space="preserve">To ensure the probity of the decision-making process, an assessing authority must have procedures for an internal review and external appeal for skills assessment applicants on matters relating to their assessment. </w:t>
      </w:r>
    </w:p>
    <w:p w14:paraId="6886FECC" w14:textId="4855678A" w:rsidR="00F70F89" w:rsidRPr="00EB5E43" w:rsidRDefault="00F70F89" w:rsidP="00F70F89">
      <w:pPr>
        <w:pStyle w:val="Heading8"/>
        <w:ind w:left="-5"/>
        <w:rPr>
          <w:b/>
          <w:bCs/>
        </w:rPr>
      </w:pPr>
      <w:r w:rsidRPr="00EB5E43">
        <w:rPr>
          <w:rStyle w:val="Heading4Char"/>
          <w:b/>
          <w:bCs/>
          <w:sz w:val="22"/>
          <w:szCs w:val="18"/>
        </w:rPr>
        <w:t>3.5.1. Internal review</w:t>
      </w:r>
    </w:p>
    <w:p w14:paraId="1DE9BEEA" w14:textId="77777777" w:rsidR="00F70F89" w:rsidRDefault="00F70F89" w:rsidP="00F70F89">
      <w:pPr>
        <w:ind w:left="-5" w:right="30"/>
      </w:pPr>
      <w:r>
        <w:t>An internal review process involves a more senior officer within the assessing authority, who was not involved in processing the original application, reviewing the original skills assessment decision to ensure that no errors have been made in the skills assessment or administration of the application. An applicant requesting a review of a decision may provide new evidence. However, where an applicant for a review submits new evidence that causes the original decision to be overturned, the assessing authority has the discretion not to refund the review fee.</w:t>
      </w:r>
    </w:p>
    <w:p w14:paraId="79145595" w14:textId="77777777" w:rsidR="00F23415" w:rsidRDefault="00F23415" w:rsidP="00F23415">
      <w:pPr>
        <w:ind w:left="-5" w:right="159"/>
      </w:pPr>
      <w:r>
        <w:t>The internal review procedure should clearly set out the procedure for requesting a review of an assessment outcome. The procedure should:</w:t>
      </w:r>
    </w:p>
    <w:p w14:paraId="1C241BB5" w14:textId="77777777" w:rsidR="00F23415" w:rsidRDefault="00F23415" w:rsidP="00F23415">
      <w:pPr>
        <w:pStyle w:val="ListParagraph"/>
        <w:numPr>
          <w:ilvl w:val="0"/>
          <w:numId w:val="27"/>
        </w:numPr>
        <w:spacing w:after="67" w:line="240" w:lineRule="auto"/>
        <w:ind w:left="426" w:right="-17" w:hanging="357"/>
      </w:pPr>
      <w:r>
        <w:t xml:space="preserve">advise that a request for an internal review of a decision should be received within a reasonable timeframe of the decision being made </w:t>
      </w:r>
    </w:p>
    <w:p w14:paraId="3047BBDB" w14:textId="77777777" w:rsidR="00F23415" w:rsidRDefault="00F23415" w:rsidP="00F23415">
      <w:pPr>
        <w:pStyle w:val="ListParagraph"/>
        <w:numPr>
          <w:ilvl w:val="0"/>
          <w:numId w:val="27"/>
        </w:numPr>
        <w:spacing w:after="67" w:line="240" w:lineRule="auto"/>
        <w:ind w:left="426" w:right="-17" w:hanging="357"/>
      </w:pPr>
      <w:r>
        <w:t xml:space="preserve">advise that the assessing authority will make a review decision within a reasonable timeframe </w:t>
      </w:r>
    </w:p>
    <w:p w14:paraId="4AFE96E0" w14:textId="77777777" w:rsidR="00F23415" w:rsidRDefault="00F23415" w:rsidP="00F23415">
      <w:pPr>
        <w:pStyle w:val="ListParagraph"/>
        <w:numPr>
          <w:ilvl w:val="0"/>
          <w:numId w:val="27"/>
        </w:numPr>
        <w:spacing w:after="67" w:line="240" w:lineRule="auto"/>
        <w:ind w:left="426" w:right="-17" w:hanging="357"/>
      </w:pPr>
      <w:r>
        <w:t>explain the review will be undertaken by a more senior officer within the assessing authority who was not involved in the original decision, and</w:t>
      </w:r>
    </w:p>
    <w:p w14:paraId="23EEF2CF" w14:textId="77777777" w:rsidR="00F23415" w:rsidRDefault="00F23415" w:rsidP="00F23415">
      <w:pPr>
        <w:pStyle w:val="ListParagraph"/>
        <w:numPr>
          <w:ilvl w:val="0"/>
          <w:numId w:val="27"/>
        </w:numPr>
        <w:spacing w:after="67" w:line="240" w:lineRule="auto"/>
        <w:ind w:left="426" w:right="-17" w:hanging="357"/>
      </w:pPr>
      <w:r>
        <w:t>advise that a written notice of a review decision outcome will be given to the applicant, with the notice to include:</w:t>
      </w:r>
    </w:p>
    <w:p w14:paraId="20E5A41A" w14:textId="77777777" w:rsidR="00F23415" w:rsidRDefault="00F23415" w:rsidP="00F23415">
      <w:pPr>
        <w:numPr>
          <w:ilvl w:val="1"/>
          <w:numId w:val="28"/>
        </w:numPr>
        <w:spacing w:after="75" w:line="259" w:lineRule="auto"/>
        <w:ind w:left="709" w:right="30" w:hanging="227"/>
      </w:pPr>
      <w:r>
        <w:t>the reasons for the decision</w:t>
      </w:r>
    </w:p>
    <w:p w14:paraId="24D53610" w14:textId="77777777" w:rsidR="00F23415" w:rsidRDefault="00F23415" w:rsidP="00F23415">
      <w:pPr>
        <w:numPr>
          <w:ilvl w:val="1"/>
          <w:numId w:val="28"/>
        </w:numPr>
        <w:spacing w:after="75" w:line="259" w:lineRule="auto"/>
        <w:ind w:left="709" w:right="30" w:hanging="227"/>
      </w:pPr>
      <w:r>
        <w:t>advice about how to appeal the decision, and</w:t>
      </w:r>
    </w:p>
    <w:p w14:paraId="2287DBA1" w14:textId="77777777" w:rsidR="00F23415" w:rsidRDefault="00F23415" w:rsidP="00F23415">
      <w:pPr>
        <w:numPr>
          <w:ilvl w:val="1"/>
          <w:numId w:val="28"/>
        </w:numPr>
        <w:spacing w:after="113" w:line="259" w:lineRule="auto"/>
        <w:ind w:left="709" w:right="30" w:hanging="227"/>
      </w:pPr>
      <w:r>
        <w:t>feedback to unsuccessful applicants on how their skills assessment outcome was determined and what options are now open to them.</w:t>
      </w:r>
    </w:p>
    <w:p w14:paraId="510184D5" w14:textId="77777777" w:rsidR="00F23415" w:rsidRDefault="00F23415" w:rsidP="00F23415">
      <w:pPr>
        <w:ind w:left="-5" w:right="177"/>
      </w:pPr>
      <w:r>
        <w:t>If the review identifies that an error has been made that affects the skills assessment decision, the applicant should be issued a revised skills assessment outcome.</w:t>
      </w:r>
    </w:p>
    <w:p w14:paraId="4251B4F2" w14:textId="25A56171" w:rsidR="00F23415" w:rsidRDefault="00F23415" w:rsidP="00F23415">
      <w:pPr>
        <w:ind w:left="-5" w:right="30"/>
      </w:pPr>
      <w:r>
        <w:t xml:space="preserve">Charging an applicant for an internal review may constitute an unreasonable barrier. For clarification on what may constitute an unreasonable barrier, please refer to </w:t>
      </w:r>
      <w:hyperlink w:anchor="_4._Unreasonable_barriers" w:history="1">
        <w:r w:rsidR="000B0769" w:rsidRPr="000B0769">
          <w:rPr>
            <w:rStyle w:val="Hyperlink"/>
            <w:b/>
            <w:bCs/>
          </w:rPr>
          <w:t>Section 4 – Unreasonable barriers</w:t>
        </w:r>
      </w:hyperlink>
      <w:r>
        <w:t>.</w:t>
      </w:r>
    </w:p>
    <w:p w14:paraId="2E22572D" w14:textId="77777777" w:rsidR="00FC1F8C" w:rsidRPr="00EB5E43" w:rsidRDefault="00FC1F8C" w:rsidP="00FC1F8C">
      <w:pPr>
        <w:pStyle w:val="Heading4"/>
        <w:rPr>
          <w:b/>
          <w:bCs/>
        </w:rPr>
      </w:pPr>
      <w:r w:rsidRPr="00EB5E43">
        <w:rPr>
          <w:b/>
          <w:bCs/>
          <w:sz w:val="22"/>
          <w:szCs w:val="18"/>
        </w:rPr>
        <w:t>3.5.2. External appeal</w:t>
      </w:r>
    </w:p>
    <w:p w14:paraId="76772193" w14:textId="77777777" w:rsidR="00FC1F8C" w:rsidRDefault="00FC1F8C" w:rsidP="00FC1F8C">
      <w:pPr>
        <w:ind w:left="-5" w:right="1278"/>
      </w:pPr>
      <w:r>
        <w:t xml:space="preserve">An external appeal process involves an independent assessor or advisory re-assessing the application. The independent assessor should have expertise in the nominated occupation, for example through being a practitioner, academic or regulatory/professional body representative, whose primary role is not with the assessing authority. </w:t>
      </w:r>
    </w:p>
    <w:p w14:paraId="53500880" w14:textId="77777777" w:rsidR="00FC1F8C" w:rsidRDefault="00FC1F8C" w:rsidP="00FC1F8C">
      <w:pPr>
        <w:ind w:left="-5" w:right="618"/>
      </w:pPr>
      <w:r>
        <w:t>The external appeal procedure should clearly set out the process for requesting an appeal of an internal review outcome. The procedure should:</w:t>
      </w:r>
    </w:p>
    <w:p w14:paraId="4062F955" w14:textId="77777777" w:rsidR="00FC1F8C" w:rsidRDefault="00FC1F8C" w:rsidP="00FC1F8C">
      <w:pPr>
        <w:pStyle w:val="ListParagraph"/>
        <w:numPr>
          <w:ilvl w:val="0"/>
          <w:numId w:val="27"/>
        </w:numPr>
        <w:spacing w:after="67" w:line="240" w:lineRule="auto"/>
        <w:ind w:left="426" w:right="-17" w:hanging="357"/>
      </w:pPr>
      <w:r>
        <w:t>explain the process for making an appeal</w:t>
      </w:r>
    </w:p>
    <w:p w14:paraId="3003FBC2" w14:textId="77777777" w:rsidR="00FC1F8C" w:rsidRDefault="00FC1F8C" w:rsidP="00FC1F8C">
      <w:pPr>
        <w:pStyle w:val="ListParagraph"/>
        <w:numPr>
          <w:ilvl w:val="0"/>
          <w:numId w:val="27"/>
        </w:numPr>
        <w:spacing w:after="67" w:line="240" w:lineRule="auto"/>
        <w:ind w:left="426" w:right="-17" w:hanging="357"/>
      </w:pPr>
      <w:r>
        <w:t>advise the applicant that each party to the appeal may be accompanied or assisted by another person at the applicant’s cost, and</w:t>
      </w:r>
    </w:p>
    <w:p w14:paraId="23DE1F10" w14:textId="61E05F03" w:rsidR="00FC1F8C" w:rsidRDefault="00FC1F8C" w:rsidP="00FC1F8C">
      <w:pPr>
        <w:pStyle w:val="ListParagraph"/>
        <w:numPr>
          <w:ilvl w:val="0"/>
          <w:numId w:val="27"/>
        </w:numPr>
        <w:spacing w:after="67" w:line="240" w:lineRule="auto"/>
        <w:ind w:left="426" w:right="-17" w:hanging="357"/>
      </w:pPr>
      <w:r>
        <w:t xml:space="preserve">advise the </w:t>
      </w:r>
      <w:r w:rsidR="009137C1">
        <w:t xml:space="preserve">applicant that the </w:t>
      </w:r>
      <w:r>
        <w:t>independent assessor will provide a written notice of the appeal decision that includes the reasons for an unfavourable decision, if applicable.</w:t>
      </w:r>
    </w:p>
    <w:p w14:paraId="7BDA4626" w14:textId="2D2ABD6D" w:rsidR="00FC1F8C" w:rsidRDefault="008B3EB1" w:rsidP="00F23415">
      <w:pPr>
        <w:ind w:left="-5" w:right="30"/>
      </w:pPr>
      <w:r>
        <w:rPr>
          <w:noProof/>
        </w:rPr>
        <mc:AlternateContent>
          <mc:Choice Requires="wps">
            <w:drawing>
              <wp:anchor distT="0" distB="0" distL="114300" distR="114300" simplePos="0" relativeHeight="251666432" behindDoc="0" locked="0" layoutInCell="1" allowOverlap="1" wp14:anchorId="263DC3F8" wp14:editId="41FE406C">
                <wp:simplePos x="0" y="0"/>
                <wp:positionH relativeFrom="margin">
                  <wp:posOffset>890270</wp:posOffset>
                </wp:positionH>
                <wp:positionV relativeFrom="paragraph">
                  <wp:posOffset>139065</wp:posOffset>
                </wp:positionV>
                <wp:extent cx="3295650" cy="571500"/>
                <wp:effectExtent l="0" t="0" r="19050" b="19050"/>
                <wp:wrapNone/>
                <wp:docPr id="6" name="Rectangle: Rounded Corners 6"/>
                <wp:cNvGraphicFramePr/>
                <a:graphic xmlns:a="http://schemas.openxmlformats.org/drawingml/2006/main">
                  <a:graphicData uri="http://schemas.microsoft.com/office/word/2010/wordprocessingShape">
                    <wps:wsp>
                      <wps:cNvSpPr/>
                      <wps:spPr>
                        <a:xfrm>
                          <a:off x="0" y="0"/>
                          <a:ext cx="3295650" cy="571500"/>
                        </a:xfrm>
                        <a:prstGeom prst="roundRect">
                          <a:avLst/>
                        </a:prstGeom>
                        <a:solidFill>
                          <a:schemeClr val="bg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ACAB2A" w14:textId="0A791326" w:rsidR="00FC1F8C" w:rsidRPr="00FC1F8C" w:rsidRDefault="00FC1F8C" w:rsidP="00FC1F8C">
                            <w:pPr>
                              <w:rPr>
                                <w:b/>
                                <w:bCs/>
                              </w:rPr>
                            </w:pPr>
                            <w:r>
                              <w:rPr>
                                <w:b/>
                                <w:bCs/>
                              </w:rPr>
                              <w:t>The organisation is required to provide a copy of its review and appeal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DC3F8" id="Rectangle: Rounded Corners 6" o:spid="_x0000_s1031" style="position:absolute;left:0;text-align:left;margin-left:70.1pt;margin-top:10.95pt;width:259.5pt;height: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mhQIAAIEFAAAOAAAAZHJzL2Uyb0RvYy54bWysVMFu2zAMvQ/YPwi6r06ypl2DOkXQosOA&#10;rg3aDj0rshQLkERNUmJnXz9KdpysKzZg2MUmRfJRfCJ5edUaTbbCBwW2pOOTESXCcqiUXZf02/Pt&#10;h0+UhMhsxTRYUdKdCPRq/v7dZeNmYgI16Ep4giA2zBpX0jpGNyuKwGthWDgBJywaJXjDIqp+XVSe&#10;NYhudDEZjc6KBnzlPHARAp7edEY6z/hSCh4fpAwiEl1SvFvMX5+/q/Qt5pdstvbM1Yr312D/cAvD&#10;lMWkA9QNi4xsvPoNyijuIYCMJxxMAVIqLnINWM149Kqap5o5kWtBcoIbaAr/D5bfb5/c0iMNjQuz&#10;gGKqopXepD/ej7SZrN1Almgj4Xj4cXIxPZsipxxt0/PxdJTZLA7Rzof4WYAhSSiph42tHvFFMlFs&#10;excipkX/vV/KGECr6lZpnZXUBeJae7Jl+H6r9SSH6o35ClV3hlmHvLlpkntGPUIqDrVlKe60SPja&#10;PgpJVIXVdMgDQgfOOBc2jnPSULNK/C1nBkzIEisYsHuAX4vZY3cU9P4pVOSuHYJHXfY/BQ8ROTPY&#10;OAQbZcG/BaCxqj5z54+UHVGTxNiuWuQG3zZ5ppMVVLulJx66KQqO3yp82TsW4pJ5HBtsBlwF8QE/&#10;UkNTUuglSmrwP946T/7YzWilpMExLGn4vmFeUKK/WOzzi/HpaZrbrJxOzyeo+GPL6thiN+YasFPG&#10;uHQcz2Lyj3ovSg/mBTfGImVFE7Mcc5eUR79XrmO3HnDncLFYZDecVcfinX1yPIEnnlPTPrcvzLu+&#10;vSMOxj3sR5bNXjV455siLSw2EaTK3X/gtX8BnPPcvv1OSovkWM9eh805/wkAAP//AwBQSwMEFAAG&#10;AAgAAAAhAPo0xm/fAAAACgEAAA8AAABkcnMvZG93bnJldi54bWxMj01Lw0AQhu9C/8MyBS9iNwka&#10;mphNKa0eivTQKnjdZsckmJ0N2U0b/fWOp3p8P3jnmWI12U6ccfCtIwXxIgKBVDnTUq3g/e3lfgnC&#10;B01Gd45QwTd6WJWzm0Lnxl3ogOdjqAWPkM+1giaEPpfSVw1a7ReuR+Ls0w1WB5ZDLc2gLzxuO5lE&#10;USqtbokvNLrHTYPV13G0CmT2s9zWY7rZf+yed9X+FXs63Cl1O5/WTyACTuFahj98RoeSmU5uJONF&#10;x/ohSriqIIkzEFxIHzM2TpzE7MiykP9fKH8BAAD//wMAUEsBAi0AFAAGAAgAAAAhALaDOJL+AAAA&#10;4QEAABMAAAAAAAAAAAAAAAAAAAAAAFtDb250ZW50X1R5cGVzXS54bWxQSwECLQAUAAYACAAAACEA&#10;OP0h/9YAAACUAQAACwAAAAAAAAAAAAAAAAAvAQAAX3JlbHMvLnJlbHNQSwECLQAUAAYACAAAACEA&#10;xs/65oUCAACBBQAADgAAAAAAAAAAAAAAAAAuAgAAZHJzL2Uyb0RvYy54bWxQSwECLQAUAAYACAAA&#10;ACEA+jTGb98AAAAKAQAADwAAAAAAAAAAAAAAAADfBAAAZHJzL2Rvd25yZXYueG1sUEsFBgAAAAAE&#10;AAQA8wAAAOsFAAAAAA==&#10;" fillcolor="#747070 [1614]" strokecolor="#00161f [1604]" strokeweight="1pt">
                <v:stroke joinstyle="miter"/>
                <v:textbox>
                  <w:txbxContent>
                    <w:p w14:paraId="54ACAB2A" w14:textId="0A791326" w:rsidR="00FC1F8C" w:rsidRPr="00FC1F8C" w:rsidRDefault="00FC1F8C" w:rsidP="00FC1F8C">
                      <w:pPr>
                        <w:rPr>
                          <w:b/>
                          <w:bCs/>
                        </w:rPr>
                      </w:pPr>
                      <w:r>
                        <w:rPr>
                          <w:b/>
                          <w:bCs/>
                        </w:rPr>
                        <w:t>The organisation is required to provide a copy of its review and appeal procedures.</w:t>
                      </w:r>
                    </w:p>
                  </w:txbxContent>
                </v:textbox>
                <w10:wrap anchorx="margin"/>
              </v:roundrect>
            </w:pict>
          </mc:Fallback>
        </mc:AlternateContent>
      </w:r>
    </w:p>
    <w:p w14:paraId="42456D4B" w14:textId="17AB9974" w:rsidR="002B5A99" w:rsidRDefault="002B5A99" w:rsidP="0038318C">
      <w:pPr>
        <w:ind w:left="495" w:right="634" w:hanging="510"/>
      </w:pPr>
    </w:p>
    <w:p w14:paraId="5B907573" w14:textId="20DE0C1E" w:rsidR="001468CE" w:rsidRDefault="001468CE">
      <w:pPr>
        <w:spacing w:after="160" w:line="259" w:lineRule="auto"/>
      </w:pPr>
      <w:r>
        <w:br w:type="page"/>
      </w:r>
    </w:p>
    <w:p w14:paraId="1D266AE2" w14:textId="1055D83D" w:rsidR="00E113A7" w:rsidRPr="001468CE" w:rsidRDefault="00FC1F8C" w:rsidP="00FC1F8C">
      <w:pPr>
        <w:pStyle w:val="Heading2"/>
        <w:rPr>
          <w:sz w:val="40"/>
          <w:szCs w:val="40"/>
        </w:rPr>
      </w:pPr>
      <w:bookmarkStart w:id="18" w:name="_Toc117596796"/>
      <w:r w:rsidRPr="001468CE">
        <w:rPr>
          <w:sz w:val="40"/>
          <w:szCs w:val="40"/>
        </w:rPr>
        <w:t xml:space="preserve">Part </w:t>
      </w:r>
      <w:r w:rsidR="0038318C" w:rsidRPr="001468CE">
        <w:rPr>
          <w:sz w:val="40"/>
          <w:szCs w:val="40"/>
        </w:rPr>
        <w:t>Two</w:t>
      </w:r>
      <w:r w:rsidRPr="001468CE">
        <w:rPr>
          <w:sz w:val="40"/>
          <w:szCs w:val="40"/>
        </w:rPr>
        <w:t>: Retaining assessing authority approval</w:t>
      </w:r>
      <w:bookmarkEnd w:id="18"/>
    </w:p>
    <w:p w14:paraId="6D1774CB" w14:textId="77777777" w:rsidR="00FC1F8C" w:rsidRPr="00FC1F8C" w:rsidRDefault="00FC1F8C" w:rsidP="00FC1F8C">
      <w:pPr>
        <w:spacing w:after="240" w:line="249" w:lineRule="auto"/>
        <w:ind w:left="-5"/>
      </w:pPr>
      <w:r w:rsidRPr="00FC1F8C">
        <w:t>This part of the Guidelines provides information for approved assessing authorities to assist them in meeting ongoing approval requirements.</w:t>
      </w:r>
    </w:p>
    <w:p w14:paraId="4CC358A4" w14:textId="5684D4AC" w:rsidR="00FC1F8C" w:rsidRDefault="00FC1F8C" w:rsidP="00FC1F8C">
      <w:pPr>
        <w:pStyle w:val="Heading2"/>
      </w:pPr>
      <w:bookmarkStart w:id="19" w:name="_4._Unreasonable_barriers"/>
      <w:bookmarkStart w:id="20" w:name="_Toc117596797"/>
      <w:bookmarkEnd w:id="19"/>
      <w:r>
        <w:t>4. Unreasonable barriers</w:t>
      </w:r>
      <w:bookmarkEnd w:id="20"/>
      <w:r>
        <w:t xml:space="preserve"> </w:t>
      </w:r>
    </w:p>
    <w:p w14:paraId="7F75FF7C" w14:textId="1CAF925F" w:rsidR="002D2EBF" w:rsidRDefault="002D2EBF" w:rsidP="002D2EBF">
      <w:pPr>
        <w:spacing w:after="114"/>
        <w:ind w:left="-5" w:right="30"/>
      </w:pPr>
      <w:r>
        <w:t xml:space="preserve">The skilled stream of Australia’s migration program is designed to attract migrants who can make a significant contribution to the Australian economy and fill positions where Australian workers are unavailable.  </w:t>
      </w:r>
    </w:p>
    <w:p w14:paraId="6CD7273D" w14:textId="77777777" w:rsidR="002D2EBF" w:rsidRDefault="002D2EBF" w:rsidP="002D2EBF">
      <w:pPr>
        <w:spacing w:after="114"/>
        <w:ind w:left="-5" w:right="30"/>
      </w:pPr>
      <w:r>
        <w:t xml:space="preserve">The skilled stream also plays an important role in regional development through providing skills and expertise that cannot be sourced locally, as well as encouraging investment and promoting local spending in regional areas. </w:t>
      </w:r>
    </w:p>
    <w:p w14:paraId="40DFBFF9" w14:textId="6593BCAF" w:rsidR="00FC1F8C" w:rsidRDefault="002D2EBF" w:rsidP="002D2EBF">
      <w:r>
        <w:t>Assessing authorities must not impose unreasonable barriers on, or act in an opportunistic way with, potential migrants that may compromise the skilled stream of the migration program. Demands that are immoderate, exorbitant, or arbitrary may discourage applications.</w:t>
      </w:r>
    </w:p>
    <w:p w14:paraId="7521841B" w14:textId="77777777" w:rsidR="002D2EBF" w:rsidRPr="00454488" w:rsidRDefault="002D2EBF" w:rsidP="002D2EBF">
      <w:pPr>
        <w:pStyle w:val="Heading4"/>
        <w:spacing w:after="114"/>
        <w:ind w:left="-5"/>
        <w:rPr>
          <w:b/>
          <w:bCs/>
          <w:color w:val="auto"/>
          <w:sz w:val="22"/>
          <w:szCs w:val="18"/>
        </w:rPr>
      </w:pPr>
      <w:r w:rsidRPr="00454488">
        <w:rPr>
          <w:b/>
          <w:bCs/>
          <w:color w:val="auto"/>
          <w:sz w:val="22"/>
          <w:szCs w:val="18"/>
        </w:rPr>
        <w:t>4.1 Fee increases</w:t>
      </w:r>
    </w:p>
    <w:p w14:paraId="21D60256" w14:textId="18A11DBB" w:rsidR="002D2EBF" w:rsidRDefault="002D2EBF" w:rsidP="002D2EBF">
      <w:pPr>
        <w:spacing w:after="114"/>
        <w:ind w:left="-5" w:right="613"/>
      </w:pPr>
      <w:r>
        <w:t xml:space="preserve">The department acknowledges that fee increases may be necessary from time to time. Skilled migration assessment fees should be set at a level commensurate with the cost of providing skills assessments and that do not represent an unreasonable barrier to a person applying for this service. The Department expects that fee increases generally would align with the Consumer Price Index (CPI). Where proposed fee increases exceed CPI, assessing authorities should provide justification for the increases. </w:t>
      </w:r>
    </w:p>
    <w:p w14:paraId="120A458A" w14:textId="77777777" w:rsidR="002D2EBF" w:rsidRDefault="002D2EBF" w:rsidP="002D2EBF">
      <w:pPr>
        <w:spacing w:after="114"/>
        <w:ind w:left="-5" w:right="30"/>
      </w:pPr>
      <w:r>
        <w:t xml:space="preserve">To avoid significant fee increases, the department recommends that assessing authorities review their fees regularly, ideally on an annual basis. </w:t>
      </w:r>
    </w:p>
    <w:p w14:paraId="2F1A741C" w14:textId="1BE05CB8" w:rsidR="002D2EBF" w:rsidRDefault="002D2EBF" w:rsidP="002D2EBF">
      <w:pPr>
        <w:spacing w:after="114"/>
        <w:ind w:left="-5" w:right="116"/>
      </w:pPr>
      <w:r>
        <w:t xml:space="preserve">To notify the Department of any fee increases, assessing authorities should send an email to </w:t>
      </w:r>
      <w:r w:rsidRPr="00454488">
        <w:rPr>
          <w:color w:val="669900"/>
          <w:u w:val="single" w:color="2A7DB2"/>
        </w:rPr>
        <w:t>AAQA@de</w:t>
      </w:r>
      <w:r w:rsidR="00836762">
        <w:rPr>
          <w:color w:val="669900"/>
          <w:u w:val="single" w:color="2A7DB2"/>
        </w:rPr>
        <w:t>wr</w:t>
      </w:r>
      <w:r w:rsidRPr="00454488">
        <w:rPr>
          <w:color w:val="669900"/>
          <w:u w:val="single" w:color="2A7DB2"/>
        </w:rPr>
        <w:t>.gov.au</w:t>
      </w:r>
      <w:r w:rsidRPr="00454488">
        <w:rPr>
          <w:color w:val="669900"/>
        </w:rPr>
        <w:t xml:space="preserve"> </w:t>
      </w:r>
      <w:r>
        <w:t>with the subject line “Notification of Fee Increases”, not less than three months prior to the intended implementation date. The notification should set out the reasons for the fee increases and attach a schedule of the new fees.</w:t>
      </w:r>
    </w:p>
    <w:p w14:paraId="24E519C2" w14:textId="7F19776F" w:rsidR="002D2EBF" w:rsidRDefault="002D2EBF" w:rsidP="002D2EBF">
      <w:pPr>
        <w:spacing w:after="114"/>
        <w:ind w:left="-5" w:right="30"/>
      </w:pPr>
      <w:r>
        <w:t xml:space="preserve">Where relevant fees must be published in a legislative instrument, the assessing authority should justify any significant fee increases with a detailed explanation. </w:t>
      </w:r>
    </w:p>
    <w:p w14:paraId="12EA5CBB" w14:textId="77777777" w:rsidR="002D2EBF" w:rsidRPr="00454488" w:rsidRDefault="002D2EBF" w:rsidP="002D2EBF">
      <w:pPr>
        <w:pStyle w:val="Heading4"/>
        <w:spacing w:after="114"/>
        <w:ind w:left="-5"/>
        <w:rPr>
          <w:b/>
          <w:bCs/>
          <w:color w:val="auto"/>
          <w:sz w:val="22"/>
        </w:rPr>
      </w:pPr>
      <w:r w:rsidRPr="00454488">
        <w:rPr>
          <w:b/>
          <w:bCs/>
          <w:color w:val="auto"/>
          <w:sz w:val="22"/>
        </w:rPr>
        <w:t>4.2 Requests for documents</w:t>
      </w:r>
    </w:p>
    <w:p w14:paraId="43F42556" w14:textId="77777777" w:rsidR="002D2EBF" w:rsidRDefault="002D2EBF" w:rsidP="002D2EBF">
      <w:pPr>
        <w:spacing w:after="114"/>
        <w:ind w:left="-5" w:right="30"/>
      </w:pPr>
      <w:r>
        <w:t>Requests for documents that an applicant is unlikely to be able to provide and which are not in accordance with practical realities, would constitute an unreasonable barrier. For example, a demand for documents from a considerable time in the past may exclude some applicants unfairly. Assessing authorities should consider the value and relevance of documents when determining the period to which the requests for documents apply.</w:t>
      </w:r>
    </w:p>
    <w:p w14:paraId="062C0A89" w14:textId="0687E486" w:rsidR="002D2EBF" w:rsidRPr="0038318C" w:rsidRDefault="00454488" w:rsidP="0038318C">
      <w:pPr>
        <w:pStyle w:val="Heading2"/>
      </w:pPr>
      <w:bookmarkStart w:id="21" w:name="_5._Risk_management"/>
      <w:bookmarkStart w:id="22" w:name="_Toc117596798"/>
      <w:bookmarkEnd w:id="21"/>
      <w:r>
        <w:t>5</w:t>
      </w:r>
      <w:r w:rsidR="002D2EBF">
        <w:t>. Risk management</w:t>
      </w:r>
      <w:bookmarkEnd w:id="22"/>
      <w:r w:rsidR="002D2EBF">
        <w:t xml:space="preserve"> </w:t>
      </w:r>
    </w:p>
    <w:p w14:paraId="0A313200" w14:textId="77777777" w:rsidR="00F57DF7" w:rsidRDefault="00F57DF7" w:rsidP="00F57DF7">
      <w:pPr>
        <w:ind w:left="-5" w:right="30"/>
      </w:pPr>
      <w:r>
        <w:t xml:space="preserve">Risk management processes define how an organisation identifies, analyses and manages risk. They outline how the organisation will perform, record and monitor risk management activities, and provide guidelines for recording and prioritising risks. </w:t>
      </w:r>
    </w:p>
    <w:p w14:paraId="1C57EF76" w14:textId="726D9A41" w:rsidR="00F57DF7" w:rsidRDefault="00F57DF7" w:rsidP="00F57DF7">
      <w:pPr>
        <w:spacing w:after="349"/>
        <w:ind w:left="-5" w:right="123"/>
      </w:pPr>
      <w:r>
        <w:t>Fraudulent claims represent a threat to the integrity of the skilled migration program. It is reasonable for assessing authorities to put the onus on the applicant to substantiate their request for a skills assessment with adequate evidence. Assessing authorities may disregard evidence that is unverified and inconsistent with other information. The following sections provide guidance on what constitutes fraud, and how to identify it.</w:t>
      </w:r>
    </w:p>
    <w:p w14:paraId="79F2A351" w14:textId="77777777" w:rsidR="00F57DF7" w:rsidRPr="00454488" w:rsidRDefault="00F57DF7" w:rsidP="00F57DF7">
      <w:pPr>
        <w:pStyle w:val="Heading4"/>
        <w:ind w:left="-5"/>
        <w:rPr>
          <w:b/>
          <w:bCs/>
          <w:color w:val="auto"/>
          <w:sz w:val="22"/>
          <w:szCs w:val="18"/>
        </w:rPr>
      </w:pPr>
      <w:r w:rsidRPr="00454488">
        <w:rPr>
          <w:b/>
          <w:bCs/>
          <w:color w:val="auto"/>
          <w:sz w:val="22"/>
          <w:szCs w:val="18"/>
        </w:rPr>
        <w:t>5.1 Fraudulent claims</w:t>
      </w:r>
    </w:p>
    <w:p w14:paraId="6C704DBD" w14:textId="77777777" w:rsidR="00F57DF7" w:rsidRDefault="00F57DF7" w:rsidP="00F57DF7">
      <w:pPr>
        <w:spacing w:after="70"/>
        <w:ind w:left="-5" w:right="30"/>
      </w:pPr>
      <w:r>
        <w:t>Fraudulent claims occur when a skills assessment applicant makes false or deliberately misleading claims in an application. Examples include:</w:t>
      </w:r>
    </w:p>
    <w:p w14:paraId="2B633A7B" w14:textId="77777777" w:rsidR="00F57DF7" w:rsidRDefault="00F57DF7" w:rsidP="00F57DF7">
      <w:pPr>
        <w:pStyle w:val="ListParagraph"/>
        <w:numPr>
          <w:ilvl w:val="0"/>
          <w:numId w:val="27"/>
        </w:numPr>
        <w:spacing w:after="67" w:line="240" w:lineRule="auto"/>
        <w:ind w:left="426" w:right="-17" w:hanging="357"/>
      </w:pPr>
      <w:r>
        <w:t xml:space="preserve">providing a false statement or misrepresenting the truth in an application </w:t>
      </w:r>
    </w:p>
    <w:p w14:paraId="18C74D0A" w14:textId="77777777" w:rsidR="00F57DF7" w:rsidRDefault="00F57DF7" w:rsidP="00F57DF7">
      <w:pPr>
        <w:pStyle w:val="ListParagraph"/>
        <w:numPr>
          <w:ilvl w:val="0"/>
          <w:numId w:val="27"/>
        </w:numPr>
        <w:spacing w:after="67" w:line="240" w:lineRule="auto"/>
        <w:ind w:left="426" w:right="-17" w:hanging="357"/>
      </w:pPr>
      <w:r>
        <w:t xml:space="preserve">not declaring previous relevant adverse information, or </w:t>
      </w:r>
    </w:p>
    <w:p w14:paraId="30E32FA2" w14:textId="1D3DB38D" w:rsidR="00F57DF7" w:rsidRDefault="00F57DF7" w:rsidP="00F57DF7">
      <w:pPr>
        <w:pStyle w:val="ListParagraph"/>
        <w:numPr>
          <w:ilvl w:val="0"/>
          <w:numId w:val="27"/>
        </w:numPr>
        <w:spacing w:after="67" w:line="240" w:lineRule="auto"/>
        <w:ind w:left="426" w:right="-17" w:hanging="357"/>
      </w:pPr>
      <w:r>
        <w:t>deliberately not answering an application question.</w:t>
      </w:r>
    </w:p>
    <w:p w14:paraId="2EC497E2" w14:textId="77777777" w:rsidR="00F57DF7" w:rsidRPr="00454488" w:rsidRDefault="00F57DF7" w:rsidP="00F57DF7">
      <w:pPr>
        <w:pStyle w:val="Heading4"/>
        <w:rPr>
          <w:b/>
          <w:bCs/>
          <w:color w:val="auto"/>
          <w:sz w:val="22"/>
          <w:szCs w:val="18"/>
        </w:rPr>
      </w:pPr>
      <w:r w:rsidRPr="00454488">
        <w:rPr>
          <w:b/>
          <w:bCs/>
          <w:color w:val="auto"/>
          <w:sz w:val="22"/>
          <w:szCs w:val="18"/>
        </w:rPr>
        <w:t>5.2 Risk indicators</w:t>
      </w:r>
    </w:p>
    <w:p w14:paraId="47038468" w14:textId="77777777" w:rsidR="00F57DF7" w:rsidRDefault="00F57DF7" w:rsidP="00F57DF7">
      <w:pPr>
        <w:spacing w:after="70"/>
        <w:ind w:left="-5" w:right="977"/>
      </w:pPr>
      <w:r>
        <w:t>Risk indicators are warning signs that something might not be right. Further investigation may reveal nothing of concern, or it may expose evidence of fraudulent activity. Examples include:</w:t>
      </w:r>
    </w:p>
    <w:p w14:paraId="6CFB524F" w14:textId="77777777" w:rsidR="00F57DF7" w:rsidRDefault="00F57DF7" w:rsidP="00F57DF7">
      <w:pPr>
        <w:pStyle w:val="ListParagraph"/>
        <w:numPr>
          <w:ilvl w:val="0"/>
          <w:numId w:val="27"/>
        </w:numPr>
        <w:spacing w:after="67" w:line="240" w:lineRule="auto"/>
        <w:ind w:left="426" w:right="-17" w:hanging="357"/>
      </w:pPr>
      <w:r>
        <w:t>illogical or unusual study and/or employment claims</w:t>
      </w:r>
    </w:p>
    <w:p w14:paraId="00919A50" w14:textId="77777777" w:rsidR="00F57DF7" w:rsidRDefault="00F57DF7" w:rsidP="00F57DF7">
      <w:pPr>
        <w:pStyle w:val="ListParagraph"/>
        <w:numPr>
          <w:ilvl w:val="0"/>
          <w:numId w:val="27"/>
        </w:numPr>
        <w:spacing w:after="67" w:line="240" w:lineRule="auto"/>
        <w:ind w:left="426" w:right="-17" w:hanging="357"/>
      </w:pPr>
      <w:r>
        <w:t>spelling and grammar mistakes on official documents</w:t>
      </w:r>
    </w:p>
    <w:p w14:paraId="6CD99B0B" w14:textId="77777777" w:rsidR="00F57DF7" w:rsidRDefault="00F57DF7" w:rsidP="00F57DF7">
      <w:pPr>
        <w:pStyle w:val="ListParagraph"/>
        <w:numPr>
          <w:ilvl w:val="0"/>
          <w:numId w:val="27"/>
        </w:numPr>
        <w:spacing w:after="67" w:line="240" w:lineRule="auto"/>
        <w:ind w:left="426" w:right="-17" w:hanging="357"/>
      </w:pPr>
      <w:r>
        <w:t>overly elaborate documents with multiple fonts and extravagant borders</w:t>
      </w:r>
    </w:p>
    <w:p w14:paraId="731DE6BC" w14:textId="77777777" w:rsidR="00F57DF7" w:rsidRDefault="00F57DF7" w:rsidP="00F57DF7">
      <w:pPr>
        <w:pStyle w:val="ListParagraph"/>
        <w:numPr>
          <w:ilvl w:val="0"/>
          <w:numId w:val="27"/>
        </w:numPr>
        <w:spacing w:after="67" w:line="240" w:lineRule="auto"/>
        <w:ind w:left="426" w:right="-17" w:hanging="357"/>
      </w:pPr>
      <w:r>
        <w:t>content of work references plagiarised from open sources (for example, duties in a work reference copied directly from the ANZSCO website)</w:t>
      </w:r>
    </w:p>
    <w:p w14:paraId="5D29BBB2" w14:textId="77777777" w:rsidR="00F57DF7" w:rsidRDefault="00F57DF7" w:rsidP="00F57DF7">
      <w:pPr>
        <w:pStyle w:val="ListParagraph"/>
        <w:numPr>
          <w:ilvl w:val="0"/>
          <w:numId w:val="27"/>
        </w:numPr>
        <w:spacing w:after="67" w:line="240" w:lineRule="auto"/>
        <w:ind w:left="426" w:right="-17" w:hanging="357"/>
      </w:pPr>
      <w:r>
        <w:t>previously refused applications</w:t>
      </w:r>
    </w:p>
    <w:p w14:paraId="2512902E" w14:textId="77777777" w:rsidR="00F57DF7" w:rsidRDefault="00F57DF7" w:rsidP="00F57DF7">
      <w:pPr>
        <w:pStyle w:val="ListParagraph"/>
        <w:numPr>
          <w:ilvl w:val="0"/>
          <w:numId w:val="27"/>
        </w:numPr>
        <w:spacing w:after="67" w:line="240" w:lineRule="auto"/>
        <w:ind w:left="426" w:right="-17" w:hanging="357"/>
      </w:pPr>
      <w:r>
        <w:t>multiple, different applications with the same information and/or contact details listed</w:t>
      </w:r>
    </w:p>
    <w:p w14:paraId="5431F97F" w14:textId="77777777" w:rsidR="00F57DF7" w:rsidRDefault="00F57DF7" w:rsidP="00F57DF7">
      <w:pPr>
        <w:pStyle w:val="ListParagraph"/>
        <w:numPr>
          <w:ilvl w:val="0"/>
          <w:numId w:val="27"/>
        </w:numPr>
        <w:spacing w:after="67" w:line="240" w:lineRule="auto"/>
        <w:ind w:left="426" w:right="-17" w:hanging="357"/>
      </w:pPr>
      <w:r>
        <w:t>poor quality copies of documents submitted with an application</w:t>
      </w:r>
    </w:p>
    <w:p w14:paraId="1C3D4D3D" w14:textId="55FFD395" w:rsidR="00F57DF7" w:rsidRDefault="00F57DF7" w:rsidP="00F57DF7">
      <w:pPr>
        <w:pStyle w:val="ListParagraph"/>
        <w:numPr>
          <w:ilvl w:val="0"/>
          <w:numId w:val="27"/>
        </w:numPr>
        <w:spacing w:after="67" w:line="240" w:lineRule="auto"/>
        <w:ind w:left="426" w:right="-17" w:hanging="357"/>
      </w:pPr>
      <w:r>
        <w:t xml:space="preserve">position duties not </w:t>
      </w:r>
      <w:r w:rsidR="000B1806">
        <w:t xml:space="preserve">consistent with </w:t>
      </w:r>
      <w:r>
        <w:t>those listed in the ANZSCO entry for the occupation</w:t>
      </w:r>
    </w:p>
    <w:p w14:paraId="76C8D74D" w14:textId="77777777" w:rsidR="00F57DF7" w:rsidRDefault="00F57DF7" w:rsidP="00F57DF7">
      <w:pPr>
        <w:pStyle w:val="ListParagraph"/>
        <w:numPr>
          <w:ilvl w:val="0"/>
          <w:numId w:val="27"/>
        </w:numPr>
        <w:spacing w:after="67" w:line="240" w:lineRule="auto"/>
        <w:ind w:left="426" w:right="-17" w:hanging="357"/>
      </w:pPr>
      <w:r>
        <w:t>position salary not matching expectations</w:t>
      </w:r>
    </w:p>
    <w:p w14:paraId="11F8A361" w14:textId="77777777" w:rsidR="00F57DF7" w:rsidRDefault="00F57DF7" w:rsidP="00F57DF7">
      <w:pPr>
        <w:pStyle w:val="ListParagraph"/>
        <w:numPr>
          <w:ilvl w:val="0"/>
          <w:numId w:val="27"/>
        </w:numPr>
        <w:spacing w:after="67" w:line="240" w:lineRule="auto"/>
        <w:ind w:left="426" w:right="-17" w:hanging="357"/>
      </w:pPr>
      <w:r>
        <w:t>overlapping dates of employment</w:t>
      </w:r>
    </w:p>
    <w:p w14:paraId="0AA08434" w14:textId="22B36EBC" w:rsidR="00F57DF7" w:rsidRDefault="00F57DF7" w:rsidP="00F57DF7">
      <w:pPr>
        <w:pStyle w:val="ListParagraph"/>
        <w:numPr>
          <w:ilvl w:val="0"/>
          <w:numId w:val="27"/>
        </w:numPr>
        <w:spacing w:after="67" w:line="240" w:lineRule="auto"/>
        <w:ind w:left="426" w:right="-17" w:hanging="357"/>
      </w:pPr>
      <w:r>
        <w:t>inability to provide evidence to support claims.</w:t>
      </w:r>
    </w:p>
    <w:p w14:paraId="4E4C8216" w14:textId="2656A287" w:rsidR="00F57DF7" w:rsidRPr="00454488" w:rsidRDefault="00F57DF7" w:rsidP="00F57DF7">
      <w:pPr>
        <w:pStyle w:val="Heading4"/>
        <w:rPr>
          <w:b/>
          <w:bCs/>
          <w:color w:val="auto"/>
          <w:sz w:val="22"/>
          <w:szCs w:val="18"/>
        </w:rPr>
      </w:pPr>
      <w:r w:rsidRPr="00454488">
        <w:rPr>
          <w:b/>
          <w:bCs/>
          <w:color w:val="auto"/>
          <w:sz w:val="22"/>
          <w:szCs w:val="18"/>
        </w:rPr>
        <w:t>5.3 Identity fraud</w:t>
      </w:r>
    </w:p>
    <w:p w14:paraId="0A1A6BA1" w14:textId="4857D8FC" w:rsidR="00103AFA" w:rsidRDefault="00F57DF7" w:rsidP="00454488">
      <w:pPr>
        <w:ind w:left="-5" w:right="1052"/>
      </w:pPr>
      <w:r>
        <w:t xml:space="preserve">Identity fraud is when an applicant attempts to fabricate or manipulate their identity or steals /adopts the identity of another person. Identity fraud is also used to conceal or facilitate other fraudulent or illicit behaviour. It is distinct from Document Fraud (considered at </w:t>
      </w:r>
      <w:r w:rsidRPr="00454488">
        <w:rPr>
          <w:b/>
          <w:bCs/>
        </w:rPr>
        <w:t>5.4</w:t>
      </w:r>
      <w:r>
        <w:t>).</w:t>
      </w:r>
    </w:p>
    <w:p w14:paraId="49A85F25" w14:textId="7B807521" w:rsidR="00F57DF7" w:rsidRDefault="00F57DF7" w:rsidP="00F57DF7">
      <w:pPr>
        <w:spacing w:after="70"/>
        <w:ind w:left="-5" w:right="30"/>
      </w:pPr>
      <w:r>
        <w:t>Examples include:</w:t>
      </w:r>
    </w:p>
    <w:p w14:paraId="5B56F158" w14:textId="77777777" w:rsidR="00F57DF7" w:rsidRDefault="00F57DF7" w:rsidP="00F57DF7">
      <w:pPr>
        <w:pStyle w:val="ListParagraph"/>
        <w:numPr>
          <w:ilvl w:val="0"/>
          <w:numId w:val="27"/>
        </w:numPr>
        <w:spacing w:after="67" w:line="240" w:lineRule="auto"/>
        <w:ind w:left="426" w:right="-17" w:hanging="357"/>
      </w:pPr>
      <w:r>
        <w:t xml:space="preserve">where a document (for example, passport, birth certificate, family register) is genuinely manufactured and issued, but subsequently the identity details have been fraudulently altered. (For example, there is evidence of replacement of pages, substitution of photographs, manipulation of other biometrics data by the applicant or another criminal actor.) </w:t>
      </w:r>
    </w:p>
    <w:p w14:paraId="3175B42E" w14:textId="77777777" w:rsidR="00F57DF7" w:rsidRDefault="00F57DF7" w:rsidP="00F57DF7">
      <w:pPr>
        <w:pStyle w:val="ListParagraph"/>
        <w:numPr>
          <w:ilvl w:val="0"/>
          <w:numId w:val="27"/>
        </w:numPr>
        <w:spacing w:after="67" w:line="240" w:lineRule="auto"/>
        <w:ind w:left="426" w:right="-17" w:hanging="357"/>
      </w:pPr>
      <w:r>
        <w:t>where a document has been genuinely manufactured or issued to an applicant based on fraudulent information provided to the issuing authority or corrupt behaviour of staff within an issuing authority. (For example, where an applicant submits someone else’s birth certificate to gain a passport for themselves or uses an impostor to sit an English Language test).</w:t>
      </w:r>
    </w:p>
    <w:p w14:paraId="34D7E10D" w14:textId="5BBA3F8E" w:rsidR="00214913" w:rsidRDefault="00F57DF7" w:rsidP="00214913">
      <w:pPr>
        <w:pStyle w:val="ListParagraph"/>
        <w:numPr>
          <w:ilvl w:val="0"/>
          <w:numId w:val="27"/>
        </w:numPr>
        <w:spacing w:after="67" w:line="240" w:lineRule="auto"/>
        <w:ind w:left="426" w:right="-17" w:hanging="357"/>
      </w:pPr>
      <w:r>
        <w:t>where a document, its content and/or source are fabricated, but purport to be in a form provided by a legitimate source. (For example, where an applicant fabricates a birth certificate with incorrect information).</w:t>
      </w:r>
    </w:p>
    <w:p w14:paraId="384E02CF" w14:textId="77777777" w:rsidR="00214913" w:rsidRDefault="00214913" w:rsidP="00214913">
      <w:pPr>
        <w:spacing w:after="114"/>
        <w:ind w:right="30"/>
      </w:pPr>
    </w:p>
    <w:p w14:paraId="579DE36B" w14:textId="60BFC74F" w:rsidR="00214913" w:rsidRDefault="00214913" w:rsidP="00214913">
      <w:pPr>
        <w:spacing w:after="114"/>
        <w:ind w:right="30"/>
      </w:pPr>
      <w:r>
        <w:t xml:space="preserve">To manage identity fraud, the assessing authority should obtain a level of identity assurance that aligns to that of Home Affairs. To meet this standard, the assessing authority should obtain copies of at least three of the following documents: </w:t>
      </w:r>
    </w:p>
    <w:p w14:paraId="5F2A6EFD" w14:textId="77777777" w:rsidR="00214913" w:rsidRDefault="00214913" w:rsidP="00214913">
      <w:pPr>
        <w:numPr>
          <w:ilvl w:val="0"/>
          <w:numId w:val="29"/>
        </w:numPr>
        <w:spacing w:after="114" w:line="259" w:lineRule="auto"/>
        <w:ind w:left="284" w:right="30" w:hanging="227"/>
      </w:pPr>
      <w:r>
        <w:t>birth certificate</w:t>
      </w:r>
    </w:p>
    <w:p w14:paraId="79F0C80F" w14:textId="77777777" w:rsidR="00214913" w:rsidRDefault="00214913" w:rsidP="00214913">
      <w:pPr>
        <w:numPr>
          <w:ilvl w:val="0"/>
          <w:numId w:val="29"/>
        </w:numPr>
        <w:spacing w:after="114" w:line="259" w:lineRule="auto"/>
        <w:ind w:left="284" w:right="30" w:hanging="227"/>
      </w:pPr>
      <w:r>
        <w:t xml:space="preserve">passport </w:t>
      </w:r>
    </w:p>
    <w:p w14:paraId="2537D3B9" w14:textId="77777777" w:rsidR="00214913" w:rsidRDefault="00214913" w:rsidP="00214913">
      <w:pPr>
        <w:numPr>
          <w:ilvl w:val="0"/>
          <w:numId w:val="29"/>
        </w:numPr>
        <w:spacing w:after="114" w:line="259" w:lineRule="auto"/>
        <w:ind w:left="284" w:right="30" w:hanging="227"/>
      </w:pPr>
      <w:r>
        <w:t>where possible, an Australian visa (supported by a foreign passport, which is needed for verification) OR ImmiCard</w:t>
      </w:r>
    </w:p>
    <w:p w14:paraId="69C225D0" w14:textId="77777777" w:rsidR="00214913" w:rsidRDefault="00214913" w:rsidP="00214913">
      <w:pPr>
        <w:numPr>
          <w:ilvl w:val="0"/>
          <w:numId w:val="29"/>
        </w:numPr>
        <w:spacing w:after="114" w:line="259" w:lineRule="auto"/>
        <w:ind w:left="284" w:right="30" w:hanging="227"/>
      </w:pPr>
      <w:r>
        <w:t>at least one other official photo bearing document</w:t>
      </w:r>
    </w:p>
    <w:p w14:paraId="44680D9F" w14:textId="242F8FC7" w:rsidR="00214913" w:rsidRDefault="00214913" w:rsidP="00214913">
      <w:pPr>
        <w:numPr>
          <w:ilvl w:val="0"/>
          <w:numId w:val="29"/>
        </w:numPr>
        <w:spacing w:after="114" w:line="259" w:lineRule="auto"/>
        <w:ind w:left="284" w:right="30" w:hanging="227"/>
      </w:pPr>
      <w:r>
        <w:t>ID card where relevant.</w:t>
      </w:r>
    </w:p>
    <w:p w14:paraId="4FAB9A69" w14:textId="591A8975" w:rsidR="00214913" w:rsidRDefault="00214913" w:rsidP="00214913">
      <w:pPr>
        <w:spacing w:after="114" w:line="259" w:lineRule="auto"/>
        <w:ind w:left="57" w:right="30"/>
      </w:pPr>
    </w:p>
    <w:p w14:paraId="59B3DE11" w14:textId="77777777" w:rsidR="00214913" w:rsidRDefault="00214913" w:rsidP="00214913">
      <w:pPr>
        <w:spacing w:after="114"/>
        <w:ind w:right="30"/>
      </w:pPr>
      <w:r>
        <w:t xml:space="preserve">In addition, the assessing authority should undertake as many of the following activities as necessary to assure the identity of the applicant or the integrity of the process: </w:t>
      </w:r>
    </w:p>
    <w:p w14:paraId="645B2AE2" w14:textId="77777777" w:rsidR="00214913" w:rsidRDefault="00214913" w:rsidP="00214913">
      <w:pPr>
        <w:numPr>
          <w:ilvl w:val="0"/>
          <w:numId w:val="30"/>
        </w:numPr>
        <w:spacing w:after="114" w:line="259" w:lineRule="auto"/>
        <w:ind w:left="284" w:right="30" w:hanging="227"/>
      </w:pPr>
      <w:r>
        <w:t xml:space="preserve">manual/visual comparison of a person’s face against a photograph on a primary piece of evidence (either remotely or in-person) </w:t>
      </w:r>
    </w:p>
    <w:p w14:paraId="188911D8" w14:textId="77777777" w:rsidR="00214913" w:rsidRDefault="00214913" w:rsidP="00214913">
      <w:pPr>
        <w:numPr>
          <w:ilvl w:val="0"/>
          <w:numId w:val="30"/>
        </w:numPr>
        <w:spacing w:after="114" w:line="259" w:lineRule="auto"/>
        <w:ind w:left="284" w:right="30" w:hanging="227"/>
      </w:pPr>
      <w:r>
        <w:t>verification (where relevant) of a biometric template collected at registration (either remotely or in-person) against a biometric template held by an authoritative source</w:t>
      </w:r>
    </w:p>
    <w:p w14:paraId="5D7E5AF7" w14:textId="77777777" w:rsidR="00214913" w:rsidRDefault="00214913" w:rsidP="00214913">
      <w:pPr>
        <w:numPr>
          <w:ilvl w:val="0"/>
          <w:numId w:val="30"/>
        </w:numPr>
        <w:spacing w:after="114" w:line="259" w:lineRule="auto"/>
        <w:ind w:left="284" w:right="30" w:hanging="227"/>
      </w:pPr>
      <w:r>
        <w:t xml:space="preserve">utilising Home Affairs’ </w:t>
      </w:r>
      <w:hyperlink r:id="rId31" w:history="1">
        <w:r w:rsidRPr="00800B9E">
          <w:rPr>
            <w:rStyle w:val="Hyperlink"/>
            <w:color w:val="auto"/>
          </w:rPr>
          <w:t xml:space="preserve">Visa Entitlement Verification </w:t>
        </w:r>
      </w:hyperlink>
      <w:hyperlink r:id="rId32" w:history="1">
        <w:r w:rsidRPr="00800B9E">
          <w:rPr>
            <w:rStyle w:val="Hyperlink"/>
            <w:color w:val="auto"/>
          </w:rPr>
          <w:t>Online (VEVO)</w:t>
        </w:r>
      </w:hyperlink>
      <w:hyperlink r:id="rId33" w:history="1">
        <w:r w:rsidRPr="00454488">
          <w:rPr>
            <w:rStyle w:val="Hyperlink"/>
            <w:color w:val="669900"/>
          </w:rPr>
          <w:t xml:space="preserve"> </w:t>
        </w:r>
      </w:hyperlink>
      <w:r>
        <w:t xml:space="preserve">to allow access to visa details and conditions and verify visa documentation </w:t>
      </w:r>
    </w:p>
    <w:p w14:paraId="3C22E736" w14:textId="5A7C53C2" w:rsidR="00214913" w:rsidRDefault="00214913" w:rsidP="00214913">
      <w:pPr>
        <w:numPr>
          <w:ilvl w:val="0"/>
          <w:numId w:val="30"/>
        </w:numPr>
        <w:spacing w:after="114" w:line="259" w:lineRule="auto"/>
        <w:ind w:left="284" w:right="30" w:hanging="227"/>
      </w:pPr>
      <w:r>
        <w:t xml:space="preserve">quality assurance processes to assess quality of assessments and address situations of fraud within the organisation (for example, staff member receiving money for positive skills assessments). </w:t>
      </w:r>
    </w:p>
    <w:p w14:paraId="1BD5FF41" w14:textId="77777777" w:rsidR="00214913" w:rsidRPr="00454488" w:rsidRDefault="00214913" w:rsidP="00214913">
      <w:pPr>
        <w:pStyle w:val="Heading4"/>
        <w:ind w:left="-5"/>
        <w:rPr>
          <w:b/>
          <w:bCs/>
          <w:color w:val="auto"/>
          <w:sz w:val="22"/>
          <w:szCs w:val="18"/>
        </w:rPr>
      </w:pPr>
      <w:r w:rsidRPr="00454488">
        <w:rPr>
          <w:b/>
          <w:bCs/>
          <w:color w:val="auto"/>
          <w:sz w:val="22"/>
          <w:szCs w:val="18"/>
        </w:rPr>
        <w:t xml:space="preserve">5.4 Document fraud </w:t>
      </w:r>
    </w:p>
    <w:p w14:paraId="7BAE25C5" w14:textId="6AF82B0A" w:rsidR="00214913" w:rsidRDefault="00214913" w:rsidP="00214913">
      <w:pPr>
        <w:spacing w:after="70"/>
        <w:ind w:left="-5" w:right="135"/>
      </w:pPr>
      <w:r>
        <w:t>While identity fraud and document fraud share common characteristics, the latter involves alteration of a document’s details. Examples include:</w:t>
      </w:r>
    </w:p>
    <w:p w14:paraId="62EBE981" w14:textId="77777777" w:rsidR="00214913" w:rsidRDefault="00214913" w:rsidP="00214913">
      <w:pPr>
        <w:pStyle w:val="ListParagraph"/>
        <w:numPr>
          <w:ilvl w:val="0"/>
          <w:numId w:val="27"/>
        </w:numPr>
        <w:spacing w:after="67" w:line="240" w:lineRule="auto"/>
        <w:ind w:left="426" w:right="-17" w:hanging="357"/>
      </w:pPr>
      <w:r>
        <w:t xml:space="preserve">where an employment reference for the applicant has been genuinely manufactured and issued, but which has subsequently been altered to enhance duties performed and/or dates of employment, </w:t>
      </w:r>
    </w:p>
    <w:p w14:paraId="6D9A47A4" w14:textId="73E22DAD" w:rsidR="00214913" w:rsidRDefault="00214913" w:rsidP="000B0769">
      <w:pPr>
        <w:pStyle w:val="ListParagraph"/>
        <w:numPr>
          <w:ilvl w:val="0"/>
          <w:numId w:val="27"/>
        </w:numPr>
        <w:spacing w:after="67" w:line="240" w:lineRule="auto"/>
        <w:ind w:left="426" w:right="-17" w:hanging="357"/>
      </w:pPr>
      <w:r>
        <w:t>where a tertiary qualification genuinely manufactured</w:t>
      </w:r>
      <w:r w:rsidR="000B0769">
        <w:t xml:space="preserve"> </w:t>
      </w:r>
      <w:r w:rsidR="00800B9E">
        <w:t xml:space="preserve">but </w:t>
      </w:r>
      <w:r>
        <w:t xml:space="preserve">issued to an applicant based on fraudulent information provided to the issuing authority or corrupt behaviour of staff within an issuing authority, </w:t>
      </w:r>
    </w:p>
    <w:p w14:paraId="207A37D0" w14:textId="46FF4500" w:rsidR="00214913" w:rsidRDefault="00214913" w:rsidP="00214913">
      <w:pPr>
        <w:pStyle w:val="ListParagraph"/>
        <w:numPr>
          <w:ilvl w:val="0"/>
          <w:numId w:val="27"/>
        </w:numPr>
        <w:spacing w:after="67" w:line="240" w:lineRule="auto"/>
        <w:ind w:left="426" w:right="-17" w:hanging="357"/>
      </w:pPr>
      <w:r>
        <w:t>where an employment reference on fake letterhead cit</w:t>
      </w:r>
      <w:r w:rsidR="00AD216E">
        <w:t>es</w:t>
      </w:r>
      <w:r>
        <w:t xml:space="preserve"> false employment claims with a bogus employer.</w:t>
      </w:r>
    </w:p>
    <w:p w14:paraId="73DB8C23" w14:textId="77777777" w:rsidR="00214913" w:rsidRDefault="00214913" w:rsidP="00214913">
      <w:pPr>
        <w:pStyle w:val="ListParagraph"/>
        <w:spacing w:after="67" w:line="240" w:lineRule="auto"/>
        <w:ind w:left="426" w:right="-17"/>
      </w:pPr>
    </w:p>
    <w:p w14:paraId="1DD39F50" w14:textId="246DB9B6" w:rsidR="00214913" w:rsidRDefault="00214913" w:rsidP="00214913">
      <w:pPr>
        <w:ind w:right="1485"/>
      </w:pPr>
      <w:r>
        <w:t>Document verification should include the following activities.</w:t>
      </w:r>
    </w:p>
    <w:p w14:paraId="5A937C87" w14:textId="41663AC5" w:rsidR="00214913" w:rsidRPr="00454488" w:rsidRDefault="00214913" w:rsidP="00454488">
      <w:pPr>
        <w:pStyle w:val="Heading4"/>
        <w:rPr>
          <w:b/>
          <w:bCs/>
          <w:sz w:val="22"/>
          <w:szCs w:val="18"/>
        </w:rPr>
      </w:pPr>
      <w:r w:rsidRPr="00454488">
        <w:rPr>
          <w:b/>
          <w:bCs/>
          <w:sz w:val="22"/>
          <w:szCs w:val="18"/>
        </w:rPr>
        <w:t xml:space="preserve">5.4.1. Open-source checks </w:t>
      </w:r>
    </w:p>
    <w:p w14:paraId="671D3749" w14:textId="0F360FD5" w:rsidR="00214913" w:rsidRDefault="00214913" w:rsidP="00214913">
      <w:pPr>
        <w:spacing w:after="13" w:line="316" w:lineRule="auto"/>
        <w:ind w:left="-5" w:right="1103"/>
      </w:pPr>
      <w:r>
        <w:t>In this context, ‘open source’ means any publicly available information.</w:t>
      </w:r>
      <w:r w:rsidR="00AD216E" w:rsidRPr="00AD216E">
        <w:rPr>
          <w:rStyle w:val="FootnoteReference"/>
        </w:rPr>
        <w:t xml:space="preserve"> </w:t>
      </w:r>
      <w:r w:rsidR="00AD216E">
        <w:rPr>
          <w:rStyle w:val="FootnoteReference"/>
        </w:rPr>
        <w:footnoteReference w:id="1"/>
      </w:r>
      <w:r w:rsidR="00AD216E">
        <w:t xml:space="preserve"> </w:t>
      </w:r>
      <w:r>
        <w:t xml:space="preserve"> Examples include (but are not limited to): </w:t>
      </w:r>
    </w:p>
    <w:p w14:paraId="66DEC91A" w14:textId="77777777" w:rsidR="00214913" w:rsidRPr="003D3E6B" w:rsidRDefault="00E01619" w:rsidP="00214913">
      <w:pPr>
        <w:pStyle w:val="ListParagraph"/>
        <w:numPr>
          <w:ilvl w:val="0"/>
          <w:numId w:val="27"/>
        </w:numPr>
        <w:spacing w:after="67" w:line="240" w:lineRule="auto"/>
        <w:ind w:left="426" w:right="-17" w:hanging="357"/>
      </w:pPr>
      <w:hyperlink r:id="rId34" w:history="1">
        <w:r w:rsidR="00214913" w:rsidRPr="003D3E6B">
          <w:rPr>
            <w:rStyle w:val="Hyperlink"/>
            <w:color w:val="000000"/>
            <w:u w:val="none"/>
          </w:rPr>
          <w:t xml:space="preserve">Australian Business Number Lookup website </w:t>
        </w:r>
      </w:hyperlink>
    </w:p>
    <w:p w14:paraId="0BD5E5A2" w14:textId="77777777" w:rsidR="00214913" w:rsidRDefault="00E01619" w:rsidP="00214913">
      <w:pPr>
        <w:pStyle w:val="ListParagraph"/>
        <w:numPr>
          <w:ilvl w:val="0"/>
          <w:numId w:val="27"/>
        </w:numPr>
        <w:spacing w:after="67" w:line="240" w:lineRule="auto"/>
        <w:ind w:left="426" w:right="-17" w:hanging="357"/>
      </w:pPr>
      <w:hyperlink r:id="rId35" w:history="1">
        <w:r w:rsidR="00214913" w:rsidRPr="003D3E6B">
          <w:rPr>
            <w:rStyle w:val="Hyperlink"/>
            <w:color w:val="000000"/>
            <w:u w:val="none"/>
          </w:rPr>
          <w:t>Fair Work Ombudsman website</w:t>
        </w:r>
      </w:hyperlink>
      <w:hyperlink r:id="rId36" w:history="1">
        <w:r w:rsidR="00214913" w:rsidRPr="003D3E6B">
          <w:rPr>
            <w:rStyle w:val="Hyperlink"/>
            <w:color w:val="000000"/>
            <w:u w:val="none"/>
          </w:rPr>
          <w:t xml:space="preserve"> </w:t>
        </w:r>
      </w:hyperlink>
      <w:r w:rsidR="00214913" w:rsidRPr="003D3E6B">
        <w:t>(for</w:t>
      </w:r>
      <w:r w:rsidR="00214913">
        <w:t xml:space="preserve"> wage information)</w:t>
      </w:r>
    </w:p>
    <w:p w14:paraId="27D71CA5" w14:textId="77777777" w:rsidR="00214913" w:rsidRDefault="00E01619" w:rsidP="00214913">
      <w:pPr>
        <w:pStyle w:val="ListParagraph"/>
        <w:numPr>
          <w:ilvl w:val="0"/>
          <w:numId w:val="27"/>
        </w:numPr>
        <w:spacing w:after="67" w:line="240" w:lineRule="auto"/>
        <w:ind w:left="426" w:right="-17" w:hanging="357"/>
      </w:pPr>
      <w:hyperlink r:id="rId37" w:history="1">
        <w:r w:rsidR="00214913" w:rsidRPr="003D3E6B">
          <w:rPr>
            <w:rStyle w:val="Hyperlink"/>
            <w:color w:val="000000"/>
            <w:u w:val="none"/>
          </w:rPr>
          <w:t>Australian Bureau of Statistics website</w:t>
        </w:r>
      </w:hyperlink>
      <w:r w:rsidR="00214913">
        <w:t xml:space="preserve"> (for ANZSCO title/codes)</w:t>
      </w:r>
    </w:p>
    <w:p w14:paraId="0272A08A" w14:textId="77777777" w:rsidR="00214913" w:rsidRDefault="00214913" w:rsidP="00214913">
      <w:pPr>
        <w:pStyle w:val="ListParagraph"/>
        <w:numPr>
          <w:ilvl w:val="0"/>
          <w:numId w:val="27"/>
        </w:numPr>
        <w:spacing w:after="67" w:line="240" w:lineRule="auto"/>
        <w:ind w:left="426" w:right="-17" w:hanging="357"/>
      </w:pPr>
      <w:r>
        <w:t xml:space="preserve">Business websites (for employer/employment claims) </w:t>
      </w:r>
    </w:p>
    <w:p w14:paraId="02858343" w14:textId="77777777" w:rsidR="00214913" w:rsidRDefault="00E01619" w:rsidP="00214913">
      <w:pPr>
        <w:pStyle w:val="ListParagraph"/>
        <w:numPr>
          <w:ilvl w:val="0"/>
          <w:numId w:val="27"/>
        </w:numPr>
        <w:spacing w:after="67" w:line="240" w:lineRule="auto"/>
        <w:ind w:left="426" w:right="-17" w:hanging="357"/>
      </w:pPr>
      <w:hyperlink r:id="rId38" w:history="1">
        <w:r w:rsidR="00214913" w:rsidRPr="003D3E6B">
          <w:rPr>
            <w:rStyle w:val="Hyperlink"/>
            <w:color w:val="000000"/>
            <w:u w:val="none"/>
          </w:rPr>
          <w:t>Google Maps</w:t>
        </w:r>
      </w:hyperlink>
      <w:hyperlink r:id="rId39" w:history="1">
        <w:r w:rsidR="00214913" w:rsidRPr="003D3E6B">
          <w:rPr>
            <w:rStyle w:val="Hyperlink"/>
            <w:color w:val="000000"/>
            <w:u w:val="none"/>
          </w:rPr>
          <w:t xml:space="preserve"> </w:t>
        </w:r>
      </w:hyperlink>
      <w:r w:rsidR="00214913" w:rsidRPr="003D3E6B">
        <w:t>(for</w:t>
      </w:r>
      <w:r w:rsidR="00214913">
        <w:t xml:space="preserve"> employer/employment claims, an assessing authority can enter the claimed business address and assess whether the street view matches up with the claimed operation of the business)</w:t>
      </w:r>
    </w:p>
    <w:p w14:paraId="57094C80" w14:textId="77777777" w:rsidR="00214913" w:rsidRDefault="00E01619" w:rsidP="00214913">
      <w:pPr>
        <w:pStyle w:val="ListParagraph"/>
        <w:numPr>
          <w:ilvl w:val="0"/>
          <w:numId w:val="27"/>
        </w:numPr>
        <w:spacing w:after="67" w:line="240" w:lineRule="auto"/>
        <w:ind w:left="426" w:right="-17" w:hanging="357"/>
      </w:pPr>
      <w:hyperlink r:id="rId40" w:history="1">
        <w:r w:rsidR="00214913" w:rsidRPr="003D3E6B">
          <w:rPr>
            <w:rStyle w:val="Hyperlink"/>
            <w:color w:val="000000"/>
            <w:u w:val="none"/>
          </w:rPr>
          <w:t>University websites</w:t>
        </w:r>
      </w:hyperlink>
      <w:r w:rsidR="00214913" w:rsidRPr="003D3E6B">
        <w:t xml:space="preserve"> (</w:t>
      </w:r>
      <w:r w:rsidR="00214913">
        <w:t>for education related claims)</w:t>
      </w:r>
    </w:p>
    <w:p w14:paraId="1AC8ACF4" w14:textId="77777777" w:rsidR="00214913" w:rsidRDefault="00E01619" w:rsidP="00214913">
      <w:pPr>
        <w:pStyle w:val="ListParagraph"/>
        <w:numPr>
          <w:ilvl w:val="0"/>
          <w:numId w:val="27"/>
        </w:numPr>
        <w:spacing w:after="67" w:line="240" w:lineRule="auto"/>
        <w:ind w:left="426" w:right="-17" w:hanging="357"/>
      </w:pPr>
      <w:hyperlink r:id="rId41" w:history="1">
        <w:r w:rsidR="00214913" w:rsidRPr="003D3E6B">
          <w:rPr>
            <w:rStyle w:val="Hyperlink"/>
            <w:color w:val="000000"/>
            <w:u w:val="none"/>
          </w:rPr>
          <w:t>Xe</w:t>
        </w:r>
      </w:hyperlink>
      <w:r w:rsidR="00214913" w:rsidRPr="003D3E6B">
        <w:t xml:space="preserve"> and</w:t>
      </w:r>
      <w:hyperlink r:id="rId42" w:history="1">
        <w:r w:rsidR="00214913" w:rsidRPr="003D3E6B">
          <w:rPr>
            <w:rStyle w:val="Hyperlink"/>
            <w:color w:val="000000"/>
            <w:u w:val="none"/>
          </w:rPr>
          <w:t xml:space="preserve"> </w:t>
        </w:r>
      </w:hyperlink>
      <w:hyperlink r:id="rId43" w:history="1">
        <w:r w:rsidR="00214913" w:rsidRPr="003D3E6B">
          <w:rPr>
            <w:rStyle w:val="Hyperlink"/>
            <w:color w:val="000000"/>
            <w:u w:val="none"/>
          </w:rPr>
          <w:t>OANDA</w:t>
        </w:r>
      </w:hyperlink>
      <w:r w:rsidR="00214913" w:rsidRPr="003D3E6B">
        <w:t xml:space="preserve"> websites</w:t>
      </w:r>
      <w:r w:rsidR="00214913">
        <w:t xml:space="preserve"> (for currency conversion rates) </w:t>
      </w:r>
    </w:p>
    <w:p w14:paraId="1F9FD267" w14:textId="77777777" w:rsidR="00214913" w:rsidRDefault="00E01619" w:rsidP="00214913">
      <w:pPr>
        <w:pStyle w:val="ListParagraph"/>
        <w:numPr>
          <w:ilvl w:val="0"/>
          <w:numId w:val="27"/>
        </w:numPr>
        <w:spacing w:after="67" w:line="240" w:lineRule="auto"/>
        <w:ind w:left="426" w:right="-17" w:hanging="357"/>
      </w:pPr>
      <w:hyperlink r:id="rId44" w:history="1">
        <w:r w:rsidR="00214913">
          <w:rPr>
            <w:rStyle w:val="Hyperlink"/>
            <w:color w:val="000000"/>
          </w:rPr>
          <w:t>Ausregistry</w:t>
        </w:r>
      </w:hyperlink>
      <w:hyperlink r:id="rId45" w:history="1">
        <w:r w:rsidR="00214913">
          <w:rPr>
            <w:rStyle w:val="Hyperlink"/>
            <w:color w:val="000000"/>
          </w:rPr>
          <w:t xml:space="preserve"> </w:t>
        </w:r>
      </w:hyperlink>
      <w:r w:rsidR="00214913">
        <w:t>and</w:t>
      </w:r>
      <w:hyperlink r:id="rId46" w:history="1">
        <w:r w:rsidR="00214913">
          <w:rPr>
            <w:rStyle w:val="Hyperlink"/>
            <w:color w:val="000000"/>
          </w:rPr>
          <w:t xml:space="preserve"> </w:t>
        </w:r>
      </w:hyperlink>
      <w:hyperlink r:id="rId47" w:history="1">
        <w:r w:rsidR="00214913">
          <w:rPr>
            <w:rStyle w:val="Hyperlink"/>
            <w:color w:val="000000"/>
          </w:rPr>
          <w:t>Whois</w:t>
        </w:r>
      </w:hyperlink>
      <w:hyperlink r:id="rId48" w:history="1">
        <w:r w:rsidR="00214913">
          <w:rPr>
            <w:rStyle w:val="Hyperlink"/>
            <w:color w:val="000000"/>
          </w:rPr>
          <w:t xml:space="preserve"> </w:t>
        </w:r>
      </w:hyperlink>
      <w:r w:rsidR="00214913">
        <w:t xml:space="preserve">(domain registry for searching who owns a website) </w:t>
      </w:r>
    </w:p>
    <w:p w14:paraId="51577104" w14:textId="4A06F448" w:rsidR="00214913" w:rsidRDefault="00214913" w:rsidP="00214913">
      <w:pPr>
        <w:pStyle w:val="ListParagraph"/>
        <w:numPr>
          <w:ilvl w:val="0"/>
          <w:numId w:val="27"/>
        </w:numPr>
        <w:spacing w:after="67" w:line="240" w:lineRule="auto"/>
        <w:ind w:left="426" w:right="-17" w:hanging="357"/>
      </w:pPr>
      <w:r>
        <w:t xml:space="preserve">Search engines such as Google, and Social Media sites, such as Facebook, LinkedIn (for identity, employment, residency claims) </w:t>
      </w:r>
    </w:p>
    <w:p w14:paraId="229777C1" w14:textId="77777777" w:rsidR="00214913" w:rsidRDefault="00E01619" w:rsidP="00214913">
      <w:pPr>
        <w:pStyle w:val="ListParagraph"/>
        <w:numPr>
          <w:ilvl w:val="0"/>
          <w:numId w:val="27"/>
        </w:numPr>
        <w:spacing w:after="67" w:line="240" w:lineRule="auto"/>
        <w:ind w:left="426" w:right="-17" w:hanging="357"/>
      </w:pPr>
      <w:hyperlink r:id="rId49" w:history="1">
        <w:r w:rsidR="00214913" w:rsidRPr="003D3E6B">
          <w:rPr>
            <w:rStyle w:val="Hyperlink"/>
            <w:color w:val="000000"/>
            <w:u w:val="none"/>
          </w:rPr>
          <w:t xml:space="preserve">Public Register of Authentic travel and identity </w:t>
        </w:r>
      </w:hyperlink>
      <w:hyperlink r:id="rId50" w:history="1">
        <w:r w:rsidR="00214913" w:rsidRPr="003D3E6B">
          <w:rPr>
            <w:rStyle w:val="Hyperlink"/>
            <w:color w:val="000000"/>
            <w:u w:val="none"/>
          </w:rPr>
          <w:t>Documents Online (PRADO) website</w:t>
        </w:r>
      </w:hyperlink>
      <w:r w:rsidR="00214913">
        <w:t xml:space="preserve"> (for sample documents of travel documents to compare those submitted by the applicant)</w:t>
      </w:r>
    </w:p>
    <w:p w14:paraId="38933C42" w14:textId="2AB8B453" w:rsidR="00476F8F" w:rsidRDefault="00E01619" w:rsidP="00476F8F">
      <w:pPr>
        <w:pStyle w:val="ListParagraph"/>
        <w:numPr>
          <w:ilvl w:val="0"/>
          <w:numId w:val="27"/>
        </w:numPr>
        <w:spacing w:after="67" w:line="240" w:lineRule="auto"/>
        <w:ind w:left="426" w:right="-17" w:hanging="357"/>
      </w:pPr>
      <w:hyperlink r:id="rId51" w:history="1">
        <w:r w:rsidR="00214913" w:rsidRPr="003D3E6B">
          <w:rPr>
            <w:rStyle w:val="Hyperlink"/>
            <w:color w:val="000000"/>
            <w:u w:val="none"/>
          </w:rPr>
          <w:t>Google</w:t>
        </w:r>
      </w:hyperlink>
      <w:r w:rsidR="00214913" w:rsidRPr="003D3E6B">
        <w:t xml:space="preserve"> can also be used to check the uniqueness of any claims submitted by the applicant by doing a ‘reverse</w:t>
      </w:r>
      <w:r w:rsidR="00214913">
        <w:t xml:space="preserve"> check’. Any wording contained within the application that does not seem to match the expected language abilities of the applicant can be cut and pasted into a Google search. This can reveal wording that has been ‘stolen’ from other websites such as university websites or employment websites and can indicate a fraudulent application. </w:t>
      </w:r>
    </w:p>
    <w:p w14:paraId="3373C411" w14:textId="77777777" w:rsidR="00476F8F" w:rsidRPr="00454488" w:rsidRDefault="00476F8F" w:rsidP="00454488">
      <w:pPr>
        <w:pStyle w:val="Heading4"/>
        <w:rPr>
          <w:b/>
          <w:bCs/>
          <w:sz w:val="22"/>
          <w:szCs w:val="18"/>
        </w:rPr>
      </w:pPr>
      <w:r w:rsidRPr="00454488">
        <w:rPr>
          <w:b/>
          <w:bCs/>
          <w:sz w:val="22"/>
          <w:szCs w:val="18"/>
        </w:rPr>
        <w:t>5.4.2. Telephone interviews</w:t>
      </w:r>
    </w:p>
    <w:p w14:paraId="7B35A181" w14:textId="77777777" w:rsidR="00476F8F" w:rsidRDefault="00476F8F" w:rsidP="00476F8F">
      <w:pPr>
        <w:ind w:left="-5" w:right="1025"/>
      </w:pPr>
      <w:r>
        <w:t>Telephoning an applicant or a claimed employer is an effective way to verify details in applications or work references, especially if the enquiries can be made in Australia. If the applicant or claimed employer is outside of Australia, this may be more problematic but still feasible in some circumstances</w:t>
      </w:r>
      <w:r>
        <w:rPr>
          <w:rStyle w:val="FootnoteReference"/>
        </w:rPr>
        <w:footnoteReference w:id="2"/>
      </w:r>
      <w:r>
        <w:t xml:space="preserve"> </w:t>
      </w:r>
    </w:p>
    <w:p w14:paraId="49E94D78" w14:textId="77777777" w:rsidR="00103AFA" w:rsidRDefault="00476F8F" w:rsidP="00103AFA">
      <w:pPr>
        <w:ind w:left="-5" w:right="30"/>
      </w:pPr>
      <w:r>
        <w:t>It is preferable not to make an appointment for a telephone interview with the applicant/employer, but to call them and ask whether they can spare a few minutes to talk. Be on the lookout for responses that appear overly scripted, repetitive, evasive, or if it appears that someone may be with the applicant and assisting them.</w:t>
      </w:r>
    </w:p>
    <w:p w14:paraId="34B66A9F" w14:textId="754096E2" w:rsidR="00476F8F" w:rsidRPr="00454488" w:rsidRDefault="00476F8F" w:rsidP="00103AFA">
      <w:pPr>
        <w:pStyle w:val="Heading4"/>
        <w:rPr>
          <w:b/>
          <w:bCs/>
          <w:sz w:val="22"/>
          <w:szCs w:val="18"/>
        </w:rPr>
      </w:pPr>
      <w:r w:rsidRPr="00454488">
        <w:rPr>
          <w:b/>
          <w:bCs/>
          <w:sz w:val="22"/>
          <w:szCs w:val="18"/>
        </w:rPr>
        <w:t>5.4.3. Email Checks</w:t>
      </w:r>
    </w:p>
    <w:p w14:paraId="633F6AF8" w14:textId="1B1D2F6A" w:rsidR="00476F8F" w:rsidRDefault="00476F8F" w:rsidP="00476F8F">
      <w:pPr>
        <w:spacing w:after="67" w:line="261" w:lineRule="auto"/>
        <w:ind w:left="-5" w:right="42"/>
      </w:pPr>
      <w:r>
        <w:t xml:space="preserve">Emailing or writing to an employer directly can be effective for large, reputable employers (or education providers). If emailing a lesser-known business, be aware of email addresses provided with applications that have non-specific domain names (for example, @yahoo, @hotmail and @gmail) which may indicate non genuineness. It is recommended that an assessing authority confirms email address details (and all contact information in general) independently from open-source checks if possible. </w:t>
      </w:r>
    </w:p>
    <w:p w14:paraId="57242011" w14:textId="77777777" w:rsidR="00476F8F" w:rsidRPr="00454488" w:rsidRDefault="00476F8F" w:rsidP="00476F8F">
      <w:pPr>
        <w:pStyle w:val="Heading4"/>
        <w:rPr>
          <w:b/>
          <w:bCs/>
          <w:sz w:val="22"/>
          <w:szCs w:val="18"/>
        </w:rPr>
      </w:pPr>
      <w:r w:rsidRPr="00454488">
        <w:rPr>
          <w:b/>
          <w:bCs/>
          <w:sz w:val="22"/>
          <w:szCs w:val="18"/>
        </w:rPr>
        <w:t xml:space="preserve">5.4.4. Disruption activities </w:t>
      </w:r>
    </w:p>
    <w:p w14:paraId="1FEF178D" w14:textId="77777777" w:rsidR="00476F8F" w:rsidRDefault="00476F8F" w:rsidP="00476F8F">
      <w:pPr>
        <w:spacing w:after="70"/>
        <w:ind w:left="-5" w:right="374"/>
      </w:pPr>
      <w:r>
        <w:t>Include overt measures to mitigate or impede fraud risk. Examples include:</w:t>
      </w:r>
    </w:p>
    <w:p w14:paraId="32673ADD" w14:textId="77777777" w:rsidR="00476F8F" w:rsidRDefault="00476F8F" w:rsidP="00476F8F">
      <w:pPr>
        <w:pStyle w:val="ListParagraph"/>
        <w:numPr>
          <w:ilvl w:val="0"/>
          <w:numId w:val="31"/>
        </w:numPr>
        <w:spacing w:after="67" w:line="240" w:lineRule="auto"/>
        <w:ind w:left="426" w:right="-17" w:hanging="357"/>
      </w:pPr>
      <w:r>
        <w:t>refusing or ‘declining to assess’ applications where fraud is identified</w:t>
      </w:r>
    </w:p>
    <w:p w14:paraId="3D4A046E" w14:textId="77777777" w:rsidR="00476F8F" w:rsidRDefault="00476F8F" w:rsidP="00476F8F">
      <w:pPr>
        <w:pStyle w:val="ListParagraph"/>
        <w:numPr>
          <w:ilvl w:val="0"/>
          <w:numId w:val="31"/>
        </w:numPr>
        <w:spacing w:after="67" w:line="240" w:lineRule="auto"/>
        <w:ind w:left="426" w:right="-17" w:hanging="357"/>
      </w:pPr>
      <w:r>
        <w:t>openly advising and advertising to applicants that incidents of fraud will be disclosed to Home Affairs</w:t>
      </w:r>
    </w:p>
    <w:p w14:paraId="5B98C920" w14:textId="77777777" w:rsidR="00476F8F" w:rsidRDefault="00476F8F" w:rsidP="00476F8F">
      <w:pPr>
        <w:pStyle w:val="ListParagraph"/>
        <w:numPr>
          <w:ilvl w:val="0"/>
          <w:numId w:val="31"/>
        </w:numPr>
        <w:spacing w:after="67" w:line="240" w:lineRule="auto"/>
        <w:ind w:left="426" w:right="-17" w:hanging="357"/>
      </w:pPr>
      <w:r>
        <w:t>notifying Home Affairs via agreed channels when fraud is identified and when applications are refused</w:t>
      </w:r>
    </w:p>
    <w:p w14:paraId="3E409ED1" w14:textId="40B4C8E8" w:rsidR="00476F8F" w:rsidRDefault="00476F8F" w:rsidP="00AD216E">
      <w:pPr>
        <w:pStyle w:val="ListParagraph"/>
        <w:numPr>
          <w:ilvl w:val="0"/>
          <w:numId w:val="31"/>
        </w:numPr>
        <w:spacing w:after="67" w:line="240" w:lineRule="auto"/>
        <w:ind w:left="426" w:right="-17" w:hanging="357"/>
      </w:pPr>
      <w:r>
        <w:t>notifying Home Affairs of any trends or suspicions</w:t>
      </w:r>
      <w:r w:rsidR="00AD216E">
        <w:t xml:space="preserve"> </w:t>
      </w:r>
      <w:r>
        <w:t>an assessing authority may have about a cohort of applicants or a particular migration agent</w:t>
      </w:r>
    </w:p>
    <w:p w14:paraId="7DBAF7BD" w14:textId="728C4358" w:rsidR="00476F8F" w:rsidRDefault="00476F8F" w:rsidP="00AD216E">
      <w:pPr>
        <w:pStyle w:val="ListParagraph"/>
        <w:numPr>
          <w:ilvl w:val="0"/>
          <w:numId w:val="31"/>
        </w:numPr>
        <w:spacing w:after="67" w:line="240" w:lineRule="auto"/>
        <w:ind w:left="426" w:right="-17" w:hanging="357"/>
      </w:pPr>
      <w:r>
        <w:t>conducting more thorough assessments on a targeted cohort</w:t>
      </w:r>
    </w:p>
    <w:p w14:paraId="08BEF9A3" w14:textId="49B0ABAE" w:rsidR="00476F8F" w:rsidRDefault="00476F8F" w:rsidP="00476F8F">
      <w:pPr>
        <w:pStyle w:val="ListParagraph"/>
        <w:numPr>
          <w:ilvl w:val="0"/>
          <w:numId w:val="31"/>
        </w:numPr>
        <w:spacing w:after="67" w:line="240" w:lineRule="auto"/>
        <w:ind w:left="426" w:right="-17" w:hanging="357"/>
      </w:pPr>
      <w:r>
        <w:t>conducting industry information campaigns about the consequences of fraud, including information on an assessing authority’s website.</w:t>
      </w:r>
    </w:p>
    <w:p w14:paraId="33DC03D0" w14:textId="77777777" w:rsidR="00476F8F" w:rsidRDefault="00476F8F" w:rsidP="00476F8F">
      <w:pPr>
        <w:spacing w:after="0"/>
        <w:ind w:right="1056"/>
      </w:pPr>
    </w:p>
    <w:p w14:paraId="5D5D244F" w14:textId="67B39AC0" w:rsidR="00476F8F" w:rsidRDefault="00476F8F" w:rsidP="00476F8F">
      <w:pPr>
        <w:spacing w:after="0"/>
        <w:ind w:right="1056"/>
        <w:rPr>
          <w:color w:val="2A7DB2"/>
          <w:u w:val="single" w:color="2A7DB2"/>
        </w:rPr>
      </w:pPr>
      <w:r>
        <w:t xml:space="preserve">To seek advice from Home Affairs on fraud and risk related matters for specific cases, or to report a suspicion of fraud please contact </w:t>
      </w:r>
      <w:hyperlink r:id="rId52" w:history="1">
        <w:r w:rsidRPr="00800B9E">
          <w:rPr>
            <w:rStyle w:val="Hyperlink"/>
            <w:color w:val="auto"/>
          </w:rPr>
          <w:t>Economic.Skilled.Visa.Assurance@homeaffairs.gov.au</w:t>
        </w:r>
      </w:hyperlink>
    </w:p>
    <w:p w14:paraId="319C05EF" w14:textId="0955B687" w:rsidR="00476F8F" w:rsidRDefault="00476F8F" w:rsidP="00476F8F">
      <w:pPr>
        <w:spacing w:after="0"/>
        <w:ind w:right="1056"/>
        <w:rPr>
          <w:color w:val="2A7DB2"/>
          <w:u w:val="single" w:color="2A7DB2"/>
        </w:rPr>
      </w:pPr>
    </w:p>
    <w:p w14:paraId="38481031" w14:textId="01F54D5D" w:rsidR="00476F8F" w:rsidRDefault="00476F8F" w:rsidP="00476F8F">
      <w:pPr>
        <w:pStyle w:val="Heading2"/>
        <w:rPr>
          <w:u w:color="2A7DB2"/>
        </w:rPr>
      </w:pPr>
      <w:bookmarkStart w:id="23" w:name="_Toc117596799"/>
      <w:r>
        <w:rPr>
          <w:u w:color="2A7DB2"/>
        </w:rPr>
        <w:t>6. Monitoring</w:t>
      </w:r>
      <w:bookmarkEnd w:id="23"/>
    </w:p>
    <w:p w14:paraId="02726EA5" w14:textId="6CFF0F15" w:rsidR="00476F8F" w:rsidRDefault="00476F8F" w:rsidP="00476F8F">
      <w:pPr>
        <w:spacing w:after="349"/>
        <w:ind w:left="-5" w:right="1109"/>
      </w:pPr>
      <w:r>
        <w:t xml:space="preserve">To maintain the integrity of the approval process for assessing authorities, approvals granted by the Minister are subject to review. In determining whether an assessing authority ought to continue to be approved under sub regulation 2.26B(1A) of the </w:t>
      </w:r>
      <w:r>
        <w:rPr>
          <w:i/>
        </w:rPr>
        <w:t>Migration Regulations 1994</w:t>
      </w:r>
      <w:r>
        <w:t xml:space="preserve">, an assessing authority should, if requested, provide evidence of its continued commitment to the assessing authority’s </w:t>
      </w:r>
      <w:r w:rsidRPr="00800B9E">
        <w:t>approval criteria</w:t>
      </w:r>
      <w:r>
        <w:t>.</w:t>
      </w:r>
    </w:p>
    <w:p w14:paraId="5E0CD0CB" w14:textId="77777777" w:rsidR="00476F8F" w:rsidRPr="00454488" w:rsidRDefault="00476F8F" w:rsidP="00476F8F">
      <w:pPr>
        <w:pStyle w:val="Heading4"/>
        <w:rPr>
          <w:b/>
          <w:bCs/>
          <w:color w:val="auto"/>
          <w:sz w:val="22"/>
          <w:szCs w:val="18"/>
        </w:rPr>
      </w:pPr>
      <w:r w:rsidRPr="00454488">
        <w:rPr>
          <w:b/>
          <w:bCs/>
          <w:color w:val="auto"/>
          <w:sz w:val="22"/>
          <w:szCs w:val="18"/>
        </w:rPr>
        <w:t>6.1 Monitoring activities</w:t>
      </w:r>
    </w:p>
    <w:p w14:paraId="0FF2849B" w14:textId="79F90C7E" w:rsidR="00476F8F" w:rsidRDefault="00476F8F" w:rsidP="00476F8F">
      <w:pPr>
        <w:spacing w:after="349"/>
        <w:ind w:left="-5" w:right="1109"/>
      </w:pPr>
      <w:r>
        <w:t xml:space="preserve">To support understanding of and commitment to best practice, an approved assessing authority should participate in the Department’s monitoring arrangements by providing information according to parameters and in the format identified by the Department. When requested, monitoring documentation should be submitted to </w:t>
      </w:r>
      <w:hyperlink r:id="rId53" w:history="1">
        <w:r w:rsidR="00800B9E" w:rsidRPr="00FA535B">
          <w:rPr>
            <w:rStyle w:val="Hyperlink"/>
          </w:rPr>
          <w:t>AAQA@dewr.gov.au</w:t>
        </w:r>
      </w:hyperlink>
      <w:r w:rsidR="00800B9E" w:rsidRPr="00800B9E">
        <w:rPr>
          <w:color w:val="669900"/>
        </w:rPr>
        <w:t xml:space="preserve"> .</w:t>
      </w:r>
    </w:p>
    <w:p w14:paraId="580B3AAD" w14:textId="77777777" w:rsidR="00476F8F" w:rsidRPr="00454488" w:rsidRDefault="00476F8F" w:rsidP="00476F8F">
      <w:pPr>
        <w:pStyle w:val="Heading4"/>
        <w:rPr>
          <w:b/>
          <w:bCs/>
          <w:sz w:val="22"/>
          <w:szCs w:val="18"/>
        </w:rPr>
      </w:pPr>
      <w:r w:rsidRPr="00454488">
        <w:rPr>
          <w:b/>
          <w:bCs/>
          <w:sz w:val="22"/>
          <w:szCs w:val="18"/>
        </w:rPr>
        <w:t>6.1.1. Ongoing approval</w:t>
      </w:r>
    </w:p>
    <w:p w14:paraId="307DD46C" w14:textId="77777777" w:rsidR="00454488" w:rsidRDefault="00476F8F" w:rsidP="00454488">
      <w:pPr>
        <w:spacing w:after="70"/>
        <w:ind w:left="-5" w:right="445"/>
      </w:pPr>
      <w:r>
        <w:t>The monitoring activities for ongoing approval may include:</w:t>
      </w:r>
    </w:p>
    <w:p w14:paraId="4630210C" w14:textId="2BEFFB06" w:rsidR="00476F8F" w:rsidRDefault="00476F8F" w:rsidP="004A018D">
      <w:pPr>
        <w:pStyle w:val="ListParagraph"/>
        <w:numPr>
          <w:ilvl w:val="0"/>
          <w:numId w:val="45"/>
        </w:numPr>
        <w:spacing w:after="70" w:line="276" w:lineRule="auto"/>
        <w:ind w:right="445"/>
      </w:pPr>
      <w:r>
        <w:t>appraisal of offshore assessment process (where applicable)</w:t>
      </w:r>
    </w:p>
    <w:p w14:paraId="6382251E" w14:textId="30DBA740" w:rsidR="00454488" w:rsidRDefault="00476F8F" w:rsidP="00454488">
      <w:pPr>
        <w:pStyle w:val="ListParagraph"/>
        <w:numPr>
          <w:ilvl w:val="0"/>
          <w:numId w:val="45"/>
        </w:numPr>
        <w:spacing w:after="67" w:line="240" w:lineRule="auto"/>
        <w:ind w:right="-17"/>
      </w:pPr>
      <w:r>
        <w:t>website chec</w:t>
      </w:r>
      <w:r w:rsidR="00454488">
        <w:t>k</w:t>
      </w:r>
    </w:p>
    <w:p w14:paraId="5C630D87" w14:textId="326290EC" w:rsidR="00476F8F" w:rsidRDefault="00476F8F" w:rsidP="00454488">
      <w:pPr>
        <w:pStyle w:val="ListParagraph"/>
        <w:numPr>
          <w:ilvl w:val="0"/>
          <w:numId w:val="45"/>
        </w:numPr>
        <w:spacing w:after="67" w:line="240" w:lineRule="auto"/>
        <w:ind w:right="-17"/>
      </w:pPr>
      <w:r>
        <w:t>Guideline’s compliance check, including:</w:t>
      </w:r>
    </w:p>
    <w:p w14:paraId="5F0AEE40" w14:textId="77777777" w:rsidR="00476F8F" w:rsidRDefault="00476F8F" w:rsidP="00035AD4">
      <w:pPr>
        <w:numPr>
          <w:ilvl w:val="0"/>
          <w:numId w:val="47"/>
        </w:numPr>
        <w:spacing w:after="75" w:line="259" w:lineRule="auto"/>
        <w:ind w:right="30"/>
      </w:pPr>
      <w:r>
        <w:t>financial viability</w:t>
      </w:r>
    </w:p>
    <w:p w14:paraId="4162F0E8" w14:textId="77777777" w:rsidR="00476F8F" w:rsidRDefault="00476F8F" w:rsidP="00035AD4">
      <w:pPr>
        <w:numPr>
          <w:ilvl w:val="0"/>
          <w:numId w:val="47"/>
        </w:numPr>
        <w:spacing w:after="75" w:line="259" w:lineRule="auto"/>
        <w:ind w:right="30"/>
      </w:pPr>
      <w:r>
        <w:t xml:space="preserve">skills assessment costs </w:t>
      </w:r>
    </w:p>
    <w:p w14:paraId="0BC0BE17" w14:textId="77777777" w:rsidR="00476F8F" w:rsidRDefault="00476F8F" w:rsidP="00035AD4">
      <w:pPr>
        <w:numPr>
          <w:ilvl w:val="0"/>
          <w:numId w:val="47"/>
        </w:numPr>
        <w:spacing w:after="75" w:line="259" w:lineRule="auto"/>
        <w:ind w:right="30"/>
      </w:pPr>
      <w:r>
        <w:t xml:space="preserve">industry standards check </w:t>
      </w:r>
    </w:p>
    <w:p w14:paraId="7C49289B" w14:textId="77777777" w:rsidR="00476F8F" w:rsidRDefault="00476F8F" w:rsidP="00035AD4">
      <w:pPr>
        <w:numPr>
          <w:ilvl w:val="0"/>
          <w:numId w:val="47"/>
        </w:numPr>
        <w:spacing w:after="75" w:line="259" w:lineRule="auto"/>
        <w:ind w:right="30"/>
      </w:pPr>
      <w:r>
        <w:t>assessment advice letter/outcome or result letter</w:t>
      </w:r>
    </w:p>
    <w:p w14:paraId="1DA7C19D" w14:textId="77777777" w:rsidR="00476F8F" w:rsidRDefault="00476F8F" w:rsidP="00035AD4">
      <w:pPr>
        <w:numPr>
          <w:ilvl w:val="0"/>
          <w:numId w:val="47"/>
        </w:numPr>
        <w:spacing w:after="75" w:line="259" w:lineRule="auto"/>
        <w:ind w:right="30"/>
      </w:pPr>
      <w:r>
        <w:t>feedback to unsuitable applicants</w:t>
      </w:r>
    </w:p>
    <w:p w14:paraId="47BB6EE3" w14:textId="77777777" w:rsidR="00476F8F" w:rsidRDefault="00476F8F" w:rsidP="00035AD4">
      <w:pPr>
        <w:numPr>
          <w:ilvl w:val="0"/>
          <w:numId w:val="47"/>
        </w:numPr>
        <w:spacing w:after="72" w:line="259" w:lineRule="auto"/>
        <w:ind w:right="30"/>
      </w:pPr>
      <w:r>
        <w:t>exam intervals and locations (if relevant)</w:t>
      </w:r>
    </w:p>
    <w:p w14:paraId="7C99E5E9" w14:textId="0A5E7F7C" w:rsidR="00476F8F" w:rsidRDefault="00476F8F" w:rsidP="00035AD4">
      <w:pPr>
        <w:numPr>
          <w:ilvl w:val="0"/>
          <w:numId w:val="47"/>
        </w:numPr>
        <w:spacing w:after="113" w:line="259" w:lineRule="auto"/>
        <w:ind w:right="179"/>
      </w:pPr>
      <w:r>
        <w:t>processes for managing risk, which may include an audit conducted by the Department or Home Affairs.</w:t>
      </w:r>
    </w:p>
    <w:p w14:paraId="429F3802" w14:textId="77777777" w:rsidR="00476F8F" w:rsidRPr="004A018D" w:rsidRDefault="00476F8F" w:rsidP="00476F8F">
      <w:pPr>
        <w:pStyle w:val="Heading4"/>
        <w:rPr>
          <w:b/>
          <w:bCs/>
          <w:sz w:val="22"/>
          <w:szCs w:val="18"/>
        </w:rPr>
      </w:pPr>
      <w:r w:rsidRPr="004A018D">
        <w:rPr>
          <w:b/>
          <w:bCs/>
          <w:sz w:val="22"/>
          <w:szCs w:val="18"/>
        </w:rPr>
        <w:t>6.1.2. Six-monthly reporting</w:t>
      </w:r>
    </w:p>
    <w:p w14:paraId="71347CEA" w14:textId="77777777" w:rsidR="00476F8F" w:rsidRDefault="00476F8F" w:rsidP="00476F8F">
      <w:pPr>
        <w:spacing w:after="114"/>
        <w:ind w:left="-5" w:right="131"/>
      </w:pPr>
      <w:r>
        <w:t xml:space="preserve">Skills assessment statistics may alert the Department to an issue with a skills assessment process; for example, if no suitable skills assessments are issued, there may be a problem with the process. </w:t>
      </w:r>
    </w:p>
    <w:p w14:paraId="05A91532" w14:textId="77777777" w:rsidR="00476F8F" w:rsidRDefault="00476F8F" w:rsidP="00476F8F">
      <w:pPr>
        <w:spacing w:after="114"/>
        <w:ind w:left="-5" w:right="186"/>
      </w:pPr>
      <w:r>
        <w:t xml:space="preserve">Reporting also enhances an understanding of risks and opportunities and can be used to influence long-term policy development. </w:t>
      </w:r>
    </w:p>
    <w:p w14:paraId="429EE021" w14:textId="77777777" w:rsidR="00476F8F" w:rsidRDefault="00476F8F" w:rsidP="00476F8F">
      <w:pPr>
        <w:spacing w:after="114"/>
        <w:ind w:left="-5" w:right="30"/>
      </w:pPr>
      <w:r>
        <w:t>Reporting also contributes to the streamlining of processes to improve efficiency and outcomes.</w:t>
      </w:r>
    </w:p>
    <w:p w14:paraId="640917F8" w14:textId="77777777" w:rsidR="00476F8F" w:rsidRDefault="00476F8F" w:rsidP="00476F8F">
      <w:pPr>
        <w:spacing w:after="114"/>
        <w:ind w:left="-5" w:right="30"/>
      </w:pPr>
      <w:r>
        <w:t>Assessing authorities are required to provide the information described below every six months in the template provided by the Department:</w:t>
      </w:r>
    </w:p>
    <w:p w14:paraId="4BE977F5" w14:textId="77777777" w:rsidR="00476F8F" w:rsidRDefault="00476F8F" w:rsidP="00476F8F">
      <w:pPr>
        <w:pStyle w:val="ListParagraph"/>
        <w:numPr>
          <w:ilvl w:val="0"/>
          <w:numId w:val="31"/>
        </w:numPr>
        <w:spacing w:after="67" w:line="240" w:lineRule="auto"/>
        <w:ind w:left="426" w:right="-17" w:hanging="357"/>
      </w:pPr>
      <w:r>
        <w:t>the number of skills assessments by suitable/not suitable outcome</w:t>
      </w:r>
    </w:p>
    <w:p w14:paraId="56ABDD4D" w14:textId="77777777" w:rsidR="00476F8F" w:rsidRDefault="00476F8F" w:rsidP="00476F8F">
      <w:pPr>
        <w:pStyle w:val="ListParagraph"/>
        <w:numPr>
          <w:ilvl w:val="0"/>
          <w:numId w:val="31"/>
        </w:numPr>
        <w:spacing w:after="67" w:line="240" w:lineRule="auto"/>
        <w:ind w:left="426" w:right="-17" w:hanging="357"/>
      </w:pPr>
      <w:r>
        <w:t xml:space="preserve">country of passport </w:t>
      </w:r>
    </w:p>
    <w:p w14:paraId="1A55B103" w14:textId="77777777" w:rsidR="00476F8F" w:rsidRDefault="00476F8F" w:rsidP="00476F8F">
      <w:pPr>
        <w:pStyle w:val="ListParagraph"/>
        <w:numPr>
          <w:ilvl w:val="0"/>
          <w:numId w:val="31"/>
        </w:numPr>
        <w:spacing w:after="67" w:line="240" w:lineRule="auto"/>
        <w:ind w:left="426" w:right="-17" w:hanging="357"/>
      </w:pPr>
      <w:r>
        <w:t>a breakdown of not suitable outcomes by criteria not met</w:t>
      </w:r>
    </w:p>
    <w:p w14:paraId="647471FD" w14:textId="77777777" w:rsidR="00476F8F" w:rsidRDefault="00476F8F" w:rsidP="00476F8F">
      <w:pPr>
        <w:pStyle w:val="ListParagraph"/>
        <w:numPr>
          <w:ilvl w:val="0"/>
          <w:numId w:val="31"/>
        </w:numPr>
        <w:spacing w:after="67" w:line="240" w:lineRule="auto"/>
        <w:ind w:left="426" w:right="-17" w:hanging="357"/>
      </w:pPr>
      <w:r>
        <w:t>the number of review and appeal requests, including outcomes</w:t>
      </w:r>
    </w:p>
    <w:p w14:paraId="6245F610" w14:textId="77777777" w:rsidR="00476F8F" w:rsidRDefault="00476F8F" w:rsidP="00476F8F">
      <w:pPr>
        <w:pStyle w:val="ListParagraph"/>
        <w:numPr>
          <w:ilvl w:val="0"/>
          <w:numId w:val="31"/>
        </w:numPr>
        <w:spacing w:after="67" w:line="240" w:lineRule="auto"/>
        <w:ind w:left="426" w:right="-17" w:hanging="357"/>
      </w:pPr>
      <w:r>
        <w:t xml:space="preserve">the number of assessments for applicants with Australian qualifications </w:t>
      </w:r>
    </w:p>
    <w:p w14:paraId="664D720A" w14:textId="7746354D" w:rsidR="00476F8F" w:rsidRDefault="00476F8F" w:rsidP="00A564C0">
      <w:pPr>
        <w:pStyle w:val="ListParagraph"/>
        <w:numPr>
          <w:ilvl w:val="0"/>
          <w:numId w:val="31"/>
        </w:numPr>
        <w:spacing w:after="67" w:line="240" w:lineRule="auto"/>
        <w:ind w:left="426" w:right="-17" w:hanging="357"/>
      </w:pPr>
      <w:r>
        <w:t>additional information at the discretion of the Department.</w:t>
      </w:r>
    </w:p>
    <w:p w14:paraId="77628C82" w14:textId="77777777" w:rsidR="00A564C0" w:rsidRPr="004A018D" w:rsidRDefault="00A564C0" w:rsidP="00A564C0">
      <w:pPr>
        <w:pStyle w:val="Heading4"/>
        <w:rPr>
          <w:b/>
          <w:bCs/>
          <w:sz w:val="22"/>
          <w:szCs w:val="18"/>
        </w:rPr>
      </w:pPr>
      <w:r w:rsidRPr="004A018D">
        <w:rPr>
          <w:b/>
          <w:bCs/>
          <w:sz w:val="22"/>
          <w:szCs w:val="18"/>
        </w:rPr>
        <w:t>6.1.3. Changes to occupational assessment standards</w:t>
      </w:r>
    </w:p>
    <w:p w14:paraId="1AB5461F" w14:textId="77777777" w:rsidR="00A564C0" w:rsidRDefault="00A564C0" w:rsidP="00A564C0">
      <w:pPr>
        <w:ind w:left="-5" w:right="30"/>
      </w:pPr>
      <w:r>
        <w:t xml:space="preserve">Assessing authorities must inform the Department about changes to occupational assessment standards. The Department expects that any changes to occupational assessment standards will not disadvantage applicants already in the process of being assessed. </w:t>
      </w:r>
    </w:p>
    <w:p w14:paraId="4841CA85" w14:textId="77777777" w:rsidR="00613D6E" w:rsidRDefault="00613D6E" w:rsidP="00613D6E">
      <w:pPr>
        <w:pStyle w:val="Heading2"/>
      </w:pPr>
      <w:bookmarkStart w:id="24" w:name="_Toc117596800"/>
      <w:r>
        <w:t>7. Support</w:t>
      </w:r>
      <w:bookmarkEnd w:id="24"/>
      <w:r>
        <w:t xml:space="preserve"> </w:t>
      </w:r>
    </w:p>
    <w:p w14:paraId="1F032EA7" w14:textId="77777777" w:rsidR="00613D6E" w:rsidRDefault="00613D6E" w:rsidP="00613D6E">
      <w:pPr>
        <w:spacing w:after="76"/>
        <w:ind w:left="-5" w:right="604"/>
      </w:pPr>
      <w:r>
        <w:t>The Department is available to assist assessing authorities to maintain their observance of the Guidelines. To this end, the Assessing Authorities Quality Assurance (AAQA) team within the Department will provide information and support to:</w:t>
      </w:r>
    </w:p>
    <w:p w14:paraId="04E69A03" w14:textId="77777777" w:rsidR="00613D6E" w:rsidRPr="00800B9E" w:rsidRDefault="00613D6E" w:rsidP="00613D6E">
      <w:pPr>
        <w:numPr>
          <w:ilvl w:val="0"/>
          <w:numId w:val="33"/>
        </w:numPr>
        <w:spacing w:after="56" w:line="259" w:lineRule="auto"/>
        <w:ind w:right="695" w:hanging="227"/>
        <w:rPr>
          <w:bCs/>
        </w:rPr>
      </w:pPr>
      <w:r w:rsidRPr="00800B9E">
        <w:rPr>
          <w:bCs/>
        </w:rPr>
        <w:t>ensure timely and accurate internal and external communications</w:t>
      </w:r>
    </w:p>
    <w:p w14:paraId="1DAF102D" w14:textId="77777777" w:rsidR="00613D6E" w:rsidRPr="00800B9E" w:rsidRDefault="00613D6E" w:rsidP="00613D6E">
      <w:pPr>
        <w:numPr>
          <w:ilvl w:val="0"/>
          <w:numId w:val="33"/>
        </w:numPr>
        <w:spacing w:after="56" w:line="259" w:lineRule="auto"/>
        <w:ind w:right="695" w:hanging="227"/>
        <w:rPr>
          <w:bCs/>
        </w:rPr>
      </w:pPr>
      <w:r w:rsidRPr="00800B9E">
        <w:rPr>
          <w:bCs/>
        </w:rPr>
        <w:t>support assessing authorities to be clear about their obligations</w:t>
      </w:r>
    </w:p>
    <w:p w14:paraId="787874C7" w14:textId="77777777" w:rsidR="00613D6E" w:rsidRPr="00800B9E" w:rsidRDefault="00613D6E" w:rsidP="00613D6E">
      <w:pPr>
        <w:numPr>
          <w:ilvl w:val="0"/>
          <w:numId w:val="33"/>
        </w:numPr>
        <w:spacing w:after="54" w:line="259" w:lineRule="auto"/>
        <w:ind w:right="695" w:hanging="227"/>
        <w:rPr>
          <w:bCs/>
        </w:rPr>
      </w:pPr>
      <w:r w:rsidRPr="00800B9E">
        <w:rPr>
          <w:bCs/>
        </w:rPr>
        <w:t>assist assessing authorities to understand the requirements set out in the Guidelines</w:t>
      </w:r>
    </w:p>
    <w:p w14:paraId="700781C5" w14:textId="77777777" w:rsidR="00613D6E" w:rsidRPr="00800B9E" w:rsidRDefault="00613D6E" w:rsidP="00613D6E">
      <w:pPr>
        <w:numPr>
          <w:ilvl w:val="0"/>
          <w:numId w:val="33"/>
        </w:numPr>
        <w:spacing w:after="61" w:line="259" w:lineRule="auto"/>
        <w:ind w:right="695" w:hanging="227"/>
        <w:rPr>
          <w:bCs/>
        </w:rPr>
      </w:pPr>
      <w:r w:rsidRPr="00800B9E">
        <w:rPr>
          <w:bCs/>
        </w:rPr>
        <w:t xml:space="preserve">update stakeholders </w:t>
      </w:r>
    </w:p>
    <w:p w14:paraId="6B0A61DE" w14:textId="77777777" w:rsidR="00613D6E" w:rsidRDefault="00613D6E" w:rsidP="00613D6E">
      <w:pPr>
        <w:numPr>
          <w:ilvl w:val="0"/>
          <w:numId w:val="33"/>
        </w:numPr>
        <w:spacing w:after="114" w:line="259" w:lineRule="auto"/>
        <w:ind w:right="695" w:hanging="227"/>
      </w:pPr>
      <w:r w:rsidRPr="00800B9E">
        <w:rPr>
          <w:bCs/>
        </w:rPr>
        <w:t>create a</w:t>
      </w:r>
      <w:r w:rsidRPr="00800B9E">
        <w:t xml:space="preserve"> </w:t>
      </w:r>
      <w:r>
        <w:t xml:space="preserve">dialogue among relevant stakeholders. </w:t>
      </w:r>
    </w:p>
    <w:p w14:paraId="71056E82" w14:textId="77777777" w:rsidR="003D3E6B" w:rsidRPr="004A018D" w:rsidRDefault="003D3E6B" w:rsidP="003D3E6B">
      <w:pPr>
        <w:pStyle w:val="Heading4"/>
        <w:spacing w:after="120"/>
        <w:ind w:left="-5"/>
        <w:rPr>
          <w:b/>
          <w:bCs/>
          <w:color w:val="auto"/>
          <w:sz w:val="22"/>
          <w:szCs w:val="18"/>
        </w:rPr>
      </w:pPr>
      <w:r w:rsidRPr="004A018D">
        <w:rPr>
          <w:b/>
          <w:bCs/>
          <w:color w:val="auto"/>
          <w:sz w:val="22"/>
          <w:szCs w:val="18"/>
        </w:rPr>
        <w:t>7.1 Teleconferences</w:t>
      </w:r>
    </w:p>
    <w:p w14:paraId="786D6403" w14:textId="77777777" w:rsidR="003D3E6B" w:rsidRDefault="003D3E6B" w:rsidP="003D3E6B">
      <w:pPr>
        <w:spacing w:after="114"/>
        <w:ind w:left="-5" w:right="812"/>
      </w:pPr>
      <w:r>
        <w:t>Teleconferences may be appropriate for discussing monitoring issues as they arise and to provide clarification on policy, implementation, and reporting issues.</w:t>
      </w:r>
    </w:p>
    <w:p w14:paraId="17A2D1C9" w14:textId="77777777" w:rsidR="003D3E6B" w:rsidRDefault="003D3E6B" w:rsidP="003D3E6B">
      <w:pPr>
        <w:spacing w:after="114"/>
        <w:ind w:left="-5" w:right="882"/>
      </w:pPr>
      <w:r>
        <w:t xml:space="preserve">A teleconference may be initiated by the assessing authority or by AAQA. </w:t>
      </w:r>
    </w:p>
    <w:p w14:paraId="3D80913E" w14:textId="77777777" w:rsidR="003D3E6B" w:rsidRPr="004A018D" w:rsidRDefault="003D3E6B" w:rsidP="003D3E6B">
      <w:pPr>
        <w:pStyle w:val="Heading4"/>
        <w:spacing w:after="120"/>
        <w:ind w:left="-5"/>
        <w:rPr>
          <w:b/>
          <w:bCs/>
          <w:color w:val="auto"/>
          <w:sz w:val="22"/>
          <w:szCs w:val="18"/>
        </w:rPr>
      </w:pPr>
      <w:r w:rsidRPr="004A018D">
        <w:rPr>
          <w:b/>
          <w:bCs/>
          <w:color w:val="auto"/>
          <w:sz w:val="22"/>
          <w:szCs w:val="18"/>
        </w:rPr>
        <w:t>7.2 Assessing Authorities Workshops</w:t>
      </w:r>
    </w:p>
    <w:p w14:paraId="0850BDE3" w14:textId="77777777" w:rsidR="003D3E6B" w:rsidRDefault="003D3E6B" w:rsidP="003D3E6B">
      <w:pPr>
        <w:spacing w:after="105" w:line="261" w:lineRule="auto"/>
        <w:ind w:left="-5" w:right="1025"/>
        <w:jc w:val="both"/>
      </w:pPr>
      <w:r>
        <w:t>The Department will conduct online meetings and workshops for assessing authorities to connect over mutual experiences, discuss topical issues and to share information.</w:t>
      </w:r>
    </w:p>
    <w:p w14:paraId="1C915016" w14:textId="77777777" w:rsidR="003D3E6B" w:rsidRDefault="003D3E6B" w:rsidP="003D3E6B">
      <w:pPr>
        <w:spacing w:after="114"/>
        <w:ind w:left="-5" w:right="869"/>
      </w:pPr>
      <w:r>
        <w:t xml:space="preserve">In addition, the workshops will provide a forum for the Department to advise assessing authorities on governance matters, a summary of data received in the six-monthly reports and any changes to current arrangements. Assessing authorities may suggest a topic for a workshop. </w:t>
      </w:r>
    </w:p>
    <w:p w14:paraId="753F964D" w14:textId="72142625" w:rsidR="003D3E6B" w:rsidRPr="004A018D" w:rsidRDefault="003D3E6B" w:rsidP="003D3E6B">
      <w:pPr>
        <w:pStyle w:val="Heading4"/>
        <w:spacing w:after="120"/>
        <w:ind w:left="-5"/>
        <w:rPr>
          <w:b/>
          <w:bCs/>
          <w:color w:val="auto"/>
          <w:sz w:val="22"/>
          <w:szCs w:val="18"/>
        </w:rPr>
      </w:pPr>
      <w:r w:rsidRPr="004A018D">
        <w:rPr>
          <w:b/>
          <w:bCs/>
          <w:color w:val="auto"/>
          <w:sz w:val="22"/>
          <w:szCs w:val="18"/>
        </w:rPr>
        <w:t>7.3 Adding or removing an occupation from scope</w:t>
      </w:r>
    </w:p>
    <w:p w14:paraId="1AC9EB6E" w14:textId="50D95E79" w:rsidR="00AD216E" w:rsidRDefault="003D3E6B" w:rsidP="00AD216E">
      <w:pPr>
        <w:ind w:left="-5" w:right="777"/>
      </w:pPr>
      <w:r>
        <w:t xml:space="preserve">An approved assessing authority wanting to add an occupation to its scope is required to apply to the Department and address the requirements at subsections, </w:t>
      </w:r>
      <w:hyperlink r:id="rId54" w:anchor="_3.1._Provision_of" w:history="1">
        <w:r w:rsidRPr="004A018D">
          <w:rPr>
            <w:rStyle w:val="Hyperlink"/>
            <w:b/>
            <w:bCs/>
            <w:color w:val="auto"/>
          </w:rPr>
          <w:t>3.1 Provision of information</w:t>
        </w:r>
      </w:hyperlink>
      <w:r>
        <w:t>,</w:t>
      </w:r>
      <w:r w:rsidRPr="004A018D">
        <w:rPr>
          <w:b/>
          <w:bCs/>
        </w:rPr>
        <w:t xml:space="preserve"> </w:t>
      </w:r>
      <w:hyperlink r:id="rId55" w:anchor="_3.2._Occupational_assessment" w:history="1">
        <w:r w:rsidRPr="004A018D">
          <w:rPr>
            <w:rStyle w:val="Hyperlink"/>
            <w:b/>
            <w:bCs/>
            <w:color w:val="auto"/>
          </w:rPr>
          <w:t>3.2 Occupational assessment standards</w:t>
        </w:r>
      </w:hyperlink>
      <w:r w:rsidRPr="004A018D">
        <w:t xml:space="preserve"> </w:t>
      </w:r>
      <w:r>
        <w:t xml:space="preserve">and </w:t>
      </w:r>
      <w:r w:rsidRPr="004A018D">
        <w:rPr>
          <w:b/>
          <w:bCs/>
          <w:u w:val="single" w:color="2A7DB2"/>
        </w:rPr>
        <w:t>3</w:t>
      </w:r>
      <w:hyperlink r:id="rId56" w:anchor="_3.4._Skills_assessments" w:history="1">
        <w:r w:rsidRPr="004A018D">
          <w:rPr>
            <w:rStyle w:val="Hyperlink"/>
            <w:b/>
            <w:bCs/>
            <w:color w:val="auto"/>
          </w:rPr>
          <w:t>.4 Skills assessments</w:t>
        </w:r>
      </w:hyperlink>
      <w:r w:rsidRPr="004A018D">
        <w:rPr>
          <w:b/>
          <w:bCs/>
        </w:rPr>
        <w:t xml:space="preserve"> </w:t>
      </w:r>
      <w:r>
        <w:t xml:space="preserve">with respect to that additional occupation. </w:t>
      </w:r>
    </w:p>
    <w:p w14:paraId="7EA3A071" w14:textId="77777777" w:rsidR="003D3E6B" w:rsidRDefault="003D3E6B" w:rsidP="003D3E6B">
      <w:pPr>
        <w:spacing w:after="114" w:line="261" w:lineRule="auto"/>
        <w:ind w:left="-5" w:right="1025"/>
      </w:pPr>
      <w:r>
        <w:t>The Department will from time to time review the allocation of occupations and may make recommendations to the Skills Assessment Minister, who has discretion to approve or reject an application and the allocation of occupations.</w:t>
      </w:r>
    </w:p>
    <w:p w14:paraId="2B007015" w14:textId="77777777" w:rsidR="003D3E6B" w:rsidRPr="004A018D" w:rsidRDefault="003D3E6B" w:rsidP="003D3E6B">
      <w:pPr>
        <w:pStyle w:val="Heading4"/>
        <w:spacing w:after="120"/>
        <w:ind w:left="-5"/>
        <w:rPr>
          <w:b/>
          <w:bCs/>
          <w:color w:val="auto"/>
          <w:sz w:val="22"/>
          <w:szCs w:val="18"/>
        </w:rPr>
      </w:pPr>
      <w:r w:rsidRPr="004A018D">
        <w:rPr>
          <w:b/>
          <w:bCs/>
          <w:color w:val="auto"/>
          <w:sz w:val="22"/>
          <w:szCs w:val="18"/>
        </w:rPr>
        <w:t>7.4 Contact AAQA</w:t>
      </w:r>
    </w:p>
    <w:p w14:paraId="4AD8A640" w14:textId="730880A6" w:rsidR="003D3E6B" w:rsidRDefault="003D3E6B" w:rsidP="003D3E6B">
      <w:pPr>
        <w:ind w:left="-5" w:right="906"/>
      </w:pPr>
      <w:r>
        <w:t xml:space="preserve">When requesting advice, providing feedback or proposing a teleconference, assessing authorities should contact the </w:t>
      </w:r>
      <w:hyperlink r:id="rId57" w:history="1">
        <w:r w:rsidR="00035AD4" w:rsidRPr="00FA535B">
          <w:rPr>
            <w:rStyle w:val="Hyperlink"/>
          </w:rPr>
          <w:t>AAQA@dewr.gov.au</w:t>
        </w:r>
      </w:hyperlink>
      <w:r w:rsidR="00035AD4">
        <w:t xml:space="preserve"> </w:t>
      </w:r>
      <w:r>
        <w:t>mailbox.</w:t>
      </w:r>
    </w:p>
    <w:p w14:paraId="46EEF97A" w14:textId="4649E754" w:rsidR="000E64ED" w:rsidRPr="000E64ED" w:rsidRDefault="000E64ED" w:rsidP="000E64ED"/>
    <w:p w14:paraId="4820F174" w14:textId="77777777" w:rsidR="009155CA" w:rsidRPr="009155CA" w:rsidRDefault="009155CA" w:rsidP="009155CA"/>
    <w:bookmarkEnd w:id="13"/>
    <w:p w14:paraId="67976E27" w14:textId="77777777" w:rsidR="00A905F5" w:rsidRDefault="00A905F5" w:rsidP="004A018D">
      <w:pPr>
        <w:spacing w:after="902"/>
        <w:ind w:right="30"/>
      </w:pPr>
    </w:p>
    <w:sectPr w:rsidR="00A905F5" w:rsidSect="00BE737E">
      <w:headerReference w:type="default" r:id="rId58"/>
      <w:footerReference w:type="default" r:id="rId59"/>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E0094" w14:textId="77777777" w:rsidR="00E01619" w:rsidRDefault="00E01619" w:rsidP="0051352E">
      <w:pPr>
        <w:spacing w:after="0" w:line="240" w:lineRule="auto"/>
      </w:pPr>
      <w:r>
        <w:separator/>
      </w:r>
    </w:p>
  </w:endnote>
  <w:endnote w:type="continuationSeparator" w:id="0">
    <w:p w14:paraId="4A1BADBE" w14:textId="77777777" w:rsidR="00E01619" w:rsidRDefault="00E0161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A674" w14:textId="77777777" w:rsidR="00851F3A" w:rsidRDefault="00851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69E5" w14:textId="77777777" w:rsidR="00EA67FC" w:rsidRDefault="00EA67FC">
    <w:pPr>
      <w:pStyle w:val="Footer"/>
      <w:jc w:val="right"/>
    </w:pPr>
  </w:p>
  <w:p w14:paraId="5DF12A44" w14:textId="77777777" w:rsidR="00EA67FC" w:rsidRDefault="00EA6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66C3" w14:textId="77777777" w:rsidR="00851F3A" w:rsidRDefault="00851F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DED9" w14:textId="642AF1CF" w:rsidR="00EA67FC" w:rsidRDefault="00E519BA">
    <w:pPr>
      <w:pStyle w:val="Footer"/>
      <w:jc w:val="right"/>
    </w:pPr>
    <w:r>
      <w:t xml:space="preserve">Guidelines for Skilled Migration Assessing Authorities </w:t>
    </w:r>
    <w:r w:rsidR="00EA67FC">
      <w:t xml:space="preserve">|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7DE3D83C" w14:textId="77777777" w:rsidR="00EA67FC" w:rsidRDefault="00BE737E">
    <w:pPr>
      <w:pStyle w:val="Footer"/>
    </w:pPr>
    <w:r>
      <w:rPr>
        <w:noProof/>
      </w:rPr>
      <mc:AlternateContent>
        <mc:Choice Requires="wps">
          <w:drawing>
            <wp:anchor distT="0" distB="0" distL="114300" distR="114300" simplePos="0" relativeHeight="251659264" behindDoc="0" locked="0" layoutInCell="1" allowOverlap="1" wp14:anchorId="3548CA97" wp14:editId="4490DB32">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06A28" id="Rectangle 1" o:spid="_x0000_s1026" alt="&quot;&quot;" style="position:absolute;margin-left:0;margin-top:19.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p w14:paraId="47CE47D3" w14:textId="77777777" w:rsidR="00502844" w:rsidRDefault="00502844"/>
  <w:p w14:paraId="219200F3" w14:textId="77777777" w:rsidR="00502844" w:rsidRDefault="005028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4ECF" w14:textId="77777777" w:rsidR="00E01619" w:rsidRDefault="00E01619" w:rsidP="0051352E">
      <w:pPr>
        <w:spacing w:after="0" w:line="240" w:lineRule="auto"/>
      </w:pPr>
      <w:r>
        <w:separator/>
      </w:r>
    </w:p>
  </w:footnote>
  <w:footnote w:type="continuationSeparator" w:id="0">
    <w:p w14:paraId="02BC6097" w14:textId="77777777" w:rsidR="00E01619" w:rsidRDefault="00E01619" w:rsidP="0051352E">
      <w:pPr>
        <w:spacing w:after="0" w:line="240" w:lineRule="auto"/>
      </w:pPr>
      <w:r>
        <w:continuationSeparator/>
      </w:r>
    </w:p>
  </w:footnote>
  <w:footnote w:id="1">
    <w:p w14:paraId="16106D19" w14:textId="77777777" w:rsidR="00AD216E" w:rsidRDefault="00AD216E" w:rsidP="00AD216E">
      <w:pPr>
        <w:spacing w:after="0" w:line="235" w:lineRule="auto"/>
        <w:rPr>
          <w:sz w:val="15"/>
        </w:rPr>
      </w:pPr>
      <w:r>
        <w:rPr>
          <w:rStyle w:val="FootnoteReference"/>
        </w:rPr>
        <w:footnoteRef/>
      </w:r>
      <w:r>
        <w:t xml:space="preserve"> </w:t>
      </w:r>
      <w:r>
        <w:rPr>
          <w:sz w:val="15"/>
        </w:rPr>
        <w:t>It is important to note that the information gained from open source checks is not necessarily managed by reliable sources and thus may not be totally reliable or up to date. Therefore, open source information should be viewed with caution and used to help establish an overall picture of an application, rather than being relied upon too heavily when making decisions.</w:t>
      </w:r>
    </w:p>
  </w:footnote>
  <w:footnote w:id="2">
    <w:p w14:paraId="361CCB3B" w14:textId="77777777" w:rsidR="00476F8F" w:rsidRDefault="00476F8F" w:rsidP="00476F8F">
      <w:pPr>
        <w:spacing w:after="0" w:line="235" w:lineRule="auto"/>
      </w:pPr>
      <w:r>
        <w:rPr>
          <w:rStyle w:val="FootnoteReference"/>
        </w:rPr>
        <w:footnoteRef/>
      </w:r>
      <w:r>
        <w:t xml:space="preserve"> </w:t>
      </w:r>
      <w:r>
        <w:rPr>
          <w:sz w:val="15"/>
        </w:rPr>
        <w:t>Large, reputable employers may have privacy policies that prevent them from sharing details of their workers’ employment details over the telephone.  In such cases, they may agree to provide the information if a request is received in writing. That is, by email or hard mail to the relevant area, such as the Human Resources section of the business. If so, an assessing authority may consider requesting the information as instructed.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C92C" w14:textId="77777777" w:rsidR="00851F3A" w:rsidRDefault="00851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76AD" w14:textId="77777777" w:rsidR="00851F3A" w:rsidRDefault="00851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6B25" w14:textId="77777777" w:rsidR="00851F3A" w:rsidRDefault="00851F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5175" w14:textId="77777777" w:rsidR="00EA67FC" w:rsidRDefault="00EA67FC">
    <w:pPr>
      <w:pStyle w:val="Header"/>
    </w:pPr>
  </w:p>
  <w:p w14:paraId="0AF91A92" w14:textId="77777777" w:rsidR="00502844" w:rsidRDefault="00502844"/>
  <w:p w14:paraId="68A06E25" w14:textId="77777777" w:rsidR="00502844" w:rsidRDefault="005028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614F92"/>
    <w:multiLevelType w:val="hybridMultilevel"/>
    <w:tmpl w:val="0C9ABE1A"/>
    <w:lvl w:ilvl="0" w:tplc="684EFF7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6FC6F64"/>
    <w:multiLevelType w:val="hybridMultilevel"/>
    <w:tmpl w:val="EDA4405E"/>
    <w:lvl w:ilvl="0" w:tplc="42DEAE08">
      <w:start w:val="1"/>
      <w:numFmt w:val="decimal"/>
      <w:lvlText w:val="%1."/>
      <w:lvlJc w:val="left"/>
      <w:pPr>
        <w:ind w:left="227" w:firstLine="0"/>
      </w:pPr>
      <w:rPr>
        <w:rFonts w:ascii="Calibri" w:hAnsi="Calibri" w:cs="Calibri" w:hint="default"/>
        <w:b/>
        <w:bCs/>
        <w:i w:val="0"/>
        <w:strike w:val="0"/>
        <w:dstrike w:val="0"/>
        <w:color w:val="669900"/>
        <w:sz w:val="19"/>
        <w:szCs w:val="19"/>
        <w:u w:val="none" w:color="000000"/>
        <w:effect w:val="none"/>
        <w:bdr w:val="none" w:sz="0" w:space="0" w:color="auto" w:frame="1"/>
        <w:vertAlign w:val="baseline"/>
      </w:rPr>
    </w:lvl>
    <w:lvl w:ilvl="1" w:tplc="774ACDA8">
      <w:start w:val="1"/>
      <w:numFmt w:val="lowerLetter"/>
      <w:lvlText w:val="%2"/>
      <w:lvlJc w:val="left"/>
      <w:pPr>
        <w:ind w:left="108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2" w:tplc="494EC042">
      <w:start w:val="1"/>
      <w:numFmt w:val="lowerRoman"/>
      <w:lvlText w:val="%3"/>
      <w:lvlJc w:val="left"/>
      <w:pPr>
        <w:ind w:left="180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3" w:tplc="3202DD0C">
      <w:start w:val="1"/>
      <w:numFmt w:val="decimal"/>
      <w:lvlText w:val="%4"/>
      <w:lvlJc w:val="left"/>
      <w:pPr>
        <w:ind w:left="252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4" w:tplc="CDEEDCB8">
      <w:start w:val="1"/>
      <w:numFmt w:val="lowerLetter"/>
      <w:lvlText w:val="%5"/>
      <w:lvlJc w:val="left"/>
      <w:pPr>
        <w:ind w:left="324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5" w:tplc="2B28F5B4">
      <w:start w:val="1"/>
      <w:numFmt w:val="lowerRoman"/>
      <w:lvlText w:val="%6"/>
      <w:lvlJc w:val="left"/>
      <w:pPr>
        <w:ind w:left="396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6" w:tplc="C512D612">
      <w:start w:val="1"/>
      <w:numFmt w:val="decimal"/>
      <w:lvlText w:val="%7"/>
      <w:lvlJc w:val="left"/>
      <w:pPr>
        <w:ind w:left="468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7" w:tplc="012EB724">
      <w:start w:val="1"/>
      <w:numFmt w:val="lowerLetter"/>
      <w:lvlText w:val="%8"/>
      <w:lvlJc w:val="left"/>
      <w:pPr>
        <w:ind w:left="540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8" w:tplc="50089730">
      <w:start w:val="1"/>
      <w:numFmt w:val="lowerRoman"/>
      <w:lvlText w:val="%9"/>
      <w:lvlJc w:val="left"/>
      <w:pPr>
        <w:ind w:left="612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abstractNum>
  <w:abstractNum w:abstractNumId="14" w15:restartNumberingAfterBreak="0">
    <w:nsid w:val="178748FB"/>
    <w:multiLevelType w:val="hybridMultilevel"/>
    <w:tmpl w:val="E40E8334"/>
    <w:lvl w:ilvl="0" w:tplc="09181A7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54031C"/>
    <w:multiLevelType w:val="hybridMultilevel"/>
    <w:tmpl w:val="E2CA0912"/>
    <w:lvl w:ilvl="0" w:tplc="7230F59E">
      <w:start w:val="1"/>
      <w:numFmt w:val="decimal"/>
      <w:lvlText w:val="%1."/>
      <w:lvlJc w:val="left"/>
      <w:pPr>
        <w:ind w:left="227" w:firstLine="0"/>
      </w:pPr>
      <w:rPr>
        <w:rFonts w:ascii="Calibri" w:hAnsi="Calibri" w:cs="Calibri" w:hint="default"/>
        <w:b/>
        <w:bCs/>
        <w:i w:val="0"/>
        <w:strike w:val="0"/>
        <w:dstrike w:val="0"/>
        <w:color w:val="auto"/>
        <w:sz w:val="19"/>
        <w:szCs w:val="19"/>
        <w:u w:val="none" w:color="000000"/>
        <w:effect w:val="none"/>
        <w:bdr w:val="none" w:sz="0" w:space="0" w:color="auto" w:frame="1"/>
        <w:vertAlign w:val="baseline"/>
      </w:rPr>
    </w:lvl>
    <w:lvl w:ilvl="1" w:tplc="4B28A742">
      <w:start w:val="1"/>
      <w:numFmt w:val="lowerLetter"/>
      <w:lvlText w:val="%2"/>
      <w:lvlJc w:val="left"/>
      <w:pPr>
        <w:ind w:left="108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2" w:tplc="FB9A0998">
      <w:start w:val="1"/>
      <w:numFmt w:val="lowerRoman"/>
      <w:lvlText w:val="%3"/>
      <w:lvlJc w:val="left"/>
      <w:pPr>
        <w:ind w:left="180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3" w:tplc="7368CDDC">
      <w:start w:val="1"/>
      <w:numFmt w:val="decimal"/>
      <w:lvlText w:val="%4"/>
      <w:lvlJc w:val="left"/>
      <w:pPr>
        <w:ind w:left="252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4" w:tplc="0F2A3610">
      <w:start w:val="1"/>
      <w:numFmt w:val="lowerLetter"/>
      <w:lvlText w:val="%5"/>
      <w:lvlJc w:val="left"/>
      <w:pPr>
        <w:ind w:left="324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5" w:tplc="7C7073F0">
      <w:start w:val="1"/>
      <w:numFmt w:val="lowerRoman"/>
      <w:lvlText w:val="%6"/>
      <w:lvlJc w:val="left"/>
      <w:pPr>
        <w:ind w:left="396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6" w:tplc="5F7C806E">
      <w:start w:val="1"/>
      <w:numFmt w:val="decimal"/>
      <w:lvlText w:val="%7"/>
      <w:lvlJc w:val="left"/>
      <w:pPr>
        <w:ind w:left="468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7" w:tplc="73447BAE">
      <w:start w:val="1"/>
      <w:numFmt w:val="lowerLetter"/>
      <w:lvlText w:val="%8"/>
      <w:lvlJc w:val="left"/>
      <w:pPr>
        <w:ind w:left="540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8" w:tplc="54AE1552">
      <w:start w:val="1"/>
      <w:numFmt w:val="lowerRoman"/>
      <w:lvlText w:val="%9"/>
      <w:lvlJc w:val="left"/>
      <w:pPr>
        <w:ind w:left="612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abstractNum>
  <w:abstractNum w:abstractNumId="16" w15:restartNumberingAfterBreak="0">
    <w:nsid w:val="28BF5836"/>
    <w:multiLevelType w:val="hybridMultilevel"/>
    <w:tmpl w:val="69FA07EA"/>
    <w:lvl w:ilvl="0" w:tplc="EE58324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AE84AF8"/>
    <w:multiLevelType w:val="hybridMultilevel"/>
    <w:tmpl w:val="6CE274EA"/>
    <w:lvl w:ilvl="0" w:tplc="974CD00C">
      <w:start w:val="1"/>
      <w:numFmt w:val="bullet"/>
      <w:lvlText w:val=""/>
      <w:lvlJc w:val="left"/>
      <w:pPr>
        <w:ind w:left="720" w:hanging="360"/>
      </w:pPr>
      <w:rPr>
        <w:rFonts w:ascii="Symbol" w:hAnsi="Symbol" w:hint="default"/>
        <w:color w:val="6699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7738FB"/>
    <w:multiLevelType w:val="hybridMultilevel"/>
    <w:tmpl w:val="621ADF7E"/>
    <w:lvl w:ilvl="0" w:tplc="0C090003">
      <w:start w:val="1"/>
      <w:numFmt w:val="bullet"/>
      <w:lvlText w:val="o"/>
      <w:lvlJc w:val="left"/>
      <w:pPr>
        <w:ind w:left="947" w:firstLine="0"/>
      </w:pPr>
      <w:rPr>
        <w:rFonts w:ascii="Courier New" w:hAnsi="Courier New" w:cs="Courier New" w:hint="default"/>
        <w:b w:val="0"/>
        <w:i w:val="0"/>
        <w:strike w:val="0"/>
        <w:dstrike w:val="0"/>
        <w:color w:val="auto"/>
        <w:sz w:val="19"/>
        <w:szCs w:val="19"/>
        <w:u w:val="none" w:color="000000"/>
        <w:effect w:val="none"/>
        <w:bdr w:val="none" w:sz="0" w:space="0" w:color="auto" w:frame="1"/>
        <w:vertAlign w:val="baseline"/>
      </w:rPr>
    </w:lvl>
    <w:lvl w:ilvl="1" w:tplc="FFFFFFFF">
      <w:start w:val="1"/>
      <w:numFmt w:val="bullet"/>
      <w:lvlText w:val="o"/>
      <w:lvlJc w:val="left"/>
      <w:pPr>
        <w:ind w:left="1800"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lvl w:ilvl="2" w:tplc="FFFFFFFF">
      <w:start w:val="1"/>
      <w:numFmt w:val="bullet"/>
      <w:lvlText w:val="▪"/>
      <w:lvlJc w:val="left"/>
      <w:pPr>
        <w:ind w:left="2520"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lvl w:ilvl="3" w:tplc="FFFFFFFF">
      <w:start w:val="1"/>
      <w:numFmt w:val="bullet"/>
      <w:lvlText w:val="•"/>
      <w:lvlJc w:val="left"/>
      <w:pPr>
        <w:ind w:left="3240"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lvl w:ilvl="4" w:tplc="FFFFFFFF">
      <w:start w:val="1"/>
      <w:numFmt w:val="bullet"/>
      <w:lvlText w:val="o"/>
      <w:lvlJc w:val="left"/>
      <w:pPr>
        <w:ind w:left="3960"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lvl w:ilvl="5" w:tplc="FFFFFFFF">
      <w:start w:val="1"/>
      <w:numFmt w:val="bullet"/>
      <w:lvlText w:val="▪"/>
      <w:lvlJc w:val="left"/>
      <w:pPr>
        <w:ind w:left="4680"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lvl w:ilvl="6" w:tplc="FFFFFFFF">
      <w:start w:val="1"/>
      <w:numFmt w:val="bullet"/>
      <w:lvlText w:val="•"/>
      <w:lvlJc w:val="left"/>
      <w:pPr>
        <w:ind w:left="5400"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lvl w:ilvl="7" w:tplc="FFFFFFFF">
      <w:start w:val="1"/>
      <w:numFmt w:val="bullet"/>
      <w:lvlText w:val="o"/>
      <w:lvlJc w:val="left"/>
      <w:pPr>
        <w:ind w:left="6120"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lvl w:ilvl="8" w:tplc="FFFFFFFF">
      <w:start w:val="1"/>
      <w:numFmt w:val="bullet"/>
      <w:lvlText w:val="▪"/>
      <w:lvlJc w:val="left"/>
      <w:pPr>
        <w:ind w:left="6840"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abstractNum>
  <w:abstractNum w:abstractNumId="19"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9B46FB"/>
    <w:multiLevelType w:val="hybridMultilevel"/>
    <w:tmpl w:val="8E76ED64"/>
    <w:lvl w:ilvl="0" w:tplc="42DEAE08">
      <w:start w:val="1"/>
      <w:numFmt w:val="decimal"/>
      <w:lvlText w:val="%1."/>
      <w:lvlJc w:val="left"/>
      <w:pPr>
        <w:ind w:left="227" w:firstLine="0"/>
      </w:pPr>
      <w:rPr>
        <w:rFonts w:ascii="Calibri" w:hAnsi="Calibri" w:cs="Calibri" w:hint="default"/>
        <w:b/>
        <w:bCs/>
        <w:i w:val="0"/>
        <w:strike w:val="0"/>
        <w:dstrike w:val="0"/>
        <w:color w:val="669900"/>
        <w:sz w:val="19"/>
        <w:szCs w:val="19"/>
        <w:u w:val="none" w:color="000000"/>
        <w:effect w:val="none"/>
        <w:bdr w:val="none" w:sz="0" w:space="0" w:color="auto" w:frame="1"/>
        <w:vertAlign w:val="baseline"/>
      </w:rPr>
    </w:lvl>
    <w:lvl w:ilvl="1" w:tplc="047A3D3E">
      <w:start w:val="1"/>
      <w:numFmt w:val="lowerLetter"/>
      <w:lvlText w:val="%2"/>
      <w:lvlJc w:val="left"/>
      <w:pPr>
        <w:ind w:left="108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2" w:tplc="FF7E2A0A">
      <w:start w:val="1"/>
      <w:numFmt w:val="lowerRoman"/>
      <w:lvlText w:val="%3"/>
      <w:lvlJc w:val="left"/>
      <w:pPr>
        <w:ind w:left="180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3" w:tplc="20F8266A">
      <w:start w:val="1"/>
      <w:numFmt w:val="decimal"/>
      <w:lvlText w:val="%4"/>
      <w:lvlJc w:val="left"/>
      <w:pPr>
        <w:ind w:left="252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4" w:tplc="091E181C">
      <w:start w:val="1"/>
      <w:numFmt w:val="lowerLetter"/>
      <w:lvlText w:val="%5"/>
      <w:lvlJc w:val="left"/>
      <w:pPr>
        <w:ind w:left="324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5" w:tplc="43E2A0F6">
      <w:start w:val="1"/>
      <w:numFmt w:val="lowerRoman"/>
      <w:lvlText w:val="%6"/>
      <w:lvlJc w:val="left"/>
      <w:pPr>
        <w:ind w:left="396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6" w:tplc="987C6DE8">
      <w:start w:val="1"/>
      <w:numFmt w:val="decimal"/>
      <w:lvlText w:val="%7"/>
      <w:lvlJc w:val="left"/>
      <w:pPr>
        <w:ind w:left="468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7" w:tplc="D3F4F888">
      <w:start w:val="1"/>
      <w:numFmt w:val="lowerLetter"/>
      <w:lvlText w:val="%8"/>
      <w:lvlJc w:val="left"/>
      <w:pPr>
        <w:ind w:left="540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8" w:tplc="2D463AB4">
      <w:start w:val="1"/>
      <w:numFmt w:val="lowerRoman"/>
      <w:lvlText w:val="%9"/>
      <w:lvlJc w:val="left"/>
      <w:pPr>
        <w:ind w:left="612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abstractNum>
  <w:abstractNum w:abstractNumId="22" w15:restartNumberingAfterBreak="0">
    <w:nsid w:val="3C280680"/>
    <w:multiLevelType w:val="hybridMultilevel"/>
    <w:tmpl w:val="D07808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F64496"/>
    <w:multiLevelType w:val="hybridMultilevel"/>
    <w:tmpl w:val="9FD88D54"/>
    <w:lvl w:ilvl="0" w:tplc="6CF43B10">
      <w:start w:val="1"/>
      <w:numFmt w:val="bullet"/>
      <w:lvlText w:val=""/>
      <w:lvlJc w:val="left"/>
      <w:pPr>
        <w:ind w:left="227" w:firstLine="0"/>
      </w:pPr>
      <w:rPr>
        <w:rFonts w:ascii="Symbol" w:hAnsi="Symbol" w:hint="default"/>
        <w:b w:val="0"/>
        <w:i w:val="0"/>
        <w:strike w:val="0"/>
        <w:dstrike w:val="0"/>
        <w:color w:val="2A7DB2"/>
        <w:sz w:val="19"/>
        <w:szCs w:val="19"/>
        <w:u w:val="none" w:color="000000"/>
        <w:effect w:val="none"/>
        <w:bdr w:val="none" w:sz="0" w:space="0" w:color="auto" w:frame="1"/>
        <w:vertAlign w:val="baseline"/>
      </w:rPr>
    </w:lvl>
    <w:lvl w:ilvl="1" w:tplc="5BFC49A8">
      <w:start w:val="1"/>
      <w:numFmt w:val="bullet"/>
      <w:lvlText w:val="o"/>
      <w:lvlJc w:val="left"/>
      <w:pPr>
        <w:ind w:left="1080" w:firstLine="0"/>
      </w:pPr>
      <w:rPr>
        <w:rFonts w:ascii="Wingdings" w:eastAsia="Wingdings" w:hAnsi="Wingdings" w:cs="Wingdings"/>
        <w:b w:val="0"/>
        <w:i w:val="0"/>
        <w:strike w:val="0"/>
        <w:dstrike w:val="0"/>
        <w:color w:val="2A7DB2"/>
        <w:sz w:val="19"/>
        <w:szCs w:val="19"/>
        <w:u w:val="none" w:color="000000"/>
        <w:effect w:val="none"/>
        <w:bdr w:val="none" w:sz="0" w:space="0" w:color="auto" w:frame="1"/>
        <w:vertAlign w:val="baseline"/>
      </w:rPr>
    </w:lvl>
    <w:lvl w:ilvl="2" w:tplc="13DC1E66">
      <w:start w:val="1"/>
      <w:numFmt w:val="bullet"/>
      <w:lvlText w:val="▪"/>
      <w:lvlJc w:val="left"/>
      <w:pPr>
        <w:ind w:left="1800" w:firstLine="0"/>
      </w:pPr>
      <w:rPr>
        <w:rFonts w:ascii="Wingdings" w:eastAsia="Wingdings" w:hAnsi="Wingdings" w:cs="Wingdings"/>
        <w:b w:val="0"/>
        <w:i w:val="0"/>
        <w:strike w:val="0"/>
        <w:dstrike w:val="0"/>
        <w:color w:val="2A7DB2"/>
        <w:sz w:val="19"/>
        <w:szCs w:val="19"/>
        <w:u w:val="none" w:color="000000"/>
        <w:effect w:val="none"/>
        <w:bdr w:val="none" w:sz="0" w:space="0" w:color="auto" w:frame="1"/>
        <w:vertAlign w:val="baseline"/>
      </w:rPr>
    </w:lvl>
    <w:lvl w:ilvl="3" w:tplc="6F380F5C">
      <w:start w:val="1"/>
      <w:numFmt w:val="bullet"/>
      <w:lvlText w:val="•"/>
      <w:lvlJc w:val="left"/>
      <w:pPr>
        <w:ind w:left="2520" w:firstLine="0"/>
      </w:pPr>
      <w:rPr>
        <w:rFonts w:ascii="Wingdings" w:eastAsia="Wingdings" w:hAnsi="Wingdings" w:cs="Wingdings"/>
        <w:b w:val="0"/>
        <w:i w:val="0"/>
        <w:strike w:val="0"/>
        <w:dstrike w:val="0"/>
        <w:color w:val="2A7DB2"/>
        <w:sz w:val="19"/>
        <w:szCs w:val="19"/>
        <w:u w:val="none" w:color="000000"/>
        <w:effect w:val="none"/>
        <w:bdr w:val="none" w:sz="0" w:space="0" w:color="auto" w:frame="1"/>
        <w:vertAlign w:val="baseline"/>
      </w:rPr>
    </w:lvl>
    <w:lvl w:ilvl="4" w:tplc="A3D8150A">
      <w:start w:val="1"/>
      <w:numFmt w:val="bullet"/>
      <w:lvlText w:val="o"/>
      <w:lvlJc w:val="left"/>
      <w:pPr>
        <w:ind w:left="3240" w:firstLine="0"/>
      </w:pPr>
      <w:rPr>
        <w:rFonts w:ascii="Wingdings" w:eastAsia="Wingdings" w:hAnsi="Wingdings" w:cs="Wingdings"/>
        <w:b w:val="0"/>
        <w:i w:val="0"/>
        <w:strike w:val="0"/>
        <w:dstrike w:val="0"/>
        <w:color w:val="2A7DB2"/>
        <w:sz w:val="19"/>
        <w:szCs w:val="19"/>
        <w:u w:val="none" w:color="000000"/>
        <w:effect w:val="none"/>
        <w:bdr w:val="none" w:sz="0" w:space="0" w:color="auto" w:frame="1"/>
        <w:vertAlign w:val="baseline"/>
      </w:rPr>
    </w:lvl>
    <w:lvl w:ilvl="5" w:tplc="73A266B0">
      <w:start w:val="1"/>
      <w:numFmt w:val="bullet"/>
      <w:lvlText w:val="▪"/>
      <w:lvlJc w:val="left"/>
      <w:pPr>
        <w:ind w:left="3960" w:firstLine="0"/>
      </w:pPr>
      <w:rPr>
        <w:rFonts w:ascii="Wingdings" w:eastAsia="Wingdings" w:hAnsi="Wingdings" w:cs="Wingdings"/>
        <w:b w:val="0"/>
        <w:i w:val="0"/>
        <w:strike w:val="0"/>
        <w:dstrike w:val="0"/>
        <w:color w:val="2A7DB2"/>
        <w:sz w:val="19"/>
        <w:szCs w:val="19"/>
        <w:u w:val="none" w:color="000000"/>
        <w:effect w:val="none"/>
        <w:bdr w:val="none" w:sz="0" w:space="0" w:color="auto" w:frame="1"/>
        <w:vertAlign w:val="baseline"/>
      </w:rPr>
    </w:lvl>
    <w:lvl w:ilvl="6" w:tplc="DD8E16C4">
      <w:start w:val="1"/>
      <w:numFmt w:val="bullet"/>
      <w:lvlText w:val="•"/>
      <w:lvlJc w:val="left"/>
      <w:pPr>
        <w:ind w:left="4680" w:firstLine="0"/>
      </w:pPr>
      <w:rPr>
        <w:rFonts w:ascii="Wingdings" w:eastAsia="Wingdings" w:hAnsi="Wingdings" w:cs="Wingdings"/>
        <w:b w:val="0"/>
        <w:i w:val="0"/>
        <w:strike w:val="0"/>
        <w:dstrike w:val="0"/>
        <w:color w:val="2A7DB2"/>
        <w:sz w:val="19"/>
        <w:szCs w:val="19"/>
        <w:u w:val="none" w:color="000000"/>
        <w:effect w:val="none"/>
        <w:bdr w:val="none" w:sz="0" w:space="0" w:color="auto" w:frame="1"/>
        <w:vertAlign w:val="baseline"/>
      </w:rPr>
    </w:lvl>
    <w:lvl w:ilvl="7" w:tplc="9F7E3218">
      <w:start w:val="1"/>
      <w:numFmt w:val="bullet"/>
      <w:lvlText w:val="o"/>
      <w:lvlJc w:val="left"/>
      <w:pPr>
        <w:ind w:left="5400" w:firstLine="0"/>
      </w:pPr>
      <w:rPr>
        <w:rFonts w:ascii="Wingdings" w:eastAsia="Wingdings" w:hAnsi="Wingdings" w:cs="Wingdings"/>
        <w:b w:val="0"/>
        <w:i w:val="0"/>
        <w:strike w:val="0"/>
        <w:dstrike w:val="0"/>
        <w:color w:val="2A7DB2"/>
        <w:sz w:val="19"/>
        <w:szCs w:val="19"/>
        <w:u w:val="none" w:color="000000"/>
        <w:effect w:val="none"/>
        <w:bdr w:val="none" w:sz="0" w:space="0" w:color="auto" w:frame="1"/>
        <w:vertAlign w:val="baseline"/>
      </w:rPr>
    </w:lvl>
    <w:lvl w:ilvl="8" w:tplc="39E2F084">
      <w:start w:val="1"/>
      <w:numFmt w:val="bullet"/>
      <w:lvlText w:val="▪"/>
      <w:lvlJc w:val="left"/>
      <w:pPr>
        <w:ind w:left="6120" w:firstLine="0"/>
      </w:pPr>
      <w:rPr>
        <w:rFonts w:ascii="Wingdings" w:eastAsia="Wingdings" w:hAnsi="Wingdings" w:cs="Wingdings"/>
        <w:b w:val="0"/>
        <w:i w:val="0"/>
        <w:strike w:val="0"/>
        <w:dstrike w:val="0"/>
        <w:color w:val="2A7DB2"/>
        <w:sz w:val="19"/>
        <w:szCs w:val="19"/>
        <w:u w:val="none" w:color="000000"/>
        <w:effect w:val="none"/>
        <w:bdr w:val="none" w:sz="0" w:space="0" w:color="auto" w:frame="1"/>
        <w:vertAlign w:val="baseline"/>
      </w:rPr>
    </w:lvl>
  </w:abstractNum>
  <w:abstractNum w:abstractNumId="24" w15:restartNumberingAfterBreak="0">
    <w:nsid w:val="3F816AAF"/>
    <w:multiLevelType w:val="hybridMultilevel"/>
    <w:tmpl w:val="B35C45BE"/>
    <w:lvl w:ilvl="0" w:tplc="F94EC0E2">
      <w:start w:val="1"/>
      <w:numFmt w:val="bullet"/>
      <w:lvlText w:val=""/>
      <w:lvlJc w:val="left"/>
      <w:pPr>
        <w:ind w:left="785" w:hanging="360"/>
      </w:pPr>
      <w:rPr>
        <w:rFonts w:ascii="Symbol" w:hAnsi="Symbol" w:hint="default"/>
        <w:b w:val="0"/>
        <w:i w:val="0"/>
        <w:strike w:val="0"/>
        <w:dstrike w:val="0"/>
        <w:color w:val="auto"/>
        <w:sz w:val="19"/>
        <w:szCs w:val="19"/>
        <w:u w:val="none" w:color="000000"/>
        <w:bdr w:val="none" w:sz="0" w:space="0" w:color="auto"/>
        <w:shd w:val="clear" w:color="auto" w:fill="auto"/>
        <w:vertAlign w:val="baseline"/>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5" w15:restartNumberingAfterBreak="0">
    <w:nsid w:val="4256219E"/>
    <w:multiLevelType w:val="hybridMultilevel"/>
    <w:tmpl w:val="BEC86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BC56F1"/>
    <w:multiLevelType w:val="hybridMultilevel"/>
    <w:tmpl w:val="69BA7CC0"/>
    <w:lvl w:ilvl="0" w:tplc="433E15A4">
      <w:start w:val="1"/>
      <w:numFmt w:val="decimal"/>
      <w:lvlText w:val="%1."/>
      <w:lvlJc w:val="left"/>
      <w:pPr>
        <w:ind w:left="227" w:firstLine="0"/>
      </w:pPr>
      <w:rPr>
        <w:rFonts w:ascii="Calibri" w:eastAsia="Calibri" w:hAnsi="Calibri" w:cs="Calibri"/>
        <w:b/>
        <w:bCs/>
        <w:i w:val="0"/>
        <w:strike w:val="0"/>
        <w:dstrike w:val="0"/>
        <w:color w:val="669900"/>
        <w:sz w:val="19"/>
        <w:szCs w:val="19"/>
        <w:u w:val="none" w:color="000000"/>
        <w:effect w:val="none"/>
        <w:bdr w:val="none" w:sz="0" w:space="0" w:color="auto" w:frame="1"/>
        <w:vertAlign w:val="baseline"/>
      </w:rPr>
    </w:lvl>
    <w:lvl w:ilvl="1" w:tplc="E24044A8">
      <w:start w:val="1"/>
      <w:numFmt w:val="lowerLetter"/>
      <w:lvlText w:val="%2"/>
      <w:lvlJc w:val="left"/>
      <w:pPr>
        <w:ind w:left="108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2" w:tplc="4E4C2DDC">
      <w:start w:val="1"/>
      <w:numFmt w:val="lowerRoman"/>
      <w:lvlText w:val="%3"/>
      <w:lvlJc w:val="left"/>
      <w:pPr>
        <w:ind w:left="180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3" w:tplc="AA728BF4">
      <w:start w:val="1"/>
      <w:numFmt w:val="decimal"/>
      <w:lvlText w:val="%4"/>
      <w:lvlJc w:val="left"/>
      <w:pPr>
        <w:ind w:left="252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4" w:tplc="ADBE05F2">
      <w:start w:val="1"/>
      <w:numFmt w:val="lowerLetter"/>
      <w:lvlText w:val="%5"/>
      <w:lvlJc w:val="left"/>
      <w:pPr>
        <w:ind w:left="324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5" w:tplc="648CAC00">
      <w:start w:val="1"/>
      <w:numFmt w:val="lowerRoman"/>
      <w:lvlText w:val="%6"/>
      <w:lvlJc w:val="left"/>
      <w:pPr>
        <w:ind w:left="396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6" w:tplc="F996A5C8">
      <w:start w:val="1"/>
      <w:numFmt w:val="decimal"/>
      <w:lvlText w:val="%7"/>
      <w:lvlJc w:val="left"/>
      <w:pPr>
        <w:ind w:left="468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7" w:tplc="6C3E0A38">
      <w:start w:val="1"/>
      <w:numFmt w:val="lowerLetter"/>
      <w:lvlText w:val="%8"/>
      <w:lvlJc w:val="left"/>
      <w:pPr>
        <w:ind w:left="540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lvl w:ilvl="8" w:tplc="45E4CD34">
      <w:start w:val="1"/>
      <w:numFmt w:val="lowerRoman"/>
      <w:lvlText w:val="%9"/>
      <w:lvlJc w:val="left"/>
      <w:pPr>
        <w:ind w:left="6120" w:firstLine="0"/>
      </w:pPr>
      <w:rPr>
        <w:rFonts w:ascii="Calibri" w:eastAsia="Calibri" w:hAnsi="Calibri" w:cs="Calibri"/>
        <w:b/>
        <w:bCs/>
        <w:i w:val="0"/>
        <w:strike w:val="0"/>
        <w:dstrike w:val="0"/>
        <w:color w:val="2A7DB2"/>
        <w:sz w:val="19"/>
        <w:szCs w:val="19"/>
        <w:u w:val="none" w:color="000000"/>
        <w:effect w:val="none"/>
        <w:bdr w:val="none" w:sz="0" w:space="0" w:color="auto" w:frame="1"/>
        <w:vertAlign w:val="baseline"/>
      </w:rPr>
    </w:lvl>
  </w:abstractNum>
  <w:abstractNum w:abstractNumId="27" w15:restartNumberingAfterBreak="0">
    <w:nsid w:val="46963324"/>
    <w:multiLevelType w:val="hybridMultilevel"/>
    <w:tmpl w:val="A6301EA0"/>
    <w:lvl w:ilvl="0" w:tplc="C754624E">
      <w:start w:val="1"/>
      <w:numFmt w:val="bullet"/>
      <w:lvlText w:val="•"/>
      <w:lvlJc w:val="left"/>
      <w:pPr>
        <w:ind w:left="720" w:hanging="360"/>
      </w:pPr>
      <w:rPr>
        <w:rFonts w:ascii="Calibri" w:eastAsia="Calibri" w:hAnsi="Calibri" w:cs="Calibri" w:hint="default"/>
        <w:b w:val="0"/>
        <w:i w:val="0"/>
        <w:strike w:val="0"/>
        <w:dstrike w:val="0"/>
        <w:color w:val="2A7DB2"/>
        <w:sz w:val="19"/>
        <w:szCs w:val="19"/>
        <w:u w:val="none" w:color="000000"/>
        <w:effect w:val="none"/>
        <w:bdr w:val="none" w:sz="0" w:space="0" w:color="auto" w:frame="1"/>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A85DA3"/>
    <w:multiLevelType w:val="hybridMultilevel"/>
    <w:tmpl w:val="EE98E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BC543F"/>
    <w:multiLevelType w:val="hybridMultilevel"/>
    <w:tmpl w:val="0876DD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B52CB9"/>
    <w:multiLevelType w:val="hybridMultilevel"/>
    <w:tmpl w:val="D9B6A820"/>
    <w:lvl w:ilvl="0" w:tplc="61C2DEA2">
      <w:start w:val="1"/>
      <w:numFmt w:val="bullet"/>
      <w:lvlText w:val=""/>
      <w:lvlJc w:val="left"/>
      <w:pPr>
        <w:ind w:left="947" w:firstLine="0"/>
      </w:pPr>
      <w:rPr>
        <w:rFonts w:ascii="Symbol" w:hAnsi="Symbol" w:hint="default"/>
        <w:b w:val="0"/>
        <w:i w:val="0"/>
        <w:strike w:val="0"/>
        <w:dstrike w:val="0"/>
        <w:color w:val="auto"/>
        <w:sz w:val="19"/>
        <w:szCs w:val="19"/>
        <w:u w:val="none" w:color="000000"/>
        <w:effect w:val="none"/>
        <w:bdr w:val="none" w:sz="0" w:space="0" w:color="auto" w:frame="1"/>
        <w:vertAlign w:val="baseline"/>
      </w:rPr>
    </w:lvl>
    <w:lvl w:ilvl="1" w:tplc="83605FEE">
      <w:start w:val="1"/>
      <w:numFmt w:val="bullet"/>
      <w:lvlText w:val="o"/>
      <w:lvlJc w:val="left"/>
      <w:pPr>
        <w:ind w:left="1800"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lvl w:ilvl="2" w:tplc="972E2904">
      <w:start w:val="1"/>
      <w:numFmt w:val="bullet"/>
      <w:lvlText w:val="▪"/>
      <w:lvlJc w:val="left"/>
      <w:pPr>
        <w:ind w:left="2520"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lvl w:ilvl="3" w:tplc="CC54379C">
      <w:start w:val="1"/>
      <w:numFmt w:val="bullet"/>
      <w:lvlText w:val="•"/>
      <w:lvlJc w:val="left"/>
      <w:pPr>
        <w:ind w:left="3240"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lvl w:ilvl="4" w:tplc="D570CD42">
      <w:start w:val="1"/>
      <w:numFmt w:val="bullet"/>
      <w:lvlText w:val="o"/>
      <w:lvlJc w:val="left"/>
      <w:pPr>
        <w:ind w:left="3960"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lvl w:ilvl="5" w:tplc="F72CEFDC">
      <w:start w:val="1"/>
      <w:numFmt w:val="bullet"/>
      <w:lvlText w:val="▪"/>
      <w:lvlJc w:val="left"/>
      <w:pPr>
        <w:ind w:left="4680"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lvl w:ilvl="6" w:tplc="7BAE32A2">
      <w:start w:val="1"/>
      <w:numFmt w:val="bullet"/>
      <w:lvlText w:val="•"/>
      <w:lvlJc w:val="left"/>
      <w:pPr>
        <w:ind w:left="5400"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lvl w:ilvl="7" w:tplc="DAB6F2C2">
      <w:start w:val="1"/>
      <w:numFmt w:val="bullet"/>
      <w:lvlText w:val="o"/>
      <w:lvlJc w:val="left"/>
      <w:pPr>
        <w:ind w:left="6120"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lvl w:ilvl="8" w:tplc="7D882868">
      <w:start w:val="1"/>
      <w:numFmt w:val="bullet"/>
      <w:lvlText w:val="▪"/>
      <w:lvlJc w:val="left"/>
      <w:pPr>
        <w:ind w:left="6840"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abstractNum>
  <w:abstractNum w:abstractNumId="31" w15:restartNumberingAfterBreak="0">
    <w:nsid w:val="61FC48CB"/>
    <w:multiLevelType w:val="hybridMultilevel"/>
    <w:tmpl w:val="09DEF894"/>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32" w15:restartNumberingAfterBreak="0">
    <w:nsid w:val="62896327"/>
    <w:multiLevelType w:val="hybridMultilevel"/>
    <w:tmpl w:val="171E4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EE5B95"/>
    <w:multiLevelType w:val="hybridMultilevel"/>
    <w:tmpl w:val="71067FDC"/>
    <w:lvl w:ilvl="0" w:tplc="974CD00C">
      <w:start w:val="1"/>
      <w:numFmt w:val="bullet"/>
      <w:lvlText w:val=""/>
      <w:lvlJc w:val="left"/>
      <w:pPr>
        <w:ind w:left="720" w:hanging="360"/>
      </w:pPr>
      <w:rPr>
        <w:rFonts w:ascii="Symbol" w:hAnsi="Symbol" w:hint="default"/>
        <w:color w:val="6699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4A6441"/>
    <w:multiLevelType w:val="hybridMultilevel"/>
    <w:tmpl w:val="AB5218C8"/>
    <w:lvl w:ilvl="0" w:tplc="8A486476">
      <w:start w:val="1"/>
      <w:numFmt w:val="bullet"/>
      <w:lvlText w:val="–"/>
      <w:lvlJc w:val="left"/>
      <w:pPr>
        <w:ind w:left="449" w:firstLine="0"/>
      </w:pPr>
      <w:rPr>
        <w:rFonts w:ascii="Calibri" w:hAnsi="Calibri" w:hint="default"/>
        <w:b w:val="0"/>
        <w:i w:val="0"/>
        <w:strike w:val="0"/>
        <w:dstrike w:val="0"/>
        <w:color w:val="669900"/>
        <w:sz w:val="19"/>
        <w:szCs w:val="19"/>
        <w:u w:val="none" w:color="000000"/>
        <w:effect w:val="none"/>
        <w:vertAlign w:val="baseline"/>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35" w15:restartNumberingAfterBreak="0">
    <w:nsid w:val="6AE175E0"/>
    <w:multiLevelType w:val="hybridMultilevel"/>
    <w:tmpl w:val="ECA63478"/>
    <w:lvl w:ilvl="0" w:tplc="974CD00C">
      <w:start w:val="1"/>
      <w:numFmt w:val="bullet"/>
      <w:lvlText w:val=""/>
      <w:lvlJc w:val="left"/>
      <w:pPr>
        <w:ind w:left="705" w:hanging="360"/>
      </w:pPr>
      <w:rPr>
        <w:rFonts w:ascii="Symbol" w:hAnsi="Symbol" w:hint="default"/>
        <w:color w:val="6699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0E22F1"/>
    <w:multiLevelType w:val="hybridMultilevel"/>
    <w:tmpl w:val="A0402372"/>
    <w:lvl w:ilvl="0" w:tplc="5772320A">
      <w:start w:val="1"/>
      <w:numFmt w:val="bullet"/>
      <w:lvlText w:val="y"/>
      <w:lvlJc w:val="left"/>
      <w:pPr>
        <w:ind w:left="227" w:firstLine="0"/>
      </w:pPr>
      <w:rPr>
        <w:rFonts w:ascii="Wingdings" w:eastAsia="Wingdings" w:hAnsi="Wingdings" w:cs="Wingdings"/>
        <w:b w:val="0"/>
        <w:i w:val="0"/>
        <w:strike w:val="0"/>
        <w:dstrike w:val="0"/>
        <w:color w:val="2A7DB2"/>
        <w:sz w:val="19"/>
        <w:szCs w:val="19"/>
        <w:u w:val="none" w:color="000000"/>
        <w:effect w:val="none"/>
        <w:bdr w:val="none" w:sz="0" w:space="0" w:color="auto" w:frame="1"/>
        <w:vertAlign w:val="baseline"/>
      </w:rPr>
    </w:lvl>
    <w:lvl w:ilvl="1" w:tplc="8A486476">
      <w:start w:val="1"/>
      <w:numFmt w:val="bullet"/>
      <w:lvlText w:val="–"/>
      <w:lvlJc w:val="left"/>
      <w:pPr>
        <w:ind w:left="454" w:firstLine="0"/>
      </w:pPr>
      <w:rPr>
        <w:rFonts w:ascii="Calibri" w:hAnsi="Calibri" w:hint="default"/>
        <w:b w:val="0"/>
        <w:i w:val="0"/>
        <w:strike w:val="0"/>
        <w:dstrike w:val="0"/>
        <w:color w:val="669900"/>
        <w:sz w:val="19"/>
        <w:szCs w:val="19"/>
        <w:u w:val="none" w:color="000000"/>
        <w:effect w:val="none"/>
        <w:bdr w:val="none" w:sz="0" w:space="0" w:color="auto" w:frame="1"/>
        <w:vertAlign w:val="baseline"/>
      </w:rPr>
    </w:lvl>
    <w:lvl w:ilvl="2" w:tplc="9F6A4364">
      <w:start w:val="1"/>
      <w:numFmt w:val="bullet"/>
      <w:lvlText w:val="▪"/>
      <w:lvlJc w:val="left"/>
      <w:pPr>
        <w:ind w:left="1307"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lvl w:ilvl="3" w:tplc="C754624E">
      <w:start w:val="1"/>
      <w:numFmt w:val="bullet"/>
      <w:lvlText w:val="•"/>
      <w:lvlJc w:val="left"/>
      <w:pPr>
        <w:ind w:left="2027"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lvl w:ilvl="4" w:tplc="C350679E">
      <w:start w:val="1"/>
      <w:numFmt w:val="bullet"/>
      <w:lvlText w:val="o"/>
      <w:lvlJc w:val="left"/>
      <w:pPr>
        <w:ind w:left="2747"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lvl w:ilvl="5" w:tplc="8750A604">
      <w:start w:val="1"/>
      <w:numFmt w:val="bullet"/>
      <w:lvlText w:val="▪"/>
      <w:lvlJc w:val="left"/>
      <w:pPr>
        <w:ind w:left="3467"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lvl w:ilvl="6" w:tplc="8440FC90">
      <w:start w:val="1"/>
      <w:numFmt w:val="bullet"/>
      <w:lvlText w:val="•"/>
      <w:lvlJc w:val="left"/>
      <w:pPr>
        <w:ind w:left="4187"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lvl w:ilvl="7" w:tplc="BBDC6116">
      <w:start w:val="1"/>
      <w:numFmt w:val="bullet"/>
      <w:lvlText w:val="o"/>
      <w:lvlJc w:val="left"/>
      <w:pPr>
        <w:ind w:left="4907"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lvl w:ilvl="8" w:tplc="0E5405D8">
      <w:start w:val="1"/>
      <w:numFmt w:val="bullet"/>
      <w:lvlText w:val="▪"/>
      <w:lvlJc w:val="left"/>
      <w:pPr>
        <w:ind w:left="5627" w:firstLine="0"/>
      </w:pPr>
      <w:rPr>
        <w:rFonts w:ascii="Calibri" w:eastAsia="Calibri" w:hAnsi="Calibri" w:cs="Calibri"/>
        <w:b w:val="0"/>
        <w:i w:val="0"/>
        <w:strike w:val="0"/>
        <w:dstrike w:val="0"/>
        <w:color w:val="2A7DB2"/>
        <w:sz w:val="19"/>
        <w:szCs w:val="19"/>
        <w:u w:val="none" w:color="000000"/>
        <w:effect w:val="none"/>
        <w:bdr w:val="none" w:sz="0" w:space="0" w:color="auto" w:frame="1"/>
        <w:vertAlign w:val="baseline"/>
      </w:rPr>
    </w:lvl>
  </w:abstractNum>
  <w:abstractNum w:abstractNumId="37" w15:restartNumberingAfterBreak="0">
    <w:nsid w:val="71E52F35"/>
    <w:multiLevelType w:val="hybridMultilevel"/>
    <w:tmpl w:val="D5B2942A"/>
    <w:lvl w:ilvl="0" w:tplc="786E968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084E1B"/>
    <w:multiLevelType w:val="hybridMultilevel"/>
    <w:tmpl w:val="911C74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88B2D21"/>
    <w:multiLevelType w:val="hybridMultilevel"/>
    <w:tmpl w:val="5B38F7A2"/>
    <w:lvl w:ilvl="0" w:tplc="B4467BA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9"/>
  </w:num>
  <w:num w:numId="13">
    <w:abstractNumId w:val="2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38"/>
  </w:num>
  <w:num w:numId="17">
    <w:abstractNumId w:val="22"/>
  </w:num>
  <w:num w:numId="18">
    <w:abstractNumId w:val="11"/>
  </w:num>
  <w:num w:numId="19">
    <w:abstractNumId w:val="11"/>
  </w:num>
  <w:num w:numId="20">
    <w:abstractNumId w:val="12"/>
  </w:num>
  <w:num w:numId="21">
    <w:abstractNumId w:val="25"/>
  </w:num>
  <w:num w:numId="22">
    <w:abstractNumId w:val="16"/>
  </w:num>
  <w:num w:numId="23">
    <w:abstractNumId w:val="39"/>
  </w:num>
  <w:num w:numId="24">
    <w:abstractNumId w:val="29"/>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4"/>
  </w:num>
  <w:num w:numId="28">
    <w:abstractNumId w:val="36"/>
  </w:num>
  <w:num w:numId="29">
    <w:abstractNumId w:val="13"/>
  </w:num>
  <w:num w:numId="30">
    <w:abstractNumId w:val="21"/>
  </w:num>
  <w:num w:numId="31">
    <w:abstractNumId w:val="24"/>
  </w:num>
  <w:num w:numId="32">
    <w:abstractNumId w:val="30"/>
  </w:num>
  <w:num w:numId="33">
    <w:abstractNumId w:val="15"/>
  </w:num>
  <w:num w:numId="34">
    <w:abstractNumId w:val="27"/>
  </w:num>
  <w:num w:numId="35">
    <w:abstractNumId w:val="28"/>
  </w:num>
  <w:num w:numId="36">
    <w:abstractNumId w:val="32"/>
  </w:num>
  <w:num w:numId="37">
    <w:abstractNumId w:val="31"/>
  </w:num>
  <w:num w:numId="38">
    <w:abstractNumId w:val="17"/>
  </w:num>
  <w:num w:numId="39">
    <w:abstractNumId w:val="37"/>
  </w:num>
  <w:num w:numId="40">
    <w:abstractNumId w:val="35"/>
  </w:num>
  <w:num w:numId="41">
    <w:abstractNumId w:val="13"/>
  </w:num>
  <w:num w:numId="42">
    <w:abstractNumId w:val="21"/>
  </w:num>
  <w:num w:numId="43">
    <w:abstractNumId w:val="34"/>
  </w:num>
  <w:num w:numId="44">
    <w:abstractNumId w:val="33"/>
  </w:num>
  <w:num w:numId="45">
    <w:abstractNumId w:val="14"/>
  </w:num>
  <w:num w:numId="46">
    <w:abstractNumId w:val="15"/>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view w:val="web"/>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35AD4"/>
    <w:rsid w:val="00052BBC"/>
    <w:rsid w:val="00053554"/>
    <w:rsid w:val="000A453D"/>
    <w:rsid w:val="000B0769"/>
    <w:rsid w:val="000B1806"/>
    <w:rsid w:val="000E14F9"/>
    <w:rsid w:val="000E3D80"/>
    <w:rsid w:val="000E64ED"/>
    <w:rsid w:val="00103AFA"/>
    <w:rsid w:val="00143746"/>
    <w:rsid w:val="001468CE"/>
    <w:rsid w:val="00157F35"/>
    <w:rsid w:val="001A05B0"/>
    <w:rsid w:val="001F3FBF"/>
    <w:rsid w:val="00214913"/>
    <w:rsid w:val="00217EAB"/>
    <w:rsid w:val="0022498C"/>
    <w:rsid w:val="002724D0"/>
    <w:rsid w:val="002746B2"/>
    <w:rsid w:val="002A1D2A"/>
    <w:rsid w:val="002B1CE5"/>
    <w:rsid w:val="002B5A99"/>
    <w:rsid w:val="002D2EBF"/>
    <w:rsid w:val="002F4DB3"/>
    <w:rsid w:val="00305BA4"/>
    <w:rsid w:val="00311EC2"/>
    <w:rsid w:val="00337D19"/>
    <w:rsid w:val="00350FFA"/>
    <w:rsid w:val="00370DA1"/>
    <w:rsid w:val="00382F07"/>
    <w:rsid w:val="0038318C"/>
    <w:rsid w:val="00384C69"/>
    <w:rsid w:val="003B2571"/>
    <w:rsid w:val="003D3E6B"/>
    <w:rsid w:val="003E5A72"/>
    <w:rsid w:val="004131D8"/>
    <w:rsid w:val="00453C04"/>
    <w:rsid w:val="00454488"/>
    <w:rsid w:val="00460EFD"/>
    <w:rsid w:val="00476F8F"/>
    <w:rsid w:val="00497764"/>
    <w:rsid w:val="004A018D"/>
    <w:rsid w:val="004B1EF0"/>
    <w:rsid w:val="00502844"/>
    <w:rsid w:val="0051352E"/>
    <w:rsid w:val="00517DA7"/>
    <w:rsid w:val="00520A33"/>
    <w:rsid w:val="00522D9E"/>
    <w:rsid w:val="005242E0"/>
    <w:rsid w:val="00527749"/>
    <w:rsid w:val="00527AE4"/>
    <w:rsid w:val="0058535E"/>
    <w:rsid w:val="00613D6E"/>
    <w:rsid w:val="00630DDF"/>
    <w:rsid w:val="00667FE6"/>
    <w:rsid w:val="0068117C"/>
    <w:rsid w:val="006E5D6E"/>
    <w:rsid w:val="006E78BC"/>
    <w:rsid w:val="00721B03"/>
    <w:rsid w:val="007414EA"/>
    <w:rsid w:val="007855CC"/>
    <w:rsid w:val="007B1ABA"/>
    <w:rsid w:val="007B2835"/>
    <w:rsid w:val="007B74C5"/>
    <w:rsid w:val="007E7835"/>
    <w:rsid w:val="00800B9E"/>
    <w:rsid w:val="00836762"/>
    <w:rsid w:val="008507C1"/>
    <w:rsid w:val="00850B4E"/>
    <w:rsid w:val="00851F3A"/>
    <w:rsid w:val="00861934"/>
    <w:rsid w:val="008A1B9A"/>
    <w:rsid w:val="008A3D25"/>
    <w:rsid w:val="008B3EB1"/>
    <w:rsid w:val="008C712E"/>
    <w:rsid w:val="008E2854"/>
    <w:rsid w:val="008F0AC9"/>
    <w:rsid w:val="009137C1"/>
    <w:rsid w:val="009155CA"/>
    <w:rsid w:val="00930CDA"/>
    <w:rsid w:val="0093473D"/>
    <w:rsid w:val="00944BB7"/>
    <w:rsid w:val="0095636C"/>
    <w:rsid w:val="00964C45"/>
    <w:rsid w:val="00972F57"/>
    <w:rsid w:val="00984FB8"/>
    <w:rsid w:val="0098585E"/>
    <w:rsid w:val="00994558"/>
    <w:rsid w:val="00995280"/>
    <w:rsid w:val="009A44DD"/>
    <w:rsid w:val="009C5CED"/>
    <w:rsid w:val="00A22849"/>
    <w:rsid w:val="00A24E6E"/>
    <w:rsid w:val="00A43694"/>
    <w:rsid w:val="00A50442"/>
    <w:rsid w:val="00A562FA"/>
    <w:rsid w:val="00A564C0"/>
    <w:rsid w:val="00A56FC7"/>
    <w:rsid w:val="00A72575"/>
    <w:rsid w:val="00A74071"/>
    <w:rsid w:val="00A905F5"/>
    <w:rsid w:val="00AA124A"/>
    <w:rsid w:val="00AA2A96"/>
    <w:rsid w:val="00AC0C27"/>
    <w:rsid w:val="00AD216E"/>
    <w:rsid w:val="00B100CC"/>
    <w:rsid w:val="00B1014E"/>
    <w:rsid w:val="00B14B2B"/>
    <w:rsid w:val="00B41B23"/>
    <w:rsid w:val="00B6689D"/>
    <w:rsid w:val="00B72368"/>
    <w:rsid w:val="00BC317B"/>
    <w:rsid w:val="00BE36BC"/>
    <w:rsid w:val="00BE737E"/>
    <w:rsid w:val="00C32437"/>
    <w:rsid w:val="00C54D58"/>
    <w:rsid w:val="00C573E1"/>
    <w:rsid w:val="00C90260"/>
    <w:rsid w:val="00C959F4"/>
    <w:rsid w:val="00C95DF6"/>
    <w:rsid w:val="00CE11BF"/>
    <w:rsid w:val="00D24126"/>
    <w:rsid w:val="00D86399"/>
    <w:rsid w:val="00DA1B7B"/>
    <w:rsid w:val="00DB79DF"/>
    <w:rsid w:val="00DC4490"/>
    <w:rsid w:val="00DE4697"/>
    <w:rsid w:val="00DF153F"/>
    <w:rsid w:val="00E01619"/>
    <w:rsid w:val="00E113A7"/>
    <w:rsid w:val="00E42937"/>
    <w:rsid w:val="00E519BA"/>
    <w:rsid w:val="00E535A7"/>
    <w:rsid w:val="00E866AC"/>
    <w:rsid w:val="00EA32F7"/>
    <w:rsid w:val="00EA67FC"/>
    <w:rsid w:val="00EB0591"/>
    <w:rsid w:val="00EB5E43"/>
    <w:rsid w:val="00EC3468"/>
    <w:rsid w:val="00ED3309"/>
    <w:rsid w:val="00F230CD"/>
    <w:rsid w:val="00F23415"/>
    <w:rsid w:val="00F51C18"/>
    <w:rsid w:val="00F54C21"/>
    <w:rsid w:val="00F57DF7"/>
    <w:rsid w:val="00F70F89"/>
    <w:rsid w:val="00FA31E2"/>
    <w:rsid w:val="00FC1F8C"/>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CEF8D2"/>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semiHidden/>
    <w:unhideWhenUsed/>
    <w:qFormat/>
    <w:rsid w:val="00F70F89"/>
    <w:pPr>
      <w:keepNext/>
      <w:keepLines/>
      <w:spacing w:before="40" w:after="0"/>
      <w:outlineLvl w:val="6"/>
    </w:pPr>
    <w:rPr>
      <w:rFonts w:asciiTheme="majorHAnsi" w:eastAsiaTheme="majorEastAsia" w:hAnsiTheme="majorHAnsi" w:cstheme="majorBidi"/>
      <w:i/>
      <w:iCs/>
      <w:color w:val="00161F" w:themeColor="accent1" w:themeShade="7F"/>
    </w:rPr>
  </w:style>
  <w:style w:type="paragraph" w:styleId="Heading8">
    <w:name w:val="heading 8"/>
    <w:basedOn w:val="Normal"/>
    <w:next w:val="Normal"/>
    <w:link w:val="Heading8Char"/>
    <w:uiPriority w:val="9"/>
    <w:semiHidden/>
    <w:unhideWhenUsed/>
    <w:qFormat/>
    <w:rsid w:val="00F70F8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90260"/>
    <w:pPr>
      <w:spacing w:before="324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C90260"/>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05BA4"/>
    <w:pPr>
      <w:numPr>
        <w:ilvl w:val="1"/>
      </w:numPr>
      <w:spacing w:after="0"/>
    </w:pPr>
    <w:rPr>
      <w:rFonts w:ascii="Calibri" w:eastAsiaTheme="minorEastAsia" w:hAnsi="Calibri"/>
      <w:color w:val="789B4A"/>
      <w:spacing w:val="15"/>
      <w:sz w:val="40"/>
    </w:rPr>
  </w:style>
  <w:style w:type="character" w:customStyle="1" w:styleId="SubtitleChar">
    <w:name w:val="Subtitle Char"/>
    <w:basedOn w:val="DefaultParagraphFont"/>
    <w:link w:val="Subtitle"/>
    <w:uiPriority w:val="8"/>
    <w:rsid w:val="00305BA4"/>
    <w:rPr>
      <w:rFonts w:ascii="Calibri" w:eastAsiaTheme="minorEastAsia" w:hAnsi="Calibri"/>
      <w:color w:val="789B4A"/>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305BA4"/>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2A1D2A"/>
    <w:pPr>
      <w:tabs>
        <w:tab w:val="right" w:leader="dot" w:pos="9060"/>
      </w:tabs>
      <w:spacing w:after="100"/>
      <w:ind w:left="220"/>
    </w:pPr>
    <w:rPr>
      <w:b/>
      <w:bCs/>
      <w:noProof/>
    </w:r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styleId="UnresolvedMention">
    <w:name w:val="Unresolved Mention"/>
    <w:basedOn w:val="DefaultParagraphFont"/>
    <w:uiPriority w:val="99"/>
    <w:semiHidden/>
    <w:unhideWhenUsed/>
    <w:rsid w:val="000E14F9"/>
    <w:rPr>
      <w:color w:val="605E5C"/>
      <w:shd w:val="clear" w:color="auto" w:fill="E1DFDD"/>
    </w:rPr>
  </w:style>
  <w:style w:type="table" w:customStyle="1" w:styleId="TableGrid0">
    <w:name w:val="TableGrid"/>
    <w:rsid w:val="000E64ED"/>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Heading7Char">
    <w:name w:val="Heading 7 Char"/>
    <w:basedOn w:val="DefaultParagraphFont"/>
    <w:link w:val="Heading7"/>
    <w:uiPriority w:val="9"/>
    <w:semiHidden/>
    <w:rsid w:val="00F70F89"/>
    <w:rPr>
      <w:rFonts w:asciiTheme="majorHAnsi" w:eastAsiaTheme="majorEastAsia" w:hAnsiTheme="majorHAnsi" w:cstheme="majorBidi"/>
      <w:i/>
      <w:iCs/>
      <w:color w:val="00161F" w:themeColor="accent1" w:themeShade="7F"/>
    </w:rPr>
  </w:style>
  <w:style w:type="character" w:customStyle="1" w:styleId="Heading8Char">
    <w:name w:val="Heading 8 Char"/>
    <w:basedOn w:val="DefaultParagraphFont"/>
    <w:link w:val="Heading8"/>
    <w:uiPriority w:val="9"/>
    <w:semiHidden/>
    <w:rsid w:val="00F70F89"/>
    <w:rPr>
      <w:rFonts w:asciiTheme="majorHAnsi" w:eastAsiaTheme="majorEastAsia" w:hAnsiTheme="majorHAnsi" w:cstheme="majorBidi"/>
      <w:color w:val="272727" w:themeColor="text1" w:themeTint="D8"/>
      <w:sz w:val="21"/>
      <w:szCs w:val="21"/>
    </w:rPr>
  </w:style>
  <w:style w:type="character" w:styleId="FootnoteReference">
    <w:name w:val="footnote reference"/>
    <w:basedOn w:val="DefaultParagraphFont"/>
    <w:uiPriority w:val="99"/>
    <w:semiHidden/>
    <w:unhideWhenUsed/>
    <w:rsid w:val="00214913"/>
    <w:rPr>
      <w:vertAlign w:val="superscript"/>
    </w:rPr>
  </w:style>
  <w:style w:type="table" w:styleId="GridTable1Light-Accent4">
    <w:name w:val="Grid Table 1 Light Accent 4"/>
    <w:basedOn w:val="TableNormal"/>
    <w:uiPriority w:val="46"/>
    <w:rsid w:val="001A05B0"/>
    <w:pPr>
      <w:spacing w:after="0" w:line="240" w:lineRule="auto"/>
    </w:pPr>
    <w:tblPr>
      <w:tblStyleRowBandSize w:val="1"/>
      <w:tblStyleColBandSize w:val="1"/>
      <w:tblBorders>
        <w:top w:val="single" w:sz="4" w:space="0" w:color="FF7BC7" w:themeColor="accent4" w:themeTint="66"/>
        <w:left w:val="single" w:sz="4" w:space="0" w:color="FF7BC7" w:themeColor="accent4" w:themeTint="66"/>
        <w:bottom w:val="single" w:sz="4" w:space="0" w:color="FF7BC7" w:themeColor="accent4" w:themeTint="66"/>
        <w:right w:val="single" w:sz="4" w:space="0" w:color="FF7BC7" w:themeColor="accent4" w:themeTint="66"/>
        <w:insideH w:val="single" w:sz="4" w:space="0" w:color="FF7BC7" w:themeColor="accent4" w:themeTint="66"/>
        <w:insideV w:val="single" w:sz="4" w:space="0" w:color="FF7BC7" w:themeColor="accent4" w:themeTint="66"/>
      </w:tblBorders>
    </w:tblPr>
    <w:tblStylePr w:type="firstRow">
      <w:rPr>
        <w:b/>
        <w:bCs/>
      </w:rPr>
      <w:tblPr/>
      <w:tcPr>
        <w:tcBorders>
          <w:bottom w:val="single" w:sz="12" w:space="0" w:color="FF3AAC" w:themeColor="accent4" w:themeTint="99"/>
        </w:tcBorders>
      </w:tcPr>
    </w:tblStylePr>
    <w:tblStylePr w:type="lastRow">
      <w:rPr>
        <w:b/>
        <w:bCs/>
      </w:rPr>
      <w:tblPr/>
      <w:tcPr>
        <w:tcBorders>
          <w:top w:val="double" w:sz="2" w:space="0" w:color="FF3AAC" w:themeColor="accent4" w:themeTint="99"/>
        </w:tcBorders>
      </w:tcPr>
    </w:tblStylePr>
    <w:tblStylePr w:type="firstCol">
      <w:rPr>
        <w:b/>
        <w:bCs/>
      </w:rPr>
    </w:tblStylePr>
    <w:tblStylePr w:type="lastCol">
      <w:rPr>
        <w:b/>
        <w:bCs/>
      </w:rPr>
    </w:tblStylePr>
  </w:style>
  <w:style w:type="table" w:styleId="PlainTable4">
    <w:name w:val="Plain Table 4"/>
    <w:basedOn w:val="TableNormal"/>
    <w:uiPriority w:val="44"/>
    <w:rsid w:val="001A05B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143746"/>
    <w:rPr>
      <w:sz w:val="16"/>
      <w:szCs w:val="16"/>
    </w:rPr>
  </w:style>
  <w:style w:type="paragraph" w:styleId="CommentText">
    <w:name w:val="annotation text"/>
    <w:basedOn w:val="Normal"/>
    <w:link w:val="CommentTextChar"/>
    <w:uiPriority w:val="99"/>
    <w:semiHidden/>
    <w:unhideWhenUsed/>
    <w:rsid w:val="00143746"/>
    <w:pPr>
      <w:spacing w:line="240" w:lineRule="auto"/>
    </w:pPr>
    <w:rPr>
      <w:sz w:val="20"/>
      <w:szCs w:val="20"/>
    </w:rPr>
  </w:style>
  <w:style w:type="character" w:customStyle="1" w:styleId="CommentTextChar">
    <w:name w:val="Comment Text Char"/>
    <w:basedOn w:val="DefaultParagraphFont"/>
    <w:link w:val="CommentText"/>
    <w:uiPriority w:val="99"/>
    <w:semiHidden/>
    <w:rsid w:val="00143746"/>
    <w:rPr>
      <w:sz w:val="20"/>
      <w:szCs w:val="20"/>
    </w:rPr>
  </w:style>
  <w:style w:type="paragraph" w:styleId="CommentSubject">
    <w:name w:val="annotation subject"/>
    <w:basedOn w:val="CommentText"/>
    <w:next w:val="CommentText"/>
    <w:link w:val="CommentSubjectChar"/>
    <w:uiPriority w:val="99"/>
    <w:semiHidden/>
    <w:unhideWhenUsed/>
    <w:rsid w:val="00143746"/>
    <w:rPr>
      <w:b/>
      <w:bCs/>
    </w:rPr>
  </w:style>
  <w:style w:type="character" w:customStyle="1" w:styleId="CommentSubjectChar">
    <w:name w:val="Comment Subject Char"/>
    <w:basedOn w:val="CommentTextChar"/>
    <w:link w:val="CommentSubject"/>
    <w:uiPriority w:val="99"/>
    <w:semiHidden/>
    <w:rsid w:val="00143746"/>
    <w:rPr>
      <w:b/>
      <w:bCs/>
      <w:sz w:val="20"/>
      <w:szCs w:val="20"/>
    </w:rPr>
  </w:style>
  <w:style w:type="paragraph" w:styleId="Revision">
    <w:name w:val="Revision"/>
    <w:hidden/>
    <w:uiPriority w:val="99"/>
    <w:semiHidden/>
    <w:rsid w:val="00E535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9783">
      <w:bodyDiv w:val="1"/>
      <w:marLeft w:val="0"/>
      <w:marRight w:val="0"/>
      <w:marTop w:val="0"/>
      <w:marBottom w:val="0"/>
      <w:divBdr>
        <w:top w:val="none" w:sz="0" w:space="0" w:color="auto"/>
        <w:left w:val="none" w:sz="0" w:space="0" w:color="auto"/>
        <w:bottom w:val="none" w:sz="0" w:space="0" w:color="auto"/>
        <w:right w:val="none" w:sz="0" w:space="0" w:color="auto"/>
      </w:divBdr>
    </w:div>
    <w:div w:id="30738169">
      <w:bodyDiv w:val="1"/>
      <w:marLeft w:val="0"/>
      <w:marRight w:val="0"/>
      <w:marTop w:val="0"/>
      <w:marBottom w:val="0"/>
      <w:divBdr>
        <w:top w:val="none" w:sz="0" w:space="0" w:color="auto"/>
        <w:left w:val="none" w:sz="0" w:space="0" w:color="auto"/>
        <w:bottom w:val="none" w:sz="0" w:space="0" w:color="auto"/>
        <w:right w:val="none" w:sz="0" w:space="0" w:color="auto"/>
      </w:divBdr>
    </w:div>
    <w:div w:id="32075872">
      <w:bodyDiv w:val="1"/>
      <w:marLeft w:val="0"/>
      <w:marRight w:val="0"/>
      <w:marTop w:val="0"/>
      <w:marBottom w:val="0"/>
      <w:divBdr>
        <w:top w:val="none" w:sz="0" w:space="0" w:color="auto"/>
        <w:left w:val="none" w:sz="0" w:space="0" w:color="auto"/>
        <w:bottom w:val="none" w:sz="0" w:space="0" w:color="auto"/>
        <w:right w:val="none" w:sz="0" w:space="0" w:color="auto"/>
      </w:divBdr>
    </w:div>
    <w:div w:id="36197722">
      <w:bodyDiv w:val="1"/>
      <w:marLeft w:val="0"/>
      <w:marRight w:val="0"/>
      <w:marTop w:val="0"/>
      <w:marBottom w:val="0"/>
      <w:divBdr>
        <w:top w:val="none" w:sz="0" w:space="0" w:color="auto"/>
        <w:left w:val="none" w:sz="0" w:space="0" w:color="auto"/>
        <w:bottom w:val="none" w:sz="0" w:space="0" w:color="auto"/>
        <w:right w:val="none" w:sz="0" w:space="0" w:color="auto"/>
      </w:divBdr>
    </w:div>
    <w:div w:id="60832486">
      <w:bodyDiv w:val="1"/>
      <w:marLeft w:val="0"/>
      <w:marRight w:val="0"/>
      <w:marTop w:val="0"/>
      <w:marBottom w:val="0"/>
      <w:divBdr>
        <w:top w:val="none" w:sz="0" w:space="0" w:color="auto"/>
        <w:left w:val="none" w:sz="0" w:space="0" w:color="auto"/>
        <w:bottom w:val="none" w:sz="0" w:space="0" w:color="auto"/>
        <w:right w:val="none" w:sz="0" w:space="0" w:color="auto"/>
      </w:divBdr>
    </w:div>
    <w:div w:id="99182511">
      <w:bodyDiv w:val="1"/>
      <w:marLeft w:val="0"/>
      <w:marRight w:val="0"/>
      <w:marTop w:val="0"/>
      <w:marBottom w:val="0"/>
      <w:divBdr>
        <w:top w:val="none" w:sz="0" w:space="0" w:color="auto"/>
        <w:left w:val="none" w:sz="0" w:space="0" w:color="auto"/>
        <w:bottom w:val="none" w:sz="0" w:space="0" w:color="auto"/>
        <w:right w:val="none" w:sz="0" w:space="0" w:color="auto"/>
      </w:divBdr>
    </w:div>
    <w:div w:id="101732545">
      <w:bodyDiv w:val="1"/>
      <w:marLeft w:val="0"/>
      <w:marRight w:val="0"/>
      <w:marTop w:val="0"/>
      <w:marBottom w:val="0"/>
      <w:divBdr>
        <w:top w:val="none" w:sz="0" w:space="0" w:color="auto"/>
        <w:left w:val="none" w:sz="0" w:space="0" w:color="auto"/>
        <w:bottom w:val="none" w:sz="0" w:space="0" w:color="auto"/>
        <w:right w:val="none" w:sz="0" w:space="0" w:color="auto"/>
      </w:divBdr>
    </w:div>
    <w:div w:id="117770361">
      <w:bodyDiv w:val="1"/>
      <w:marLeft w:val="0"/>
      <w:marRight w:val="0"/>
      <w:marTop w:val="0"/>
      <w:marBottom w:val="0"/>
      <w:divBdr>
        <w:top w:val="none" w:sz="0" w:space="0" w:color="auto"/>
        <w:left w:val="none" w:sz="0" w:space="0" w:color="auto"/>
        <w:bottom w:val="none" w:sz="0" w:space="0" w:color="auto"/>
        <w:right w:val="none" w:sz="0" w:space="0" w:color="auto"/>
      </w:divBdr>
    </w:div>
    <w:div w:id="275139335">
      <w:bodyDiv w:val="1"/>
      <w:marLeft w:val="0"/>
      <w:marRight w:val="0"/>
      <w:marTop w:val="0"/>
      <w:marBottom w:val="0"/>
      <w:divBdr>
        <w:top w:val="none" w:sz="0" w:space="0" w:color="auto"/>
        <w:left w:val="none" w:sz="0" w:space="0" w:color="auto"/>
        <w:bottom w:val="none" w:sz="0" w:space="0" w:color="auto"/>
        <w:right w:val="none" w:sz="0" w:space="0" w:color="auto"/>
      </w:divBdr>
    </w:div>
    <w:div w:id="294532210">
      <w:bodyDiv w:val="1"/>
      <w:marLeft w:val="0"/>
      <w:marRight w:val="0"/>
      <w:marTop w:val="0"/>
      <w:marBottom w:val="0"/>
      <w:divBdr>
        <w:top w:val="none" w:sz="0" w:space="0" w:color="auto"/>
        <w:left w:val="none" w:sz="0" w:space="0" w:color="auto"/>
        <w:bottom w:val="none" w:sz="0" w:space="0" w:color="auto"/>
        <w:right w:val="none" w:sz="0" w:space="0" w:color="auto"/>
      </w:divBdr>
    </w:div>
    <w:div w:id="313534099">
      <w:bodyDiv w:val="1"/>
      <w:marLeft w:val="0"/>
      <w:marRight w:val="0"/>
      <w:marTop w:val="0"/>
      <w:marBottom w:val="0"/>
      <w:divBdr>
        <w:top w:val="none" w:sz="0" w:space="0" w:color="auto"/>
        <w:left w:val="none" w:sz="0" w:space="0" w:color="auto"/>
        <w:bottom w:val="none" w:sz="0" w:space="0" w:color="auto"/>
        <w:right w:val="none" w:sz="0" w:space="0" w:color="auto"/>
      </w:divBdr>
    </w:div>
    <w:div w:id="339626236">
      <w:bodyDiv w:val="1"/>
      <w:marLeft w:val="0"/>
      <w:marRight w:val="0"/>
      <w:marTop w:val="0"/>
      <w:marBottom w:val="0"/>
      <w:divBdr>
        <w:top w:val="none" w:sz="0" w:space="0" w:color="auto"/>
        <w:left w:val="none" w:sz="0" w:space="0" w:color="auto"/>
        <w:bottom w:val="none" w:sz="0" w:space="0" w:color="auto"/>
        <w:right w:val="none" w:sz="0" w:space="0" w:color="auto"/>
      </w:divBdr>
    </w:div>
    <w:div w:id="346637226">
      <w:bodyDiv w:val="1"/>
      <w:marLeft w:val="0"/>
      <w:marRight w:val="0"/>
      <w:marTop w:val="0"/>
      <w:marBottom w:val="0"/>
      <w:divBdr>
        <w:top w:val="none" w:sz="0" w:space="0" w:color="auto"/>
        <w:left w:val="none" w:sz="0" w:space="0" w:color="auto"/>
        <w:bottom w:val="none" w:sz="0" w:space="0" w:color="auto"/>
        <w:right w:val="none" w:sz="0" w:space="0" w:color="auto"/>
      </w:divBdr>
    </w:div>
    <w:div w:id="415134376">
      <w:bodyDiv w:val="1"/>
      <w:marLeft w:val="0"/>
      <w:marRight w:val="0"/>
      <w:marTop w:val="0"/>
      <w:marBottom w:val="0"/>
      <w:divBdr>
        <w:top w:val="none" w:sz="0" w:space="0" w:color="auto"/>
        <w:left w:val="none" w:sz="0" w:space="0" w:color="auto"/>
        <w:bottom w:val="none" w:sz="0" w:space="0" w:color="auto"/>
        <w:right w:val="none" w:sz="0" w:space="0" w:color="auto"/>
      </w:divBdr>
    </w:div>
    <w:div w:id="434515955">
      <w:bodyDiv w:val="1"/>
      <w:marLeft w:val="0"/>
      <w:marRight w:val="0"/>
      <w:marTop w:val="0"/>
      <w:marBottom w:val="0"/>
      <w:divBdr>
        <w:top w:val="none" w:sz="0" w:space="0" w:color="auto"/>
        <w:left w:val="none" w:sz="0" w:space="0" w:color="auto"/>
        <w:bottom w:val="none" w:sz="0" w:space="0" w:color="auto"/>
        <w:right w:val="none" w:sz="0" w:space="0" w:color="auto"/>
      </w:divBdr>
    </w:div>
    <w:div w:id="484855542">
      <w:bodyDiv w:val="1"/>
      <w:marLeft w:val="0"/>
      <w:marRight w:val="0"/>
      <w:marTop w:val="0"/>
      <w:marBottom w:val="0"/>
      <w:divBdr>
        <w:top w:val="none" w:sz="0" w:space="0" w:color="auto"/>
        <w:left w:val="none" w:sz="0" w:space="0" w:color="auto"/>
        <w:bottom w:val="none" w:sz="0" w:space="0" w:color="auto"/>
        <w:right w:val="none" w:sz="0" w:space="0" w:color="auto"/>
      </w:divBdr>
    </w:div>
    <w:div w:id="513345114">
      <w:bodyDiv w:val="1"/>
      <w:marLeft w:val="0"/>
      <w:marRight w:val="0"/>
      <w:marTop w:val="0"/>
      <w:marBottom w:val="0"/>
      <w:divBdr>
        <w:top w:val="none" w:sz="0" w:space="0" w:color="auto"/>
        <w:left w:val="none" w:sz="0" w:space="0" w:color="auto"/>
        <w:bottom w:val="none" w:sz="0" w:space="0" w:color="auto"/>
        <w:right w:val="none" w:sz="0" w:space="0" w:color="auto"/>
      </w:divBdr>
    </w:div>
    <w:div w:id="625741240">
      <w:bodyDiv w:val="1"/>
      <w:marLeft w:val="0"/>
      <w:marRight w:val="0"/>
      <w:marTop w:val="0"/>
      <w:marBottom w:val="0"/>
      <w:divBdr>
        <w:top w:val="none" w:sz="0" w:space="0" w:color="auto"/>
        <w:left w:val="none" w:sz="0" w:space="0" w:color="auto"/>
        <w:bottom w:val="none" w:sz="0" w:space="0" w:color="auto"/>
        <w:right w:val="none" w:sz="0" w:space="0" w:color="auto"/>
      </w:divBdr>
    </w:div>
    <w:div w:id="672144277">
      <w:bodyDiv w:val="1"/>
      <w:marLeft w:val="0"/>
      <w:marRight w:val="0"/>
      <w:marTop w:val="0"/>
      <w:marBottom w:val="0"/>
      <w:divBdr>
        <w:top w:val="none" w:sz="0" w:space="0" w:color="auto"/>
        <w:left w:val="none" w:sz="0" w:space="0" w:color="auto"/>
        <w:bottom w:val="none" w:sz="0" w:space="0" w:color="auto"/>
        <w:right w:val="none" w:sz="0" w:space="0" w:color="auto"/>
      </w:divBdr>
    </w:div>
    <w:div w:id="672955024">
      <w:bodyDiv w:val="1"/>
      <w:marLeft w:val="0"/>
      <w:marRight w:val="0"/>
      <w:marTop w:val="0"/>
      <w:marBottom w:val="0"/>
      <w:divBdr>
        <w:top w:val="none" w:sz="0" w:space="0" w:color="auto"/>
        <w:left w:val="none" w:sz="0" w:space="0" w:color="auto"/>
        <w:bottom w:val="none" w:sz="0" w:space="0" w:color="auto"/>
        <w:right w:val="none" w:sz="0" w:space="0" w:color="auto"/>
      </w:divBdr>
    </w:div>
    <w:div w:id="710958027">
      <w:bodyDiv w:val="1"/>
      <w:marLeft w:val="0"/>
      <w:marRight w:val="0"/>
      <w:marTop w:val="0"/>
      <w:marBottom w:val="0"/>
      <w:divBdr>
        <w:top w:val="none" w:sz="0" w:space="0" w:color="auto"/>
        <w:left w:val="none" w:sz="0" w:space="0" w:color="auto"/>
        <w:bottom w:val="none" w:sz="0" w:space="0" w:color="auto"/>
        <w:right w:val="none" w:sz="0" w:space="0" w:color="auto"/>
      </w:divBdr>
    </w:div>
    <w:div w:id="777944999">
      <w:bodyDiv w:val="1"/>
      <w:marLeft w:val="0"/>
      <w:marRight w:val="0"/>
      <w:marTop w:val="0"/>
      <w:marBottom w:val="0"/>
      <w:divBdr>
        <w:top w:val="none" w:sz="0" w:space="0" w:color="auto"/>
        <w:left w:val="none" w:sz="0" w:space="0" w:color="auto"/>
        <w:bottom w:val="none" w:sz="0" w:space="0" w:color="auto"/>
        <w:right w:val="none" w:sz="0" w:space="0" w:color="auto"/>
      </w:divBdr>
    </w:div>
    <w:div w:id="831794195">
      <w:bodyDiv w:val="1"/>
      <w:marLeft w:val="0"/>
      <w:marRight w:val="0"/>
      <w:marTop w:val="0"/>
      <w:marBottom w:val="0"/>
      <w:divBdr>
        <w:top w:val="none" w:sz="0" w:space="0" w:color="auto"/>
        <w:left w:val="none" w:sz="0" w:space="0" w:color="auto"/>
        <w:bottom w:val="none" w:sz="0" w:space="0" w:color="auto"/>
        <w:right w:val="none" w:sz="0" w:space="0" w:color="auto"/>
      </w:divBdr>
    </w:div>
    <w:div w:id="867180454">
      <w:bodyDiv w:val="1"/>
      <w:marLeft w:val="0"/>
      <w:marRight w:val="0"/>
      <w:marTop w:val="0"/>
      <w:marBottom w:val="0"/>
      <w:divBdr>
        <w:top w:val="none" w:sz="0" w:space="0" w:color="auto"/>
        <w:left w:val="none" w:sz="0" w:space="0" w:color="auto"/>
        <w:bottom w:val="none" w:sz="0" w:space="0" w:color="auto"/>
        <w:right w:val="none" w:sz="0" w:space="0" w:color="auto"/>
      </w:divBdr>
    </w:div>
    <w:div w:id="873007319">
      <w:bodyDiv w:val="1"/>
      <w:marLeft w:val="0"/>
      <w:marRight w:val="0"/>
      <w:marTop w:val="0"/>
      <w:marBottom w:val="0"/>
      <w:divBdr>
        <w:top w:val="none" w:sz="0" w:space="0" w:color="auto"/>
        <w:left w:val="none" w:sz="0" w:space="0" w:color="auto"/>
        <w:bottom w:val="none" w:sz="0" w:space="0" w:color="auto"/>
        <w:right w:val="none" w:sz="0" w:space="0" w:color="auto"/>
      </w:divBdr>
    </w:div>
    <w:div w:id="873536343">
      <w:bodyDiv w:val="1"/>
      <w:marLeft w:val="0"/>
      <w:marRight w:val="0"/>
      <w:marTop w:val="0"/>
      <w:marBottom w:val="0"/>
      <w:divBdr>
        <w:top w:val="none" w:sz="0" w:space="0" w:color="auto"/>
        <w:left w:val="none" w:sz="0" w:space="0" w:color="auto"/>
        <w:bottom w:val="none" w:sz="0" w:space="0" w:color="auto"/>
        <w:right w:val="none" w:sz="0" w:space="0" w:color="auto"/>
      </w:divBdr>
    </w:div>
    <w:div w:id="899680718">
      <w:bodyDiv w:val="1"/>
      <w:marLeft w:val="0"/>
      <w:marRight w:val="0"/>
      <w:marTop w:val="0"/>
      <w:marBottom w:val="0"/>
      <w:divBdr>
        <w:top w:val="none" w:sz="0" w:space="0" w:color="auto"/>
        <w:left w:val="none" w:sz="0" w:space="0" w:color="auto"/>
        <w:bottom w:val="none" w:sz="0" w:space="0" w:color="auto"/>
        <w:right w:val="none" w:sz="0" w:space="0" w:color="auto"/>
      </w:divBdr>
    </w:div>
    <w:div w:id="904994690">
      <w:bodyDiv w:val="1"/>
      <w:marLeft w:val="0"/>
      <w:marRight w:val="0"/>
      <w:marTop w:val="0"/>
      <w:marBottom w:val="0"/>
      <w:divBdr>
        <w:top w:val="none" w:sz="0" w:space="0" w:color="auto"/>
        <w:left w:val="none" w:sz="0" w:space="0" w:color="auto"/>
        <w:bottom w:val="none" w:sz="0" w:space="0" w:color="auto"/>
        <w:right w:val="none" w:sz="0" w:space="0" w:color="auto"/>
      </w:divBdr>
    </w:div>
    <w:div w:id="906914575">
      <w:bodyDiv w:val="1"/>
      <w:marLeft w:val="0"/>
      <w:marRight w:val="0"/>
      <w:marTop w:val="0"/>
      <w:marBottom w:val="0"/>
      <w:divBdr>
        <w:top w:val="none" w:sz="0" w:space="0" w:color="auto"/>
        <w:left w:val="none" w:sz="0" w:space="0" w:color="auto"/>
        <w:bottom w:val="none" w:sz="0" w:space="0" w:color="auto"/>
        <w:right w:val="none" w:sz="0" w:space="0" w:color="auto"/>
      </w:divBdr>
    </w:div>
    <w:div w:id="1047336342">
      <w:bodyDiv w:val="1"/>
      <w:marLeft w:val="0"/>
      <w:marRight w:val="0"/>
      <w:marTop w:val="0"/>
      <w:marBottom w:val="0"/>
      <w:divBdr>
        <w:top w:val="none" w:sz="0" w:space="0" w:color="auto"/>
        <w:left w:val="none" w:sz="0" w:space="0" w:color="auto"/>
        <w:bottom w:val="none" w:sz="0" w:space="0" w:color="auto"/>
        <w:right w:val="none" w:sz="0" w:space="0" w:color="auto"/>
      </w:divBdr>
    </w:div>
    <w:div w:id="1062220466">
      <w:bodyDiv w:val="1"/>
      <w:marLeft w:val="0"/>
      <w:marRight w:val="0"/>
      <w:marTop w:val="0"/>
      <w:marBottom w:val="0"/>
      <w:divBdr>
        <w:top w:val="none" w:sz="0" w:space="0" w:color="auto"/>
        <w:left w:val="none" w:sz="0" w:space="0" w:color="auto"/>
        <w:bottom w:val="none" w:sz="0" w:space="0" w:color="auto"/>
        <w:right w:val="none" w:sz="0" w:space="0" w:color="auto"/>
      </w:divBdr>
    </w:div>
    <w:div w:id="1075787627">
      <w:bodyDiv w:val="1"/>
      <w:marLeft w:val="0"/>
      <w:marRight w:val="0"/>
      <w:marTop w:val="0"/>
      <w:marBottom w:val="0"/>
      <w:divBdr>
        <w:top w:val="none" w:sz="0" w:space="0" w:color="auto"/>
        <w:left w:val="none" w:sz="0" w:space="0" w:color="auto"/>
        <w:bottom w:val="none" w:sz="0" w:space="0" w:color="auto"/>
        <w:right w:val="none" w:sz="0" w:space="0" w:color="auto"/>
      </w:divBdr>
    </w:div>
    <w:div w:id="1117064527">
      <w:bodyDiv w:val="1"/>
      <w:marLeft w:val="0"/>
      <w:marRight w:val="0"/>
      <w:marTop w:val="0"/>
      <w:marBottom w:val="0"/>
      <w:divBdr>
        <w:top w:val="none" w:sz="0" w:space="0" w:color="auto"/>
        <w:left w:val="none" w:sz="0" w:space="0" w:color="auto"/>
        <w:bottom w:val="none" w:sz="0" w:space="0" w:color="auto"/>
        <w:right w:val="none" w:sz="0" w:space="0" w:color="auto"/>
      </w:divBdr>
    </w:div>
    <w:div w:id="1204951192">
      <w:bodyDiv w:val="1"/>
      <w:marLeft w:val="0"/>
      <w:marRight w:val="0"/>
      <w:marTop w:val="0"/>
      <w:marBottom w:val="0"/>
      <w:divBdr>
        <w:top w:val="none" w:sz="0" w:space="0" w:color="auto"/>
        <w:left w:val="none" w:sz="0" w:space="0" w:color="auto"/>
        <w:bottom w:val="none" w:sz="0" w:space="0" w:color="auto"/>
        <w:right w:val="none" w:sz="0" w:space="0" w:color="auto"/>
      </w:divBdr>
    </w:div>
    <w:div w:id="1227229120">
      <w:bodyDiv w:val="1"/>
      <w:marLeft w:val="0"/>
      <w:marRight w:val="0"/>
      <w:marTop w:val="0"/>
      <w:marBottom w:val="0"/>
      <w:divBdr>
        <w:top w:val="none" w:sz="0" w:space="0" w:color="auto"/>
        <w:left w:val="none" w:sz="0" w:space="0" w:color="auto"/>
        <w:bottom w:val="none" w:sz="0" w:space="0" w:color="auto"/>
        <w:right w:val="none" w:sz="0" w:space="0" w:color="auto"/>
      </w:divBdr>
    </w:div>
    <w:div w:id="1237861026">
      <w:bodyDiv w:val="1"/>
      <w:marLeft w:val="0"/>
      <w:marRight w:val="0"/>
      <w:marTop w:val="0"/>
      <w:marBottom w:val="0"/>
      <w:divBdr>
        <w:top w:val="none" w:sz="0" w:space="0" w:color="auto"/>
        <w:left w:val="none" w:sz="0" w:space="0" w:color="auto"/>
        <w:bottom w:val="none" w:sz="0" w:space="0" w:color="auto"/>
        <w:right w:val="none" w:sz="0" w:space="0" w:color="auto"/>
      </w:divBdr>
    </w:div>
    <w:div w:id="1291088059">
      <w:bodyDiv w:val="1"/>
      <w:marLeft w:val="0"/>
      <w:marRight w:val="0"/>
      <w:marTop w:val="0"/>
      <w:marBottom w:val="0"/>
      <w:divBdr>
        <w:top w:val="none" w:sz="0" w:space="0" w:color="auto"/>
        <w:left w:val="none" w:sz="0" w:space="0" w:color="auto"/>
        <w:bottom w:val="none" w:sz="0" w:space="0" w:color="auto"/>
        <w:right w:val="none" w:sz="0" w:space="0" w:color="auto"/>
      </w:divBdr>
    </w:div>
    <w:div w:id="1382290934">
      <w:bodyDiv w:val="1"/>
      <w:marLeft w:val="0"/>
      <w:marRight w:val="0"/>
      <w:marTop w:val="0"/>
      <w:marBottom w:val="0"/>
      <w:divBdr>
        <w:top w:val="none" w:sz="0" w:space="0" w:color="auto"/>
        <w:left w:val="none" w:sz="0" w:space="0" w:color="auto"/>
        <w:bottom w:val="none" w:sz="0" w:space="0" w:color="auto"/>
        <w:right w:val="none" w:sz="0" w:space="0" w:color="auto"/>
      </w:divBdr>
    </w:div>
    <w:div w:id="1423408301">
      <w:bodyDiv w:val="1"/>
      <w:marLeft w:val="0"/>
      <w:marRight w:val="0"/>
      <w:marTop w:val="0"/>
      <w:marBottom w:val="0"/>
      <w:divBdr>
        <w:top w:val="none" w:sz="0" w:space="0" w:color="auto"/>
        <w:left w:val="none" w:sz="0" w:space="0" w:color="auto"/>
        <w:bottom w:val="none" w:sz="0" w:space="0" w:color="auto"/>
        <w:right w:val="none" w:sz="0" w:space="0" w:color="auto"/>
      </w:divBdr>
    </w:div>
    <w:div w:id="1445347187">
      <w:bodyDiv w:val="1"/>
      <w:marLeft w:val="0"/>
      <w:marRight w:val="0"/>
      <w:marTop w:val="0"/>
      <w:marBottom w:val="0"/>
      <w:divBdr>
        <w:top w:val="none" w:sz="0" w:space="0" w:color="auto"/>
        <w:left w:val="none" w:sz="0" w:space="0" w:color="auto"/>
        <w:bottom w:val="none" w:sz="0" w:space="0" w:color="auto"/>
        <w:right w:val="none" w:sz="0" w:space="0" w:color="auto"/>
      </w:divBdr>
    </w:div>
    <w:div w:id="1477334986">
      <w:bodyDiv w:val="1"/>
      <w:marLeft w:val="0"/>
      <w:marRight w:val="0"/>
      <w:marTop w:val="0"/>
      <w:marBottom w:val="0"/>
      <w:divBdr>
        <w:top w:val="none" w:sz="0" w:space="0" w:color="auto"/>
        <w:left w:val="none" w:sz="0" w:space="0" w:color="auto"/>
        <w:bottom w:val="none" w:sz="0" w:space="0" w:color="auto"/>
        <w:right w:val="none" w:sz="0" w:space="0" w:color="auto"/>
      </w:divBdr>
    </w:div>
    <w:div w:id="1479107865">
      <w:bodyDiv w:val="1"/>
      <w:marLeft w:val="0"/>
      <w:marRight w:val="0"/>
      <w:marTop w:val="0"/>
      <w:marBottom w:val="0"/>
      <w:divBdr>
        <w:top w:val="none" w:sz="0" w:space="0" w:color="auto"/>
        <w:left w:val="none" w:sz="0" w:space="0" w:color="auto"/>
        <w:bottom w:val="none" w:sz="0" w:space="0" w:color="auto"/>
        <w:right w:val="none" w:sz="0" w:space="0" w:color="auto"/>
      </w:divBdr>
    </w:div>
    <w:div w:id="1557281915">
      <w:bodyDiv w:val="1"/>
      <w:marLeft w:val="0"/>
      <w:marRight w:val="0"/>
      <w:marTop w:val="0"/>
      <w:marBottom w:val="0"/>
      <w:divBdr>
        <w:top w:val="none" w:sz="0" w:space="0" w:color="auto"/>
        <w:left w:val="none" w:sz="0" w:space="0" w:color="auto"/>
        <w:bottom w:val="none" w:sz="0" w:space="0" w:color="auto"/>
        <w:right w:val="none" w:sz="0" w:space="0" w:color="auto"/>
      </w:divBdr>
    </w:div>
    <w:div w:id="1566916114">
      <w:bodyDiv w:val="1"/>
      <w:marLeft w:val="0"/>
      <w:marRight w:val="0"/>
      <w:marTop w:val="0"/>
      <w:marBottom w:val="0"/>
      <w:divBdr>
        <w:top w:val="none" w:sz="0" w:space="0" w:color="auto"/>
        <w:left w:val="none" w:sz="0" w:space="0" w:color="auto"/>
        <w:bottom w:val="none" w:sz="0" w:space="0" w:color="auto"/>
        <w:right w:val="none" w:sz="0" w:space="0" w:color="auto"/>
      </w:divBdr>
    </w:div>
    <w:div w:id="1629580431">
      <w:bodyDiv w:val="1"/>
      <w:marLeft w:val="0"/>
      <w:marRight w:val="0"/>
      <w:marTop w:val="0"/>
      <w:marBottom w:val="0"/>
      <w:divBdr>
        <w:top w:val="none" w:sz="0" w:space="0" w:color="auto"/>
        <w:left w:val="none" w:sz="0" w:space="0" w:color="auto"/>
        <w:bottom w:val="none" w:sz="0" w:space="0" w:color="auto"/>
        <w:right w:val="none" w:sz="0" w:space="0" w:color="auto"/>
      </w:divBdr>
    </w:div>
    <w:div w:id="1681001393">
      <w:bodyDiv w:val="1"/>
      <w:marLeft w:val="0"/>
      <w:marRight w:val="0"/>
      <w:marTop w:val="0"/>
      <w:marBottom w:val="0"/>
      <w:divBdr>
        <w:top w:val="none" w:sz="0" w:space="0" w:color="auto"/>
        <w:left w:val="none" w:sz="0" w:space="0" w:color="auto"/>
        <w:bottom w:val="none" w:sz="0" w:space="0" w:color="auto"/>
        <w:right w:val="none" w:sz="0" w:space="0" w:color="auto"/>
      </w:divBdr>
    </w:div>
    <w:div w:id="1695765565">
      <w:bodyDiv w:val="1"/>
      <w:marLeft w:val="0"/>
      <w:marRight w:val="0"/>
      <w:marTop w:val="0"/>
      <w:marBottom w:val="0"/>
      <w:divBdr>
        <w:top w:val="none" w:sz="0" w:space="0" w:color="auto"/>
        <w:left w:val="none" w:sz="0" w:space="0" w:color="auto"/>
        <w:bottom w:val="none" w:sz="0" w:space="0" w:color="auto"/>
        <w:right w:val="none" w:sz="0" w:space="0" w:color="auto"/>
      </w:divBdr>
    </w:div>
    <w:div w:id="1731685803">
      <w:bodyDiv w:val="1"/>
      <w:marLeft w:val="0"/>
      <w:marRight w:val="0"/>
      <w:marTop w:val="0"/>
      <w:marBottom w:val="0"/>
      <w:divBdr>
        <w:top w:val="none" w:sz="0" w:space="0" w:color="auto"/>
        <w:left w:val="none" w:sz="0" w:space="0" w:color="auto"/>
        <w:bottom w:val="none" w:sz="0" w:space="0" w:color="auto"/>
        <w:right w:val="none" w:sz="0" w:space="0" w:color="auto"/>
      </w:divBdr>
    </w:div>
    <w:div w:id="1743870561">
      <w:bodyDiv w:val="1"/>
      <w:marLeft w:val="0"/>
      <w:marRight w:val="0"/>
      <w:marTop w:val="0"/>
      <w:marBottom w:val="0"/>
      <w:divBdr>
        <w:top w:val="none" w:sz="0" w:space="0" w:color="auto"/>
        <w:left w:val="none" w:sz="0" w:space="0" w:color="auto"/>
        <w:bottom w:val="none" w:sz="0" w:space="0" w:color="auto"/>
        <w:right w:val="none" w:sz="0" w:space="0" w:color="auto"/>
      </w:divBdr>
    </w:div>
    <w:div w:id="1765567142">
      <w:bodyDiv w:val="1"/>
      <w:marLeft w:val="0"/>
      <w:marRight w:val="0"/>
      <w:marTop w:val="0"/>
      <w:marBottom w:val="0"/>
      <w:divBdr>
        <w:top w:val="none" w:sz="0" w:space="0" w:color="auto"/>
        <w:left w:val="none" w:sz="0" w:space="0" w:color="auto"/>
        <w:bottom w:val="none" w:sz="0" w:space="0" w:color="auto"/>
        <w:right w:val="none" w:sz="0" w:space="0" w:color="auto"/>
      </w:divBdr>
    </w:div>
    <w:div w:id="1790247651">
      <w:bodyDiv w:val="1"/>
      <w:marLeft w:val="0"/>
      <w:marRight w:val="0"/>
      <w:marTop w:val="0"/>
      <w:marBottom w:val="0"/>
      <w:divBdr>
        <w:top w:val="none" w:sz="0" w:space="0" w:color="auto"/>
        <w:left w:val="none" w:sz="0" w:space="0" w:color="auto"/>
        <w:bottom w:val="none" w:sz="0" w:space="0" w:color="auto"/>
        <w:right w:val="none" w:sz="0" w:space="0" w:color="auto"/>
      </w:divBdr>
    </w:div>
    <w:div w:id="1805459969">
      <w:bodyDiv w:val="1"/>
      <w:marLeft w:val="0"/>
      <w:marRight w:val="0"/>
      <w:marTop w:val="0"/>
      <w:marBottom w:val="0"/>
      <w:divBdr>
        <w:top w:val="none" w:sz="0" w:space="0" w:color="auto"/>
        <w:left w:val="none" w:sz="0" w:space="0" w:color="auto"/>
        <w:bottom w:val="none" w:sz="0" w:space="0" w:color="auto"/>
        <w:right w:val="none" w:sz="0" w:space="0" w:color="auto"/>
      </w:divBdr>
    </w:div>
    <w:div w:id="1809856241">
      <w:bodyDiv w:val="1"/>
      <w:marLeft w:val="0"/>
      <w:marRight w:val="0"/>
      <w:marTop w:val="0"/>
      <w:marBottom w:val="0"/>
      <w:divBdr>
        <w:top w:val="none" w:sz="0" w:space="0" w:color="auto"/>
        <w:left w:val="none" w:sz="0" w:space="0" w:color="auto"/>
        <w:bottom w:val="none" w:sz="0" w:space="0" w:color="auto"/>
        <w:right w:val="none" w:sz="0" w:space="0" w:color="auto"/>
      </w:divBdr>
    </w:div>
    <w:div w:id="1843618039">
      <w:bodyDiv w:val="1"/>
      <w:marLeft w:val="0"/>
      <w:marRight w:val="0"/>
      <w:marTop w:val="0"/>
      <w:marBottom w:val="0"/>
      <w:divBdr>
        <w:top w:val="none" w:sz="0" w:space="0" w:color="auto"/>
        <w:left w:val="none" w:sz="0" w:space="0" w:color="auto"/>
        <w:bottom w:val="none" w:sz="0" w:space="0" w:color="auto"/>
        <w:right w:val="none" w:sz="0" w:space="0" w:color="auto"/>
      </w:divBdr>
    </w:div>
    <w:div w:id="1885672748">
      <w:bodyDiv w:val="1"/>
      <w:marLeft w:val="0"/>
      <w:marRight w:val="0"/>
      <w:marTop w:val="0"/>
      <w:marBottom w:val="0"/>
      <w:divBdr>
        <w:top w:val="none" w:sz="0" w:space="0" w:color="auto"/>
        <w:left w:val="none" w:sz="0" w:space="0" w:color="auto"/>
        <w:bottom w:val="none" w:sz="0" w:space="0" w:color="auto"/>
        <w:right w:val="none" w:sz="0" w:space="0" w:color="auto"/>
      </w:divBdr>
    </w:div>
    <w:div w:id="1902672031">
      <w:bodyDiv w:val="1"/>
      <w:marLeft w:val="0"/>
      <w:marRight w:val="0"/>
      <w:marTop w:val="0"/>
      <w:marBottom w:val="0"/>
      <w:divBdr>
        <w:top w:val="none" w:sz="0" w:space="0" w:color="auto"/>
        <w:left w:val="none" w:sz="0" w:space="0" w:color="auto"/>
        <w:bottom w:val="none" w:sz="0" w:space="0" w:color="auto"/>
        <w:right w:val="none" w:sz="0" w:space="0" w:color="auto"/>
      </w:divBdr>
    </w:div>
    <w:div w:id="1936742114">
      <w:bodyDiv w:val="1"/>
      <w:marLeft w:val="0"/>
      <w:marRight w:val="0"/>
      <w:marTop w:val="0"/>
      <w:marBottom w:val="0"/>
      <w:divBdr>
        <w:top w:val="none" w:sz="0" w:space="0" w:color="auto"/>
        <w:left w:val="none" w:sz="0" w:space="0" w:color="auto"/>
        <w:bottom w:val="none" w:sz="0" w:space="0" w:color="auto"/>
        <w:right w:val="none" w:sz="0" w:space="0" w:color="auto"/>
      </w:divBdr>
    </w:div>
    <w:div w:id="1993632020">
      <w:bodyDiv w:val="1"/>
      <w:marLeft w:val="0"/>
      <w:marRight w:val="0"/>
      <w:marTop w:val="0"/>
      <w:marBottom w:val="0"/>
      <w:divBdr>
        <w:top w:val="none" w:sz="0" w:space="0" w:color="auto"/>
        <w:left w:val="none" w:sz="0" w:space="0" w:color="auto"/>
        <w:bottom w:val="none" w:sz="0" w:space="0" w:color="auto"/>
        <w:right w:val="none" w:sz="0" w:space="0" w:color="auto"/>
      </w:divBdr>
    </w:div>
    <w:div w:id="199676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2.xml"/><Relationship Id="rId26" Type="http://schemas.openxmlformats.org/officeDocument/2006/relationships/hyperlink" Target="https://www.legislation.gov.au/Series/C2004A03712" TargetMode="External"/><Relationship Id="rId39" Type="http://schemas.openxmlformats.org/officeDocument/2006/relationships/hyperlink" Target="https://www.google.com.au/maps" TargetMode="External"/><Relationship Id="rId21" Type="http://schemas.openxmlformats.org/officeDocument/2006/relationships/hyperlink" Target="https://www.legislation.gov.au/Series/F1996B03551" TargetMode="External"/><Relationship Id="rId34" Type="http://schemas.openxmlformats.org/officeDocument/2006/relationships/hyperlink" Target="https://abr.business.gov.au/" TargetMode="External"/><Relationship Id="rId42" Type="http://schemas.openxmlformats.org/officeDocument/2006/relationships/hyperlink" Target="https://www1.oanda.com/currency/converter/" TargetMode="External"/><Relationship Id="rId47" Type="http://schemas.openxmlformats.org/officeDocument/2006/relationships/hyperlink" Target="https://whois.auda.org.au/" TargetMode="External"/><Relationship Id="rId50" Type="http://schemas.openxmlformats.org/officeDocument/2006/relationships/hyperlink" Target="https://www.consilium.europa.eu/prado/en/search-by-document-country.html" TargetMode="External"/><Relationship Id="rId55" Type="http://schemas.openxmlformats.org/officeDocument/2006/relationships/hyperlink" Target="file:///C:\Users\TA2928\Downloads\Guidelines%20for%20Skilled%20Migration%20Assessing%20Authorities%202021%20.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legislation.gov.au/Series/F1996B03551" TargetMode="External"/><Relationship Id="rId11" Type="http://schemas.openxmlformats.org/officeDocument/2006/relationships/image" Target="media/image4.png"/><Relationship Id="rId24" Type="http://schemas.openxmlformats.org/officeDocument/2006/relationships/hyperlink" Target="file:///C:\Users\TA2928\Downloads\Guidelines%20for%20Skilled%20Migration%20Assessing%20Authorities%202021%20.docx" TargetMode="External"/><Relationship Id="rId32" Type="http://schemas.openxmlformats.org/officeDocument/2006/relationships/hyperlink" Target="https://immi.homeaffairs.gov.au/visas/already-have-a-visa/check-visa-details-and-conditions/check-conditions-online" TargetMode="External"/><Relationship Id="rId37" Type="http://schemas.openxmlformats.org/officeDocument/2006/relationships/hyperlink" Target="https://www.abs.gov.au/ANZSCO" TargetMode="External"/><Relationship Id="rId40" Type="http://schemas.openxmlformats.org/officeDocument/2006/relationships/hyperlink" Target="https://www.universitiesaustralia.edu.au/" TargetMode="External"/><Relationship Id="rId45" Type="http://schemas.openxmlformats.org/officeDocument/2006/relationships/hyperlink" Target="https://www.go.co/" TargetMode="External"/><Relationship Id="rId53" Type="http://schemas.openxmlformats.org/officeDocument/2006/relationships/hyperlink" Target="mailto:AAQA@dewr.gov.au" TargetMode="External"/><Relationship Id="rId58"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eader" Target="header3.xml"/><Relationship Id="rId14" Type="http://schemas.openxmlformats.org/officeDocument/2006/relationships/hyperlink" Target="https://creativecommons.org/licenses/by/4.0/legalcode" TargetMode="External"/><Relationship Id="rId22" Type="http://schemas.openxmlformats.org/officeDocument/2006/relationships/hyperlink" Target="https://www.legislation.gov.au/Series/F1996B03551" TargetMode="External"/><Relationship Id="rId27" Type="http://schemas.openxmlformats.org/officeDocument/2006/relationships/hyperlink" Target="https://www.oaic.gov.au/privacy/australian-privacy-principles/" TargetMode="External"/><Relationship Id="rId30" Type="http://schemas.openxmlformats.org/officeDocument/2006/relationships/hyperlink" Target="https://www.legislation.gov.au/Series/F1996B03551" TargetMode="External"/><Relationship Id="rId35" Type="http://schemas.openxmlformats.org/officeDocument/2006/relationships/hyperlink" Target="https://www.fairwork.gov.au/" TargetMode="External"/><Relationship Id="rId43" Type="http://schemas.openxmlformats.org/officeDocument/2006/relationships/hyperlink" Target="https://www1.oanda.com/currency/converter/" TargetMode="External"/><Relationship Id="rId48" Type="http://schemas.openxmlformats.org/officeDocument/2006/relationships/hyperlink" Target="https://whois.auda.org.au/" TargetMode="External"/><Relationship Id="rId56" Type="http://schemas.openxmlformats.org/officeDocument/2006/relationships/hyperlink" Target="file:///C:\Users\TA2928\Downloads\Guidelines%20for%20Skilled%20Migration%20Assessing%20Authorities%202021%20.docx" TargetMode="External"/><Relationship Id="rId8" Type="http://schemas.openxmlformats.org/officeDocument/2006/relationships/image" Target="media/image1.png"/><Relationship Id="rId51" Type="http://schemas.openxmlformats.org/officeDocument/2006/relationships/hyperlink" Target="http://google.com.au/" TargetMode="External"/><Relationship Id="rId3" Type="http://schemas.openxmlformats.org/officeDocument/2006/relationships/styles" Target="styles.xml"/><Relationship Id="rId12" Type="http://schemas.openxmlformats.org/officeDocument/2006/relationships/image" Target="cid:image001.png@01CC5B5E.C6C84990" TargetMode="External"/><Relationship Id="rId17" Type="http://schemas.openxmlformats.org/officeDocument/2006/relationships/footer" Target="footer1.xml"/><Relationship Id="rId25" Type="http://schemas.openxmlformats.org/officeDocument/2006/relationships/hyperlink" Target="https://www.legislation.gov.au/Series/C2004A03712" TargetMode="External"/><Relationship Id="rId33" Type="http://schemas.openxmlformats.org/officeDocument/2006/relationships/hyperlink" Target="https://immi.homeaffairs.gov.au/visas/already-have-a-visa/check-visa-details-and-conditions/check-conditions-online" TargetMode="External"/><Relationship Id="rId38" Type="http://schemas.openxmlformats.org/officeDocument/2006/relationships/hyperlink" Target="https://www.google.com.au/maps" TargetMode="External"/><Relationship Id="rId46" Type="http://schemas.openxmlformats.org/officeDocument/2006/relationships/hyperlink" Target="https://whois.auda.org.au/" TargetMode="External"/><Relationship Id="rId59" Type="http://schemas.openxmlformats.org/officeDocument/2006/relationships/footer" Target="footer4.xml"/><Relationship Id="rId20" Type="http://schemas.openxmlformats.org/officeDocument/2006/relationships/footer" Target="footer3.xml"/><Relationship Id="rId41" Type="http://schemas.openxmlformats.org/officeDocument/2006/relationships/hyperlink" Target="https://www.xe.com/currencyconverter/" TargetMode="External"/><Relationship Id="rId54" Type="http://schemas.openxmlformats.org/officeDocument/2006/relationships/hyperlink" Target="file:///C:\Users\TA2928\Downloads\Guidelines%20for%20Skilled%20Migration%20Assessing%20Authorities%202021%20.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dewr.gov.au" TargetMode="External"/><Relationship Id="rId28" Type="http://schemas.openxmlformats.org/officeDocument/2006/relationships/hyperlink" Target="https://www.oaic.gov.au/privacy/australian-privacy-principles/" TargetMode="External"/><Relationship Id="rId36" Type="http://schemas.openxmlformats.org/officeDocument/2006/relationships/hyperlink" Target="https://www.fairwork.gov.au/" TargetMode="External"/><Relationship Id="rId49" Type="http://schemas.openxmlformats.org/officeDocument/2006/relationships/hyperlink" Target="https://www.consilium.europa.eu/prado/en/search-by-document-country.html" TargetMode="External"/><Relationship Id="rId57" Type="http://schemas.openxmlformats.org/officeDocument/2006/relationships/hyperlink" Target="mailto:AAQA@dewr.gov.au" TargetMode="External"/><Relationship Id="rId10" Type="http://schemas.openxmlformats.org/officeDocument/2006/relationships/image" Target="media/image3.png"/><Relationship Id="rId31" Type="http://schemas.openxmlformats.org/officeDocument/2006/relationships/hyperlink" Target="https://immi.homeaffairs.gov.au/visas/already-have-a-visa/check-visa-details-and-conditions/check-conditions-online" TargetMode="External"/><Relationship Id="rId44" Type="http://schemas.openxmlformats.org/officeDocument/2006/relationships/hyperlink" Target="https://www.go.co/" TargetMode="External"/><Relationship Id="rId52" Type="http://schemas.openxmlformats.org/officeDocument/2006/relationships/hyperlink" Target="mailto:Economic.Skilled.Visa.Assurance@homeaffairs.gov.a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5604</Words>
  <Characters>31946</Characters>
  <Application>Microsoft Office Word</Application>
  <DocSecurity>2</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2022-11-22T22:44:00Z</dcterms:created>
  <dcterms:modified xsi:type="dcterms:W3CDTF">2022-11-22T22:45:00Z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2022-11-22T22:45:52Z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63acf358-2c2a-4ea8-99e5-6d6969f85d16</vt:lpwstr>
  </property>
  <property fmtid="{D5CDD505-2E9C-101B-9397-08002B2CF9AE}" pid="8" name="MSIP_Label_5f877481-9e35-4b68-b667-876a73c6db41_ContentBits">
    <vt:lpwstr>0</vt:lpwstr>
  </property>
</Properties>
</file>