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C8" w:rsidRDefault="007349C8" w:rsidP="00AC65DA">
      <w:pPr>
        <w:pStyle w:val="Title"/>
      </w:pPr>
      <w:r>
        <w:rPr>
          <w:noProof/>
          <w:lang w:eastAsia="en-AU"/>
        </w:rPr>
        <w:drawing>
          <wp:anchor distT="0" distB="0" distL="114300" distR="114300" simplePos="0" relativeHeight="251659264" behindDoc="1" locked="0" layoutInCell="1" allowOverlap="1" wp14:anchorId="3EE40888" wp14:editId="4D282891">
            <wp:simplePos x="0" y="0"/>
            <wp:positionH relativeFrom="column">
              <wp:posOffset>-914400</wp:posOffset>
            </wp:positionH>
            <wp:positionV relativeFrom="paragraph">
              <wp:posOffset>-764218</wp:posOffset>
            </wp:positionV>
            <wp:extent cx="7650189" cy="1961903"/>
            <wp:effectExtent l="0" t="0" r="8255" b="63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esign Team\Work in Progress\Rob P\A12-0385 EMPGEN Emp. Services Contract Mgt Bulletin\Links\Header DEEWR_Blue.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50189" cy="19619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A1943D9" wp14:editId="364CE46D">
            <wp:extent cx="2603500" cy="592463"/>
            <wp:effectExtent l="19050" t="0" r="6350" b="0"/>
            <wp:docPr id="7" name="Picture 2"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ign Team\Work in Progress\Rob P\A12-0385 EMPGEN Emp. Services Contract Mgt Bulletin\Links\DEEWR1A_REV_8 [Converted].png"/>
                    <pic:cNvPicPr>
                      <a:picLocks noChangeAspect="1" noChangeArrowheads="1"/>
                    </pic:cNvPicPr>
                  </pic:nvPicPr>
                  <pic:blipFill>
                    <a:blip r:embed="rId10" cstate="print"/>
                    <a:srcRect/>
                    <a:stretch>
                      <a:fillRect/>
                    </a:stretch>
                  </pic:blipFill>
                  <pic:spPr bwMode="auto">
                    <a:xfrm>
                      <a:off x="0" y="0"/>
                      <a:ext cx="2603500" cy="592463"/>
                    </a:xfrm>
                    <a:prstGeom prst="rect">
                      <a:avLst/>
                    </a:prstGeom>
                    <a:noFill/>
                    <a:ln w="9525">
                      <a:noFill/>
                      <a:miter lim="800000"/>
                      <a:headEnd/>
                      <a:tailEnd/>
                    </a:ln>
                  </pic:spPr>
                </pic:pic>
              </a:graphicData>
            </a:graphic>
          </wp:inline>
        </w:drawing>
      </w:r>
    </w:p>
    <w:p w:rsidR="007349C8" w:rsidRDefault="007349C8" w:rsidP="007349C8">
      <w:pPr>
        <w:sectPr w:rsidR="007349C8" w:rsidSect="007349C8">
          <w:footerReference w:type="default" r:id="rId11"/>
          <w:type w:val="continuous"/>
          <w:pgSz w:w="11906" w:h="16838"/>
          <w:pgMar w:top="851" w:right="1440" w:bottom="1440" w:left="1440" w:header="708" w:footer="708" w:gutter="0"/>
          <w:cols w:space="708"/>
          <w:titlePg/>
          <w:docGrid w:linePitch="360"/>
        </w:sectPr>
      </w:pPr>
    </w:p>
    <w:p w:rsidR="007349C8" w:rsidRPr="00897949" w:rsidRDefault="007349C8" w:rsidP="007349C8">
      <w:pPr>
        <w:rPr>
          <w:color w:val="427730"/>
        </w:rPr>
      </w:pPr>
    </w:p>
    <w:p w:rsidR="00567E37" w:rsidRPr="00F46803" w:rsidRDefault="00567E37" w:rsidP="00567E37">
      <w:pPr>
        <w:pStyle w:val="Title"/>
        <w:jc w:val="center"/>
        <w:rPr>
          <w:sz w:val="44"/>
        </w:rPr>
      </w:pPr>
      <w:r w:rsidRPr="00F46803">
        <w:rPr>
          <w:sz w:val="44"/>
        </w:rPr>
        <w:t>COMMON FEATURE</w:t>
      </w:r>
      <w:r w:rsidR="009C55D1">
        <w:rPr>
          <w:sz w:val="44"/>
        </w:rPr>
        <w:t>S OF LABOUR MARKETS WITH A PROMINENT</w:t>
      </w:r>
      <w:r w:rsidRPr="00F46803">
        <w:rPr>
          <w:sz w:val="44"/>
        </w:rPr>
        <w:t xml:space="preserve"> RESOURCES SECTOR</w:t>
      </w:r>
    </w:p>
    <w:p w:rsidR="00567E37" w:rsidRPr="00F46803" w:rsidRDefault="00567E37" w:rsidP="00567E37">
      <w:pPr>
        <w:spacing w:line="240" w:lineRule="auto"/>
        <w:jc w:val="both"/>
        <w:rPr>
          <w:rFonts w:cstheme="minorHAnsi"/>
          <w:szCs w:val="21"/>
        </w:rPr>
      </w:pPr>
      <w:r w:rsidRPr="00F46803">
        <w:rPr>
          <w:rFonts w:cstheme="minorHAnsi"/>
          <w:szCs w:val="21"/>
        </w:rPr>
        <w:t>The Department of Education, Employment and Workplace Relations conducts Surveys of Employers’ Recruitment Experiences in regions across Australia. In these surveys, employers from all sectors of the local economy tell us about their experiences recruiting and retaining workers</w:t>
      </w:r>
      <w:r w:rsidR="00F46803">
        <w:rPr>
          <w:rFonts w:cstheme="minorHAnsi"/>
          <w:szCs w:val="21"/>
        </w:rPr>
        <w:t>.</w:t>
      </w:r>
      <w:r w:rsidRPr="00F46803">
        <w:rPr>
          <w:rFonts w:cstheme="minorHAnsi"/>
          <w:szCs w:val="21"/>
        </w:rPr>
        <w:t xml:space="preserve">  </w:t>
      </w:r>
    </w:p>
    <w:p w:rsidR="00C10C19" w:rsidRPr="00F46803" w:rsidRDefault="00567E37" w:rsidP="00567E37">
      <w:pPr>
        <w:spacing w:line="240" w:lineRule="auto"/>
        <w:jc w:val="both"/>
        <w:rPr>
          <w:rFonts w:cstheme="minorHAnsi"/>
          <w:szCs w:val="21"/>
        </w:rPr>
      </w:pPr>
      <w:r w:rsidRPr="00F46803">
        <w:rPr>
          <w:rFonts w:cstheme="minorHAnsi"/>
          <w:szCs w:val="21"/>
        </w:rPr>
        <w:t>Over the past two years surveys have been conducted in four regions which are heavily reliant on the resources sector (Kimberley, Capricornia, Gl</w:t>
      </w:r>
      <w:bookmarkStart w:id="0" w:name="_GoBack"/>
      <w:bookmarkEnd w:id="0"/>
      <w:r w:rsidRPr="00F46803">
        <w:rPr>
          <w:rFonts w:cstheme="minorHAnsi"/>
          <w:szCs w:val="21"/>
        </w:rPr>
        <w:t>adstone and Mt Isa). Findings from these surveys have highlighted some features common to these four regions which differentiate them from labour market conditions reported by employers in other regions across Australia</w:t>
      </w:r>
      <w:r w:rsidRPr="00F46803">
        <w:rPr>
          <w:rStyle w:val="EndnoteReference"/>
          <w:rFonts w:cstheme="minorHAnsi"/>
          <w:szCs w:val="21"/>
        </w:rPr>
        <w:endnoteReference w:id="1"/>
      </w:r>
      <w:r w:rsidRPr="00F46803">
        <w:rPr>
          <w:rFonts w:cstheme="minorHAnsi"/>
          <w:szCs w:val="21"/>
        </w:rPr>
        <w:t xml:space="preserve">.  </w:t>
      </w:r>
    </w:p>
    <w:p w:rsidR="00C10C19" w:rsidRPr="00567E37" w:rsidRDefault="00567E37" w:rsidP="00567E37">
      <w:pPr>
        <w:pStyle w:val="Heading1"/>
        <w:numPr>
          <w:ilvl w:val="0"/>
          <w:numId w:val="18"/>
        </w:numPr>
        <w:ind w:left="426" w:hanging="426"/>
        <w:rPr>
          <w:sz w:val="28"/>
        </w:rPr>
      </w:pPr>
      <w:r w:rsidRPr="00567E37">
        <w:rPr>
          <w:sz w:val="28"/>
        </w:rPr>
        <w:t>Recruitment activity and staff turnover higher</w:t>
      </w:r>
    </w:p>
    <w:p w:rsidR="00567E37" w:rsidRPr="00F46803" w:rsidRDefault="00567E37" w:rsidP="00567E37">
      <w:pPr>
        <w:spacing w:before="120" w:after="120" w:line="240" w:lineRule="auto"/>
        <w:jc w:val="both"/>
        <w:rPr>
          <w:rFonts w:cstheme="minorHAnsi"/>
        </w:rPr>
      </w:pPr>
      <w:r w:rsidRPr="00F46803">
        <w:rPr>
          <w:rFonts w:cstheme="minorHAnsi"/>
        </w:rPr>
        <w:t xml:space="preserve">Employers in regions with high levels of employment in the resources sector were two to three times more likely to report that staff retention was a significant problem for their business than was the case in other surveyed regions. </w:t>
      </w:r>
    </w:p>
    <w:p w:rsidR="000435B3" w:rsidRPr="00F46803" w:rsidRDefault="00567E37" w:rsidP="000435B3">
      <w:pPr>
        <w:spacing w:before="120" w:after="120" w:line="240" w:lineRule="auto"/>
        <w:jc w:val="both"/>
        <w:rPr>
          <w:rFonts w:cstheme="minorHAnsi"/>
        </w:rPr>
      </w:pPr>
      <w:r w:rsidRPr="00F46803">
        <w:rPr>
          <w:rFonts w:cstheme="minorHAnsi"/>
        </w:rPr>
        <w:t>Staff retention problems were also reflected in higher mea</w:t>
      </w:r>
      <w:r w:rsidR="0000476F">
        <w:rPr>
          <w:rFonts w:cstheme="minorHAnsi"/>
        </w:rPr>
        <w:t xml:space="preserve">sures of recruitment activity. </w:t>
      </w:r>
      <w:r w:rsidRPr="00F46803">
        <w:rPr>
          <w:rFonts w:cstheme="minorHAnsi"/>
        </w:rPr>
        <w:t xml:space="preserve">The recruitment rate, which identifies the annual number of vacancies reported in surveyed businesses per 100 staff, was much higher in resources intensive areas than in other regions surveyed (see Table 1). </w:t>
      </w:r>
    </w:p>
    <w:p w:rsidR="000435B3" w:rsidRPr="000435B3" w:rsidRDefault="000435B3" w:rsidP="000435B3">
      <w:pPr>
        <w:spacing w:before="120" w:after="120" w:line="240" w:lineRule="auto"/>
        <w:jc w:val="both"/>
        <w:rPr>
          <w:rFonts w:cstheme="minorHAnsi"/>
          <w:sz w:val="2"/>
        </w:rPr>
      </w:pPr>
    </w:p>
    <w:p w:rsidR="000435B3" w:rsidRPr="00F46803" w:rsidRDefault="000435B3" w:rsidP="000435B3">
      <w:pPr>
        <w:spacing w:before="120" w:after="120" w:line="240" w:lineRule="auto"/>
        <w:jc w:val="both"/>
        <w:rPr>
          <w:rFonts w:cstheme="minorHAnsi"/>
          <w:b/>
        </w:rPr>
      </w:pPr>
      <w:r w:rsidRPr="00F46803">
        <w:rPr>
          <w:rFonts w:cstheme="minorHAnsi"/>
          <w:b/>
        </w:rPr>
        <w:t>Table 1. Recruitment Activity Levels and Staff Retention Problems: Resources Areas vs All Regions</w:t>
      </w:r>
    </w:p>
    <w:tbl>
      <w:tblPr>
        <w:tblStyle w:val="DEEWRTable"/>
        <w:tblW w:w="9543" w:type="dxa"/>
        <w:tblLayout w:type="fixed"/>
        <w:tblLook w:val="0420" w:firstRow="1" w:lastRow="0" w:firstColumn="0" w:lastColumn="0" w:noHBand="0" w:noVBand="1"/>
      </w:tblPr>
      <w:tblGrid>
        <w:gridCol w:w="3140"/>
        <w:gridCol w:w="1280"/>
        <w:gridCol w:w="1281"/>
        <w:gridCol w:w="1280"/>
        <w:gridCol w:w="1281"/>
        <w:gridCol w:w="1281"/>
      </w:tblGrid>
      <w:tr w:rsidR="000435B3" w:rsidRPr="00F46803" w:rsidTr="00DE56A9">
        <w:trPr>
          <w:cnfStyle w:val="100000000000" w:firstRow="1" w:lastRow="0" w:firstColumn="0" w:lastColumn="0" w:oddVBand="0" w:evenVBand="0" w:oddHBand="0" w:evenHBand="0" w:firstRowFirstColumn="0" w:firstRowLastColumn="0" w:lastRowFirstColumn="0" w:lastRowLastColumn="0"/>
          <w:trHeight w:val="624"/>
        </w:trPr>
        <w:tc>
          <w:tcPr>
            <w:tcW w:w="3140" w:type="dxa"/>
          </w:tcPr>
          <w:p w:rsidR="000435B3" w:rsidRPr="00F46803" w:rsidRDefault="000435B3" w:rsidP="00D74718">
            <w:pPr>
              <w:rPr>
                <w:rFonts w:cstheme="minorHAnsi"/>
                <w:sz w:val="22"/>
              </w:rPr>
            </w:pPr>
          </w:p>
        </w:tc>
        <w:tc>
          <w:tcPr>
            <w:tcW w:w="1280" w:type="dxa"/>
            <w:vAlign w:val="center"/>
          </w:tcPr>
          <w:p w:rsidR="000435B3" w:rsidRPr="00F46803" w:rsidRDefault="000435B3" w:rsidP="00D74718">
            <w:pPr>
              <w:jc w:val="center"/>
              <w:rPr>
                <w:rFonts w:cstheme="minorHAnsi"/>
                <w:b w:val="0"/>
                <w:sz w:val="22"/>
              </w:rPr>
            </w:pPr>
            <w:r w:rsidRPr="00F46803">
              <w:rPr>
                <w:rFonts w:cstheme="minorHAnsi"/>
                <w:sz w:val="22"/>
              </w:rPr>
              <w:t xml:space="preserve">Mt Isa   </w:t>
            </w:r>
            <w:r w:rsidRPr="00F46803">
              <w:rPr>
                <w:rFonts w:cstheme="minorHAnsi"/>
                <w:sz w:val="22"/>
              </w:rPr>
              <w:br/>
              <w:t>(Jun 2011)</w:t>
            </w:r>
          </w:p>
        </w:tc>
        <w:tc>
          <w:tcPr>
            <w:tcW w:w="1281" w:type="dxa"/>
            <w:vAlign w:val="center"/>
          </w:tcPr>
          <w:p w:rsidR="000435B3" w:rsidRPr="00F46803" w:rsidRDefault="000435B3" w:rsidP="00D74718">
            <w:pPr>
              <w:jc w:val="center"/>
              <w:rPr>
                <w:rFonts w:cstheme="minorHAnsi"/>
                <w:b w:val="0"/>
                <w:sz w:val="22"/>
              </w:rPr>
            </w:pPr>
            <w:r w:rsidRPr="00F46803">
              <w:rPr>
                <w:rFonts w:cstheme="minorHAnsi"/>
                <w:sz w:val="22"/>
              </w:rPr>
              <w:t>Gladstone (Nov 2011)</w:t>
            </w:r>
          </w:p>
        </w:tc>
        <w:tc>
          <w:tcPr>
            <w:tcW w:w="1280" w:type="dxa"/>
            <w:vAlign w:val="center"/>
          </w:tcPr>
          <w:p w:rsidR="000435B3" w:rsidRPr="00F46803" w:rsidRDefault="000435B3" w:rsidP="00D74718">
            <w:pPr>
              <w:jc w:val="center"/>
              <w:rPr>
                <w:rFonts w:cstheme="minorHAnsi"/>
                <w:b w:val="0"/>
                <w:sz w:val="22"/>
              </w:rPr>
            </w:pPr>
            <w:r w:rsidRPr="00F46803">
              <w:rPr>
                <w:rFonts w:cstheme="minorHAnsi"/>
                <w:sz w:val="22"/>
              </w:rPr>
              <w:t>Capricornia (Mar 2012)</w:t>
            </w:r>
          </w:p>
        </w:tc>
        <w:tc>
          <w:tcPr>
            <w:tcW w:w="1281" w:type="dxa"/>
            <w:vAlign w:val="center"/>
          </w:tcPr>
          <w:p w:rsidR="000435B3" w:rsidRPr="00F46803" w:rsidRDefault="000435B3" w:rsidP="00D74718">
            <w:pPr>
              <w:jc w:val="center"/>
              <w:rPr>
                <w:rFonts w:cstheme="minorHAnsi"/>
                <w:b w:val="0"/>
                <w:sz w:val="22"/>
              </w:rPr>
            </w:pPr>
            <w:r w:rsidRPr="00F46803">
              <w:rPr>
                <w:rFonts w:cstheme="minorHAnsi"/>
                <w:sz w:val="22"/>
              </w:rPr>
              <w:t>Kimberley (Nov 2012)</w:t>
            </w:r>
          </w:p>
        </w:tc>
        <w:tc>
          <w:tcPr>
            <w:tcW w:w="1281" w:type="dxa"/>
            <w:vAlign w:val="center"/>
          </w:tcPr>
          <w:p w:rsidR="000435B3" w:rsidRPr="00F46803" w:rsidRDefault="000435B3" w:rsidP="00D74718">
            <w:pPr>
              <w:jc w:val="center"/>
              <w:rPr>
                <w:rFonts w:cstheme="minorHAnsi"/>
                <w:b w:val="0"/>
                <w:sz w:val="22"/>
              </w:rPr>
            </w:pPr>
            <w:r w:rsidRPr="00F46803">
              <w:rPr>
                <w:rFonts w:cstheme="minorHAnsi"/>
                <w:sz w:val="22"/>
              </w:rPr>
              <w:t>All Regions (Mar 2013)</w:t>
            </w:r>
          </w:p>
        </w:tc>
      </w:tr>
      <w:tr w:rsidR="000435B3" w:rsidRPr="00F46803" w:rsidTr="00DE56A9">
        <w:trPr>
          <w:trHeight w:val="624"/>
        </w:trPr>
        <w:tc>
          <w:tcPr>
            <w:tcW w:w="3140" w:type="dxa"/>
            <w:vAlign w:val="center"/>
          </w:tcPr>
          <w:p w:rsidR="000435B3" w:rsidRPr="00F46803" w:rsidRDefault="000435B3" w:rsidP="00DE56A9">
            <w:pPr>
              <w:rPr>
                <w:rFonts w:cstheme="minorHAnsi"/>
                <w:sz w:val="22"/>
              </w:rPr>
            </w:pPr>
            <w:r w:rsidRPr="00F46803">
              <w:rPr>
                <w:rFonts w:cstheme="minorHAnsi"/>
                <w:b/>
                <w:sz w:val="22"/>
              </w:rPr>
              <w:t>Recruitment rate</w:t>
            </w:r>
            <w:r w:rsidRPr="00F46803">
              <w:rPr>
                <w:rFonts w:cstheme="minorHAnsi"/>
                <w:b/>
                <w:sz w:val="22"/>
              </w:rPr>
              <w:br/>
            </w:r>
            <w:r w:rsidRPr="00F46803">
              <w:rPr>
                <w:rFonts w:cstheme="minorHAnsi"/>
                <w:sz w:val="22"/>
              </w:rPr>
              <w:t>(annual vacancies per 100 staff)</w:t>
            </w:r>
          </w:p>
        </w:tc>
        <w:tc>
          <w:tcPr>
            <w:tcW w:w="1280" w:type="dxa"/>
            <w:vAlign w:val="center"/>
          </w:tcPr>
          <w:p w:rsidR="000435B3" w:rsidRPr="00F46803" w:rsidRDefault="000435B3" w:rsidP="00D74718">
            <w:pPr>
              <w:jc w:val="center"/>
              <w:rPr>
                <w:rFonts w:cstheme="minorHAnsi"/>
                <w:sz w:val="22"/>
              </w:rPr>
            </w:pPr>
            <w:r w:rsidRPr="00F46803">
              <w:rPr>
                <w:rFonts w:cstheme="minorHAnsi"/>
                <w:sz w:val="22"/>
              </w:rPr>
              <w:t>38</w:t>
            </w:r>
          </w:p>
        </w:tc>
        <w:tc>
          <w:tcPr>
            <w:tcW w:w="1281" w:type="dxa"/>
            <w:vAlign w:val="center"/>
          </w:tcPr>
          <w:p w:rsidR="000435B3" w:rsidRPr="00F46803" w:rsidRDefault="000435B3" w:rsidP="00D74718">
            <w:pPr>
              <w:jc w:val="center"/>
              <w:rPr>
                <w:rFonts w:cstheme="minorHAnsi"/>
                <w:sz w:val="22"/>
              </w:rPr>
            </w:pPr>
            <w:r w:rsidRPr="00F46803">
              <w:rPr>
                <w:rFonts w:cstheme="minorHAnsi"/>
                <w:sz w:val="22"/>
              </w:rPr>
              <w:t>26</w:t>
            </w:r>
          </w:p>
        </w:tc>
        <w:tc>
          <w:tcPr>
            <w:tcW w:w="1280" w:type="dxa"/>
            <w:vAlign w:val="center"/>
          </w:tcPr>
          <w:p w:rsidR="000435B3" w:rsidRPr="00F46803" w:rsidRDefault="000435B3" w:rsidP="00D74718">
            <w:pPr>
              <w:jc w:val="center"/>
              <w:rPr>
                <w:rFonts w:cstheme="minorHAnsi"/>
                <w:sz w:val="22"/>
              </w:rPr>
            </w:pPr>
            <w:r w:rsidRPr="00F46803">
              <w:rPr>
                <w:rFonts w:cstheme="minorHAnsi"/>
                <w:sz w:val="22"/>
              </w:rPr>
              <w:t>32</w:t>
            </w:r>
          </w:p>
        </w:tc>
        <w:tc>
          <w:tcPr>
            <w:tcW w:w="1281" w:type="dxa"/>
            <w:vAlign w:val="center"/>
          </w:tcPr>
          <w:p w:rsidR="000435B3" w:rsidRPr="00F46803" w:rsidRDefault="000435B3" w:rsidP="00D74718">
            <w:pPr>
              <w:jc w:val="center"/>
              <w:rPr>
                <w:rFonts w:cstheme="minorHAnsi"/>
                <w:sz w:val="22"/>
              </w:rPr>
            </w:pPr>
            <w:r w:rsidRPr="00F46803">
              <w:rPr>
                <w:rFonts w:cstheme="minorHAnsi"/>
                <w:sz w:val="22"/>
              </w:rPr>
              <w:t>66</w:t>
            </w:r>
          </w:p>
        </w:tc>
        <w:tc>
          <w:tcPr>
            <w:tcW w:w="1281" w:type="dxa"/>
            <w:vAlign w:val="center"/>
          </w:tcPr>
          <w:p w:rsidR="000435B3" w:rsidRPr="00F46803" w:rsidRDefault="000435B3" w:rsidP="00D74718">
            <w:pPr>
              <w:jc w:val="center"/>
              <w:rPr>
                <w:rFonts w:cstheme="minorHAnsi"/>
                <w:sz w:val="22"/>
              </w:rPr>
            </w:pPr>
            <w:r w:rsidRPr="00F46803">
              <w:rPr>
                <w:rFonts w:cstheme="minorHAnsi"/>
                <w:sz w:val="22"/>
              </w:rPr>
              <w:t>17</w:t>
            </w:r>
          </w:p>
        </w:tc>
      </w:tr>
      <w:tr w:rsidR="000435B3" w:rsidRPr="00F46803" w:rsidTr="00DE56A9">
        <w:trPr>
          <w:cnfStyle w:val="000000010000" w:firstRow="0" w:lastRow="0" w:firstColumn="0" w:lastColumn="0" w:oddVBand="0" w:evenVBand="0" w:oddHBand="0" w:evenHBand="1" w:firstRowFirstColumn="0" w:firstRowLastColumn="0" w:lastRowFirstColumn="0" w:lastRowLastColumn="0"/>
          <w:trHeight w:val="624"/>
        </w:trPr>
        <w:tc>
          <w:tcPr>
            <w:tcW w:w="3140" w:type="dxa"/>
            <w:vAlign w:val="center"/>
          </w:tcPr>
          <w:p w:rsidR="000435B3" w:rsidRPr="00F46803" w:rsidRDefault="000435B3" w:rsidP="00DE56A9">
            <w:pPr>
              <w:rPr>
                <w:rFonts w:cstheme="minorHAnsi"/>
                <w:sz w:val="22"/>
              </w:rPr>
            </w:pPr>
            <w:r w:rsidRPr="00F46803">
              <w:rPr>
                <w:rFonts w:cstheme="minorHAnsi"/>
                <w:b/>
                <w:sz w:val="22"/>
              </w:rPr>
              <w:t>Staff retention problems</w:t>
            </w:r>
            <w:r w:rsidRPr="00F46803">
              <w:rPr>
                <w:rFonts w:cstheme="minorHAnsi"/>
                <w:b/>
                <w:sz w:val="22"/>
              </w:rPr>
              <w:br/>
            </w:r>
            <w:r w:rsidRPr="00F46803">
              <w:rPr>
                <w:rFonts w:cstheme="minorHAnsi"/>
                <w:sz w:val="22"/>
              </w:rPr>
              <w:t>(past 12 months)</w:t>
            </w:r>
          </w:p>
        </w:tc>
        <w:tc>
          <w:tcPr>
            <w:tcW w:w="1280" w:type="dxa"/>
            <w:vAlign w:val="center"/>
          </w:tcPr>
          <w:p w:rsidR="000435B3" w:rsidRPr="00F46803" w:rsidRDefault="000435B3" w:rsidP="00D74718">
            <w:pPr>
              <w:jc w:val="center"/>
              <w:rPr>
                <w:rFonts w:cstheme="minorHAnsi"/>
                <w:sz w:val="22"/>
              </w:rPr>
            </w:pPr>
            <w:r w:rsidRPr="00F46803">
              <w:rPr>
                <w:rFonts w:cstheme="minorHAnsi"/>
                <w:sz w:val="22"/>
              </w:rPr>
              <w:t>25%</w:t>
            </w:r>
          </w:p>
        </w:tc>
        <w:tc>
          <w:tcPr>
            <w:tcW w:w="1281" w:type="dxa"/>
            <w:vAlign w:val="center"/>
          </w:tcPr>
          <w:p w:rsidR="000435B3" w:rsidRPr="00F46803" w:rsidRDefault="000435B3" w:rsidP="00D74718">
            <w:pPr>
              <w:jc w:val="center"/>
              <w:rPr>
                <w:rFonts w:cstheme="minorHAnsi"/>
                <w:sz w:val="22"/>
              </w:rPr>
            </w:pPr>
            <w:r w:rsidRPr="00F46803">
              <w:rPr>
                <w:rFonts w:cstheme="minorHAnsi"/>
                <w:sz w:val="22"/>
              </w:rPr>
              <w:t>32%</w:t>
            </w:r>
          </w:p>
        </w:tc>
        <w:tc>
          <w:tcPr>
            <w:tcW w:w="1280" w:type="dxa"/>
            <w:vAlign w:val="center"/>
          </w:tcPr>
          <w:p w:rsidR="000435B3" w:rsidRPr="00F46803" w:rsidRDefault="000435B3" w:rsidP="00D74718">
            <w:pPr>
              <w:jc w:val="center"/>
              <w:rPr>
                <w:rFonts w:cstheme="minorHAnsi"/>
                <w:sz w:val="22"/>
              </w:rPr>
            </w:pPr>
            <w:r w:rsidRPr="00F46803">
              <w:rPr>
                <w:rFonts w:cstheme="minorHAnsi"/>
                <w:sz w:val="22"/>
              </w:rPr>
              <w:t>27%</w:t>
            </w:r>
          </w:p>
        </w:tc>
        <w:tc>
          <w:tcPr>
            <w:tcW w:w="1281" w:type="dxa"/>
            <w:vAlign w:val="center"/>
          </w:tcPr>
          <w:p w:rsidR="000435B3" w:rsidRPr="00F46803" w:rsidRDefault="000435B3" w:rsidP="00D74718">
            <w:pPr>
              <w:jc w:val="center"/>
              <w:rPr>
                <w:rFonts w:cstheme="minorHAnsi"/>
                <w:sz w:val="22"/>
              </w:rPr>
            </w:pPr>
            <w:r w:rsidRPr="00F46803">
              <w:rPr>
                <w:rFonts w:cstheme="minorHAnsi"/>
                <w:sz w:val="22"/>
              </w:rPr>
              <w:t>24%</w:t>
            </w:r>
          </w:p>
        </w:tc>
        <w:tc>
          <w:tcPr>
            <w:tcW w:w="1281" w:type="dxa"/>
            <w:vAlign w:val="center"/>
          </w:tcPr>
          <w:p w:rsidR="000435B3" w:rsidRPr="00F46803" w:rsidRDefault="000435B3" w:rsidP="00D74718">
            <w:pPr>
              <w:jc w:val="center"/>
              <w:rPr>
                <w:rFonts w:cstheme="minorHAnsi"/>
                <w:sz w:val="22"/>
              </w:rPr>
            </w:pPr>
            <w:r w:rsidRPr="00F46803">
              <w:rPr>
                <w:rFonts w:cstheme="minorHAnsi"/>
                <w:sz w:val="22"/>
              </w:rPr>
              <w:t>9%</w:t>
            </w:r>
          </w:p>
        </w:tc>
      </w:tr>
    </w:tbl>
    <w:p w:rsidR="000435B3" w:rsidRPr="00567E37" w:rsidRDefault="000435B3" w:rsidP="000435B3">
      <w:pPr>
        <w:pStyle w:val="Heading1"/>
        <w:numPr>
          <w:ilvl w:val="0"/>
          <w:numId w:val="18"/>
        </w:numPr>
        <w:ind w:left="426" w:hanging="426"/>
        <w:rPr>
          <w:sz w:val="28"/>
        </w:rPr>
      </w:pPr>
      <w:r>
        <w:rPr>
          <w:sz w:val="28"/>
        </w:rPr>
        <w:t>Vacancies more difficult to fill</w:t>
      </w:r>
    </w:p>
    <w:p w:rsidR="000435B3" w:rsidRPr="00F46803" w:rsidRDefault="000435B3" w:rsidP="000435B3">
      <w:pPr>
        <w:spacing w:before="120" w:after="120" w:line="240" w:lineRule="auto"/>
        <w:jc w:val="both"/>
        <w:rPr>
          <w:rFonts w:cstheme="minorHAnsi"/>
        </w:rPr>
      </w:pPr>
      <w:r w:rsidRPr="00F46803">
        <w:rPr>
          <w:rFonts w:cstheme="minorHAnsi"/>
        </w:rPr>
        <w:t xml:space="preserve">A far higher proportion of vacancies remained unfilled and employers more commonly said that it was ‘difficult’ to fill vacancies in regions with large resources sectors than was the case for all regions surveyed (see Table 2).  </w:t>
      </w:r>
    </w:p>
    <w:p w:rsidR="000435B3" w:rsidRPr="00F46803" w:rsidRDefault="000435B3" w:rsidP="0000476F">
      <w:pPr>
        <w:jc w:val="both"/>
        <w:rPr>
          <w:rFonts w:cstheme="minorHAnsi"/>
          <w:noProof/>
        </w:rPr>
      </w:pPr>
      <w:r w:rsidRPr="00F46803">
        <w:rPr>
          <w:rFonts w:cstheme="minorHAnsi"/>
        </w:rPr>
        <w:t>Employers in resources intensive areas were far more likely to say that recruitment was ‘difficult’ because of the location of the job. This reflects the additional challenge of remoteness in many resources intensive regions which contributed to the average number of job applicants per vacancy in these regions (4.2) being less than half that for all surveyed regions (8.8).</w:t>
      </w:r>
    </w:p>
    <w:p w:rsidR="00F46803" w:rsidRDefault="00F46803" w:rsidP="000435B3">
      <w:pPr>
        <w:contextualSpacing/>
        <w:rPr>
          <w:rFonts w:cstheme="minorHAnsi"/>
          <w:b/>
        </w:rPr>
      </w:pPr>
    </w:p>
    <w:p w:rsidR="00F46803" w:rsidRDefault="00F46803" w:rsidP="000435B3">
      <w:pPr>
        <w:contextualSpacing/>
        <w:rPr>
          <w:rFonts w:cstheme="minorHAnsi"/>
          <w:b/>
        </w:rPr>
      </w:pPr>
    </w:p>
    <w:p w:rsidR="000435B3" w:rsidRPr="00F46803" w:rsidRDefault="000435B3" w:rsidP="000435B3">
      <w:pPr>
        <w:contextualSpacing/>
        <w:rPr>
          <w:rFonts w:cstheme="minorHAnsi"/>
          <w:b/>
        </w:rPr>
      </w:pPr>
      <w:r w:rsidRPr="00F46803">
        <w:rPr>
          <w:rFonts w:cstheme="minorHAnsi"/>
          <w:b/>
        </w:rPr>
        <w:lastRenderedPageBreak/>
        <w:t>Table 2. Recruitment difficulty: Resources Areas vs All Regions</w:t>
      </w:r>
    </w:p>
    <w:tbl>
      <w:tblPr>
        <w:tblStyle w:val="DEEWRTable"/>
        <w:tblW w:w="9573" w:type="dxa"/>
        <w:tblLayout w:type="fixed"/>
        <w:tblLook w:val="0420" w:firstRow="1" w:lastRow="0" w:firstColumn="0" w:lastColumn="0" w:noHBand="0" w:noVBand="1"/>
      </w:tblPr>
      <w:tblGrid>
        <w:gridCol w:w="3150"/>
        <w:gridCol w:w="1284"/>
        <w:gridCol w:w="1285"/>
        <w:gridCol w:w="1284"/>
        <w:gridCol w:w="1285"/>
        <w:gridCol w:w="1285"/>
      </w:tblGrid>
      <w:tr w:rsidR="000435B3" w:rsidRPr="00F46803" w:rsidTr="00DE56A9">
        <w:trPr>
          <w:cnfStyle w:val="100000000000" w:firstRow="1" w:lastRow="0" w:firstColumn="0" w:lastColumn="0" w:oddVBand="0" w:evenVBand="0" w:oddHBand="0" w:evenHBand="0" w:firstRowFirstColumn="0" w:firstRowLastColumn="0" w:lastRowFirstColumn="0" w:lastRowLastColumn="0"/>
          <w:trHeight w:val="624"/>
        </w:trPr>
        <w:tc>
          <w:tcPr>
            <w:tcW w:w="3150" w:type="dxa"/>
          </w:tcPr>
          <w:p w:rsidR="000435B3" w:rsidRPr="00F46803" w:rsidRDefault="000435B3" w:rsidP="00D74718">
            <w:pPr>
              <w:rPr>
                <w:rFonts w:cstheme="minorHAnsi"/>
                <w:sz w:val="22"/>
              </w:rPr>
            </w:pPr>
          </w:p>
        </w:tc>
        <w:tc>
          <w:tcPr>
            <w:tcW w:w="1284" w:type="dxa"/>
            <w:vAlign w:val="center"/>
          </w:tcPr>
          <w:p w:rsidR="000435B3" w:rsidRPr="00F46803" w:rsidRDefault="000435B3" w:rsidP="00D74718">
            <w:pPr>
              <w:jc w:val="center"/>
              <w:rPr>
                <w:rFonts w:cstheme="minorHAnsi"/>
                <w:b w:val="0"/>
                <w:sz w:val="22"/>
              </w:rPr>
            </w:pPr>
            <w:r w:rsidRPr="00F46803">
              <w:rPr>
                <w:rFonts w:cstheme="minorHAnsi"/>
                <w:sz w:val="22"/>
              </w:rPr>
              <w:t xml:space="preserve">Mt Isa   </w:t>
            </w:r>
            <w:r w:rsidRPr="00F46803">
              <w:rPr>
                <w:rFonts w:cstheme="minorHAnsi"/>
                <w:sz w:val="22"/>
              </w:rPr>
              <w:br/>
              <w:t>(Jun 2011)</w:t>
            </w:r>
          </w:p>
        </w:tc>
        <w:tc>
          <w:tcPr>
            <w:tcW w:w="1285" w:type="dxa"/>
            <w:vAlign w:val="center"/>
          </w:tcPr>
          <w:p w:rsidR="000435B3" w:rsidRPr="00F46803" w:rsidRDefault="000435B3" w:rsidP="00D74718">
            <w:pPr>
              <w:jc w:val="center"/>
              <w:rPr>
                <w:rFonts w:cstheme="minorHAnsi"/>
                <w:b w:val="0"/>
                <w:sz w:val="22"/>
              </w:rPr>
            </w:pPr>
            <w:r w:rsidRPr="00F46803">
              <w:rPr>
                <w:rFonts w:cstheme="minorHAnsi"/>
                <w:sz w:val="22"/>
              </w:rPr>
              <w:t>Gladstone (Nov 2011)</w:t>
            </w:r>
          </w:p>
        </w:tc>
        <w:tc>
          <w:tcPr>
            <w:tcW w:w="1284" w:type="dxa"/>
            <w:vAlign w:val="center"/>
          </w:tcPr>
          <w:p w:rsidR="000435B3" w:rsidRPr="00F46803" w:rsidRDefault="000435B3" w:rsidP="00D74718">
            <w:pPr>
              <w:jc w:val="center"/>
              <w:rPr>
                <w:rFonts w:cstheme="minorHAnsi"/>
                <w:b w:val="0"/>
                <w:sz w:val="22"/>
              </w:rPr>
            </w:pPr>
            <w:r w:rsidRPr="00F46803">
              <w:rPr>
                <w:rFonts w:cstheme="minorHAnsi"/>
                <w:sz w:val="22"/>
              </w:rPr>
              <w:t>Capricornia (Mar 2012)</w:t>
            </w:r>
          </w:p>
        </w:tc>
        <w:tc>
          <w:tcPr>
            <w:tcW w:w="1285" w:type="dxa"/>
            <w:vAlign w:val="center"/>
          </w:tcPr>
          <w:p w:rsidR="000435B3" w:rsidRPr="00F46803" w:rsidRDefault="000435B3" w:rsidP="00D74718">
            <w:pPr>
              <w:jc w:val="center"/>
              <w:rPr>
                <w:rFonts w:cstheme="minorHAnsi"/>
                <w:b w:val="0"/>
                <w:sz w:val="22"/>
              </w:rPr>
            </w:pPr>
            <w:r w:rsidRPr="00F46803">
              <w:rPr>
                <w:rFonts w:cstheme="minorHAnsi"/>
                <w:sz w:val="22"/>
              </w:rPr>
              <w:t>Kimberley (Nov 2012)</w:t>
            </w:r>
          </w:p>
        </w:tc>
        <w:tc>
          <w:tcPr>
            <w:tcW w:w="1285" w:type="dxa"/>
            <w:vAlign w:val="center"/>
          </w:tcPr>
          <w:p w:rsidR="000435B3" w:rsidRPr="00F46803" w:rsidRDefault="000435B3" w:rsidP="00D74718">
            <w:pPr>
              <w:jc w:val="center"/>
              <w:rPr>
                <w:rFonts w:cstheme="minorHAnsi"/>
                <w:b w:val="0"/>
                <w:sz w:val="22"/>
              </w:rPr>
            </w:pPr>
            <w:r w:rsidRPr="00F46803">
              <w:rPr>
                <w:rFonts w:cstheme="minorHAnsi"/>
                <w:sz w:val="22"/>
              </w:rPr>
              <w:t>All Regions (Mar 2013)</w:t>
            </w:r>
          </w:p>
        </w:tc>
      </w:tr>
      <w:tr w:rsidR="000435B3" w:rsidRPr="00F46803" w:rsidTr="00DE56A9">
        <w:trPr>
          <w:trHeight w:val="624"/>
        </w:trPr>
        <w:tc>
          <w:tcPr>
            <w:tcW w:w="3150" w:type="dxa"/>
            <w:vAlign w:val="center"/>
          </w:tcPr>
          <w:p w:rsidR="000435B3" w:rsidRPr="00F46803" w:rsidRDefault="000435B3" w:rsidP="000435B3">
            <w:pPr>
              <w:rPr>
                <w:rFonts w:cstheme="minorHAnsi"/>
                <w:b/>
                <w:sz w:val="22"/>
              </w:rPr>
            </w:pPr>
            <w:r w:rsidRPr="00F46803">
              <w:rPr>
                <w:rFonts w:cstheme="minorHAnsi"/>
                <w:b/>
                <w:sz w:val="22"/>
              </w:rPr>
              <w:t xml:space="preserve">Recruitment difficult </w:t>
            </w:r>
            <w:r w:rsidRPr="00F46803">
              <w:rPr>
                <w:rFonts w:cstheme="minorHAnsi"/>
                <w:b/>
                <w:sz w:val="22"/>
              </w:rPr>
              <w:br/>
            </w:r>
            <w:r w:rsidRPr="00F46803">
              <w:rPr>
                <w:rFonts w:cstheme="minorHAnsi"/>
                <w:sz w:val="22"/>
              </w:rPr>
              <w:t>(% of recruiting employers)</w:t>
            </w:r>
          </w:p>
        </w:tc>
        <w:tc>
          <w:tcPr>
            <w:tcW w:w="1284" w:type="dxa"/>
            <w:vAlign w:val="center"/>
          </w:tcPr>
          <w:p w:rsidR="000435B3" w:rsidRPr="00F46803" w:rsidRDefault="000435B3" w:rsidP="000435B3">
            <w:pPr>
              <w:jc w:val="center"/>
              <w:rPr>
                <w:rFonts w:cstheme="minorHAnsi"/>
                <w:sz w:val="22"/>
              </w:rPr>
            </w:pPr>
            <w:r w:rsidRPr="00F46803">
              <w:rPr>
                <w:rFonts w:cstheme="minorHAnsi"/>
                <w:sz w:val="22"/>
              </w:rPr>
              <w:t>70%</w:t>
            </w:r>
          </w:p>
        </w:tc>
        <w:tc>
          <w:tcPr>
            <w:tcW w:w="1285" w:type="dxa"/>
            <w:vAlign w:val="center"/>
          </w:tcPr>
          <w:p w:rsidR="000435B3" w:rsidRPr="00F46803" w:rsidRDefault="000435B3" w:rsidP="000435B3">
            <w:pPr>
              <w:jc w:val="center"/>
              <w:rPr>
                <w:rFonts w:cstheme="minorHAnsi"/>
                <w:sz w:val="22"/>
              </w:rPr>
            </w:pPr>
            <w:r w:rsidRPr="00F46803">
              <w:rPr>
                <w:rFonts w:cstheme="minorHAnsi"/>
                <w:sz w:val="22"/>
              </w:rPr>
              <w:t>70%</w:t>
            </w:r>
          </w:p>
        </w:tc>
        <w:tc>
          <w:tcPr>
            <w:tcW w:w="1284" w:type="dxa"/>
            <w:vAlign w:val="center"/>
          </w:tcPr>
          <w:p w:rsidR="000435B3" w:rsidRPr="00F46803" w:rsidRDefault="000435B3" w:rsidP="000435B3">
            <w:pPr>
              <w:jc w:val="center"/>
              <w:rPr>
                <w:rFonts w:cstheme="minorHAnsi"/>
                <w:sz w:val="22"/>
              </w:rPr>
            </w:pPr>
            <w:r w:rsidRPr="00F46803">
              <w:rPr>
                <w:rFonts w:cstheme="minorHAnsi"/>
                <w:sz w:val="22"/>
              </w:rPr>
              <w:t>64%</w:t>
            </w:r>
          </w:p>
        </w:tc>
        <w:tc>
          <w:tcPr>
            <w:tcW w:w="1285" w:type="dxa"/>
            <w:vAlign w:val="center"/>
          </w:tcPr>
          <w:p w:rsidR="000435B3" w:rsidRPr="00F46803" w:rsidRDefault="000435B3" w:rsidP="000435B3">
            <w:pPr>
              <w:jc w:val="center"/>
              <w:rPr>
                <w:rFonts w:cstheme="minorHAnsi"/>
                <w:sz w:val="22"/>
              </w:rPr>
            </w:pPr>
            <w:r w:rsidRPr="00F46803">
              <w:rPr>
                <w:rFonts w:cstheme="minorHAnsi"/>
                <w:sz w:val="22"/>
              </w:rPr>
              <w:t>60%</w:t>
            </w:r>
          </w:p>
        </w:tc>
        <w:tc>
          <w:tcPr>
            <w:tcW w:w="1285" w:type="dxa"/>
            <w:vAlign w:val="center"/>
          </w:tcPr>
          <w:p w:rsidR="000435B3" w:rsidRPr="00F46803" w:rsidRDefault="000435B3" w:rsidP="000435B3">
            <w:pPr>
              <w:jc w:val="center"/>
              <w:rPr>
                <w:rFonts w:cstheme="minorHAnsi"/>
                <w:sz w:val="22"/>
              </w:rPr>
            </w:pPr>
            <w:r w:rsidRPr="00F46803">
              <w:rPr>
                <w:rFonts w:cstheme="minorHAnsi"/>
                <w:sz w:val="22"/>
              </w:rPr>
              <w:t>49%</w:t>
            </w:r>
          </w:p>
        </w:tc>
      </w:tr>
      <w:tr w:rsidR="000435B3" w:rsidRPr="00F46803" w:rsidTr="00DE56A9">
        <w:trPr>
          <w:cnfStyle w:val="000000010000" w:firstRow="0" w:lastRow="0" w:firstColumn="0" w:lastColumn="0" w:oddVBand="0" w:evenVBand="0" w:oddHBand="0" w:evenHBand="1" w:firstRowFirstColumn="0" w:firstRowLastColumn="0" w:lastRowFirstColumn="0" w:lastRowLastColumn="0"/>
          <w:trHeight w:val="624"/>
        </w:trPr>
        <w:tc>
          <w:tcPr>
            <w:tcW w:w="3150" w:type="dxa"/>
            <w:vAlign w:val="center"/>
          </w:tcPr>
          <w:p w:rsidR="000435B3" w:rsidRPr="00F46803" w:rsidRDefault="000435B3" w:rsidP="000435B3">
            <w:pPr>
              <w:rPr>
                <w:rFonts w:cstheme="minorHAnsi"/>
                <w:b/>
                <w:sz w:val="22"/>
              </w:rPr>
            </w:pPr>
            <w:r w:rsidRPr="00F46803">
              <w:rPr>
                <w:rFonts w:cstheme="minorHAnsi"/>
                <w:b/>
                <w:sz w:val="22"/>
              </w:rPr>
              <w:t xml:space="preserve">Vacancies unfilled </w:t>
            </w:r>
            <w:r w:rsidRPr="00F46803">
              <w:rPr>
                <w:rFonts w:cstheme="minorHAnsi"/>
                <w:b/>
                <w:sz w:val="22"/>
              </w:rPr>
              <w:br/>
            </w:r>
            <w:r w:rsidRPr="00F46803">
              <w:rPr>
                <w:rFonts w:cstheme="minorHAnsi"/>
                <w:sz w:val="22"/>
              </w:rPr>
              <w:t>(% of recent vacancies)</w:t>
            </w:r>
          </w:p>
        </w:tc>
        <w:tc>
          <w:tcPr>
            <w:tcW w:w="1284" w:type="dxa"/>
            <w:vAlign w:val="center"/>
          </w:tcPr>
          <w:p w:rsidR="000435B3" w:rsidRPr="00F46803" w:rsidRDefault="000435B3" w:rsidP="000435B3">
            <w:pPr>
              <w:jc w:val="center"/>
              <w:rPr>
                <w:rFonts w:cstheme="minorHAnsi"/>
                <w:sz w:val="22"/>
              </w:rPr>
            </w:pPr>
            <w:r w:rsidRPr="00F46803">
              <w:rPr>
                <w:rFonts w:cstheme="minorHAnsi"/>
                <w:sz w:val="22"/>
              </w:rPr>
              <w:t>14.6%</w:t>
            </w:r>
          </w:p>
        </w:tc>
        <w:tc>
          <w:tcPr>
            <w:tcW w:w="1285" w:type="dxa"/>
            <w:vAlign w:val="center"/>
          </w:tcPr>
          <w:p w:rsidR="000435B3" w:rsidRPr="00F46803" w:rsidRDefault="000435B3" w:rsidP="000435B3">
            <w:pPr>
              <w:jc w:val="center"/>
              <w:rPr>
                <w:rFonts w:cstheme="minorHAnsi"/>
                <w:sz w:val="22"/>
              </w:rPr>
            </w:pPr>
            <w:r w:rsidRPr="00F46803">
              <w:rPr>
                <w:rFonts w:cstheme="minorHAnsi"/>
                <w:sz w:val="22"/>
              </w:rPr>
              <w:t>16.9%</w:t>
            </w:r>
          </w:p>
        </w:tc>
        <w:tc>
          <w:tcPr>
            <w:tcW w:w="1284" w:type="dxa"/>
            <w:vAlign w:val="center"/>
          </w:tcPr>
          <w:p w:rsidR="000435B3" w:rsidRPr="00F46803" w:rsidRDefault="000435B3" w:rsidP="000435B3">
            <w:pPr>
              <w:jc w:val="center"/>
              <w:rPr>
                <w:rFonts w:cstheme="minorHAnsi"/>
                <w:sz w:val="22"/>
              </w:rPr>
            </w:pPr>
            <w:r w:rsidRPr="00F46803">
              <w:rPr>
                <w:rFonts w:cstheme="minorHAnsi"/>
                <w:sz w:val="22"/>
              </w:rPr>
              <w:t>12.7%</w:t>
            </w:r>
          </w:p>
        </w:tc>
        <w:tc>
          <w:tcPr>
            <w:tcW w:w="1285" w:type="dxa"/>
            <w:vAlign w:val="center"/>
          </w:tcPr>
          <w:p w:rsidR="000435B3" w:rsidRPr="00F46803" w:rsidRDefault="000435B3" w:rsidP="000435B3">
            <w:pPr>
              <w:jc w:val="center"/>
              <w:rPr>
                <w:rFonts w:cstheme="minorHAnsi"/>
                <w:sz w:val="22"/>
              </w:rPr>
            </w:pPr>
            <w:r w:rsidRPr="00F46803">
              <w:rPr>
                <w:rFonts w:cstheme="minorHAnsi"/>
                <w:sz w:val="22"/>
              </w:rPr>
              <w:t>7.8%</w:t>
            </w:r>
          </w:p>
        </w:tc>
        <w:tc>
          <w:tcPr>
            <w:tcW w:w="1285" w:type="dxa"/>
            <w:vAlign w:val="center"/>
          </w:tcPr>
          <w:p w:rsidR="000435B3" w:rsidRPr="00F46803" w:rsidRDefault="000435B3" w:rsidP="000435B3">
            <w:pPr>
              <w:jc w:val="center"/>
              <w:rPr>
                <w:rFonts w:cstheme="minorHAnsi"/>
                <w:sz w:val="22"/>
              </w:rPr>
            </w:pPr>
            <w:r w:rsidRPr="00F46803">
              <w:rPr>
                <w:rFonts w:cstheme="minorHAnsi"/>
                <w:sz w:val="22"/>
              </w:rPr>
              <w:t>4.3%</w:t>
            </w:r>
          </w:p>
        </w:tc>
      </w:tr>
    </w:tbl>
    <w:p w:rsidR="00DE56A9" w:rsidRPr="00567E37" w:rsidRDefault="00DE56A9" w:rsidP="00DE56A9">
      <w:pPr>
        <w:pStyle w:val="Heading1"/>
        <w:numPr>
          <w:ilvl w:val="0"/>
          <w:numId w:val="18"/>
        </w:numPr>
        <w:ind w:left="426" w:hanging="426"/>
        <w:rPr>
          <w:sz w:val="28"/>
        </w:rPr>
      </w:pPr>
      <w:r>
        <w:rPr>
          <w:sz w:val="28"/>
        </w:rPr>
        <w:t>Many vacancies for Trades Workers and Machinery Opera</w:t>
      </w:r>
      <w:r w:rsidR="009C55D1">
        <w:rPr>
          <w:sz w:val="28"/>
        </w:rPr>
        <w:t>tors and Drivers Unfilled</w:t>
      </w:r>
    </w:p>
    <w:p w:rsidR="002F50D0" w:rsidRPr="00F46803" w:rsidRDefault="002F50D0" w:rsidP="002F50D0">
      <w:pPr>
        <w:spacing w:before="120" w:after="120" w:line="240" w:lineRule="auto"/>
        <w:jc w:val="both"/>
        <w:rPr>
          <w:rFonts w:cstheme="minorHAnsi"/>
        </w:rPr>
      </w:pPr>
      <w:r w:rsidRPr="00F46803">
        <w:rPr>
          <w:rFonts w:cstheme="minorHAnsi"/>
        </w:rPr>
        <w:t xml:space="preserve">In general, employers in resources intensive industries had particular difficulty filling vacancies for Technicians and Trades Workers and Machinery Operators and Drivers. </w:t>
      </w:r>
    </w:p>
    <w:p w:rsidR="002F50D0" w:rsidRPr="00F46803" w:rsidRDefault="002F50D0" w:rsidP="002F50D0">
      <w:pPr>
        <w:spacing w:before="120" w:after="120" w:line="240" w:lineRule="auto"/>
        <w:jc w:val="both"/>
        <w:rPr>
          <w:rFonts w:cstheme="minorHAnsi"/>
        </w:rPr>
      </w:pPr>
      <w:r w:rsidRPr="00F46803">
        <w:rPr>
          <w:rFonts w:cstheme="minorHAnsi"/>
        </w:rPr>
        <w:t>More than one quarter of recent vacancies for Technicians and Trades workers remained unfilled in three of the regions (Mount Isa, Gladstone and Capricornia), well above the all-region average of 7.3 per cent (Figure 1). The unfill rate for Machinery Operators and Drivers vacancies was also more than three times the all-region average in Gladstone, Capricornia and the Kimberley (Figure 2).</w:t>
      </w:r>
    </w:p>
    <w:p w:rsidR="00246FE6" w:rsidRDefault="00246FE6" w:rsidP="00C14C67">
      <w:pPr>
        <w:spacing w:before="120" w:after="120" w:line="240" w:lineRule="auto"/>
        <w:jc w:val="center"/>
        <w:rPr>
          <w:rFonts w:cstheme="minorHAnsi"/>
          <w:sz w:val="24"/>
        </w:rPr>
        <w:sectPr w:rsidR="00246FE6" w:rsidSect="00B24D1A">
          <w:type w:val="continuous"/>
          <w:pgSz w:w="11906" w:h="16838"/>
          <w:pgMar w:top="1392" w:right="1440" w:bottom="1440" w:left="1440" w:header="708" w:footer="708" w:gutter="0"/>
          <w:cols w:space="708"/>
          <w:docGrid w:linePitch="360"/>
        </w:sectPr>
      </w:pPr>
    </w:p>
    <w:p w:rsidR="00C14C67" w:rsidRDefault="00C14C67" w:rsidP="00C14C67">
      <w:pPr>
        <w:spacing w:before="120" w:after="120" w:line="240" w:lineRule="auto"/>
        <w:jc w:val="center"/>
        <w:rPr>
          <w:rFonts w:cstheme="minorHAnsi"/>
          <w:sz w:val="24"/>
        </w:rPr>
      </w:pPr>
    </w:p>
    <w:p w:rsidR="00C14C67" w:rsidRDefault="00C14C67" w:rsidP="00C14C67">
      <w:pPr>
        <w:spacing w:before="120" w:after="120" w:line="240" w:lineRule="auto"/>
        <w:rPr>
          <w:rFonts w:cstheme="minorHAnsi"/>
          <w:sz w:val="24"/>
        </w:rPr>
        <w:sectPr w:rsidR="00C14C67" w:rsidSect="00246FE6">
          <w:type w:val="continuous"/>
          <w:pgSz w:w="11906" w:h="16838"/>
          <w:pgMar w:top="1392" w:right="1440" w:bottom="1440" w:left="1440" w:header="708" w:footer="708" w:gutter="0"/>
          <w:cols w:num="2" w:space="708"/>
          <w:docGrid w:linePitch="360"/>
        </w:sectPr>
      </w:pPr>
    </w:p>
    <w:p w:rsidR="00C14C67" w:rsidRPr="00F46803" w:rsidRDefault="00C14C67" w:rsidP="00C14C67">
      <w:pPr>
        <w:spacing w:before="120" w:after="120" w:line="240" w:lineRule="auto"/>
        <w:jc w:val="center"/>
        <w:rPr>
          <w:rFonts w:cstheme="minorHAnsi"/>
          <w:b/>
        </w:rPr>
      </w:pPr>
      <w:r w:rsidRPr="00F46803">
        <w:rPr>
          <w:rFonts w:cstheme="minorHAnsi"/>
          <w:b/>
        </w:rPr>
        <w:lastRenderedPageBreak/>
        <w:t xml:space="preserve">Figure 1. % of Unfilled Vacancies: </w:t>
      </w:r>
      <w:r w:rsidRPr="00F46803">
        <w:rPr>
          <w:rFonts w:cstheme="minorHAnsi"/>
          <w:b/>
        </w:rPr>
        <w:br/>
        <w:t>Technicians and Trades Workers</w:t>
      </w:r>
    </w:p>
    <w:p w:rsidR="00C14C67" w:rsidRPr="00F46803" w:rsidRDefault="00246FE6" w:rsidP="00246FE6">
      <w:pPr>
        <w:jc w:val="center"/>
        <w:rPr>
          <w:b/>
          <w:noProof/>
        </w:rPr>
        <w:sectPr w:rsidR="00C14C67" w:rsidRPr="00F46803" w:rsidSect="00246FE6">
          <w:type w:val="continuous"/>
          <w:pgSz w:w="11906" w:h="16838"/>
          <w:pgMar w:top="1392" w:right="1440" w:bottom="1440" w:left="1440" w:header="708" w:footer="708" w:gutter="0"/>
          <w:cols w:num="2" w:space="708"/>
          <w:docGrid w:linePitch="360"/>
        </w:sectPr>
      </w:pPr>
      <w:r w:rsidRPr="00F46803">
        <w:rPr>
          <w:b/>
          <w:noProof/>
        </w:rPr>
        <w:lastRenderedPageBreak/>
        <w:t>Figure 2. % of Unfilled Vacancies:</w:t>
      </w:r>
      <w:r w:rsidRPr="00F46803">
        <w:rPr>
          <w:b/>
          <w:noProof/>
        </w:rPr>
        <w:br/>
        <w:t>Machinery Operators and Drivers</w:t>
      </w:r>
    </w:p>
    <w:p w:rsidR="00BA73C7" w:rsidRDefault="00C14C67" w:rsidP="009B2428">
      <w:pPr>
        <w:rPr>
          <w:noProof/>
        </w:rPr>
      </w:pPr>
      <w:r>
        <w:rPr>
          <w:noProof/>
          <w:lang w:eastAsia="en-AU"/>
        </w:rPr>
        <w:lastRenderedPageBreak/>
        <w:drawing>
          <wp:inline distT="0" distB="0" distL="0" distR="0" wp14:anchorId="36495CFB" wp14:editId="3780E040">
            <wp:extent cx="2960981" cy="218364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033" cy="2191053"/>
                    </a:xfrm>
                    <a:prstGeom prst="rect">
                      <a:avLst/>
                    </a:prstGeom>
                    <a:noFill/>
                  </pic:spPr>
                </pic:pic>
              </a:graphicData>
            </a:graphic>
          </wp:inline>
        </w:drawing>
      </w:r>
    </w:p>
    <w:p w:rsidR="00BA73C7" w:rsidRDefault="00246FE6" w:rsidP="009B2428">
      <w:pPr>
        <w:rPr>
          <w:noProof/>
        </w:rPr>
      </w:pPr>
      <w:r>
        <w:rPr>
          <w:noProof/>
          <w:lang w:eastAsia="en-AU"/>
        </w:rPr>
        <w:lastRenderedPageBreak/>
        <w:drawing>
          <wp:inline distT="0" distB="0" distL="0" distR="0" wp14:anchorId="0692A393" wp14:editId="4299EECE">
            <wp:extent cx="2945281" cy="218122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4228" cy="2187851"/>
                    </a:xfrm>
                    <a:prstGeom prst="rect">
                      <a:avLst/>
                    </a:prstGeom>
                    <a:noFill/>
                  </pic:spPr>
                </pic:pic>
              </a:graphicData>
            </a:graphic>
          </wp:inline>
        </w:drawing>
      </w:r>
    </w:p>
    <w:p w:rsidR="00246FE6" w:rsidRDefault="00246FE6" w:rsidP="009B2428">
      <w:pPr>
        <w:rPr>
          <w:noProof/>
        </w:rPr>
        <w:sectPr w:rsidR="00246FE6" w:rsidSect="00246FE6">
          <w:type w:val="continuous"/>
          <w:pgSz w:w="11906" w:h="16838"/>
          <w:pgMar w:top="1392" w:right="1440" w:bottom="1440" w:left="1440" w:header="708" w:footer="708" w:gutter="0"/>
          <w:cols w:num="2" w:space="708"/>
          <w:docGrid w:linePitch="360"/>
        </w:sectPr>
      </w:pPr>
    </w:p>
    <w:p w:rsidR="00897949" w:rsidRDefault="00897949" w:rsidP="00897949">
      <w:pPr>
        <w:rPr>
          <w:rFonts w:cstheme="minorHAnsi"/>
          <w:b/>
          <w:szCs w:val="21"/>
        </w:rPr>
      </w:pPr>
    </w:p>
    <w:p w:rsidR="00246FE6" w:rsidRPr="00F46803" w:rsidRDefault="00246FE6" w:rsidP="00897949">
      <w:pPr>
        <w:shd w:val="clear" w:color="auto" w:fill="D9E6DA"/>
        <w:rPr>
          <w:rFonts w:cstheme="minorHAnsi"/>
          <w:b/>
        </w:rPr>
      </w:pPr>
      <w:r w:rsidRPr="00F46803">
        <w:rPr>
          <w:rFonts w:cstheme="minorHAnsi"/>
          <w:b/>
        </w:rPr>
        <w:t>FOR FURTHER INFORMATION ON EMPLOYER SURVEYS:</w:t>
      </w:r>
    </w:p>
    <w:p w:rsidR="00246FE6" w:rsidRPr="00F46803" w:rsidRDefault="00246FE6" w:rsidP="00897949">
      <w:pPr>
        <w:shd w:val="clear" w:color="auto" w:fill="D9E6DA"/>
        <w:tabs>
          <w:tab w:val="left" w:pos="8010"/>
        </w:tabs>
        <w:rPr>
          <w:rFonts w:cstheme="minorHAnsi"/>
        </w:rPr>
      </w:pPr>
      <w:r w:rsidRPr="00F46803">
        <w:rPr>
          <w:rFonts w:cstheme="minorHAnsi"/>
          <w:b/>
        </w:rPr>
        <w:t>Survey of Employers’ Recruitment Experiences</w:t>
      </w:r>
      <w:r w:rsidRPr="00F46803">
        <w:rPr>
          <w:rFonts w:cstheme="minorHAnsi"/>
        </w:rPr>
        <w:t>: www.deewr.gov.au/regionalreports</w:t>
      </w:r>
      <w:r w:rsidRPr="00F46803">
        <w:rPr>
          <w:rFonts w:cstheme="minorHAnsi"/>
        </w:rPr>
        <w:tab/>
      </w:r>
    </w:p>
    <w:p w:rsidR="00246FE6" w:rsidRPr="00F46803" w:rsidRDefault="00246FE6" w:rsidP="00897949">
      <w:pPr>
        <w:shd w:val="clear" w:color="auto" w:fill="D9E6DA"/>
        <w:rPr>
          <w:rFonts w:cstheme="minorHAnsi"/>
        </w:rPr>
      </w:pPr>
      <w:r w:rsidRPr="00F46803">
        <w:rPr>
          <w:rFonts w:cstheme="minorHAnsi"/>
        </w:rPr>
        <w:t xml:space="preserve">Or contact the </w:t>
      </w:r>
      <w:r w:rsidRPr="00F46803">
        <w:rPr>
          <w:rFonts w:cstheme="minorHAnsi"/>
          <w:b/>
        </w:rPr>
        <w:t>Regional and Industry Employer Surveys Section</w:t>
      </w:r>
      <w:r w:rsidRPr="00F46803">
        <w:rPr>
          <w:rFonts w:cstheme="minorHAnsi"/>
        </w:rPr>
        <w:t xml:space="preserve"> on 1800 059 439 or email recruitmentsurveys@deewr.gov.au.</w:t>
      </w:r>
    </w:p>
    <w:sectPr w:rsidR="00246FE6" w:rsidRPr="00F46803" w:rsidSect="00B24D1A">
      <w:type w:val="continuous"/>
      <w:pgSz w:w="11906" w:h="16838"/>
      <w:pgMar w:top="139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8" w:rsidRDefault="007349C8" w:rsidP="007349C8">
      <w:pPr>
        <w:spacing w:after="0" w:line="240" w:lineRule="auto"/>
      </w:pPr>
      <w:r>
        <w:separator/>
      </w:r>
    </w:p>
  </w:endnote>
  <w:endnote w:type="continuationSeparator" w:id="0">
    <w:p w:rsidR="007349C8" w:rsidRDefault="007349C8" w:rsidP="007349C8">
      <w:pPr>
        <w:spacing w:after="0" w:line="240" w:lineRule="auto"/>
      </w:pPr>
      <w:r>
        <w:continuationSeparator/>
      </w:r>
    </w:p>
  </w:endnote>
  <w:endnote w:id="1">
    <w:p w:rsidR="00567E37" w:rsidRPr="00897949" w:rsidRDefault="00567E37" w:rsidP="00567E37">
      <w:pPr>
        <w:pStyle w:val="EndnoteText"/>
        <w:rPr>
          <w:rFonts w:asciiTheme="minorHAnsi" w:hAnsiTheme="minorHAnsi" w:cstheme="minorHAnsi"/>
        </w:rPr>
      </w:pPr>
      <w:r w:rsidRPr="00897949">
        <w:rPr>
          <w:rStyle w:val="EndnoteReference"/>
          <w:rFonts w:asciiTheme="minorHAnsi" w:eastAsiaTheme="majorEastAsia" w:hAnsiTheme="minorHAnsi" w:cstheme="minorHAnsi"/>
        </w:rPr>
        <w:endnoteRef/>
      </w:r>
      <w:r w:rsidRPr="00897949">
        <w:rPr>
          <w:rFonts w:asciiTheme="minorHAnsi" w:hAnsiTheme="minorHAnsi" w:cstheme="minorHAnsi"/>
        </w:rPr>
        <w:t xml:space="preserve"> In the 12 months to March 2013, 26 regions were surveyed. The majority of regions surveyed were Priority Employment Areas so the data for this period may be more representative of disadvantaged labour markets than of the Australian labour market in general.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C8" w:rsidRDefault="007349C8">
    <w:pPr>
      <w:pStyle w:val="Footer"/>
    </w:pPr>
    <w:r>
      <w:rPr>
        <w:noProof/>
        <w:lang w:eastAsia="en-AU"/>
      </w:rPr>
      <w:drawing>
        <wp:anchor distT="0" distB="0" distL="114300" distR="114300" simplePos="0" relativeHeight="251659264" behindDoc="1" locked="0" layoutInCell="1" allowOverlap="1" wp14:anchorId="1D5C2C84" wp14:editId="74247B3F">
          <wp:simplePos x="0" y="0"/>
          <wp:positionH relativeFrom="column">
            <wp:posOffset>4403750</wp:posOffset>
          </wp:positionH>
          <wp:positionV relativeFrom="paragraph">
            <wp:posOffset>-86487</wp:posOffset>
          </wp:positionV>
          <wp:extent cx="1550823" cy="397717"/>
          <wp:effectExtent l="0" t="0" r="0" b="2540"/>
          <wp:wrapNone/>
          <wp:docPr id="1"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sign Team\Work in Progress\Rob P\A12-0385 EMPGEN Emp. Services Contract Mgt Bulletin\Links\SteppingStone_Transparent.png"/>
                  <pic:cNvPicPr>
                    <a:picLocks noChangeAspect="1" noChangeArrowheads="1"/>
                  </pic:cNvPicPr>
                </pic:nvPicPr>
                <pic:blipFill>
                  <a:blip r:embed="rId1" cstate="print"/>
                  <a:srcRect/>
                  <a:stretch>
                    <a:fillRect/>
                  </a:stretch>
                </pic:blipFill>
                <pic:spPr bwMode="auto">
                  <a:xfrm>
                    <a:off x="0" y="0"/>
                    <a:ext cx="1554635" cy="398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8" w:rsidRDefault="007349C8" w:rsidP="007349C8">
      <w:pPr>
        <w:spacing w:after="0" w:line="240" w:lineRule="auto"/>
      </w:pPr>
      <w:r>
        <w:separator/>
      </w:r>
    </w:p>
  </w:footnote>
  <w:footnote w:type="continuationSeparator" w:id="0">
    <w:p w:rsidR="007349C8" w:rsidRDefault="007349C8" w:rsidP="00734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4664350B"/>
    <w:multiLevelType w:val="hybridMultilevel"/>
    <w:tmpl w:val="7F926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9"/>
    <w:rsid w:val="00002721"/>
    <w:rsid w:val="0000476F"/>
    <w:rsid w:val="00023DBF"/>
    <w:rsid w:val="00024E24"/>
    <w:rsid w:val="000435B3"/>
    <w:rsid w:val="00085821"/>
    <w:rsid w:val="000861A6"/>
    <w:rsid w:val="000F3BA2"/>
    <w:rsid w:val="001175BF"/>
    <w:rsid w:val="00143FCD"/>
    <w:rsid w:val="001B6467"/>
    <w:rsid w:val="00223EB1"/>
    <w:rsid w:val="00236917"/>
    <w:rsid w:val="00246FE6"/>
    <w:rsid w:val="00272D7B"/>
    <w:rsid w:val="002B06E6"/>
    <w:rsid w:val="002D271F"/>
    <w:rsid w:val="002D6386"/>
    <w:rsid w:val="002F50D0"/>
    <w:rsid w:val="00305B35"/>
    <w:rsid w:val="003866A2"/>
    <w:rsid w:val="00406E5A"/>
    <w:rsid w:val="00420A50"/>
    <w:rsid w:val="00455B34"/>
    <w:rsid w:val="004B256F"/>
    <w:rsid w:val="00531817"/>
    <w:rsid w:val="005624F3"/>
    <w:rsid w:val="00567E37"/>
    <w:rsid w:val="005811EF"/>
    <w:rsid w:val="005B0878"/>
    <w:rsid w:val="006015B0"/>
    <w:rsid w:val="00610654"/>
    <w:rsid w:val="007349C8"/>
    <w:rsid w:val="00792CA3"/>
    <w:rsid w:val="007B2C34"/>
    <w:rsid w:val="007B2FDD"/>
    <w:rsid w:val="0083468A"/>
    <w:rsid w:val="00842D43"/>
    <w:rsid w:val="00897949"/>
    <w:rsid w:val="009116EA"/>
    <w:rsid w:val="00933671"/>
    <w:rsid w:val="00984879"/>
    <w:rsid w:val="00985632"/>
    <w:rsid w:val="00991B63"/>
    <w:rsid w:val="009B2428"/>
    <w:rsid w:val="009B5CB7"/>
    <w:rsid w:val="009C55D1"/>
    <w:rsid w:val="009E5F23"/>
    <w:rsid w:val="00A2425D"/>
    <w:rsid w:val="00A31242"/>
    <w:rsid w:val="00A52530"/>
    <w:rsid w:val="00AC65DA"/>
    <w:rsid w:val="00B24D1A"/>
    <w:rsid w:val="00BA73C7"/>
    <w:rsid w:val="00C05E74"/>
    <w:rsid w:val="00C10C19"/>
    <w:rsid w:val="00C14C67"/>
    <w:rsid w:val="00C5649C"/>
    <w:rsid w:val="00C8202C"/>
    <w:rsid w:val="00C92A5B"/>
    <w:rsid w:val="00CA46EC"/>
    <w:rsid w:val="00D1394D"/>
    <w:rsid w:val="00D903FD"/>
    <w:rsid w:val="00D96C08"/>
    <w:rsid w:val="00DE56A9"/>
    <w:rsid w:val="00E87F96"/>
    <w:rsid w:val="00E90FDD"/>
    <w:rsid w:val="00ED3CCF"/>
    <w:rsid w:val="00ED43D2"/>
    <w:rsid w:val="00EE3B8C"/>
    <w:rsid w:val="00F46803"/>
    <w:rsid w:val="00F75DC3"/>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EndnoteText">
    <w:name w:val="endnote text"/>
    <w:basedOn w:val="Normal"/>
    <w:link w:val="EndnoteTextChar"/>
    <w:uiPriority w:val="99"/>
    <w:semiHidden/>
    <w:unhideWhenUsed/>
    <w:rsid w:val="00567E37"/>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uiPriority w:val="99"/>
    <w:semiHidden/>
    <w:rsid w:val="00567E37"/>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567E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EndnoteText">
    <w:name w:val="endnote text"/>
    <w:basedOn w:val="Normal"/>
    <w:link w:val="EndnoteTextChar"/>
    <w:uiPriority w:val="99"/>
    <w:semiHidden/>
    <w:unhideWhenUsed/>
    <w:rsid w:val="00567E37"/>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uiPriority w:val="99"/>
    <w:semiHidden/>
    <w:rsid w:val="00567E37"/>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567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CB358-8239-497E-87F7-895A81012E04}"/>
</file>

<file path=customXml/itemProps2.xml><?xml version="1.0" encoding="utf-8"?>
<ds:datastoreItem xmlns:ds="http://schemas.openxmlformats.org/officeDocument/2006/customXml" ds:itemID="{AB10658E-9B33-4EF7-96F5-12AB6FE355FC}"/>
</file>

<file path=customXml/itemProps3.xml><?xml version="1.0" encoding="utf-8"?>
<ds:datastoreItem xmlns:ds="http://schemas.openxmlformats.org/officeDocument/2006/customXml" ds:itemID="{E727AE5D-31C7-4D2D-A785-D7E67F0465A7}"/>
</file>

<file path=customXml/itemProps4.xml><?xml version="1.0" encoding="utf-8"?>
<ds:datastoreItem xmlns:ds="http://schemas.openxmlformats.org/officeDocument/2006/customXml" ds:itemID="{FF548665-9FD3-4829-922C-BE94D02F18B8}"/>
</file>

<file path=docProps/app.xml><?xml version="1.0" encoding="utf-8"?>
<Properties xmlns="http://schemas.openxmlformats.org/officeDocument/2006/extended-properties" xmlns:vt="http://schemas.openxmlformats.org/officeDocument/2006/docPropsVTypes">
  <Template>820D8959.dotm</Template>
  <TotalTime>52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Scott Lee</cp:lastModifiedBy>
  <cp:revision>7</cp:revision>
  <cp:lastPrinted>2013-07-05T05:58:00Z</cp:lastPrinted>
  <dcterms:created xsi:type="dcterms:W3CDTF">2013-07-05T04:18:00Z</dcterms:created>
  <dcterms:modified xsi:type="dcterms:W3CDTF">2013-07-08T06:48:00Z</dcterms:modified>
</cp:coreProperties>
</file>