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B381" w14:textId="77777777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10D0EC70" wp14:editId="1DA1AB53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AF572" wp14:editId="1E5D3CC8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56E6" w14:textId="77777777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973AC5F" w14:textId="50D69196" w:rsidR="00387E12" w:rsidRPr="00E866CE" w:rsidRDefault="00670054" w:rsidP="00E866CE">
      <w:pPr>
        <w:pStyle w:val="Title"/>
      </w:pPr>
      <w:r>
        <w:t>Post</w:t>
      </w:r>
      <w:r w:rsidR="5F2475D2">
        <w:t xml:space="preserve"> </w:t>
      </w:r>
      <w:r>
        <w:t>Program Monitoring</w:t>
      </w:r>
      <w:r w:rsidR="22227DC1">
        <w:t xml:space="preserve"> </w:t>
      </w:r>
      <w:r w:rsidR="00387E12">
        <w:t>Survey Methodology</w:t>
      </w:r>
    </w:p>
    <w:p w14:paraId="240ADBDA" w14:textId="13540832" w:rsidR="004001A5" w:rsidRDefault="004001A5" w:rsidP="006B065A">
      <w:pPr>
        <w:pStyle w:val="Heading2"/>
      </w:pPr>
      <w:r>
        <w:t xml:space="preserve">Purpose </w:t>
      </w:r>
    </w:p>
    <w:p w14:paraId="14E83C8F" w14:textId="3063BA73" w:rsidR="004001A5" w:rsidRDefault="6F348334" w:rsidP="004001A5">
      <w:pPr>
        <w:spacing w:after="160" w:line="259" w:lineRule="auto"/>
      </w:pPr>
      <w:r>
        <w:t>Post</w:t>
      </w:r>
      <w:r w:rsidR="7F8A168B">
        <w:t xml:space="preserve"> </w:t>
      </w:r>
      <w:r>
        <w:t>Program Monitoring (PPM) surveys assess the experiences and outcomes of participants who are engaged with or were engaged with various elements of employment services.</w:t>
      </w:r>
    </w:p>
    <w:p w14:paraId="5A37C9B1" w14:textId="7EA771F7" w:rsidR="004001A5" w:rsidRPr="00052BDF" w:rsidRDefault="004001A5" w:rsidP="00052BDF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14"/>
          <w:szCs w:val="14"/>
        </w:rPr>
      </w:pPr>
      <w:r w:rsidRPr="00052BDF">
        <w:rPr>
          <w:rFonts w:cstheme="minorHAnsi"/>
          <w:shd w:val="clear" w:color="auto" w:fill="FFFFFF"/>
        </w:rPr>
        <w:t>The Labour Force Survey provides information on the employment and education status of participants.</w:t>
      </w:r>
    </w:p>
    <w:p w14:paraId="76758CEE" w14:textId="0804FC3B" w:rsidR="004001A5" w:rsidRPr="00052BDF" w:rsidRDefault="004001A5" w:rsidP="00052BDF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14"/>
          <w:szCs w:val="14"/>
        </w:rPr>
      </w:pPr>
      <w:r w:rsidRPr="00052BDF">
        <w:rPr>
          <w:rFonts w:cstheme="minorHAnsi"/>
        </w:rPr>
        <w:t>The Quality and Progress Survey provides information on participant satisfaction with their service provider and their progress to employment.</w:t>
      </w:r>
    </w:p>
    <w:p w14:paraId="2B32FF6E" w14:textId="388366C8" w:rsidR="006B065A" w:rsidRPr="006B065A" w:rsidRDefault="0099275B" w:rsidP="006B065A">
      <w:pPr>
        <w:pStyle w:val="Heading2"/>
      </w:pPr>
      <w:r>
        <w:t>Population</w:t>
      </w:r>
    </w:p>
    <w:p w14:paraId="3F476272" w14:textId="429C4D61" w:rsidR="0099275B" w:rsidRDefault="00645240" w:rsidP="0099275B">
      <w:r>
        <w:t>Each survey has a different target population of Workforce Australia participants, depending on its purpose.</w:t>
      </w:r>
      <w:r w:rsidR="0099275B">
        <w:t xml:space="preserve"> </w:t>
      </w:r>
      <w:r w:rsidR="006D1985">
        <w:t>T</w:t>
      </w:r>
      <w:r w:rsidR="0099275B">
        <w:t xml:space="preserve">he Labour Force Survey collects employment information </w:t>
      </w:r>
      <w:r>
        <w:t>for participants</w:t>
      </w:r>
      <w:r w:rsidR="0099275B">
        <w:t xml:space="preserve"> </w:t>
      </w:r>
      <w:r>
        <w:t>in</w:t>
      </w:r>
      <w:r w:rsidR="0099275B">
        <w:t xml:space="preserve"> Workforce Australia Online, Workforce Australia Services and Transition to Work. </w:t>
      </w:r>
      <w:r w:rsidR="006D1985">
        <w:t>T</w:t>
      </w:r>
      <w:r w:rsidR="0099275B">
        <w:t xml:space="preserve">he Quality and Progress Survey </w:t>
      </w:r>
      <w:r>
        <w:t xml:space="preserve">collects information about participant satisfaction with services received </w:t>
      </w:r>
      <w:r w:rsidR="00C545AC">
        <w:t xml:space="preserve">and </w:t>
      </w:r>
      <w:r>
        <w:t>their progress to employment</w:t>
      </w:r>
      <w:r w:rsidR="00C545AC">
        <w:t xml:space="preserve"> in Workforce Australia Services and Transition to Work. </w:t>
      </w:r>
      <w:r>
        <w:t xml:space="preserve"> </w:t>
      </w:r>
    </w:p>
    <w:p w14:paraId="03F3A49A" w14:textId="510E63BA" w:rsidR="0099275B" w:rsidRPr="0092198D" w:rsidRDefault="0099275B" w:rsidP="0092198D">
      <w:pPr>
        <w:pStyle w:val="Heading2"/>
      </w:pPr>
      <w:r>
        <w:t>Sampling</w:t>
      </w:r>
    </w:p>
    <w:p w14:paraId="61AB861C" w14:textId="15ECB6D8" w:rsidR="0099275B" w:rsidRDefault="0099275B" w:rsidP="0099275B">
      <w:r>
        <w:t>PPM surveys use stratified random sampling. The survey population is first divided into groups defined by certain attribute</w:t>
      </w:r>
      <w:r w:rsidR="00645240">
        <w:t>s</w:t>
      </w:r>
      <w:r>
        <w:t xml:space="preserve"> during sample selection</w:t>
      </w:r>
      <w:r w:rsidR="00645240">
        <w:t xml:space="preserve"> </w:t>
      </w:r>
      <w:r>
        <w:t xml:space="preserve">and then a random sample of participants are </w:t>
      </w:r>
      <w:r w:rsidR="00645240">
        <w:t>invited to participate in the survey</w:t>
      </w:r>
      <w:r>
        <w:t xml:space="preserve">. </w:t>
      </w:r>
      <w:r w:rsidR="00C545AC">
        <w:t>The number of people invited to participate is calculated to ensure that the number of responses received is reliable for</w:t>
      </w:r>
      <w:r w:rsidR="00292844">
        <w:t xml:space="preserve"> reporting purposes</w:t>
      </w:r>
      <w:r w:rsidR="00C545AC">
        <w:t xml:space="preserve">. </w:t>
      </w:r>
      <w:r w:rsidR="2102F866">
        <w:t xml:space="preserve">This includes </w:t>
      </w:r>
      <w:r w:rsidR="4D3ABEBD">
        <w:t>oversampling</w:t>
      </w:r>
      <w:r w:rsidR="7B6C084C">
        <w:t xml:space="preserve"> – </w:t>
      </w:r>
      <w:r w:rsidR="0BD2FC6B">
        <w:t>sending</w:t>
      </w:r>
      <w:r w:rsidR="7B6C084C">
        <w:t xml:space="preserve"> </w:t>
      </w:r>
      <w:r w:rsidR="2102F866">
        <w:t xml:space="preserve">more invitations to cohorts </w:t>
      </w:r>
      <w:r w:rsidR="7019B24F">
        <w:t>that have low</w:t>
      </w:r>
      <w:r w:rsidR="639AF0A8">
        <w:t>er</w:t>
      </w:r>
      <w:r w:rsidR="7019B24F">
        <w:t xml:space="preserve"> response rates</w:t>
      </w:r>
      <w:r w:rsidR="31FEBAB2">
        <w:t>.</w:t>
      </w:r>
      <w:r w:rsidR="7019B24F">
        <w:t xml:space="preserve"> </w:t>
      </w:r>
      <w:r>
        <w:t xml:space="preserve">Stratification </w:t>
      </w:r>
      <w:r w:rsidR="034ADDAD">
        <w:t xml:space="preserve">and oversampling </w:t>
      </w:r>
      <w:r>
        <w:t>allows the sample and subsequent results to be more representative of the survey population</w:t>
      </w:r>
      <w:r w:rsidR="00645240">
        <w:t>,</w:t>
      </w:r>
      <w:r>
        <w:t xml:space="preserve"> while random sampling ensures participants are fairly chosen to participate.</w:t>
      </w:r>
      <w:r w:rsidR="00C545AC">
        <w:t xml:space="preserve"> </w:t>
      </w:r>
    </w:p>
    <w:p w14:paraId="3BD7E2A3" w14:textId="4D33DF37" w:rsidR="00AC57FC" w:rsidRDefault="15DFC3B4" w:rsidP="006D7722">
      <w:r>
        <w:t xml:space="preserve">Different surveys have different </w:t>
      </w:r>
      <w:r w:rsidR="3367108E">
        <w:t>strata</w:t>
      </w:r>
      <w:r>
        <w:t xml:space="preserve">. These </w:t>
      </w:r>
      <w:r w:rsidR="3367108E">
        <w:t>can include, but are not limited to</w:t>
      </w:r>
      <w:r w:rsidR="68C78479">
        <w:t xml:space="preserve">, </w:t>
      </w:r>
      <w:r w:rsidR="7D0E1390">
        <w:t xml:space="preserve">the employment </w:t>
      </w:r>
      <w:r w:rsidR="7B367B2C">
        <w:t xml:space="preserve">services </w:t>
      </w:r>
      <w:r w:rsidR="7D0E1390">
        <w:t>program participants are participating in</w:t>
      </w:r>
      <w:r w:rsidR="68C78479">
        <w:t xml:space="preserve">, </w:t>
      </w:r>
      <w:r w:rsidR="152FF8D2">
        <w:t>the licen</w:t>
      </w:r>
      <w:r w:rsidR="2597FD74">
        <w:t>c</w:t>
      </w:r>
      <w:r w:rsidR="152FF8D2">
        <w:t>e of the service provider participants are working with</w:t>
      </w:r>
      <w:r w:rsidR="68C78479">
        <w:t xml:space="preserve">, and </w:t>
      </w:r>
      <w:r w:rsidR="00AF7D82">
        <w:t xml:space="preserve">whether </w:t>
      </w:r>
      <w:r>
        <w:t>participant</w:t>
      </w:r>
      <w:r w:rsidR="00AF7D82">
        <w:t xml:space="preserve">s </w:t>
      </w:r>
      <w:r w:rsidR="00B82640">
        <w:t>have exited their employment service program</w:t>
      </w:r>
      <w:r>
        <w:t>.</w:t>
      </w:r>
      <w:r w:rsidR="00AC57FC">
        <w:br w:type="page"/>
      </w:r>
    </w:p>
    <w:p w14:paraId="3C34B8B3" w14:textId="744223D6" w:rsidR="00387E12" w:rsidRDefault="006D7722" w:rsidP="006D7722">
      <w:r>
        <w:lastRenderedPageBreak/>
        <w:t>P</w:t>
      </w:r>
      <w:r w:rsidR="00387E12">
        <w:t xml:space="preserve">articipants </w:t>
      </w:r>
      <w:r w:rsidR="00645240">
        <w:t>are</w:t>
      </w:r>
      <w:r w:rsidR="00387E12">
        <w:t xml:space="preserve"> excluded from the sample if they meet any of the following conditions:</w:t>
      </w:r>
    </w:p>
    <w:p w14:paraId="4D9E7EDF" w14:textId="4F56212D" w:rsidR="00387E12" w:rsidRPr="0092198D" w:rsidRDefault="00387E12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been selected for a PPM survey or similar research activity in the</w:t>
      </w:r>
      <w:r w:rsidR="00766C22" w:rsidRPr="0092198D">
        <w:t xml:space="preserve"> past</w:t>
      </w:r>
      <w:r w:rsidRPr="0092198D">
        <w:t xml:space="preserve"> 91 days.</w:t>
      </w:r>
    </w:p>
    <w:p w14:paraId="547614AA" w14:textId="341F548A" w:rsidR="00387E12" w:rsidRPr="0092198D" w:rsidRDefault="00387E12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 xml:space="preserve">They have responded to the same PPM survey in the past </w:t>
      </w:r>
      <w:r w:rsidR="00903FEA" w:rsidRPr="0092198D">
        <w:t>365 days</w:t>
      </w:r>
      <w:r w:rsidRPr="0092198D">
        <w:t>.</w:t>
      </w:r>
    </w:p>
    <w:p w14:paraId="5103ADED" w14:textId="48C7A0DD" w:rsidR="00387E12" w:rsidRPr="0092198D" w:rsidRDefault="61475725" w:rsidP="0092198D">
      <w:pPr>
        <w:pStyle w:val="ListParagraph"/>
        <w:numPr>
          <w:ilvl w:val="0"/>
          <w:numId w:val="14"/>
        </w:numPr>
        <w:spacing w:after="160" w:line="276" w:lineRule="auto"/>
      </w:pPr>
      <w:r>
        <w:t>They have a permanent exclusion; for example</w:t>
      </w:r>
      <w:r w:rsidR="11297620">
        <w:t>,</w:t>
      </w:r>
      <w:r>
        <w:t xml:space="preserve"> they have asked to be excluded from surveys.</w:t>
      </w:r>
    </w:p>
    <w:p w14:paraId="27F0757F" w14:textId="77C3506D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an administration exclusion; for example, they are currently overseas.</w:t>
      </w:r>
    </w:p>
    <w:p w14:paraId="3B65096D" w14:textId="3BCA2321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were located in a contingency area with paused mutual obligations during the survey sample selection.</w:t>
      </w:r>
    </w:p>
    <w:p w14:paraId="0D93996C" w14:textId="75DFC337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an invalid point of contact</w:t>
      </w:r>
      <w:r w:rsidR="0092198D" w:rsidRPr="0092198D">
        <w:t xml:space="preserve">; for example, they don’t have </w:t>
      </w:r>
      <w:r w:rsidRPr="0092198D">
        <w:t>a valid or deliverable email address</w:t>
      </w:r>
      <w:r w:rsidR="0092198D" w:rsidRPr="0092198D">
        <w:t>.</w:t>
      </w:r>
    </w:p>
    <w:p w14:paraId="153433B8" w14:textId="77777777" w:rsidR="00387E12" w:rsidRDefault="00387E12" w:rsidP="00387E12">
      <w:pPr>
        <w:pStyle w:val="Heading2"/>
      </w:pPr>
      <w:r>
        <w:t>Weighting</w:t>
      </w:r>
    </w:p>
    <w:p w14:paraId="5DB6DAF3" w14:textId="62B0314C" w:rsidR="00817520" w:rsidRDefault="00817520" w:rsidP="00E92916">
      <w:r>
        <w:t>Weighting is a statistical technique where</w:t>
      </w:r>
      <w:r w:rsidR="009F6731">
        <w:t xml:space="preserve"> contributions </w:t>
      </w:r>
      <w:r>
        <w:t xml:space="preserve">from individual groups </w:t>
      </w:r>
      <w:r w:rsidR="009F6731">
        <w:t xml:space="preserve">are </w:t>
      </w:r>
      <w:r>
        <w:t xml:space="preserve">relative to their representativeness of the entire survey population. This ensures that </w:t>
      </w:r>
      <w:r w:rsidR="009F6731">
        <w:t xml:space="preserve">the sample of participants surveyed and </w:t>
      </w:r>
      <w:r w:rsidR="00052BDF">
        <w:t xml:space="preserve">the </w:t>
      </w:r>
      <w:r>
        <w:t>overall results accurately represent the target population. In PPM surveys, w</w:t>
      </w:r>
      <w:r w:rsidRPr="00FC381D">
        <w:t>eightings are applied according to</w:t>
      </w:r>
      <w:r>
        <w:t xml:space="preserve"> survey-specific selection strata</w:t>
      </w:r>
      <w:r w:rsidR="009F6731">
        <w:t xml:space="preserve"> during sample selection and result calculation</w:t>
      </w:r>
      <w:r>
        <w:t xml:space="preserve">. For example, </w:t>
      </w:r>
      <w:r w:rsidR="00836E35">
        <w:t>for an</w:t>
      </w:r>
      <w:r>
        <w:t xml:space="preserve"> </w:t>
      </w:r>
      <w:r w:rsidR="0092198D">
        <w:t xml:space="preserve">employment </w:t>
      </w:r>
      <w:r w:rsidR="00836E35">
        <w:t xml:space="preserve">services </w:t>
      </w:r>
      <w:r w:rsidR="0092198D">
        <w:t>program</w:t>
      </w:r>
      <w:r w:rsidR="00836E35">
        <w:t xml:space="preserve"> stratum</w:t>
      </w:r>
      <w:r>
        <w:t xml:space="preserve">, </w:t>
      </w:r>
      <w:r w:rsidR="009F6731">
        <w:t xml:space="preserve">the sample of participants and their </w:t>
      </w:r>
      <w:r>
        <w:t>responses are weighted by th</w:t>
      </w:r>
      <w:r w:rsidR="00836E35">
        <w:t>is</w:t>
      </w:r>
      <w:r>
        <w:t xml:space="preserve"> strat</w:t>
      </w:r>
      <w:r w:rsidR="00836E35">
        <w:t>um</w:t>
      </w:r>
      <w:r w:rsidR="009F6731">
        <w:t xml:space="preserve"> during calculation</w:t>
      </w:r>
      <w:r>
        <w:t>, according to their representativeness of the overall survey population.</w:t>
      </w:r>
    </w:p>
    <w:p w14:paraId="2F9F1604" w14:textId="77777777" w:rsidR="00387E12" w:rsidRDefault="00387E12" w:rsidP="00E92916">
      <w:pPr>
        <w:pStyle w:val="Heading2"/>
      </w:pPr>
      <w:r>
        <w:t>Contact Methods and Timing</w:t>
      </w:r>
    </w:p>
    <w:p w14:paraId="1E37F434" w14:textId="3ABD7B01" w:rsidR="00BA74BB" w:rsidRDefault="00387E12" w:rsidP="00BA74BB">
      <w:pPr>
        <w:keepNext/>
      </w:pPr>
      <w:r>
        <w:t>Survey</w:t>
      </w:r>
      <w:r w:rsidR="002D1470">
        <w:t>s</w:t>
      </w:r>
      <w:r>
        <w:t xml:space="preserve"> </w:t>
      </w:r>
      <w:r w:rsidR="0099275B">
        <w:t xml:space="preserve">are delivered </w:t>
      </w:r>
      <w:r w:rsidR="00645240">
        <w:t xml:space="preserve">on </w:t>
      </w:r>
      <w:r w:rsidR="001E041C">
        <w:t>either</w:t>
      </w:r>
      <w:r w:rsidR="0099275B">
        <w:t xml:space="preserve"> </w:t>
      </w:r>
      <w:r w:rsidR="00645240">
        <w:t xml:space="preserve">a </w:t>
      </w:r>
      <w:r w:rsidR="0099275B">
        <w:t>monthly</w:t>
      </w:r>
      <w:r w:rsidR="001E041C">
        <w:t>,</w:t>
      </w:r>
      <w:r w:rsidR="0099275B">
        <w:t xml:space="preserve"> quarterly </w:t>
      </w:r>
      <w:r w:rsidR="001E041C">
        <w:t xml:space="preserve">or one-off </w:t>
      </w:r>
      <w:r w:rsidR="0099275B">
        <w:t>basis</w:t>
      </w:r>
      <w:r>
        <w:t xml:space="preserve">. Surveys are </w:t>
      </w:r>
      <w:r w:rsidR="00407FA4">
        <w:t xml:space="preserve">mainly </w:t>
      </w:r>
      <w:r>
        <w:t>completed online</w:t>
      </w:r>
      <w:r w:rsidR="00292844">
        <w:t xml:space="preserve"> </w:t>
      </w:r>
      <w:r w:rsidR="009F6731">
        <w:t>–</w:t>
      </w:r>
      <w:r w:rsidR="00292844">
        <w:t xml:space="preserve"> </w:t>
      </w:r>
      <w:r w:rsidR="002D1470">
        <w:t>p</w:t>
      </w:r>
      <w:r>
        <w:t>articipants</w:t>
      </w:r>
      <w:r w:rsidR="009F6731">
        <w:t xml:space="preserve"> </w:t>
      </w:r>
      <w:r>
        <w:t xml:space="preserve">with a valid email address are sent an email invitation with a personalised link. Participants who received an email invitation are also eligible to receive a combination of email and SMS reminders </w:t>
      </w:r>
      <w:r w:rsidR="0099275B">
        <w:t>if they haven’t completed the survey</w:t>
      </w:r>
      <w:r>
        <w:t>.</w:t>
      </w:r>
      <w:r w:rsidR="0099275B">
        <w:t xml:space="preserve"> </w:t>
      </w:r>
      <w:r>
        <w:t>For the Labour Force Survey</w:t>
      </w:r>
      <w:r w:rsidR="009F6731">
        <w:t xml:space="preserve"> and</w:t>
      </w:r>
      <w:r>
        <w:t xml:space="preserve"> the Quality and Progress Survey</w:t>
      </w:r>
      <w:r w:rsidR="05DD3676">
        <w:t xml:space="preserve"> a multimodal approach is used</w:t>
      </w:r>
      <w:r w:rsidR="5B5B8C2B">
        <w:t xml:space="preserve">. </w:t>
      </w:r>
      <w:r w:rsidR="5199549E">
        <w:t>P</w:t>
      </w:r>
      <w:r>
        <w:t xml:space="preserve">aper surveys are </w:t>
      </w:r>
      <w:r w:rsidR="0099275B">
        <w:t xml:space="preserve">also </w:t>
      </w:r>
      <w:r>
        <w:t xml:space="preserve">sent to those without valid email addresses, followed by SMS reminders. </w:t>
      </w:r>
      <w:r w:rsidR="63CF749F">
        <w:t>Then,</w:t>
      </w:r>
      <w:r w:rsidR="002D1470">
        <w:t xml:space="preserve"> a selection of participants who haven't responded after reminders are contacted via computer assisted telephone interviews (CATI) to complete the survey.</w:t>
      </w:r>
      <w:r w:rsidR="00BA74BB">
        <w:t xml:space="preserve"> See </w:t>
      </w:r>
      <w:r w:rsidR="00292844">
        <w:t>F</w:t>
      </w:r>
      <w:r w:rsidR="00BA74BB">
        <w:t xml:space="preserve">igure 1 for </w:t>
      </w:r>
      <w:r w:rsidR="00E445BF">
        <w:t>an</w:t>
      </w:r>
      <w:r w:rsidR="00BA74BB">
        <w:t xml:space="preserve"> overview of the </w:t>
      </w:r>
      <w:r w:rsidR="00292844">
        <w:t xml:space="preserve">PPM </w:t>
      </w:r>
      <w:r w:rsidR="00BA74BB">
        <w:t>survey contact cycle.</w:t>
      </w:r>
    </w:p>
    <w:p w14:paraId="2494A64F" w14:textId="7CCC6E43" w:rsidR="00C774AC" w:rsidRPr="00C774AC" w:rsidRDefault="00BA74BB" w:rsidP="00487665">
      <w:r>
        <w:t xml:space="preserve">Figure </w:t>
      </w:r>
      <w:r>
        <w:rPr>
          <w:iCs/>
          <w:szCs w:val="18"/>
        </w:rPr>
        <w:fldChar w:fldCharType="begin"/>
      </w:r>
      <w:r>
        <w:instrText xml:space="preserve"> SEQ Figure \* ARABIC </w:instrText>
      </w:r>
      <w:r>
        <w:rPr>
          <w:iCs/>
          <w:szCs w:val="18"/>
        </w:rPr>
        <w:fldChar w:fldCharType="separate"/>
      </w:r>
      <w:r w:rsidRPr="72489AA2">
        <w:rPr>
          <w:noProof/>
        </w:rPr>
        <w:t>1</w:t>
      </w:r>
      <w:r>
        <w:rPr>
          <w:iCs/>
          <w:szCs w:val="18"/>
        </w:rPr>
        <w:fldChar w:fldCharType="end"/>
      </w:r>
      <w:r>
        <w:t>. The</w:t>
      </w:r>
      <w:r w:rsidR="00292844">
        <w:t xml:space="preserve"> PPM</w:t>
      </w:r>
      <w:r>
        <w:t xml:space="preserve"> Survey Contact Cycle.</w:t>
      </w:r>
    </w:p>
    <w:p w14:paraId="6E28962C" w14:textId="6884FBE2" w:rsidR="006D7722" w:rsidRDefault="1E5A50D1" w:rsidP="006D7722">
      <w:pPr>
        <w:keepNext/>
      </w:pPr>
      <w:r>
        <w:rPr>
          <w:noProof/>
        </w:rPr>
        <w:drawing>
          <wp:inline distT="0" distB="0" distL="0" distR="0" wp14:anchorId="1CB19752" wp14:editId="0429D3B9">
            <wp:extent cx="5988145" cy="1671851"/>
            <wp:effectExtent l="0" t="0" r="0" b="5080"/>
            <wp:docPr id="678360935" name="Picture 4" descr="A flow diagram of the general survey contact cycle involving email, paper and telephone interviews (CATI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145" cy="16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722">
        <w:br w:type="page"/>
      </w:r>
    </w:p>
    <w:p w14:paraId="7326E388" w14:textId="5A6F400F" w:rsidR="009903E8" w:rsidRPr="009903E8" w:rsidRDefault="32E4F3F0" w:rsidP="72489AA2">
      <w:r>
        <w:lastRenderedPageBreak/>
        <w:t xml:space="preserve">Results are provided </w:t>
      </w:r>
      <w:r w:rsidR="19408DB7">
        <w:t xml:space="preserve">on a rolling quarterly basis, </w:t>
      </w:r>
      <w:r>
        <w:t xml:space="preserve">based on 12 months of collected data. This accommodates potential seasonality effects and allows time for </w:t>
      </w:r>
      <w:r w:rsidR="00FB1D4F">
        <w:t xml:space="preserve">enough responses </w:t>
      </w:r>
      <w:r>
        <w:t xml:space="preserve">to be collected. Due to the length of the survey process, and additional quality assurance requirements, results are </w:t>
      </w:r>
      <w:r w:rsidR="1A71B0E9">
        <w:t>available</w:t>
      </w:r>
      <w:r>
        <w:t xml:space="preserve"> </w:t>
      </w:r>
      <w:r w:rsidR="00E37077">
        <w:t xml:space="preserve">publicly </w:t>
      </w:r>
      <w:r>
        <w:t>around six months after the end of the reference period.</w:t>
      </w:r>
    </w:p>
    <w:p w14:paraId="74FDD436" w14:textId="5374930C" w:rsidR="00387E12" w:rsidRDefault="00387E12" w:rsidP="00387E12">
      <w:pPr>
        <w:pStyle w:val="Heading2"/>
      </w:pPr>
      <w:r>
        <w:t>Reliability of Results</w:t>
      </w:r>
    </w:p>
    <w:p w14:paraId="48C31F0B" w14:textId="3CA5BF74" w:rsidR="00387E12" w:rsidRDefault="00387E12" w:rsidP="00387E12">
      <w:pPr>
        <w:rPr>
          <w:rFonts w:ascii="Calibri" w:eastAsia="Times New Roman" w:hAnsi="Calibri" w:cs="Calibri"/>
          <w:color w:val="000000"/>
          <w:lang w:eastAsia="en-AU"/>
        </w:rPr>
      </w:pPr>
      <w:r w:rsidRPr="006B1CBB">
        <w:rPr>
          <w:rFonts w:ascii="Calibri" w:eastAsia="Times New Roman" w:hAnsi="Calibri" w:cs="Calibri"/>
          <w:color w:val="000000"/>
          <w:lang w:eastAsia="en-AU"/>
        </w:rPr>
        <w:t xml:space="preserve">All results are produced through surveys answered by a select sample from the </w:t>
      </w:r>
      <w:r w:rsidR="004C1977">
        <w:rPr>
          <w:rFonts w:ascii="Calibri" w:eastAsia="Times New Roman" w:hAnsi="Calibri" w:cs="Calibri"/>
          <w:color w:val="000000"/>
          <w:lang w:eastAsia="en-AU"/>
        </w:rPr>
        <w:t xml:space="preserve">relevant </w:t>
      </w:r>
      <w:r w:rsidRPr="006B1CBB">
        <w:rPr>
          <w:rFonts w:ascii="Calibri" w:eastAsia="Times New Roman" w:hAnsi="Calibri" w:cs="Calibri"/>
          <w:color w:val="000000"/>
          <w:lang w:eastAsia="en-AU"/>
        </w:rPr>
        <w:t xml:space="preserve">population of Workforce Australia participants. Due to this, there may be differences between reported results and the true value </w:t>
      </w:r>
      <w:r w:rsidR="00645240">
        <w:rPr>
          <w:rFonts w:ascii="Calibri" w:eastAsia="Times New Roman" w:hAnsi="Calibri" w:cs="Calibri"/>
          <w:color w:val="000000"/>
          <w:lang w:eastAsia="en-AU"/>
        </w:rPr>
        <w:t xml:space="preserve">that would be </w:t>
      </w:r>
      <w:r w:rsidRPr="006B1CBB">
        <w:rPr>
          <w:rFonts w:ascii="Calibri" w:eastAsia="Times New Roman" w:hAnsi="Calibri" w:cs="Calibri"/>
          <w:color w:val="000000"/>
          <w:lang w:eastAsia="en-AU"/>
        </w:rPr>
        <w:t>obtained if the entire relevant Workforce Australia population were surveyed. This is known as sampling error.</w:t>
      </w:r>
    </w:p>
    <w:p w14:paraId="7AB94243" w14:textId="37F73154" w:rsidR="00C774AC" w:rsidRDefault="533C9A1E" w:rsidP="00C774AC">
      <w:pPr>
        <w:rPr>
          <w:noProof/>
        </w:rPr>
      </w:pPr>
      <w:r w:rsidRPr="2257C83B">
        <w:rPr>
          <w:noProof/>
        </w:rPr>
        <w:t>To account for this sampling error, the margin of error</w:t>
      </w:r>
      <w:r w:rsidR="4415B36F" w:rsidRPr="2257C83B">
        <w:rPr>
          <w:noProof/>
        </w:rPr>
        <w:t xml:space="preserve"> (MoE)</w:t>
      </w:r>
      <w:r w:rsidRPr="2257C83B">
        <w:rPr>
          <w:noProof/>
        </w:rPr>
        <w:t xml:space="preserve">, at the 90% confidence level, is calculated and then used to determine the robustness of results. When the </w:t>
      </w:r>
      <w:r w:rsidR="4415B36F" w:rsidRPr="2257C83B">
        <w:rPr>
          <w:noProof/>
        </w:rPr>
        <w:t xml:space="preserve">MoE </w:t>
      </w:r>
      <w:r w:rsidRPr="2257C83B">
        <w:rPr>
          <w:noProof/>
        </w:rPr>
        <w:t>is greater than 5.0 percentage points, at the 90% confidence level, results are not published (n.p).</w:t>
      </w:r>
      <w:r w:rsidR="78E17A9B" w:rsidRPr="2257C83B">
        <w:rPr>
          <w:noProof/>
        </w:rPr>
        <w:t xml:space="preserve"> See Figure 2.</w:t>
      </w:r>
    </w:p>
    <w:p w14:paraId="18F4E8E5" w14:textId="4A1E5BF2" w:rsidR="001C3E60" w:rsidRPr="00DB4114" w:rsidRDefault="00C774AC" w:rsidP="00DB4114">
      <w:r>
        <w:t>Figure 2. Acceptable MoEs for a reported resul</w:t>
      </w:r>
      <w:r w:rsidR="00DB4114">
        <w:t>t</w:t>
      </w:r>
      <w:r w:rsidR="00DB4114" w:rsidRPr="00DB4114">
        <w:rPr>
          <w:noProof/>
        </w:rPr>
        <w:drawing>
          <wp:inline distT="0" distB="0" distL="0" distR="0" wp14:anchorId="70EB9D7C" wp14:editId="7FB96EB5">
            <wp:extent cx="5731510" cy="1256665"/>
            <wp:effectExtent l="0" t="0" r="0" b="0"/>
            <wp:docPr id="1318701752" name="Picture 1" descr="Diagram showing a dot on a horizontal line as the reported result and the range of acceptable margin of error as -5.0 and +5.0 percentage points around the reported result dot on the li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01752" name="Picture 1" descr="Diagram showing a dot on a horizontal line as the reported result and the range of acceptable margin of error as -5.0 and +5.0 percentage points around the reported result dot on the line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E60" w:rsidRPr="00DB4114" w:rsidSect="00387E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0E5D" w14:textId="77777777" w:rsidR="000A3FE6" w:rsidRDefault="000A3FE6" w:rsidP="0051352E">
      <w:pPr>
        <w:spacing w:after="0" w:line="240" w:lineRule="auto"/>
      </w:pPr>
      <w:r>
        <w:separator/>
      </w:r>
    </w:p>
  </w:endnote>
  <w:endnote w:type="continuationSeparator" w:id="0">
    <w:p w14:paraId="757A9DFF" w14:textId="77777777" w:rsidR="000A3FE6" w:rsidRDefault="000A3FE6" w:rsidP="0051352E">
      <w:pPr>
        <w:spacing w:after="0" w:line="240" w:lineRule="auto"/>
      </w:pPr>
      <w:r>
        <w:continuationSeparator/>
      </w:r>
    </w:p>
  </w:endnote>
  <w:endnote w:type="continuationNotice" w:id="1">
    <w:p w14:paraId="7E1C3FB6" w14:textId="77777777" w:rsidR="000A3FE6" w:rsidRDefault="000A3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2305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F7528" w14:textId="583EB193" w:rsidR="00324FFA" w:rsidRDefault="00324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503AB" w14:textId="63E31C3E" w:rsidR="00662A42" w:rsidRDefault="00662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818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DB020" w14:textId="64E21F0A" w:rsidR="00387E12" w:rsidRDefault="00387E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06B57" w14:textId="5735835F" w:rsidR="00662A42" w:rsidRDefault="0066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F7FA" w14:textId="77777777" w:rsidR="000A3FE6" w:rsidRDefault="000A3FE6" w:rsidP="0051352E">
      <w:pPr>
        <w:spacing w:after="0" w:line="240" w:lineRule="auto"/>
      </w:pPr>
      <w:r>
        <w:separator/>
      </w:r>
    </w:p>
  </w:footnote>
  <w:footnote w:type="continuationSeparator" w:id="0">
    <w:p w14:paraId="7A025E0F" w14:textId="77777777" w:rsidR="000A3FE6" w:rsidRDefault="000A3FE6" w:rsidP="0051352E">
      <w:pPr>
        <w:spacing w:after="0" w:line="240" w:lineRule="auto"/>
      </w:pPr>
      <w:r>
        <w:continuationSeparator/>
      </w:r>
    </w:p>
  </w:footnote>
  <w:footnote w:type="continuationNotice" w:id="1">
    <w:p w14:paraId="5DE46517" w14:textId="77777777" w:rsidR="000A3FE6" w:rsidRDefault="000A3F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E7DA6"/>
    <w:multiLevelType w:val="hybridMultilevel"/>
    <w:tmpl w:val="31168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7B7A63"/>
    <w:multiLevelType w:val="hybridMultilevel"/>
    <w:tmpl w:val="011E4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334C5"/>
    <w:multiLevelType w:val="hybridMultilevel"/>
    <w:tmpl w:val="5620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A4076"/>
    <w:multiLevelType w:val="hybridMultilevel"/>
    <w:tmpl w:val="507C22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6F4287"/>
    <w:multiLevelType w:val="hybridMultilevel"/>
    <w:tmpl w:val="F0E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7897"/>
    <w:multiLevelType w:val="hybridMultilevel"/>
    <w:tmpl w:val="C162690A"/>
    <w:lvl w:ilvl="0" w:tplc="21F4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303A"/>
    <w:multiLevelType w:val="hybridMultilevel"/>
    <w:tmpl w:val="A680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7609">
    <w:abstractNumId w:val="9"/>
  </w:num>
  <w:num w:numId="2" w16cid:durableId="2144541231">
    <w:abstractNumId w:val="7"/>
  </w:num>
  <w:num w:numId="3" w16cid:durableId="514732565">
    <w:abstractNumId w:val="6"/>
  </w:num>
  <w:num w:numId="4" w16cid:durableId="262765623">
    <w:abstractNumId w:val="5"/>
  </w:num>
  <w:num w:numId="5" w16cid:durableId="463043758">
    <w:abstractNumId w:val="4"/>
  </w:num>
  <w:num w:numId="6" w16cid:durableId="963542563">
    <w:abstractNumId w:val="8"/>
  </w:num>
  <w:num w:numId="7" w16cid:durableId="1024551915">
    <w:abstractNumId w:val="3"/>
  </w:num>
  <w:num w:numId="8" w16cid:durableId="1062174684">
    <w:abstractNumId w:val="2"/>
  </w:num>
  <w:num w:numId="9" w16cid:durableId="468325784">
    <w:abstractNumId w:val="1"/>
  </w:num>
  <w:num w:numId="10" w16cid:durableId="1217208107">
    <w:abstractNumId w:val="0"/>
  </w:num>
  <w:num w:numId="11" w16cid:durableId="1976369614">
    <w:abstractNumId w:val="10"/>
  </w:num>
  <w:num w:numId="12" w16cid:durableId="524638635">
    <w:abstractNumId w:val="11"/>
  </w:num>
  <w:num w:numId="13" w16cid:durableId="1878159587">
    <w:abstractNumId w:val="13"/>
  </w:num>
  <w:num w:numId="14" w16cid:durableId="1267889244">
    <w:abstractNumId w:val="12"/>
  </w:num>
  <w:num w:numId="15" w16cid:durableId="1227187843">
    <w:abstractNumId w:val="19"/>
  </w:num>
  <w:num w:numId="16" w16cid:durableId="1745762573">
    <w:abstractNumId w:val="17"/>
  </w:num>
  <w:num w:numId="17" w16cid:durableId="993601444">
    <w:abstractNumId w:val="16"/>
  </w:num>
  <w:num w:numId="18" w16cid:durableId="262298418">
    <w:abstractNumId w:val="14"/>
  </w:num>
  <w:num w:numId="19" w16cid:durableId="354772243">
    <w:abstractNumId w:val="15"/>
  </w:num>
  <w:num w:numId="20" w16cid:durableId="357659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278"/>
    <w:rsid w:val="00007AE8"/>
    <w:rsid w:val="0002557C"/>
    <w:rsid w:val="00031A6C"/>
    <w:rsid w:val="00032F44"/>
    <w:rsid w:val="0004155B"/>
    <w:rsid w:val="00051A61"/>
    <w:rsid w:val="00052BBC"/>
    <w:rsid w:val="00052BDF"/>
    <w:rsid w:val="00057E6F"/>
    <w:rsid w:val="00067075"/>
    <w:rsid w:val="00071155"/>
    <w:rsid w:val="00071F31"/>
    <w:rsid w:val="00084D54"/>
    <w:rsid w:val="000A3FE6"/>
    <w:rsid w:val="000A453D"/>
    <w:rsid w:val="000B0AFE"/>
    <w:rsid w:val="000D5525"/>
    <w:rsid w:val="000E22D3"/>
    <w:rsid w:val="000F22E8"/>
    <w:rsid w:val="00111085"/>
    <w:rsid w:val="001367EF"/>
    <w:rsid w:val="00137117"/>
    <w:rsid w:val="001460BC"/>
    <w:rsid w:val="0015057B"/>
    <w:rsid w:val="001509B3"/>
    <w:rsid w:val="00157F35"/>
    <w:rsid w:val="001603AE"/>
    <w:rsid w:val="00173BE1"/>
    <w:rsid w:val="0018231A"/>
    <w:rsid w:val="00191697"/>
    <w:rsid w:val="00192296"/>
    <w:rsid w:val="00194073"/>
    <w:rsid w:val="001A041C"/>
    <w:rsid w:val="001A1E07"/>
    <w:rsid w:val="001C3E60"/>
    <w:rsid w:val="001C7365"/>
    <w:rsid w:val="001D13F0"/>
    <w:rsid w:val="001D68FF"/>
    <w:rsid w:val="001E041C"/>
    <w:rsid w:val="001E5730"/>
    <w:rsid w:val="001F18BF"/>
    <w:rsid w:val="001F47C9"/>
    <w:rsid w:val="00217EAB"/>
    <w:rsid w:val="0022498C"/>
    <w:rsid w:val="0022626C"/>
    <w:rsid w:val="00232769"/>
    <w:rsid w:val="00232C9B"/>
    <w:rsid w:val="0025008B"/>
    <w:rsid w:val="002724D0"/>
    <w:rsid w:val="00272FAB"/>
    <w:rsid w:val="00285CB5"/>
    <w:rsid w:val="00292844"/>
    <w:rsid w:val="002A2C09"/>
    <w:rsid w:val="002A7840"/>
    <w:rsid w:val="002B1CE5"/>
    <w:rsid w:val="002C5DC8"/>
    <w:rsid w:val="002C6911"/>
    <w:rsid w:val="002D1470"/>
    <w:rsid w:val="002E1500"/>
    <w:rsid w:val="002E496C"/>
    <w:rsid w:val="002F4DB3"/>
    <w:rsid w:val="002F7604"/>
    <w:rsid w:val="0030602A"/>
    <w:rsid w:val="00321F37"/>
    <w:rsid w:val="00324BCD"/>
    <w:rsid w:val="00324FFA"/>
    <w:rsid w:val="00330AFD"/>
    <w:rsid w:val="00333D4B"/>
    <w:rsid w:val="00342D85"/>
    <w:rsid w:val="00350FFA"/>
    <w:rsid w:val="00355878"/>
    <w:rsid w:val="003761D6"/>
    <w:rsid w:val="00382F07"/>
    <w:rsid w:val="00382F08"/>
    <w:rsid w:val="00387E12"/>
    <w:rsid w:val="00393E0B"/>
    <w:rsid w:val="003A2EFF"/>
    <w:rsid w:val="003B14CA"/>
    <w:rsid w:val="003C02A9"/>
    <w:rsid w:val="003E761D"/>
    <w:rsid w:val="003F3674"/>
    <w:rsid w:val="004001A5"/>
    <w:rsid w:val="00407FA4"/>
    <w:rsid w:val="00414677"/>
    <w:rsid w:val="00424742"/>
    <w:rsid w:val="00425BD3"/>
    <w:rsid w:val="00434A5E"/>
    <w:rsid w:val="00453C04"/>
    <w:rsid w:val="00465095"/>
    <w:rsid w:val="004659AE"/>
    <w:rsid w:val="00487665"/>
    <w:rsid w:val="004879D2"/>
    <w:rsid w:val="00497764"/>
    <w:rsid w:val="004C1977"/>
    <w:rsid w:val="004D1C0C"/>
    <w:rsid w:val="004E4BC4"/>
    <w:rsid w:val="00506D76"/>
    <w:rsid w:val="0051352E"/>
    <w:rsid w:val="00514200"/>
    <w:rsid w:val="00517DA7"/>
    <w:rsid w:val="00520A33"/>
    <w:rsid w:val="00527AE4"/>
    <w:rsid w:val="005377CF"/>
    <w:rsid w:val="00540B28"/>
    <w:rsid w:val="0055569D"/>
    <w:rsid w:val="00563EF7"/>
    <w:rsid w:val="00596A88"/>
    <w:rsid w:val="005A5364"/>
    <w:rsid w:val="005B3B0A"/>
    <w:rsid w:val="005D7CE7"/>
    <w:rsid w:val="005E0ACC"/>
    <w:rsid w:val="005E2C7E"/>
    <w:rsid w:val="005F11B6"/>
    <w:rsid w:val="00610A38"/>
    <w:rsid w:val="00630DDF"/>
    <w:rsid w:val="00636DC0"/>
    <w:rsid w:val="00645240"/>
    <w:rsid w:val="00662A42"/>
    <w:rsid w:val="00670054"/>
    <w:rsid w:val="00677008"/>
    <w:rsid w:val="00683FCC"/>
    <w:rsid w:val="00696E64"/>
    <w:rsid w:val="006A372F"/>
    <w:rsid w:val="006B065A"/>
    <w:rsid w:val="006B0B39"/>
    <w:rsid w:val="006D154E"/>
    <w:rsid w:val="006D1985"/>
    <w:rsid w:val="006D7722"/>
    <w:rsid w:val="006E210B"/>
    <w:rsid w:val="006E2E84"/>
    <w:rsid w:val="006E5D6E"/>
    <w:rsid w:val="006F0867"/>
    <w:rsid w:val="00703175"/>
    <w:rsid w:val="007136D7"/>
    <w:rsid w:val="00713BFE"/>
    <w:rsid w:val="00716B12"/>
    <w:rsid w:val="00721B03"/>
    <w:rsid w:val="00723071"/>
    <w:rsid w:val="00725933"/>
    <w:rsid w:val="00730C2F"/>
    <w:rsid w:val="00735867"/>
    <w:rsid w:val="00743A5F"/>
    <w:rsid w:val="0074533D"/>
    <w:rsid w:val="007570DC"/>
    <w:rsid w:val="00766C22"/>
    <w:rsid w:val="00794220"/>
    <w:rsid w:val="007A3893"/>
    <w:rsid w:val="007A4CEB"/>
    <w:rsid w:val="007B1ABA"/>
    <w:rsid w:val="007B74C5"/>
    <w:rsid w:val="007C7DC6"/>
    <w:rsid w:val="007E50F7"/>
    <w:rsid w:val="00802304"/>
    <w:rsid w:val="00817520"/>
    <w:rsid w:val="00823498"/>
    <w:rsid w:val="008275D0"/>
    <w:rsid w:val="008279E2"/>
    <w:rsid w:val="00833899"/>
    <w:rsid w:val="00836E35"/>
    <w:rsid w:val="00842C50"/>
    <w:rsid w:val="00844D82"/>
    <w:rsid w:val="008507C1"/>
    <w:rsid w:val="00861934"/>
    <w:rsid w:val="00865237"/>
    <w:rsid w:val="00867E21"/>
    <w:rsid w:val="00873D52"/>
    <w:rsid w:val="008C5597"/>
    <w:rsid w:val="008D510B"/>
    <w:rsid w:val="008D6134"/>
    <w:rsid w:val="008E22BA"/>
    <w:rsid w:val="008E2D9B"/>
    <w:rsid w:val="008E4048"/>
    <w:rsid w:val="008E41BE"/>
    <w:rsid w:val="008F0AC9"/>
    <w:rsid w:val="008F7998"/>
    <w:rsid w:val="00900F7F"/>
    <w:rsid w:val="00903C9B"/>
    <w:rsid w:val="00903FEA"/>
    <w:rsid w:val="00905E51"/>
    <w:rsid w:val="00907D67"/>
    <w:rsid w:val="009122F5"/>
    <w:rsid w:val="0092198D"/>
    <w:rsid w:val="00922262"/>
    <w:rsid w:val="0093473D"/>
    <w:rsid w:val="00944521"/>
    <w:rsid w:val="00944ECC"/>
    <w:rsid w:val="00950DEB"/>
    <w:rsid w:val="0095392E"/>
    <w:rsid w:val="00972F57"/>
    <w:rsid w:val="009755B2"/>
    <w:rsid w:val="00985A23"/>
    <w:rsid w:val="00987471"/>
    <w:rsid w:val="009903E8"/>
    <w:rsid w:val="00990BDD"/>
    <w:rsid w:val="00991246"/>
    <w:rsid w:val="0099275B"/>
    <w:rsid w:val="00993F42"/>
    <w:rsid w:val="00995280"/>
    <w:rsid w:val="009A5B61"/>
    <w:rsid w:val="009B6728"/>
    <w:rsid w:val="009B6DF0"/>
    <w:rsid w:val="009C4864"/>
    <w:rsid w:val="009C4F18"/>
    <w:rsid w:val="009D7CD8"/>
    <w:rsid w:val="009E1827"/>
    <w:rsid w:val="009E61F4"/>
    <w:rsid w:val="009F4EA6"/>
    <w:rsid w:val="009F6731"/>
    <w:rsid w:val="00A008E4"/>
    <w:rsid w:val="00A00B90"/>
    <w:rsid w:val="00A23725"/>
    <w:rsid w:val="00A24E6E"/>
    <w:rsid w:val="00A32105"/>
    <w:rsid w:val="00A34125"/>
    <w:rsid w:val="00A35757"/>
    <w:rsid w:val="00A42554"/>
    <w:rsid w:val="00A43694"/>
    <w:rsid w:val="00A44F5A"/>
    <w:rsid w:val="00A55F7F"/>
    <w:rsid w:val="00A56FC7"/>
    <w:rsid w:val="00A668BF"/>
    <w:rsid w:val="00A72575"/>
    <w:rsid w:val="00A74071"/>
    <w:rsid w:val="00A754E4"/>
    <w:rsid w:val="00A805E6"/>
    <w:rsid w:val="00A92DD4"/>
    <w:rsid w:val="00AA124A"/>
    <w:rsid w:val="00AA2A96"/>
    <w:rsid w:val="00AA328C"/>
    <w:rsid w:val="00AC57FC"/>
    <w:rsid w:val="00AE5A3E"/>
    <w:rsid w:val="00AF5619"/>
    <w:rsid w:val="00AF7D82"/>
    <w:rsid w:val="00B01B2F"/>
    <w:rsid w:val="00B03D24"/>
    <w:rsid w:val="00B072D2"/>
    <w:rsid w:val="00B100CC"/>
    <w:rsid w:val="00B17AAE"/>
    <w:rsid w:val="00B24824"/>
    <w:rsid w:val="00B34E7A"/>
    <w:rsid w:val="00B456C5"/>
    <w:rsid w:val="00B55AB1"/>
    <w:rsid w:val="00B602F8"/>
    <w:rsid w:val="00B6193A"/>
    <w:rsid w:val="00B61A85"/>
    <w:rsid w:val="00B6689D"/>
    <w:rsid w:val="00B72368"/>
    <w:rsid w:val="00B80B9C"/>
    <w:rsid w:val="00B82640"/>
    <w:rsid w:val="00B93B59"/>
    <w:rsid w:val="00B94A52"/>
    <w:rsid w:val="00BA74BB"/>
    <w:rsid w:val="00BB291E"/>
    <w:rsid w:val="00BC0934"/>
    <w:rsid w:val="00BE0C98"/>
    <w:rsid w:val="00BE1800"/>
    <w:rsid w:val="00BE1BD4"/>
    <w:rsid w:val="00BE35CD"/>
    <w:rsid w:val="00BE4AB0"/>
    <w:rsid w:val="00BE742F"/>
    <w:rsid w:val="00C0357F"/>
    <w:rsid w:val="00C05403"/>
    <w:rsid w:val="00C1556E"/>
    <w:rsid w:val="00C24FEE"/>
    <w:rsid w:val="00C545AC"/>
    <w:rsid w:val="00C54D58"/>
    <w:rsid w:val="00C573E1"/>
    <w:rsid w:val="00C60222"/>
    <w:rsid w:val="00C71CD5"/>
    <w:rsid w:val="00C71D1C"/>
    <w:rsid w:val="00C736D3"/>
    <w:rsid w:val="00C774AC"/>
    <w:rsid w:val="00C93CC8"/>
    <w:rsid w:val="00C95DF6"/>
    <w:rsid w:val="00CA12DF"/>
    <w:rsid w:val="00CC3BA4"/>
    <w:rsid w:val="00CC7561"/>
    <w:rsid w:val="00CD7039"/>
    <w:rsid w:val="00CE1CF1"/>
    <w:rsid w:val="00CF2E49"/>
    <w:rsid w:val="00D07774"/>
    <w:rsid w:val="00D07964"/>
    <w:rsid w:val="00D20436"/>
    <w:rsid w:val="00D26073"/>
    <w:rsid w:val="00D27F38"/>
    <w:rsid w:val="00D3509C"/>
    <w:rsid w:val="00D422D0"/>
    <w:rsid w:val="00D42927"/>
    <w:rsid w:val="00D4342B"/>
    <w:rsid w:val="00D669AD"/>
    <w:rsid w:val="00D71126"/>
    <w:rsid w:val="00D734D6"/>
    <w:rsid w:val="00D753E9"/>
    <w:rsid w:val="00D76C76"/>
    <w:rsid w:val="00D92ABD"/>
    <w:rsid w:val="00DA1B7B"/>
    <w:rsid w:val="00DB4114"/>
    <w:rsid w:val="00DB79DF"/>
    <w:rsid w:val="00DD36F8"/>
    <w:rsid w:val="00DD5283"/>
    <w:rsid w:val="00DE0402"/>
    <w:rsid w:val="00DE612D"/>
    <w:rsid w:val="00DF0694"/>
    <w:rsid w:val="00E02099"/>
    <w:rsid w:val="00E25A0D"/>
    <w:rsid w:val="00E36EF8"/>
    <w:rsid w:val="00E37077"/>
    <w:rsid w:val="00E445BF"/>
    <w:rsid w:val="00E602A0"/>
    <w:rsid w:val="00E624F9"/>
    <w:rsid w:val="00E67289"/>
    <w:rsid w:val="00E679D8"/>
    <w:rsid w:val="00E832EB"/>
    <w:rsid w:val="00E837C4"/>
    <w:rsid w:val="00E866CE"/>
    <w:rsid w:val="00E92916"/>
    <w:rsid w:val="00E973D7"/>
    <w:rsid w:val="00EA0A03"/>
    <w:rsid w:val="00EA32F7"/>
    <w:rsid w:val="00EB755F"/>
    <w:rsid w:val="00EC5EBB"/>
    <w:rsid w:val="00EC6A53"/>
    <w:rsid w:val="00EE5EEB"/>
    <w:rsid w:val="00EF4B1C"/>
    <w:rsid w:val="00F00198"/>
    <w:rsid w:val="00F005CB"/>
    <w:rsid w:val="00F22384"/>
    <w:rsid w:val="00F230CD"/>
    <w:rsid w:val="00F304A5"/>
    <w:rsid w:val="00F30B49"/>
    <w:rsid w:val="00F352BA"/>
    <w:rsid w:val="00F51C18"/>
    <w:rsid w:val="00FA31E2"/>
    <w:rsid w:val="00FA74D9"/>
    <w:rsid w:val="00FB1D4F"/>
    <w:rsid w:val="00FB2505"/>
    <w:rsid w:val="00FB6477"/>
    <w:rsid w:val="00FC1777"/>
    <w:rsid w:val="00FD6E60"/>
    <w:rsid w:val="00FF5B70"/>
    <w:rsid w:val="00FF5BB9"/>
    <w:rsid w:val="01E426F7"/>
    <w:rsid w:val="034ADDAD"/>
    <w:rsid w:val="0508FFC7"/>
    <w:rsid w:val="05DD3676"/>
    <w:rsid w:val="07099340"/>
    <w:rsid w:val="0870B6EF"/>
    <w:rsid w:val="0915B4DD"/>
    <w:rsid w:val="0BD2FC6B"/>
    <w:rsid w:val="0D682CBC"/>
    <w:rsid w:val="0EFE947E"/>
    <w:rsid w:val="0F376D01"/>
    <w:rsid w:val="0F3F8FA5"/>
    <w:rsid w:val="10C13AEE"/>
    <w:rsid w:val="11297620"/>
    <w:rsid w:val="1295D83E"/>
    <w:rsid w:val="134FC16A"/>
    <w:rsid w:val="152FF8D2"/>
    <w:rsid w:val="15713785"/>
    <w:rsid w:val="15DFC3B4"/>
    <w:rsid w:val="15FC622E"/>
    <w:rsid w:val="165DAFC5"/>
    <w:rsid w:val="17367FC0"/>
    <w:rsid w:val="18AF32F2"/>
    <w:rsid w:val="19408DB7"/>
    <w:rsid w:val="1A71B0E9"/>
    <w:rsid w:val="1AF2C660"/>
    <w:rsid w:val="1E5A50D1"/>
    <w:rsid w:val="20150663"/>
    <w:rsid w:val="2102F866"/>
    <w:rsid w:val="22227DC1"/>
    <w:rsid w:val="2257C83B"/>
    <w:rsid w:val="2557AC45"/>
    <w:rsid w:val="2597FD74"/>
    <w:rsid w:val="273D86A9"/>
    <w:rsid w:val="27BBE7CC"/>
    <w:rsid w:val="2804EC83"/>
    <w:rsid w:val="2FC01482"/>
    <w:rsid w:val="31FEBAB2"/>
    <w:rsid w:val="32E4F3F0"/>
    <w:rsid w:val="3367108E"/>
    <w:rsid w:val="3E80DD4E"/>
    <w:rsid w:val="4027F9F4"/>
    <w:rsid w:val="4415B36F"/>
    <w:rsid w:val="44A5529D"/>
    <w:rsid w:val="4A248B86"/>
    <w:rsid w:val="4C62F876"/>
    <w:rsid w:val="4CB63124"/>
    <w:rsid w:val="4CC0A662"/>
    <w:rsid w:val="4D3ABEBD"/>
    <w:rsid w:val="4ECE990B"/>
    <w:rsid w:val="4ED608B2"/>
    <w:rsid w:val="4FBE9951"/>
    <w:rsid w:val="5199549E"/>
    <w:rsid w:val="533C9A1E"/>
    <w:rsid w:val="577A0954"/>
    <w:rsid w:val="5896B2B4"/>
    <w:rsid w:val="5941F6F4"/>
    <w:rsid w:val="59555B76"/>
    <w:rsid w:val="5AEEA410"/>
    <w:rsid w:val="5B051555"/>
    <w:rsid w:val="5B5B8C2B"/>
    <w:rsid w:val="5C51D716"/>
    <w:rsid w:val="5CF80751"/>
    <w:rsid w:val="5E8DB4A9"/>
    <w:rsid w:val="5F2475D2"/>
    <w:rsid w:val="61475725"/>
    <w:rsid w:val="627DD772"/>
    <w:rsid w:val="637D6347"/>
    <w:rsid w:val="639AF0A8"/>
    <w:rsid w:val="63CF749F"/>
    <w:rsid w:val="674FEF20"/>
    <w:rsid w:val="68C78479"/>
    <w:rsid w:val="68C98CCD"/>
    <w:rsid w:val="6B8AFA5D"/>
    <w:rsid w:val="6C3F9A25"/>
    <w:rsid w:val="6DAF2501"/>
    <w:rsid w:val="6E9ED79C"/>
    <w:rsid w:val="6F348334"/>
    <w:rsid w:val="7019B24F"/>
    <w:rsid w:val="72489AA2"/>
    <w:rsid w:val="7646B198"/>
    <w:rsid w:val="78E17A9B"/>
    <w:rsid w:val="7B367B2C"/>
    <w:rsid w:val="7B6C084C"/>
    <w:rsid w:val="7CA681BC"/>
    <w:rsid w:val="7D0E1390"/>
    <w:rsid w:val="7D70F69B"/>
    <w:rsid w:val="7F8A168B"/>
    <w:rsid w:val="7F8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D837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02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2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6C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18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4370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Program Monitoring Survey Methodology</dc:title>
  <dc:subject/>
  <dc:creator/>
  <cp:keywords/>
  <dc:description/>
  <cp:lastModifiedBy/>
  <cp:revision>1</cp:revision>
  <dcterms:created xsi:type="dcterms:W3CDTF">2024-09-11T03:21:00Z</dcterms:created>
  <dcterms:modified xsi:type="dcterms:W3CDTF">2024-09-11T03:26:00Z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2024-09-11T03:20:17Z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c22208ee-21ec-44a0-9d75-9051f7994f68</vt:lpwstr>
  </property>
  <property fmtid="{D5CDD505-2E9C-101B-9397-08002B2CF9AE}" pid="8" name="MSIP_Label_79d889eb-932f-4752-8739-64d25806ef64_ContentBits">
    <vt:lpwstr>0</vt:lpwstr>
  </property>
</Properties>
</file>