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590BA" w14:textId="6C0661AD" w:rsidR="005710D0" w:rsidRDefault="005710D0" w:rsidP="005710D0">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24478427" wp14:editId="13560F91">
            <wp:extent cx="3535680" cy="1960880"/>
            <wp:effectExtent l="0" t="0" r="7620" b="1270"/>
            <wp:docPr id="134184482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5680" cy="1960880"/>
                    </a:xfrm>
                    <a:prstGeom prst="rect">
                      <a:avLst/>
                    </a:prstGeom>
                    <a:noFill/>
                    <a:ln>
                      <a:noFill/>
                    </a:ln>
                  </pic:spPr>
                </pic:pic>
              </a:graphicData>
            </a:graphic>
          </wp:inline>
        </w:drawing>
      </w:r>
      <w:r>
        <w:rPr>
          <w:rStyle w:val="eop"/>
          <w:rFonts w:ascii="Calibri" w:eastAsiaTheme="majorEastAsia" w:hAnsi="Calibri" w:cs="Calibri"/>
        </w:rPr>
        <w:t> </w:t>
      </w:r>
    </w:p>
    <w:p w14:paraId="78AE1120" w14:textId="77777777" w:rsidR="005710D0" w:rsidRPr="00B81FBC" w:rsidRDefault="005710D0" w:rsidP="00B81FBC">
      <w:pPr>
        <w:pStyle w:val="Title"/>
      </w:pPr>
      <w:r w:rsidRPr="00B81FBC">
        <w:rPr>
          <w:rStyle w:val="normaltextrun"/>
        </w:rPr>
        <w:t xml:space="preserve">Australian Government response to the </w:t>
      </w:r>
      <w:r w:rsidRPr="00B81FBC">
        <w:rPr>
          <w:rStyle w:val="scxw126269999"/>
        </w:rPr>
        <w:t> </w:t>
      </w:r>
      <w:r w:rsidRPr="00B81FBC">
        <w:br/>
      </w:r>
      <w:r w:rsidRPr="00B81FBC">
        <w:rPr>
          <w:rStyle w:val="normaltextrun"/>
        </w:rPr>
        <w:t>Senate Select Committee on Job Security reports:</w:t>
      </w:r>
      <w:r w:rsidRPr="00B81FBC">
        <w:rPr>
          <w:rStyle w:val="eop"/>
        </w:rPr>
        <w:t> </w:t>
      </w:r>
    </w:p>
    <w:p w14:paraId="48D3E57F" w14:textId="77777777" w:rsidR="005710D0" w:rsidRDefault="005710D0" w:rsidP="005710D0">
      <w:pPr>
        <w:pStyle w:val="paragraph"/>
        <w:spacing w:before="0" w:beforeAutospacing="0" w:after="0" w:afterAutospacing="0"/>
        <w:jc w:val="center"/>
        <w:textAlignment w:val="baseline"/>
        <w:rPr>
          <w:rFonts w:ascii="Segoe UI" w:hAnsi="Segoe UI" w:cs="Segoe UI"/>
          <w:sz w:val="18"/>
          <w:szCs w:val="18"/>
        </w:rPr>
      </w:pPr>
      <w:r>
        <w:rPr>
          <w:rStyle w:val="eop"/>
          <w:rFonts w:ascii="Calibri" w:eastAsiaTheme="majorEastAsia" w:hAnsi="Calibri" w:cs="Calibri"/>
        </w:rPr>
        <w:t> </w:t>
      </w:r>
    </w:p>
    <w:p w14:paraId="04181022" w14:textId="77777777" w:rsidR="005710D0" w:rsidRDefault="005710D0" w:rsidP="005710D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sz w:val="28"/>
          <w:szCs w:val="28"/>
        </w:rPr>
        <w:t>First Interim Report: On-demand platform work in Australia</w:t>
      </w:r>
      <w:r>
        <w:rPr>
          <w:rStyle w:val="eop"/>
          <w:rFonts w:ascii="Calibri" w:eastAsiaTheme="majorEastAsia" w:hAnsi="Calibri" w:cs="Calibri"/>
          <w:sz w:val="28"/>
          <w:szCs w:val="28"/>
        </w:rPr>
        <w:t> </w:t>
      </w:r>
    </w:p>
    <w:p w14:paraId="2A2F9768" w14:textId="77777777" w:rsidR="005710D0" w:rsidRDefault="005710D0" w:rsidP="005710D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sz w:val="28"/>
          <w:szCs w:val="28"/>
        </w:rPr>
        <w:t>Second Interim Report: Insecurity in publicly funded jobs</w:t>
      </w:r>
      <w:r>
        <w:rPr>
          <w:rStyle w:val="eop"/>
          <w:rFonts w:ascii="Calibri" w:eastAsiaTheme="majorEastAsia" w:hAnsi="Calibri" w:cs="Calibri"/>
          <w:sz w:val="28"/>
          <w:szCs w:val="28"/>
        </w:rPr>
        <w:t> </w:t>
      </w:r>
    </w:p>
    <w:p w14:paraId="7ED04D50" w14:textId="77777777" w:rsidR="005710D0" w:rsidRDefault="005710D0" w:rsidP="005710D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sz w:val="28"/>
          <w:szCs w:val="28"/>
        </w:rPr>
        <w:t>Third Interim Report: Labour hire and contracting</w:t>
      </w:r>
      <w:r>
        <w:rPr>
          <w:rStyle w:val="eop"/>
          <w:rFonts w:ascii="Calibri" w:eastAsiaTheme="majorEastAsia" w:hAnsi="Calibri" w:cs="Calibri"/>
          <w:sz w:val="28"/>
          <w:szCs w:val="28"/>
        </w:rPr>
        <w:t> </w:t>
      </w:r>
    </w:p>
    <w:p w14:paraId="183302C8" w14:textId="77777777" w:rsidR="005710D0" w:rsidRDefault="005710D0" w:rsidP="005710D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sz w:val="28"/>
          <w:szCs w:val="28"/>
        </w:rPr>
        <w:t>Fourth Interim Report: The job insecurity report</w:t>
      </w:r>
      <w:r>
        <w:rPr>
          <w:rStyle w:val="eop"/>
          <w:rFonts w:ascii="Calibri" w:eastAsiaTheme="majorEastAsia" w:hAnsi="Calibri" w:cs="Calibri"/>
          <w:sz w:val="28"/>
          <w:szCs w:val="28"/>
        </w:rPr>
        <w:t> </w:t>
      </w:r>
    </w:p>
    <w:p w14:paraId="77FE6AED" w14:textId="77777777" w:rsidR="005710D0" w:rsidRDefault="005710D0" w:rsidP="005710D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sz w:val="28"/>
          <w:szCs w:val="28"/>
        </w:rPr>
        <w:t>Final Report: Matters of possible privilege</w:t>
      </w:r>
      <w:r>
        <w:rPr>
          <w:rStyle w:val="eop"/>
          <w:rFonts w:ascii="Calibri" w:eastAsiaTheme="majorEastAsia" w:hAnsi="Calibri" w:cs="Calibri"/>
          <w:sz w:val="28"/>
          <w:szCs w:val="28"/>
        </w:rPr>
        <w:t> </w:t>
      </w:r>
    </w:p>
    <w:p w14:paraId="0A705F85" w14:textId="77777777" w:rsidR="007F7DCD" w:rsidRDefault="007F7DCD">
      <w:pPr>
        <w:rPr>
          <w:rFonts w:ascii="Calibri" w:eastAsia="Calibri" w:hAnsi="Calibri" w:cs="Calibri"/>
        </w:rPr>
      </w:pPr>
      <w:r>
        <w:rPr>
          <w:rFonts w:ascii="Calibri" w:eastAsia="Calibri" w:hAnsi="Calibri" w:cs="Calibri"/>
        </w:rPr>
        <w:br w:type="page"/>
      </w:r>
    </w:p>
    <w:p w14:paraId="16F706EC" w14:textId="256503EF" w:rsidR="00807B7A" w:rsidRPr="00B81FBC" w:rsidRDefault="00807B7A" w:rsidP="00B81FBC">
      <w:pPr>
        <w:pStyle w:val="Heading2"/>
      </w:pPr>
      <w:r w:rsidRPr="00B81FBC">
        <w:lastRenderedPageBreak/>
        <w:t>Acknowledgement</w:t>
      </w:r>
    </w:p>
    <w:p w14:paraId="019EA780" w14:textId="238F6C1D" w:rsidR="00B94103" w:rsidRPr="00B94103" w:rsidRDefault="00B94103" w:rsidP="00B94103">
      <w:pPr>
        <w:rPr>
          <w:rFonts w:ascii="Calibri" w:eastAsia="Calibri" w:hAnsi="Calibri" w:cs="Calibri"/>
        </w:rPr>
      </w:pPr>
      <w:r w:rsidRPr="00B94103">
        <w:rPr>
          <w:rFonts w:ascii="Calibri" w:eastAsia="Calibri" w:hAnsi="Calibri" w:cs="Calibri"/>
        </w:rPr>
        <w:t>The Australian Government would like to thank the Senate Select Committee on Job Security for its reports into the extent and nature of insecure employment in Australia. The </w:t>
      </w:r>
      <w:r>
        <w:rPr>
          <w:rFonts w:ascii="Calibri" w:eastAsia="Calibri" w:hAnsi="Calibri" w:cs="Calibri"/>
        </w:rPr>
        <w:t>g</w:t>
      </w:r>
      <w:r w:rsidRPr="00B94103">
        <w:rPr>
          <w:rFonts w:ascii="Calibri" w:eastAsia="Calibri" w:hAnsi="Calibri" w:cs="Calibri"/>
        </w:rPr>
        <w:t xml:space="preserve">overnment also thanks the 231 individuals and organisations who made submissions and those who provided evidence over 27 public hearings. </w:t>
      </w:r>
    </w:p>
    <w:p w14:paraId="34505BC0" w14:textId="176CC467" w:rsidR="00EB5FF9" w:rsidRPr="00EB5FF9" w:rsidRDefault="00EB5FF9" w:rsidP="00B81FBC">
      <w:pPr>
        <w:pStyle w:val="Heading2"/>
      </w:pPr>
      <w:r>
        <w:t>Response</w:t>
      </w:r>
    </w:p>
    <w:p w14:paraId="1409A1C4" w14:textId="78ADE632" w:rsidR="00B94103" w:rsidRPr="00B94103" w:rsidRDefault="00B94103" w:rsidP="00B94103">
      <w:pPr>
        <w:spacing w:after="120" w:line="278" w:lineRule="auto"/>
        <w:rPr>
          <w:rFonts w:ascii="Calibri" w:eastAsia="Calibri" w:hAnsi="Calibri" w:cs="Calibri"/>
        </w:rPr>
      </w:pPr>
      <w:r w:rsidRPr="00B94103">
        <w:rPr>
          <w:rFonts w:ascii="Calibri" w:eastAsia="Calibri" w:hAnsi="Calibri" w:cs="Calibri"/>
        </w:rPr>
        <w:t xml:space="preserve">The </w:t>
      </w:r>
      <w:r w:rsidR="00233EC4">
        <w:rPr>
          <w:rFonts w:ascii="Calibri" w:eastAsia="Calibri" w:hAnsi="Calibri" w:cs="Calibri"/>
        </w:rPr>
        <w:t>g</w:t>
      </w:r>
      <w:r w:rsidRPr="00B94103">
        <w:rPr>
          <w:rFonts w:ascii="Calibri" w:eastAsia="Calibri" w:hAnsi="Calibri" w:cs="Calibri"/>
        </w:rPr>
        <w:t xml:space="preserve">overnment </w:t>
      </w:r>
      <w:r w:rsidRPr="00241536">
        <w:rPr>
          <w:rFonts w:ascii="Calibri" w:eastAsia="Calibri" w:hAnsi="Calibri" w:cs="Calibri"/>
          <w:bCs/>
        </w:rPr>
        <w:t>notes</w:t>
      </w:r>
      <w:r w:rsidRPr="00B94103">
        <w:rPr>
          <w:rFonts w:ascii="Calibri" w:eastAsia="Calibri" w:hAnsi="Calibri" w:cs="Calibri"/>
        </w:rPr>
        <w:t xml:space="preserve"> all recommendations made by the </w:t>
      </w:r>
      <w:r w:rsidR="00233EC4">
        <w:rPr>
          <w:rFonts w:ascii="Calibri" w:eastAsia="Calibri" w:hAnsi="Calibri" w:cs="Calibri"/>
        </w:rPr>
        <w:t>c</w:t>
      </w:r>
      <w:r w:rsidRPr="00B94103">
        <w:rPr>
          <w:rFonts w:ascii="Calibri" w:eastAsia="Calibri" w:hAnsi="Calibri" w:cs="Calibri"/>
        </w:rPr>
        <w:t xml:space="preserve">ommittee in its four interim reports and final report, and the additional recommendations made by Senator Malcolm Roberts in the fourth interim report (the Reports). Since May 2022, the </w:t>
      </w:r>
      <w:r w:rsidR="00233EC4">
        <w:rPr>
          <w:rFonts w:ascii="Calibri" w:eastAsia="Calibri" w:hAnsi="Calibri" w:cs="Calibri"/>
        </w:rPr>
        <w:t>g</w:t>
      </w:r>
      <w:r w:rsidRPr="00B94103">
        <w:rPr>
          <w:rFonts w:ascii="Calibri" w:eastAsia="Calibri" w:hAnsi="Calibri" w:cs="Calibri"/>
        </w:rPr>
        <w:t xml:space="preserve">overnment has </w:t>
      </w:r>
      <w:r w:rsidR="00FC4C44">
        <w:rPr>
          <w:rFonts w:ascii="Calibri" w:eastAsia="Calibri" w:hAnsi="Calibri" w:cs="Calibri"/>
        </w:rPr>
        <w:t>delivered a significant reform agenda</w:t>
      </w:r>
      <w:r w:rsidRPr="00B94103">
        <w:rPr>
          <w:rFonts w:ascii="Calibri" w:eastAsia="Calibri" w:hAnsi="Calibri" w:cs="Calibri"/>
        </w:rPr>
        <w:t xml:space="preserve"> to </w:t>
      </w:r>
      <w:r w:rsidR="00FC4C44">
        <w:rPr>
          <w:rFonts w:ascii="Calibri" w:eastAsia="Calibri" w:hAnsi="Calibri" w:cs="Calibri"/>
        </w:rPr>
        <w:t>support</w:t>
      </w:r>
      <w:r w:rsidR="00FC4C44" w:rsidRPr="00B94103">
        <w:rPr>
          <w:rFonts w:ascii="Calibri" w:eastAsia="Calibri" w:hAnsi="Calibri" w:cs="Calibri"/>
        </w:rPr>
        <w:t xml:space="preserve"> </w:t>
      </w:r>
      <w:r w:rsidRPr="00B94103">
        <w:rPr>
          <w:rFonts w:ascii="Calibri" w:eastAsia="Calibri" w:hAnsi="Calibri" w:cs="Calibri"/>
        </w:rPr>
        <w:t xml:space="preserve">secure jobs, better wages and a fairer workplace relations system. Many of these </w:t>
      </w:r>
      <w:r w:rsidR="00D043B3">
        <w:rPr>
          <w:rFonts w:ascii="Calibri" w:eastAsia="Calibri" w:hAnsi="Calibri" w:cs="Calibri"/>
        </w:rPr>
        <w:t>reforms</w:t>
      </w:r>
      <w:r w:rsidR="00D043B3" w:rsidRPr="00B94103">
        <w:rPr>
          <w:rFonts w:ascii="Calibri" w:eastAsia="Calibri" w:hAnsi="Calibri" w:cs="Calibri"/>
        </w:rPr>
        <w:t xml:space="preserve"> </w:t>
      </w:r>
      <w:r w:rsidR="00C13EC5">
        <w:rPr>
          <w:rFonts w:ascii="Calibri" w:eastAsia="Calibri" w:hAnsi="Calibri" w:cs="Calibri"/>
        </w:rPr>
        <w:t>were</w:t>
      </w:r>
      <w:r w:rsidRPr="00B94103">
        <w:rPr>
          <w:rFonts w:ascii="Calibri" w:eastAsia="Calibri" w:hAnsi="Calibri" w:cs="Calibri"/>
        </w:rPr>
        <w:t xml:space="preserve"> informed by the work and evidence of this </w:t>
      </w:r>
      <w:proofErr w:type="gramStart"/>
      <w:r w:rsidR="00233EC4">
        <w:rPr>
          <w:rFonts w:ascii="Calibri" w:eastAsia="Calibri" w:hAnsi="Calibri" w:cs="Calibri"/>
        </w:rPr>
        <w:t>c</w:t>
      </w:r>
      <w:r w:rsidRPr="00B94103">
        <w:rPr>
          <w:rFonts w:ascii="Calibri" w:eastAsia="Calibri" w:hAnsi="Calibri" w:cs="Calibri"/>
        </w:rPr>
        <w:t>ommittee, and</w:t>
      </w:r>
      <w:proofErr w:type="gramEnd"/>
      <w:r w:rsidRPr="00B94103">
        <w:rPr>
          <w:rFonts w:ascii="Calibri" w:eastAsia="Calibri" w:hAnsi="Calibri" w:cs="Calibri"/>
        </w:rPr>
        <w:t xml:space="preserve"> </w:t>
      </w:r>
      <w:r w:rsidR="00C13EC5">
        <w:rPr>
          <w:rFonts w:ascii="Calibri" w:eastAsia="Calibri" w:hAnsi="Calibri" w:cs="Calibri"/>
        </w:rPr>
        <w:t>implement a substantial number of</w:t>
      </w:r>
      <w:r w:rsidR="00446CA4">
        <w:rPr>
          <w:rFonts w:ascii="Calibri" w:eastAsia="Calibri" w:hAnsi="Calibri" w:cs="Calibri"/>
        </w:rPr>
        <w:t xml:space="preserve"> </w:t>
      </w:r>
      <w:r w:rsidR="006B5D36">
        <w:rPr>
          <w:rFonts w:ascii="Calibri" w:eastAsia="Calibri" w:hAnsi="Calibri" w:cs="Calibri"/>
        </w:rPr>
        <w:t>its</w:t>
      </w:r>
      <w:r w:rsidR="006B5D36" w:rsidRPr="00B94103">
        <w:rPr>
          <w:rFonts w:ascii="Calibri" w:eastAsia="Calibri" w:hAnsi="Calibri" w:cs="Calibri"/>
        </w:rPr>
        <w:t xml:space="preserve"> </w:t>
      </w:r>
      <w:r w:rsidRPr="00B94103">
        <w:rPr>
          <w:rFonts w:ascii="Calibri" w:eastAsia="Calibri" w:hAnsi="Calibri" w:cs="Calibri"/>
        </w:rPr>
        <w:t>recommendations</w:t>
      </w:r>
      <w:r w:rsidR="006B5D36">
        <w:rPr>
          <w:rFonts w:ascii="Calibri" w:eastAsia="Calibri" w:hAnsi="Calibri" w:cs="Calibri"/>
        </w:rPr>
        <w:t>.</w:t>
      </w:r>
    </w:p>
    <w:p w14:paraId="508F9932" w14:textId="190382C7" w:rsidR="00B94103" w:rsidRPr="00B94103" w:rsidRDefault="00B94103" w:rsidP="00B94103">
      <w:pPr>
        <w:spacing w:after="120" w:line="278" w:lineRule="auto"/>
        <w:rPr>
          <w:rFonts w:ascii="Calibri" w:eastAsia="Calibri" w:hAnsi="Calibri" w:cs="Calibri"/>
        </w:rPr>
      </w:pPr>
      <w:r w:rsidRPr="00B94103">
        <w:rPr>
          <w:rFonts w:ascii="Calibri" w:eastAsia="Calibri" w:hAnsi="Calibri" w:cs="Calibri"/>
        </w:rPr>
        <w:t>As a result of the passage of time since the Reports were tabled and the</w:t>
      </w:r>
      <w:r w:rsidR="00066D3A">
        <w:rPr>
          <w:rFonts w:ascii="Calibri" w:eastAsia="Calibri" w:hAnsi="Calibri" w:cs="Calibri"/>
        </w:rPr>
        <w:t xml:space="preserve"> significant</w:t>
      </w:r>
      <w:r w:rsidRPr="00B94103">
        <w:rPr>
          <w:rFonts w:ascii="Calibri" w:eastAsia="Calibri" w:hAnsi="Calibri" w:cs="Calibri"/>
        </w:rPr>
        <w:t xml:space="preserve"> action</w:t>
      </w:r>
      <w:r w:rsidR="005A2DA0">
        <w:rPr>
          <w:rFonts w:ascii="Calibri" w:eastAsia="Calibri" w:hAnsi="Calibri" w:cs="Calibri"/>
        </w:rPr>
        <w:t>s</w:t>
      </w:r>
      <w:r w:rsidRPr="00B94103">
        <w:rPr>
          <w:rFonts w:ascii="Calibri" w:eastAsia="Calibri" w:hAnsi="Calibri" w:cs="Calibri"/>
        </w:rPr>
        <w:t xml:space="preserve"> taken by the </w:t>
      </w:r>
      <w:r w:rsidR="00233EC4">
        <w:rPr>
          <w:rFonts w:ascii="Calibri" w:eastAsia="Calibri" w:hAnsi="Calibri" w:cs="Calibri"/>
        </w:rPr>
        <w:t>g</w:t>
      </w:r>
      <w:r w:rsidRPr="00B94103">
        <w:rPr>
          <w:rFonts w:ascii="Calibri" w:eastAsia="Calibri" w:hAnsi="Calibri" w:cs="Calibri"/>
        </w:rPr>
        <w:t xml:space="preserve">overnment to respond to key issues raised in the Reports, outlined below, a substantive </w:t>
      </w:r>
      <w:r w:rsidR="00233EC4">
        <w:rPr>
          <w:rFonts w:ascii="Calibri" w:eastAsia="Calibri" w:hAnsi="Calibri" w:cs="Calibri"/>
        </w:rPr>
        <w:t>g</w:t>
      </w:r>
      <w:r w:rsidRPr="00B94103">
        <w:rPr>
          <w:rFonts w:ascii="Calibri" w:eastAsia="Calibri" w:hAnsi="Calibri" w:cs="Calibri"/>
        </w:rPr>
        <w:t>overnment response is no longer appropriate.</w:t>
      </w:r>
    </w:p>
    <w:p w14:paraId="07263D8F" w14:textId="447BF6C1" w:rsidR="00B94103" w:rsidRPr="00B94103" w:rsidRDefault="00B94103" w:rsidP="00B81FBC">
      <w:pPr>
        <w:pStyle w:val="Heading2"/>
        <w:spacing w:after="120" w:line="278" w:lineRule="auto"/>
      </w:pPr>
      <w:r>
        <w:t>Outline of reforms relevant to the recommendations of the reports</w:t>
      </w:r>
    </w:p>
    <w:p w14:paraId="67136626" w14:textId="61CCC173" w:rsidR="00F2161B" w:rsidRPr="00893781" w:rsidRDefault="00F2161B" w:rsidP="00893781">
      <w:pPr>
        <w:pStyle w:val="Heading3"/>
      </w:pPr>
      <w:r w:rsidRPr="00893781">
        <w:t>Workplace relations</w:t>
      </w:r>
    </w:p>
    <w:p w14:paraId="184D5EF9" w14:textId="28723960" w:rsidR="00B94103" w:rsidRPr="00530D7A" w:rsidRDefault="00B94103" w:rsidP="00B94103">
      <w:pPr>
        <w:rPr>
          <w:rFonts w:ascii="Calibri" w:eastAsia="Calibri" w:hAnsi="Calibri" w:cs="Calibri"/>
        </w:rPr>
      </w:pPr>
      <w:r>
        <w:rPr>
          <w:rFonts w:ascii="Calibri" w:eastAsia="Calibri" w:hAnsi="Calibri" w:cs="Calibri"/>
        </w:rPr>
        <w:t>The</w:t>
      </w:r>
      <w:r w:rsidRPr="006324FD">
        <w:rPr>
          <w:rFonts w:ascii="Calibri" w:eastAsia="Calibri" w:hAnsi="Calibri" w:cs="Calibri"/>
        </w:rPr>
        <w:t xml:space="preserve"> </w:t>
      </w:r>
      <w:r w:rsidRPr="5D0D20F3">
        <w:rPr>
          <w:rFonts w:ascii="Calibri" w:eastAsia="Calibri" w:hAnsi="Calibri" w:cs="Calibri"/>
          <w:i/>
          <w:iCs/>
        </w:rPr>
        <w:t>Fair Work Legislation Amendment (Secure Jobs, Better Pay) Act 2022</w:t>
      </w:r>
      <w:r>
        <w:rPr>
          <w:rFonts w:ascii="Calibri" w:eastAsia="Calibri" w:hAnsi="Calibri" w:cs="Calibri"/>
        </w:rPr>
        <w:t xml:space="preserve"> introduces a suite of measures</w:t>
      </w:r>
      <w:r w:rsidRPr="006324FD" w:rsidDel="000D1B50">
        <w:rPr>
          <w:rFonts w:ascii="Calibri" w:eastAsia="Calibri" w:hAnsi="Calibri" w:cs="Calibri"/>
        </w:rPr>
        <w:t xml:space="preserve"> </w:t>
      </w:r>
      <w:r>
        <w:rPr>
          <w:rFonts w:ascii="Calibri" w:eastAsia="Calibri" w:hAnsi="Calibri" w:cs="Calibri"/>
        </w:rPr>
        <w:t>to reinvigorate enterprise bargaining</w:t>
      </w:r>
      <w:r w:rsidRPr="006324FD">
        <w:rPr>
          <w:rFonts w:ascii="Calibri" w:eastAsia="Calibri" w:hAnsi="Calibri" w:cs="Calibri"/>
        </w:rPr>
        <w:t>.</w:t>
      </w:r>
      <w:r w:rsidR="000833D1">
        <w:rPr>
          <w:rStyle w:val="FootnoteReference"/>
          <w:rFonts w:ascii="Calibri" w:eastAsia="Calibri" w:hAnsi="Calibri" w:cs="Calibri"/>
        </w:rPr>
        <w:footnoteReference w:id="2"/>
      </w:r>
      <w:r>
        <w:rPr>
          <w:rFonts w:ascii="Calibri" w:eastAsia="Calibri" w:hAnsi="Calibri" w:cs="Calibri"/>
        </w:rPr>
        <w:t xml:space="preserve"> </w:t>
      </w:r>
      <w:r>
        <w:rPr>
          <w:rFonts w:ascii="Calibri" w:eastAsia="Calibri" w:hAnsi="Calibri" w:cs="Calibri"/>
          <w:color w:val="000000" w:themeColor="text1"/>
        </w:rPr>
        <w:t xml:space="preserve">A key aim of these reforms was to extend the benefits of bargaining throughout the workforce, with a particular focus on low-paid sectors. </w:t>
      </w:r>
      <w:r>
        <w:rPr>
          <w:rFonts w:ascii="Calibri" w:eastAsia="Calibri" w:hAnsi="Calibri" w:cs="Calibri"/>
        </w:rPr>
        <w:t xml:space="preserve">This Act also places limitations on the use of </w:t>
      </w:r>
      <w:proofErr w:type="gramStart"/>
      <w:r>
        <w:rPr>
          <w:rFonts w:ascii="Calibri" w:eastAsia="Calibri" w:hAnsi="Calibri" w:cs="Calibri"/>
        </w:rPr>
        <w:t>fixed-term</w:t>
      </w:r>
      <w:proofErr w:type="gramEnd"/>
      <w:r>
        <w:rPr>
          <w:rFonts w:ascii="Calibri" w:eastAsia="Calibri" w:hAnsi="Calibri" w:cs="Calibri"/>
        </w:rPr>
        <w:t xml:space="preserve"> contracts,</w:t>
      </w:r>
      <w:r w:rsidRPr="00CB1161">
        <w:rPr>
          <w:rFonts w:ascii="Calibri" w:eastAsia="Calibri" w:hAnsi="Calibri" w:cs="Calibri"/>
        </w:rPr>
        <w:t xml:space="preserve"> </w:t>
      </w:r>
      <w:r>
        <w:rPr>
          <w:rFonts w:ascii="Calibri" w:eastAsia="Calibri" w:hAnsi="Calibri" w:cs="Calibri"/>
        </w:rPr>
        <w:t>embeds the principles of job security and gender equality in the Fair Work Commission’s decision</w:t>
      </w:r>
      <w:r>
        <w:rPr>
          <w:rFonts w:ascii="Calibri" w:eastAsia="Calibri" w:hAnsi="Calibri" w:cs="Calibri"/>
        </w:rPr>
        <w:noBreakHyphen/>
        <w:t xml:space="preserve">making processes, and strengthens protections against discrimination. The </w:t>
      </w:r>
      <w:r w:rsidRPr="5D0D20F3">
        <w:rPr>
          <w:rFonts w:ascii="Calibri" w:eastAsia="Calibri" w:hAnsi="Calibri" w:cs="Calibri"/>
          <w:i/>
          <w:iCs/>
        </w:rPr>
        <w:t xml:space="preserve">Fair Work Legislation Amendment (Closing Loopholes) Act 2023 </w:t>
      </w:r>
      <w:r>
        <w:rPr>
          <w:rFonts w:ascii="Calibri" w:eastAsia="Calibri" w:hAnsi="Calibri" w:cs="Calibri"/>
        </w:rPr>
        <w:t>closed the labour hire loophole, criminalised intentional wage theft and improves workplace safety</w:t>
      </w:r>
      <w:r w:rsidRPr="5D0D20F3">
        <w:rPr>
          <w:rFonts w:ascii="Calibri" w:eastAsia="Calibri" w:hAnsi="Calibri" w:cs="Calibri"/>
          <w:i/>
          <w:iCs/>
        </w:rPr>
        <w:t>.</w:t>
      </w:r>
      <w:r w:rsidR="000833D1">
        <w:rPr>
          <w:rStyle w:val="FootnoteReference"/>
          <w:rFonts w:ascii="Calibri" w:eastAsia="Calibri" w:hAnsi="Calibri" w:cs="Calibri"/>
          <w:i/>
          <w:iCs/>
        </w:rPr>
        <w:footnoteReference w:id="3"/>
      </w:r>
      <w:r w:rsidRPr="5D0D20F3">
        <w:rPr>
          <w:rFonts w:ascii="Calibri" w:eastAsia="Calibri" w:hAnsi="Calibri" w:cs="Calibri"/>
          <w:i/>
          <w:iCs/>
        </w:rPr>
        <w:t xml:space="preserve"> </w:t>
      </w:r>
    </w:p>
    <w:p w14:paraId="6B414188" w14:textId="2CE7A751" w:rsidR="00B94103" w:rsidRDefault="00B94103" w:rsidP="00B94103">
      <w:pPr>
        <w:rPr>
          <w:rFonts w:ascii="Calibri" w:eastAsia="Calibri" w:hAnsi="Calibri" w:cs="Calibri"/>
        </w:rPr>
      </w:pPr>
      <w:r w:rsidRPr="339B7817">
        <w:rPr>
          <w:rFonts w:ascii="Calibri" w:eastAsia="Calibri" w:hAnsi="Calibri" w:cs="Calibri"/>
        </w:rPr>
        <w:t xml:space="preserve">The </w:t>
      </w:r>
      <w:r w:rsidRPr="339B7817">
        <w:rPr>
          <w:rFonts w:ascii="Calibri" w:eastAsia="Calibri" w:hAnsi="Calibri" w:cs="Calibri"/>
          <w:i/>
          <w:iCs/>
        </w:rPr>
        <w:t>Fair Work Legislation Amendment (Closing Loopholes No. 2) Act 2024</w:t>
      </w:r>
      <w:r w:rsidR="000833D1">
        <w:rPr>
          <w:rStyle w:val="FootnoteReference"/>
          <w:rFonts w:ascii="Calibri" w:eastAsia="Calibri" w:hAnsi="Calibri" w:cs="Calibri"/>
          <w:i/>
          <w:iCs/>
        </w:rPr>
        <w:footnoteReference w:id="4"/>
      </w:r>
      <w:r w:rsidRPr="339B7817">
        <w:rPr>
          <w:rFonts w:ascii="Calibri" w:eastAsia="Calibri" w:hAnsi="Calibri" w:cs="Calibri"/>
        </w:rPr>
        <w:t xml:space="preserve"> enables the Fair Work</w:t>
      </w:r>
      <w:r>
        <w:rPr>
          <w:rFonts w:ascii="Calibri" w:eastAsia="Calibri" w:hAnsi="Calibri" w:cs="Calibri"/>
        </w:rPr>
        <w:t> </w:t>
      </w:r>
      <w:r w:rsidRPr="339B7817">
        <w:rPr>
          <w:rFonts w:ascii="Calibri" w:eastAsia="Calibri" w:hAnsi="Calibri" w:cs="Calibri"/>
        </w:rPr>
        <w:t xml:space="preserve">Commission to hear disputes about unfair contract terms in services contracts, set minimum standards for employee-like workers and set minimum standards to ensure the road transport industry is safe, sustainable, and viable. This Act sets a fairer test for determining whether a person is an independent contractor or an employee. </w:t>
      </w:r>
      <w:r w:rsidRPr="32ECA2B5">
        <w:rPr>
          <w:rFonts w:ascii="Calibri" w:eastAsia="Calibri" w:hAnsi="Calibri" w:cs="Calibri"/>
        </w:rPr>
        <w:t xml:space="preserve">It </w:t>
      </w:r>
      <w:r>
        <w:rPr>
          <w:rStyle w:val="normaltextrun"/>
          <w:rFonts w:ascii="Calibri" w:hAnsi="Calibri" w:cs="Calibri"/>
          <w:color w:val="000000"/>
        </w:rPr>
        <w:t xml:space="preserve">also introduces an employee right to disconnect, </w:t>
      </w:r>
      <w:r>
        <w:rPr>
          <w:rFonts w:ascii="Calibri" w:eastAsia="Calibri" w:hAnsi="Calibri" w:cs="Calibri"/>
        </w:rPr>
        <w:t>establishes</w:t>
      </w:r>
      <w:r w:rsidRPr="339B7817">
        <w:rPr>
          <w:rFonts w:ascii="Calibri" w:eastAsia="Calibri" w:hAnsi="Calibri" w:cs="Calibri"/>
        </w:rPr>
        <w:t xml:space="preserve"> a fair and objective definition of </w:t>
      </w:r>
      <w:r>
        <w:rPr>
          <w:rFonts w:ascii="Calibri" w:eastAsia="Calibri" w:hAnsi="Calibri" w:cs="Calibri"/>
        </w:rPr>
        <w:t>‘</w:t>
      </w:r>
      <w:r w:rsidRPr="339B7817">
        <w:rPr>
          <w:rFonts w:ascii="Calibri" w:eastAsia="Calibri" w:hAnsi="Calibri" w:cs="Calibri"/>
        </w:rPr>
        <w:t>casual employee</w:t>
      </w:r>
      <w:r>
        <w:rPr>
          <w:rFonts w:ascii="Calibri" w:eastAsia="Calibri" w:hAnsi="Calibri" w:cs="Calibri"/>
        </w:rPr>
        <w:t>’</w:t>
      </w:r>
      <w:r w:rsidRPr="339B7817">
        <w:rPr>
          <w:rFonts w:ascii="Calibri" w:eastAsia="Calibri" w:hAnsi="Calibri" w:cs="Calibri"/>
        </w:rPr>
        <w:t xml:space="preserve"> </w:t>
      </w:r>
      <w:r>
        <w:rPr>
          <w:rFonts w:ascii="Calibri" w:eastAsia="Calibri" w:hAnsi="Calibri" w:cs="Calibri"/>
        </w:rPr>
        <w:t xml:space="preserve">reflecting the practical reality of the employment relationship </w:t>
      </w:r>
      <w:r w:rsidRPr="339B7817">
        <w:rPr>
          <w:rFonts w:ascii="Calibri" w:eastAsia="Calibri" w:hAnsi="Calibri" w:cs="Calibri"/>
        </w:rPr>
        <w:t xml:space="preserve">and gives casual employees </w:t>
      </w:r>
      <w:r>
        <w:rPr>
          <w:rFonts w:ascii="Calibri" w:eastAsia="Calibri" w:hAnsi="Calibri" w:cs="Calibri"/>
        </w:rPr>
        <w:t>a</w:t>
      </w:r>
      <w:r w:rsidRPr="339B7817">
        <w:rPr>
          <w:rFonts w:ascii="Calibri" w:eastAsia="Calibri" w:hAnsi="Calibri" w:cs="Calibri"/>
        </w:rPr>
        <w:t xml:space="preserve"> clear and simple pathway to permanency.  </w:t>
      </w:r>
    </w:p>
    <w:p w14:paraId="417BFEC2" w14:textId="3946CE98" w:rsidR="00B94103" w:rsidRDefault="00B94103" w:rsidP="00B94103">
      <w:pPr>
        <w:pStyle w:val="paragraph"/>
        <w:spacing w:after="200" w:line="288" w:lineRule="auto"/>
        <w:textAlignment w:val="baseline"/>
        <w:rPr>
          <w:rFonts w:ascii="Segoe UI" w:hAnsi="Segoe UI" w:cs="Segoe UI"/>
          <w:sz w:val="18"/>
          <w:szCs w:val="18"/>
        </w:rPr>
      </w:pPr>
      <w:r>
        <w:rPr>
          <w:rStyle w:val="normaltextrun"/>
          <w:rFonts w:ascii="Calibri" w:eastAsiaTheme="majorEastAsia" w:hAnsi="Calibri" w:cs="Calibri"/>
          <w:lang w:val="en-GB"/>
        </w:rPr>
        <w:lastRenderedPageBreak/>
        <w:t xml:space="preserve">Through Safe Work Australia, the </w:t>
      </w:r>
      <w:r w:rsidR="00233EC4">
        <w:rPr>
          <w:rStyle w:val="normaltextrun"/>
          <w:rFonts w:ascii="Calibri" w:eastAsiaTheme="majorEastAsia" w:hAnsi="Calibri" w:cs="Calibri"/>
          <w:lang w:val="en-GB"/>
        </w:rPr>
        <w:t>g</w:t>
      </w:r>
      <w:r>
        <w:rPr>
          <w:rStyle w:val="normaltextrun"/>
          <w:rFonts w:ascii="Calibri" w:eastAsiaTheme="majorEastAsia" w:hAnsi="Calibri" w:cs="Calibri"/>
          <w:lang w:val="en-GB"/>
        </w:rPr>
        <w:t xml:space="preserve">overnment is also contributing to projects to develop a national policy approach to workers compensation and the gig economy and ensure the primary duty of care under work health and safety laws applies effectively to modern work arrangements, including the gig economy. This work is being progressed through Safe Work Australia’s tripartite processes involving worker and employer representatives, in addition to state and territory governments. </w:t>
      </w:r>
    </w:p>
    <w:p w14:paraId="0C40C35D" w14:textId="4AF18B7B" w:rsidR="00DD1233" w:rsidRDefault="00DD1233" w:rsidP="00893781">
      <w:pPr>
        <w:pStyle w:val="Heading3"/>
      </w:pPr>
      <w:r>
        <w:t>Care and support workforce</w:t>
      </w:r>
    </w:p>
    <w:p w14:paraId="5497F242" w14:textId="10698441" w:rsidR="00B94103" w:rsidRPr="00811947" w:rsidRDefault="00B94103" w:rsidP="00B94103">
      <w:pPr>
        <w:rPr>
          <w:rFonts w:ascii="Calibri" w:eastAsia="Calibri" w:hAnsi="Calibri" w:cs="Calibri"/>
        </w:rPr>
      </w:pPr>
      <w:r w:rsidRPr="5AD4EA0C">
        <w:rPr>
          <w:rFonts w:ascii="Calibri" w:eastAsia="Calibri" w:hAnsi="Calibri" w:cs="Calibri"/>
        </w:rPr>
        <w:t xml:space="preserve">The </w:t>
      </w:r>
      <w:r>
        <w:rPr>
          <w:rFonts w:ascii="Calibri" w:eastAsia="Calibri" w:hAnsi="Calibri" w:cs="Calibri"/>
        </w:rPr>
        <w:t>g</w:t>
      </w:r>
      <w:r w:rsidRPr="5AD4EA0C">
        <w:rPr>
          <w:rFonts w:ascii="Calibri" w:eastAsia="Calibri" w:hAnsi="Calibri" w:cs="Calibri"/>
        </w:rPr>
        <w:t xml:space="preserve">overnment </w:t>
      </w:r>
      <w:r>
        <w:rPr>
          <w:rFonts w:ascii="Calibri" w:eastAsia="Calibri" w:hAnsi="Calibri" w:cs="Calibri"/>
        </w:rPr>
        <w:t xml:space="preserve">is </w:t>
      </w:r>
      <w:r w:rsidRPr="5AD4EA0C">
        <w:rPr>
          <w:rFonts w:ascii="Calibri" w:eastAsia="Calibri" w:hAnsi="Calibri" w:cs="Calibri"/>
        </w:rPr>
        <w:t>investing</w:t>
      </w:r>
      <w:r>
        <w:rPr>
          <w:rFonts w:ascii="Calibri" w:eastAsia="Calibri" w:hAnsi="Calibri" w:cs="Calibri"/>
        </w:rPr>
        <w:t xml:space="preserve"> in the care and support workforce </w:t>
      </w:r>
      <w:r w:rsidRPr="5AD4EA0C">
        <w:rPr>
          <w:rFonts w:ascii="Calibri" w:eastAsia="Calibri" w:hAnsi="Calibri" w:cs="Calibri"/>
        </w:rPr>
        <w:t>to make sure we can provide sustainable, high-quality care and support for Australians.</w:t>
      </w:r>
      <w:r>
        <w:rPr>
          <w:rFonts w:ascii="Calibri" w:eastAsia="Calibri" w:hAnsi="Calibri" w:cs="Calibri"/>
        </w:rPr>
        <w:t xml:space="preserve"> </w:t>
      </w:r>
      <w:r w:rsidRPr="503909FB">
        <w:rPr>
          <w:rFonts w:ascii="Calibri" w:eastAsia="Calibri" w:hAnsi="Calibri" w:cs="Calibri"/>
        </w:rPr>
        <w:t xml:space="preserve">The </w:t>
      </w:r>
      <w:r>
        <w:rPr>
          <w:rFonts w:ascii="Calibri" w:eastAsia="Calibri" w:hAnsi="Calibri" w:cs="Calibri"/>
        </w:rPr>
        <w:t>g</w:t>
      </w:r>
      <w:r w:rsidRPr="503909FB">
        <w:rPr>
          <w:rFonts w:ascii="Calibri" w:eastAsia="Calibri" w:hAnsi="Calibri" w:cs="Calibri"/>
        </w:rPr>
        <w:t xml:space="preserve">overnment </w:t>
      </w:r>
      <w:r>
        <w:rPr>
          <w:rFonts w:ascii="Calibri" w:eastAsia="Calibri" w:hAnsi="Calibri" w:cs="Calibri"/>
        </w:rPr>
        <w:t>has supported</w:t>
      </w:r>
      <w:r w:rsidRPr="503909FB">
        <w:rPr>
          <w:rFonts w:ascii="Calibri" w:eastAsia="Calibri" w:hAnsi="Calibri" w:cs="Calibri"/>
        </w:rPr>
        <w:t xml:space="preserve"> the wage increases determined by the Fair Work Commission in the Aged Care Work Value case and is delivering $11.3 billion to fund the interim 15% award wage increase in response to the Stage 2 decision of the case. The </w:t>
      </w:r>
      <w:r>
        <w:rPr>
          <w:rFonts w:ascii="Calibri" w:eastAsia="Calibri" w:hAnsi="Calibri" w:cs="Calibri"/>
        </w:rPr>
        <w:t>g</w:t>
      </w:r>
      <w:r w:rsidRPr="503909FB">
        <w:rPr>
          <w:rFonts w:ascii="Calibri" w:eastAsia="Calibri" w:hAnsi="Calibri" w:cs="Calibri"/>
        </w:rPr>
        <w:t>overnment has committed to provide</w:t>
      </w:r>
      <w:r>
        <w:rPr>
          <w:rFonts w:ascii="Calibri" w:eastAsia="Calibri" w:hAnsi="Calibri" w:cs="Calibri"/>
        </w:rPr>
        <w:t xml:space="preserve"> a further $3.8 billion to fund increases </w:t>
      </w:r>
      <w:r w:rsidRPr="503909FB">
        <w:rPr>
          <w:rFonts w:ascii="Calibri" w:eastAsia="Calibri" w:hAnsi="Calibri" w:cs="Calibri"/>
        </w:rPr>
        <w:t>outlined in the Stage 3 decision of the case.</w:t>
      </w:r>
      <w:r>
        <w:rPr>
          <w:rFonts w:ascii="Calibri" w:eastAsia="Calibri" w:hAnsi="Calibri" w:cs="Calibri"/>
        </w:rPr>
        <w:t xml:space="preserve"> </w:t>
      </w:r>
      <w:r w:rsidRPr="00811947">
        <w:rPr>
          <w:rFonts w:ascii="Calibri" w:eastAsia="Calibri" w:hAnsi="Calibri" w:cs="Calibri"/>
        </w:rPr>
        <w:t xml:space="preserve">The </w:t>
      </w:r>
      <w:r w:rsidR="00233EC4">
        <w:rPr>
          <w:rFonts w:ascii="Calibri" w:eastAsia="Calibri" w:hAnsi="Calibri" w:cs="Calibri"/>
        </w:rPr>
        <w:t>g</w:t>
      </w:r>
      <w:r w:rsidRPr="00811947">
        <w:rPr>
          <w:rFonts w:ascii="Calibri" w:eastAsia="Calibri" w:hAnsi="Calibri" w:cs="Calibri"/>
        </w:rPr>
        <w:t xml:space="preserve">overnment has also committed to a direct employment preference in aged care and is monitoring of the use of indirect employment by providers through Quarterly Financial Reporting and the Aged Care Workforce Provider Survey. </w:t>
      </w:r>
    </w:p>
    <w:p w14:paraId="69A56CF6" w14:textId="68C1850B" w:rsidR="00B94103" w:rsidRPr="00B94103" w:rsidRDefault="00B94103" w:rsidP="00B94103">
      <w:pPr>
        <w:rPr>
          <w:rFonts w:ascii="Calibri" w:eastAsia="Calibri" w:hAnsi="Calibri" w:cs="Calibri"/>
        </w:rPr>
      </w:pPr>
      <w:r w:rsidRPr="2B40A9DD">
        <w:rPr>
          <w:rFonts w:ascii="Calibri" w:eastAsia="Calibri" w:hAnsi="Calibri" w:cs="Calibri"/>
        </w:rPr>
        <w:t xml:space="preserve">The </w:t>
      </w:r>
      <w:r>
        <w:rPr>
          <w:rFonts w:ascii="Calibri" w:eastAsia="Calibri" w:hAnsi="Calibri" w:cs="Calibri"/>
        </w:rPr>
        <w:t>g</w:t>
      </w:r>
      <w:r w:rsidRPr="2B40A9DD">
        <w:rPr>
          <w:rFonts w:ascii="Calibri" w:eastAsia="Calibri" w:hAnsi="Calibri" w:cs="Calibri"/>
        </w:rPr>
        <w:t xml:space="preserve">overnment is committed to building a stronger National Disability Insurance Scheme (NDIS) workforce and service provider market to support NDIS participants to achieve their goals and receive consistent high-quality care. The </w:t>
      </w:r>
      <w:r>
        <w:rPr>
          <w:rFonts w:ascii="Calibri" w:eastAsia="Calibri" w:hAnsi="Calibri" w:cs="Calibri"/>
        </w:rPr>
        <w:t>g</w:t>
      </w:r>
      <w:r w:rsidRPr="2B40A9DD">
        <w:rPr>
          <w:rFonts w:ascii="Calibri" w:eastAsia="Calibri" w:hAnsi="Calibri" w:cs="Calibri"/>
        </w:rPr>
        <w:t>overnment is taking actions to support this commitment, such as through responding to the NDIS Review</w:t>
      </w:r>
      <w:r w:rsidR="007252C2">
        <w:rPr>
          <w:rStyle w:val="FootnoteReference"/>
          <w:rFonts w:ascii="Calibri" w:eastAsia="Calibri" w:hAnsi="Calibri" w:cs="Calibri"/>
        </w:rPr>
        <w:footnoteReference w:id="5"/>
      </w:r>
      <w:r w:rsidRPr="2B40A9DD">
        <w:rPr>
          <w:rFonts w:ascii="Calibri" w:eastAsia="Calibri" w:hAnsi="Calibri" w:cs="Calibri"/>
        </w:rPr>
        <w:t xml:space="preserve"> recommendations and the </w:t>
      </w:r>
      <w:r>
        <w:rPr>
          <w:rFonts w:ascii="Calibri" w:eastAsia="Calibri" w:hAnsi="Calibri" w:cs="Calibri"/>
        </w:rPr>
        <w:t>findings of the Royal Commission into Violence, Abuse, Neglect and Exploitation of People with Disability.</w:t>
      </w:r>
      <w:r w:rsidR="007252C2">
        <w:rPr>
          <w:rStyle w:val="FootnoteReference"/>
          <w:rFonts w:ascii="Calibri" w:eastAsia="Calibri" w:hAnsi="Calibri" w:cs="Calibri"/>
        </w:rPr>
        <w:footnoteReference w:id="6"/>
      </w:r>
      <w:r>
        <w:rPr>
          <w:rFonts w:ascii="Calibri" w:eastAsia="Calibri" w:hAnsi="Calibri" w:cs="Calibri"/>
        </w:rPr>
        <w:t xml:space="preserve"> </w:t>
      </w:r>
    </w:p>
    <w:p w14:paraId="7C02BF5F" w14:textId="062484C3" w:rsidR="00DD1233" w:rsidRPr="002528BD" w:rsidRDefault="00DD1233" w:rsidP="00893781">
      <w:pPr>
        <w:pStyle w:val="Heading3"/>
      </w:pPr>
      <w:r>
        <w:t>Higher education</w:t>
      </w:r>
      <w:r w:rsidR="000A497B">
        <w:t xml:space="preserve"> </w:t>
      </w:r>
    </w:p>
    <w:p w14:paraId="56E7C78A" w14:textId="50AA213E" w:rsidR="00F16D6B" w:rsidRDefault="00B94103" w:rsidP="00B94103">
      <w:pPr>
        <w:rPr>
          <w:rFonts w:ascii="Calibri" w:eastAsia="Calibri" w:hAnsi="Calibri" w:cs="Calibri"/>
        </w:rPr>
      </w:pPr>
      <w:r w:rsidRPr="08E2D546">
        <w:rPr>
          <w:rFonts w:ascii="Calibri" w:eastAsia="Calibri" w:hAnsi="Calibri" w:cs="Calibri"/>
        </w:rPr>
        <w:t xml:space="preserve">The </w:t>
      </w:r>
      <w:r>
        <w:rPr>
          <w:rFonts w:ascii="Calibri" w:eastAsia="Calibri" w:hAnsi="Calibri" w:cs="Calibri"/>
        </w:rPr>
        <w:t>g</w:t>
      </w:r>
      <w:r w:rsidRPr="08E2D546">
        <w:rPr>
          <w:rFonts w:ascii="Calibri" w:eastAsia="Calibri" w:hAnsi="Calibri" w:cs="Calibri"/>
        </w:rPr>
        <w:t>overnment is committed to growing secure and better paid jobs in the higher education sector. Issues of job security in higher education have been considered in consultation with the sector and stakeholders through the Australian Universities Accord</w:t>
      </w:r>
      <w:r w:rsidR="0048052F">
        <w:rPr>
          <w:rFonts w:ascii="Calibri" w:eastAsia="Calibri" w:hAnsi="Calibri" w:cs="Calibri"/>
        </w:rPr>
        <w:t xml:space="preserve"> (the Accord)</w:t>
      </w:r>
      <w:r w:rsidR="00F16D6B">
        <w:rPr>
          <w:rFonts w:ascii="Calibri" w:eastAsia="Calibri" w:hAnsi="Calibri" w:cs="Calibri"/>
        </w:rPr>
        <w:t>.</w:t>
      </w:r>
      <w:r w:rsidRPr="08E2D546">
        <w:rPr>
          <w:rFonts w:ascii="Calibri" w:eastAsia="Calibri" w:hAnsi="Calibri" w:cs="Calibri"/>
        </w:rPr>
        <w:t xml:space="preserve"> </w:t>
      </w:r>
      <w:r w:rsidR="00F16D6B">
        <w:rPr>
          <w:rFonts w:ascii="Calibri" w:eastAsia="Calibri" w:hAnsi="Calibri" w:cs="Calibri"/>
        </w:rPr>
        <w:t>A panel of eminent Australians led a</w:t>
      </w:r>
      <w:r w:rsidRPr="08E2D546">
        <w:rPr>
          <w:rFonts w:ascii="Calibri" w:eastAsia="Calibri" w:hAnsi="Calibri" w:cs="Calibri"/>
        </w:rPr>
        <w:t xml:space="preserve"> 12-month review of Australia’s higher education system to drive lasting and transformational reform in the higher education sector. </w:t>
      </w:r>
    </w:p>
    <w:p w14:paraId="0970845E" w14:textId="7797C2B6" w:rsidR="0099133B" w:rsidRDefault="00F16D6B" w:rsidP="00F16D6B">
      <w:pPr>
        <w:rPr>
          <w:rFonts w:ascii="Calibri" w:eastAsia="Calibri" w:hAnsi="Calibri" w:cs="Calibri"/>
        </w:rPr>
      </w:pPr>
      <w:r>
        <w:rPr>
          <w:rFonts w:ascii="Calibri" w:eastAsia="Calibri" w:hAnsi="Calibri" w:cs="Calibri"/>
        </w:rPr>
        <w:t>The government is acting on the priority actions</w:t>
      </w:r>
      <w:r w:rsidR="00403B35">
        <w:rPr>
          <w:rStyle w:val="FootnoteReference"/>
          <w:rFonts w:ascii="Calibri" w:eastAsia="Calibri" w:hAnsi="Calibri" w:cs="Calibri"/>
        </w:rPr>
        <w:footnoteReference w:id="7"/>
      </w:r>
      <w:r>
        <w:rPr>
          <w:rFonts w:ascii="Calibri" w:eastAsia="Calibri" w:hAnsi="Calibri" w:cs="Calibri"/>
        </w:rPr>
        <w:t xml:space="preserve"> outlined in the Accord Interim Report, which include</w:t>
      </w:r>
      <w:r w:rsidRPr="0056765C">
        <w:rPr>
          <w:rFonts w:ascii="Calibri" w:eastAsia="Calibri" w:hAnsi="Calibri" w:cs="Calibri"/>
        </w:rPr>
        <w:t xml:space="preserve"> work</w:t>
      </w:r>
      <w:r>
        <w:rPr>
          <w:rFonts w:ascii="Calibri" w:eastAsia="Calibri" w:hAnsi="Calibri" w:cs="Calibri"/>
        </w:rPr>
        <w:t>ing</w:t>
      </w:r>
      <w:r w:rsidRPr="0056765C">
        <w:rPr>
          <w:rFonts w:ascii="Calibri" w:eastAsia="Calibri" w:hAnsi="Calibri" w:cs="Calibri"/>
        </w:rPr>
        <w:t xml:space="preserve"> with states and territor</w:t>
      </w:r>
      <w:r>
        <w:rPr>
          <w:rFonts w:ascii="Calibri" w:eastAsia="Calibri" w:hAnsi="Calibri" w:cs="Calibri"/>
        </w:rPr>
        <w:t>y governments</w:t>
      </w:r>
      <w:r w:rsidRPr="0056765C">
        <w:rPr>
          <w:rFonts w:ascii="Calibri" w:eastAsia="Calibri" w:hAnsi="Calibri" w:cs="Calibri"/>
        </w:rPr>
        <w:t xml:space="preserve"> and universities to </w:t>
      </w:r>
      <w:r w:rsidR="0048052F">
        <w:rPr>
          <w:rFonts w:ascii="Calibri" w:eastAsia="Calibri" w:hAnsi="Calibri" w:cs="Calibri"/>
        </w:rPr>
        <w:t xml:space="preserve">strengthen university governance and </w:t>
      </w:r>
      <w:r w:rsidRPr="0056765C">
        <w:rPr>
          <w:rFonts w:ascii="Calibri" w:eastAsia="Calibri" w:hAnsi="Calibri" w:cs="Calibri"/>
        </w:rPr>
        <w:t xml:space="preserve">improve </w:t>
      </w:r>
      <w:r w:rsidR="0048052F">
        <w:rPr>
          <w:rFonts w:ascii="Calibri" w:eastAsia="Calibri" w:hAnsi="Calibri" w:cs="Calibri"/>
        </w:rPr>
        <w:t>workplace</w:t>
      </w:r>
      <w:r w:rsidRPr="0056765C">
        <w:rPr>
          <w:rFonts w:ascii="Calibri" w:eastAsia="Calibri" w:hAnsi="Calibri" w:cs="Calibri"/>
        </w:rPr>
        <w:t xml:space="preserve"> relations compliance</w:t>
      </w:r>
      <w:r>
        <w:rPr>
          <w:rFonts w:ascii="Calibri" w:eastAsia="Calibri" w:hAnsi="Calibri" w:cs="Calibri"/>
        </w:rPr>
        <w:t xml:space="preserve">. </w:t>
      </w:r>
      <w:r w:rsidR="0048052F">
        <w:rPr>
          <w:rFonts w:ascii="Calibri" w:eastAsia="Calibri" w:hAnsi="Calibri" w:cs="Calibri"/>
        </w:rPr>
        <w:t xml:space="preserve">Education Ministers have established an Expert Governance Council to develop new ‘University Governance Principles and Recommendations’ based on 10 priority areas designed to enhance the accountability, transparency, engagement and representation of university governing bodies. This includes ensuring rigorous and transparent processes for developing remuneration policies and settings for senior university staff. </w:t>
      </w:r>
    </w:p>
    <w:p w14:paraId="763CE62A" w14:textId="1F2CD63C" w:rsidR="00F16D6B" w:rsidRPr="0056765C" w:rsidRDefault="0048052F" w:rsidP="00F16D6B">
      <w:pPr>
        <w:rPr>
          <w:rFonts w:ascii="Calibri" w:eastAsia="Calibri" w:hAnsi="Calibri" w:cs="Calibri"/>
        </w:rPr>
      </w:pPr>
      <w:r>
        <w:rPr>
          <w:rFonts w:ascii="Calibri" w:eastAsia="Calibri" w:hAnsi="Calibri" w:cs="Calibri"/>
        </w:rPr>
        <w:lastRenderedPageBreak/>
        <w:t xml:space="preserve">On workplace relations, </w:t>
      </w:r>
      <w:r w:rsidR="00F16D6B">
        <w:rPr>
          <w:rFonts w:ascii="Calibri" w:eastAsia="Calibri" w:hAnsi="Calibri" w:cs="Calibri"/>
        </w:rPr>
        <w:t>actions include</w:t>
      </w:r>
      <w:r w:rsidR="00F16D6B" w:rsidRPr="0056765C">
        <w:rPr>
          <w:rFonts w:ascii="Calibri" w:eastAsia="Calibri" w:hAnsi="Calibri" w:cs="Calibri"/>
        </w:rPr>
        <w:t>:</w:t>
      </w:r>
    </w:p>
    <w:p w14:paraId="1956D771" w14:textId="70975EB8" w:rsidR="00F16D6B" w:rsidRPr="0056258C" w:rsidRDefault="00F16D6B" w:rsidP="0056258C">
      <w:pPr>
        <w:pStyle w:val="ListParagraph"/>
        <w:numPr>
          <w:ilvl w:val="0"/>
          <w:numId w:val="45"/>
        </w:numPr>
        <w:rPr>
          <w:rFonts w:ascii="Calibri" w:hAnsi="Calibri" w:cs="Calibri"/>
        </w:rPr>
      </w:pPr>
      <w:r w:rsidRPr="0056258C">
        <w:rPr>
          <w:rFonts w:ascii="Calibri" w:hAnsi="Calibri" w:cs="Calibri"/>
        </w:rPr>
        <w:t>new guidance and reporting requirements from the Tertiary Education Quality and Standards Agency to ensure higher education providers have governance and management processes in place to meet enterprise agreements and industrial obligations</w:t>
      </w:r>
    </w:p>
    <w:p w14:paraId="3393B908" w14:textId="72388B0A" w:rsidR="00F16D6B" w:rsidRPr="0056258C" w:rsidRDefault="00F16D6B" w:rsidP="0056258C">
      <w:pPr>
        <w:pStyle w:val="ListParagraph"/>
        <w:numPr>
          <w:ilvl w:val="0"/>
          <w:numId w:val="45"/>
        </w:numPr>
        <w:rPr>
          <w:rFonts w:ascii="Calibri" w:hAnsi="Calibri" w:cs="Calibri"/>
        </w:rPr>
      </w:pPr>
      <w:r w:rsidRPr="0056258C">
        <w:rPr>
          <w:rFonts w:ascii="Calibri" w:hAnsi="Calibri" w:cs="Calibri"/>
        </w:rPr>
        <w:t>engagement of an independent expert to support the National Tertiary Education Union, Universities Australia and the Australian Higher Education Industrial Association in identification and resolution of priority issues to ensure universities are exemplary employers; and</w:t>
      </w:r>
    </w:p>
    <w:p w14:paraId="452E3D79" w14:textId="160DFC0C" w:rsidR="00F16D6B" w:rsidRPr="0056258C" w:rsidRDefault="00F16D6B" w:rsidP="0056258C">
      <w:pPr>
        <w:pStyle w:val="ListParagraph"/>
        <w:numPr>
          <w:ilvl w:val="0"/>
          <w:numId w:val="45"/>
        </w:numPr>
        <w:rPr>
          <w:rFonts w:ascii="Calibri" w:eastAsia="Calibri" w:hAnsi="Calibri" w:cs="Calibri"/>
        </w:rPr>
      </w:pPr>
      <w:r w:rsidRPr="0056258C">
        <w:rPr>
          <w:rFonts w:ascii="Calibri" w:hAnsi="Calibri" w:cs="Calibri"/>
        </w:rPr>
        <w:t>improved staff data collection by the Department of Education on the use of casual and fixed term employment arrangements in universities</w:t>
      </w:r>
      <w:r>
        <w:rPr>
          <w:rFonts w:ascii="Calibri" w:hAnsi="Calibri" w:cs="Calibri"/>
        </w:rPr>
        <w:t>.</w:t>
      </w:r>
    </w:p>
    <w:p w14:paraId="4F3B9983" w14:textId="0BFB86D5" w:rsidR="0048052F" w:rsidRDefault="0048052F" w:rsidP="00B94103">
      <w:pPr>
        <w:rPr>
          <w:rFonts w:ascii="Calibri" w:eastAsia="Calibri" w:hAnsi="Calibri" w:cs="Calibri"/>
        </w:rPr>
      </w:pPr>
      <w:r>
        <w:rPr>
          <w:rFonts w:ascii="Calibri" w:eastAsia="Calibri" w:hAnsi="Calibri" w:cs="Calibri"/>
        </w:rPr>
        <w:t xml:space="preserve">Further information on the Accord and the </w:t>
      </w:r>
      <w:r w:rsidR="00663B0A">
        <w:rPr>
          <w:rFonts w:ascii="Calibri" w:eastAsia="Calibri" w:hAnsi="Calibri" w:cs="Calibri"/>
        </w:rPr>
        <w:t>g</w:t>
      </w:r>
      <w:r>
        <w:rPr>
          <w:rFonts w:ascii="Calibri" w:eastAsia="Calibri" w:hAnsi="Calibri" w:cs="Calibri"/>
        </w:rPr>
        <w:t xml:space="preserve">overnment’s response is available at </w:t>
      </w:r>
      <w:r w:rsidRPr="0048052F">
        <w:rPr>
          <w:rFonts w:ascii="Calibri" w:eastAsia="Calibri" w:hAnsi="Calibri" w:cs="Calibri"/>
        </w:rPr>
        <w:t>www.education.</w:t>
      </w:r>
      <w:r w:rsidRPr="0048052F">
        <w:rPr>
          <w:rFonts w:ascii="Calibri" w:eastAsia="Calibri" w:hAnsi="Calibri" w:cs="Calibri"/>
        </w:rPr>
        <w:br/>
        <w:t>gov.au/australian-universities-accord/accord-202425-budget-and-myefo-measures.</w:t>
      </w:r>
    </w:p>
    <w:p w14:paraId="3AC468B7" w14:textId="5767335B" w:rsidR="00DD1233" w:rsidRDefault="00DD1233" w:rsidP="00893781">
      <w:pPr>
        <w:pStyle w:val="Heading3"/>
      </w:pPr>
      <w:r>
        <w:t>Government employment and procurement</w:t>
      </w:r>
    </w:p>
    <w:p w14:paraId="59EB6E4D" w14:textId="2F765697" w:rsidR="00B94103" w:rsidRDefault="00B94103" w:rsidP="00B94103">
      <w:pPr>
        <w:rPr>
          <w:rFonts w:ascii="Calibri" w:eastAsia="Calibri" w:hAnsi="Calibri" w:cs="Calibri"/>
        </w:rPr>
      </w:pPr>
      <w:r>
        <w:rPr>
          <w:rFonts w:ascii="Calibri" w:eastAsia="Calibri" w:hAnsi="Calibri" w:cs="Calibri"/>
        </w:rPr>
        <w:t>Australian Public Service (APS)</w:t>
      </w:r>
      <w:r w:rsidRPr="00281A0B">
        <w:rPr>
          <w:rFonts w:ascii="Calibri" w:eastAsia="Calibri" w:hAnsi="Calibri" w:cs="Calibri"/>
        </w:rPr>
        <w:t xml:space="preserve"> reform initiatives</w:t>
      </w:r>
      <w:r>
        <w:rPr>
          <w:rFonts w:ascii="Calibri" w:eastAsia="Calibri" w:hAnsi="Calibri" w:cs="Calibri"/>
        </w:rPr>
        <w:t xml:space="preserve"> are</w:t>
      </w:r>
      <w:r w:rsidRPr="00281A0B">
        <w:rPr>
          <w:rFonts w:ascii="Calibri" w:eastAsia="Calibri" w:hAnsi="Calibri" w:cs="Calibri"/>
        </w:rPr>
        <w:t xml:space="preserve"> improv</w:t>
      </w:r>
      <w:r>
        <w:rPr>
          <w:rFonts w:ascii="Calibri" w:eastAsia="Calibri" w:hAnsi="Calibri" w:cs="Calibri"/>
        </w:rPr>
        <w:t>ing</w:t>
      </w:r>
      <w:r w:rsidRPr="00281A0B">
        <w:rPr>
          <w:rFonts w:ascii="Calibri" w:eastAsia="Calibri" w:hAnsi="Calibri" w:cs="Calibri"/>
        </w:rPr>
        <w:t xml:space="preserve"> core capability and job security in Commonwealth employment. The </w:t>
      </w:r>
      <w:r>
        <w:rPr>
          <w:rFonts w:ascii="Calibri" w:eastAsia="Calibri" w:hAnsi="Calibri" w:cs="Calibri"/>
        </w:rPr>
        <w:t>Average Staffing Level</w:t>
      </w:r>
      <w:r w:rsidRPr="00281A0B">
        <w:rPr>
          <w:rFonts w:ascii="Calibri" w:eastAsia="Calibri" w:hAnsi="Calibri" w:cs="Calibri"/>
        </w:rPr>
        <w:t xml:space="preserve"> cap has been abolished</w:t>
      </w:r>
      <w:r>
        <w:rPr>
          <w:rFonts w:ascii="Calibri" w:eastAsia="Calibri" w:hAnsi="Calibri" w:cs="Calibri"/>
        </w:rPr>
        <w:t xml:space="preserve"> and</w:t>
      </w:r>
      <w:r w:rsidRPr="00281A0B">
        <w:rPr>
          <w:rFonts w:ascii="Calibri" w:eastAsia="Calibri" w:hAnsi="Calibri" w:cs="Calibri"/>
        </w:rPr>
        <w:t xml:space="preserve"> an APS Audit of </w:t>
      </w:r>
      <w:r>
        <w:rPr>
          <w:rFonts w:ascii="Calibri" w:eastAsia="Calibri" w:hAnsi="Calibri" w:cs="Calibri"/>
        </w:rPr>
        <w:t>E</w:t>
      </w:r>
      <w:r w:rsidRPr="00281A0B">
        <w:rPr>
          <w:rFonts w:ascii="Calibri" w:eastAsia="Calibri" w:hAnsi="Calibri" w:cs="Calibri"/>
        </w:rPr>
        <w:t>mployment has been conducted</w:t>
      </w:r>
      <w:r>
        <w:rPr>
          <w:rFonts w:ascii="Calibri" w:eastAsia="Calibri" w:hAnsi="Calibri" w:cs="Calibri"/>
        </w:rPr>
        <w:t xml:space="preserve">. </w:t>
      </w:r>
      <w:r w:rsidRPr="00281A0B">
        <w:rPr>
          <w:rFonts w:ascii="Calibri" w:eastAsia="Calibri" w:hAnsi="Calibri" w:cs="Calibri"/>
        </w:rPr>
        <w:t xml:space="preserve">Through centralised APS bargaining, common conditions have </w:t>
      </w:r>
      <w:r>
        <w:rPr>
          <w:rFonts w:ascii="Calibri" w:eastAsia="Calibri" w:hAnsi="Calibri" w:cs="Calibri"/>
        </w:rPr>
        <w:t>reinforced</w:t>
      </w:r>
      <w:r w:rsidRPr="00281A0B">
        <w:rPr>
          <w:rFonts w:ascii="Calibri" w:eastAsia="Calibri" w:hAnsi="Calibri" w:cs="Calibri"/>
        </w:rPr>
        <w:t xml:space="preserve"> the </w:t>
      </w:r>
      <w:r w:rsidRPr="00C46929">
        <w:rPr>
          <w:rFonts w:ascii="Calibri" w:eastAsia="Calibri" w:hAnsi="Calibri" w:cs="Calibri"/>
          <w:i/>
        </w:rPr>
        <w:t>Public Service Act</w:t>
      </w:r>
      <w:r w:rsidRPr="00281A0B">
        <w:rPr>
          <w:rFonts w:ascii="Calibri" w:eastAsia="Calibri" w:hAnsi="Calibri" w:cs="Calibri"/>
        </w:rPr>
        <w:t xml:space="preserve"> </w:t>
      </w:r>
      <w:r w:rsidRPr="00C46929">
        <w:rPr>
          <w:rFonts w:ascii="Calibri" w:eastAsia="Calibri" w:hAnsi="Calibri" w:cs="Calibri"/>
          <w:i/>
          <w:iCs/>
        </w:rPr>
        <w:t>1999</w:t>
      </w:r>
      <w:r>
        <w:rPr>
          <w:rFonts w:ascii="Calibri" w:eastAsia="Calibri" w:hAnsi="Calibri" w:cs="Calibri"/>
        </w:rPr>
        <w:t xml:space="preserve"> </w:t>
      </w:r>
      <w:r w:rsidRPr="00281A0B">
        <w:rPr>
          <w:rFonts w:ascii="Calibri" w:eastAsia="Calibri" w:hAnsi="Calibri" w:cs="Calibri"/>
        </w:rPr>
        <w:t xml:space="preserve">principle that the APS is a career-based public service with ongoing engagement as the usual basis for employment. </w:t>
      </w:r>
      <w:r>
        <w:rPr>
          <w:rFonts w:ascii="Calibri" w:eastAsia="Calibri" w:hAnsi="Calibri" w:cs="Calibri"/>
        </w:rPr>
        <w:t xml:space="preserve">Consistent with the </w:t>
      </w:r>
      <w:r w:rsidR="00233EC4">
        <w:rPr>
          <w:rFonts w:ascii="Calibri" w:eastAsia="Calibri" w:hAnsi="Calibri" w:cs="Calibri"/>
        </w:rPr>
        <w:t>g</w:t>
      </w:r>
      <w:r>
        <w:rPr>
          <w:rFonts w:ascii="Calibri" w:eastAsia="Calibri" w:hAnsi="Calibri" w:cs="Calibri"/>
        </w:rPr>
        <w:t xml:space="preserve">overnment’s Secure Jobs, Better Pay and Closing Loopholes reforms, </w:t>
      </w:r>
      <w:r w:rsidRPr="00281A0B">
        <w:rPr>
          <w:rFonts w:ascii="Calibri" w:eastAsia="Calibri" w:hAnsi="Calibri" w:cs="Calibri"/>
        </w:rPr>
        <w:t xml:space="preserve">non-ongoing APS engagement </w:t>
      </w:r>
      <w:r>
        <w:rPr>
          <w:rFonts w:ascii="Calibri" w:eastAsia="Calibri" w:hAnsi="Calibri" w:cs="Calibri"/>
        </w:rPr>
        <w:t xml:space="preserve">is now limited </w:t>
      </w:r>
      <w:r w:rsidRPr="00281A0B">
        <w:rPr>
          <w:rFonts w:ascii="Calibri" w:eastAsia="Calibri" w:hAnsi="Calibri" w:cs="Calibri"/>
        </w:rPr>
        <w:t xml:space="preserve">to </w:t>
      </w:r>
      <w:r>
        <w:rPr>
          <w:rFonts w:ascii="Calibri" w:eastAsia="Calibri" w:hAnsi="Calibri" w:cs="Calibri"/>
        </w:rPr>
        <w:t xml:space="preserve">a total term of </w:t>
      </w:r>
      <w:r w:rsidRPr="00281A0B">
        <w:rPr>
          <w:rFonts w:ascii="Calibri" w:eastAsia="Calibri" w:hAnsi="Calibri" w:cs="Calibri"/>
        </w:rPr>
        <w:t>18</w:t>
      </w:r>
      <w:r>
        <w:rPr>
          <w:rFonts w:ascii="Calibri" w:eastAsia="Calibri" w:hAnsi="Calibri" w:cs="Calibri"/>
        </w:rPr>
        <w:t> </w:t>
      </w:r>
      <w:r w:rsidRPr="00281A0B">
        <w:rPr>
          <w:rFonts w:ascii="Calibri" w:eastAsia="Calibri" w:hAnsi="Calibri" w:cs="Calibri"/>
        </w:rPr>
        <w:t>months</w:t>
      </w:r>
      <w:r>
        <w:rPr>
          <w:rFonts w:ascii="Calibri" w:eastAsia="Calibri" w:hAnsi="Calibri" w:cs="Calibri"/>
        </w:rPr>
        <w:t xml:space="preserve"> where a merit-based process was not undertaken. In addition, the</w:t>
      </w:r>
      <w:r w:rsidRPr="00281A0B">
        <w:rPr>
          <w:rFonts w:ascii="Calibri" w:eastAsia="Calibri" w:hAnsi="Calibri" w:cs="Calibri"/>
        </w:rPr>
        <w:t xml:space="preserve"> APS </w:t>
      </w:r>
      <w:r>
        <w:rPr>
          <w:rFonts w:ascii="Calibri" w:eastAsia="Calibri" w:hAnsi="Calibri" w:cs="Calibri"/>
        </w:rPr>
        <w:t>ha</w:t>
      </w:r>
      <w:r w:rsidRPr="00281A0B">
        <w:rPr>
          <w:rFonts w:ascii="Calibri" w:eastAsia="Calibri" w:hAnsi="Calibri" w:cs="Calibri"/>
        </w:rPr>
        <w:t>s proactively tak</w:t>
      </w:r>
      <w:r>
        <w:rPr>
          <w:rFonts w:ascii="Calibri" w:eastAsia="Calibri" w:hAnsi="Calibri" w:cs="Calibri"/>
        </w:rPr>
        <w:t>en</w:t>
      </w:r>
      <w:r w:rsidRPr="00281A0B">
        <w:rPr>
          <w:rFonts w:ascii="Calibri" w:eastAsia="Calibri" w:hAnsi="Calibri" w:cs="Calibri"/>
        </w:rPr>
        <w:t xml:space="preserve"> steps to ensure APS casual employees are able to convert to permanent employment while still ensuring appointments to ongoing APS roles remain based on merit. </w:t>
      </w:r>
    </w:p>
    <w:p w14:paraId="5CE13068" w14:textId="2902CF57" w:rsidR="00AD40CC" w:rsidRPr="005C2943" w:rsidRDefault="00AD40CC" w:rsidP="00AD40CC">
      <w:pPr>
        <w:rPr>
          <w:rFonts w:ascii="Calibri" w:eastAsia="Calibri" w:hAnsi="Calibri" w:cs="Calibri"/>
        </w:rPr>
      </w:pPr>
      <w:r w:rsidRPr="00F610D7">
        <w:rPr>
          <w:rFonts w:ascii="Calibri" w:eastAsia="Calibri" w:hAnsi="Calibri" w:cs="Calibri"/>
        </w:rPr>
        <w:t xml:space="preserve">The </w:t>
      </w:r>
      <w:r>
        <w:rPr>
          <w:rFonts w:ascii="Calibri" w:eastAsia="Calibri" w:hAnsi="Calibri" w:cs="Calibri"/>
        </w:rPr>
        <w:t>g</w:t>
      </w:r>
      <w:r w:rsidRPr="00F610D7">
        <w:rPr>
          <w:rFonts w:ascii="Calibri" w:eastAsia="Calibri" w:hAnsi="Calibri" w:cs="Calibri"/>
        </w:rPr>
        <w:t xml:space="preserve">overnment is also committed to the establishment of a Secure Australian Jobs Code (Secure Jobs Code) to prioritise secure work in government contracts and ensure that government purchasing power is being used to support businesses that engage in fair, equitable, ethical, and sustainable practices. Work to </w:t>
      </w:r>
      <w:r w:rsidR="00642021">
        <w:rPr>
          <w:rFonts w:ascii="Calibri" w:eastAsia="Calibri" w:hAnsi="Calibri" w:cs="Calibri"/>
        </w:rPr>
        <w:t>develop</w:t>
      </w:r>
      <w:r w:rsidR="00642021" w:rsidRPr="00F610D7">
        <w:rPr>
          <w:rFonts w:ascii="Calibri" w:eastAsia="Calibri" w:hAnsi="Calibri" w:cs="Calibri"/>
        </w:rPr>
        <w:t xml:space="preserve"> </w:t>
      </w:r>
      <w:r w:rsidRPr="00F610D7">
        <w:rPr>
          <w:rFonts w:ascii="Calibri" w:eastAsia="Calibri" w:hAnsi="Calibri" w:cs="Calibri"/>
        </w:rPr>
        <w:t>the Secure Jobs Code is underway with options for the scope, design and implementation being considered ahead of consultation with stakeholders</w:t>
      </w:r>
      <w:r w:rsidR="00642021">
        <w:rPr>
          <w:rFonts w:ascii="Calibri" w:eastAsia="Calibri" w:hAnsi="Calibri" w:cs="Calibri"/>
        </w:rPr>
        <w:t xml:space="preserve"> and the public</w:t>
      </w:r>
      <w:r w:rsidRPr="00F610D7">
        <w:rPr>
          <w:rFonts w:ascii="Calibri" w:eastAsia="Calibri" w:hAnsi="Calibri" w:cs="Calibri"/>
        </w:rPr>
        <w:t>.</w:t>
      </w:r>
      <w:r w:rsidRPr="005C2943">
        <w:rPr>
          <w:rFonts w:ascii="Calibri" w:eastAsia="Calibri" w:hAnsi="Calibri" w:cs="Calibri"/>
        </w:rPr>
        <w:t xml:space="preserve"> </w:t>
      </w:r>
    </w:p>
    <w:p w14:paraId="62912FFB" w14:textId="3B80713A" w:rsidR="00C33393" w:rsidRPr="00C33393" w:rsidRDefault="00AD40CC" w:rsidP="00FC74A5">
      <w:pPr>
        <w:spacing w:line="278" w:lineRule="auto"/>
        <w:rPr>
          <w:rFonts w:ascii="Calibri" w:eastAsia="Calibri" w:hAnsi="Calibri" w:cs="Calibri"/>
        </w:rPr>
      </w:pPr>
      <w:r w:rsidRPr="00AD40CC">
        <w:rPr>
          <w:rFonts w:ascii="Calibri" w:eastAsia="Calibri" w:hAnsi="Calibri" w:cs="Calibri"/>
          <w:lang w:val="en-AU"/>
        </w:rPr>
        <w:t xml:space="preserve">The </w:t>
      </w:r>
      <w:r w:rsidR="00091500">
        <w:rPr>
          <w:rFonts w:ascii="Calibri" w:eastAsia="Calibri" w:hAnsi="Calibri" w:cs="Calibri"/>
          <w:lang w:val="en-AU"/>
        </w:rPr>
        <w:t xml:space="preserve">first steps towards a Secure Jobs Code </w:t>
      </w:r>
      <w:proofErr w:type="gramStart"/>
      <w:r w:rsidR="00091500">
        <w:rPr>
          <w:rFonts w:ascii="Calibri" w:eastAsia="Calibri" w:hAnsi="Calibri" w:cs="Calibri"/>
          <w:lang w:val="en-AU"/>
        </w:rPr>
        <w:t>was</w:t>
      </w:r>
      <w:proofErr w:type="gramEnd"/>
      <w:r w:rsidR="00091500">
        <w:rPr>
          <w:rFonts w:ascii="Calibri" w:eastAsia="Calibri" w:hAnsi="Calibri" w:cs="Calibri"/>
          <w:lang w:val="en-AU"/>
        </w:rPr>
        <w:t xml:space="preserve"> achieved through the Commonwealth Supplier Code of Conduct (Supplier Code).</w:t>
      </w:r>
      <w:r w:rsidR="00403B35">
        <w:rPr>
          <w:rStyle w:val="FootnoteReference"/>
          <w:rFonts w:ascii="Calibri" w:eastAsia="Calibri" w:hAnsi="Calibri" w:cs="Calibri"/>
          <w:lang w:val="en-AU"/>
        </w:rPr>
        <w:footnoteReference w:id="8"/>
      </w:r>
      <w:r w:rsidR="00091500">
        <w:rPr>
          <w:rFonts w:ascii="Calibri" w:eastAsia="Calibri" w:hAnsi="Calibri" w:cs="Calibri"/>
          <w:lang w:val="en-AU"/>
        </w:rPr>
        <w:t xml:space="preserve"> </w:t>
      </w:r>
      <w:r w:rsidR="00091500" w:rsidRPr="009865BC">
        <w:rPr>
          <w:rFonts w:ascii="Calibri" w:eastAsia="Calibri" w:hAnsi="Calibri" w:cs="Calibri"/>
          <w:lang w:val="en-AU"/>
        </w:rPr>
        <w:t xml:space="preserve">The Code outlines the Commonwealth’s minimum expectations of suppliers and their subcontractors while under contract with the Commonwealth. The expectations in the Code cover ethical behaviour; corporate governance; business practices; and health, safety, and employee welfare. </w:t>
      </w:r>
      <w:r w:rsidR="00091500">
        <w:rPr>
          <w:rFonts w:ascii="Calibri" w:eastAsia="Calibri" w:hAnsi="Calibri" w:cs="Calibri"/>
          <w:lang w:val="en-AU"/>
        </w:rPr>
        <w:t xml:space="preserve">The Supplier Code </w:t>
      </w:r>
      <w:r>
        <w:rPr>
          <w:rFonts w:ascii="Calibri" w:eastAsia="Calibri" w:hAnsi="Calibri" w:cs="Calibri"/>
          <w:lang w:val="en-AU"/>
        </w:rPr>
        <w:t xml:space="preserve">came into effect </w:t>
      </w:r>
      <w:r w:rsidR="002D440B">
        <w:rPr>
          <w:rFonts w:ascii="Calibri" w:eastAsia="Calibri" w:hAnsi="Calibri" w:cs="Calibri"/>
          <w:lang w:val="en-AU"/>
        </w:rPr>
        <w:t>1 July 2024 and</w:t>
      </w:r>
      <w:r w:rsidR="00091500">
        <w:rPr>
          <w:rFonts w:ascii="Calibri" w:eastAsia="Calibri" w:hAnsi="Calibri" w:cs="Calibri"/>
          <w:lang w:val="en-AU"/>
        </w:rPr>
        <w:t xml:space="preserve"> is mandatory for all Commonwealth contracts. </w:t>
      </w:r>
      <w:r w:rsidRPr="00AD40CC">
        <w:rPr>
          <w:rFonts w:ascii="Calibri" w:eastAsia="Calibri" w:hAnsi="Calibri" w:cs="Calibri"/>
          <w:lang w:val="en-AU"/>
        </w:rPr>
        <w:t xml:space="preserve"> </w:t>
      </w:r>
    </w:p>
    <w:sectPr w:rsidR="00C33393" w:rsidRPr="00C33393" w:rsidSect="0011605B">
      <w:footerReference w:type="default" r:id="rId9"/>
      <w:endnotePr>
        <w:numFmt w:val="decimal"/>
      </w:endnotePr>
      <w:pgSz w:w="11906" w:h="16838"/>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A1081" w14:textId="77777777" w:rsidR="006E69F2" w:rsidRDefault="006E69F2" w:rsidP="0075425B">
      <w:pPr>
        <w:spacing w:after="0" w:line="240" w:lineRule="auto"/>
      </w:pPr>
      <w:r>
        <w:separator/>
      </w:r>
    </w:p>
  </w:endnote>
  <w:endnote w:type="continuationSeparator" w:id="0">
    <w:p w14:paraId="78A3322B" w14:textId="77777777" w:rsidR="006E69F2" w:rsidRDefault="006E69F2" w:rsidP="0075425B">
      <w:pPr>
        <w:spacing w:after="0" w:line="240" w:lineRule="auto"/>
      </w:pPr>
      <w:r>
        <w:continuationSeparator/>
      </w:r>
    </w:p>
  </w:endnote>
  <w:endnote w:type="continuationNotice" w:id="1">
    <w:p w14:paraId="531DA148" w14:textId="77777777" w:rsidR="006E69F2" w:rsidRDefault="006E69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F1E1F" w14:textId="75F50929" w:rsidR="00615268" w:rsidRPr="00C64665" w:rsidRDefault="002262C1">
    <w:pPr>
      <w:pStyle w:val="Footer"/>
      <w:jc w:val="right"/>
      <w:rPr>
        <w:rFonts w:ascii="Calibri" w:hAnsi="Calibri" w:cs="Calibri"/>
      </w:rPr>
    </w:pPr>
    <w:sdt>
      <w:sdtPr>
        <w:rPr>
          <w:rFonts w:ascii="Calibri" w:hAnsi="Calibri" w:cs="Calibri"/>
        </w:rPr>
        <w:id w:val="1956984382"/>
        <w:docPartObj>
          <w:docPartGallery w:val="Page Numbers (Bottom of Page)"/>
          <w:docPartUnique/>
        </w:docPartObj>
      </w:sdtPr>
      <w:sdtEndPr/>
      <w:sdtContent>
        <w:sdt>
          <w:sdtPr>
            <w:rPr>
              <w:rFonts w:ascii="Calibri" w:hAnsi="Calibri" w:cs="Calibri"/>
            </w:rPr>
            <w:id w:val="-1769616900"/>
            <w:docPartObj>
              <w:docPartGallery w:val="Page Numbers (Top of Page)"/>
              <w:docPartUnique/>
            </w:docPartObj>
          </w:sdtPr>
          <w:sdtEndPr/>
          <w:sdtContent>
            <w:r w:rsidR="00615268" w:rsidRPr="00C64665">
              <w:rPr>
                <w:rFonts w:ascii="Calibri" w:hAnsi="Calibri" w:cs="Calibri"/>
              </w:rPr>
              <w:t xml:space="preserve">Page </w:t>
            </w:r>
            <w:r w:rsidR="00615268" w:rsidRPr="00C64665">
              <w:rPr>
                <w:rFonts w:ascii="Calibri" w:hAnsi="Calibri" w:cs="Calibri"/>
                <w:b/>
                <w:bCs/>
              </w:rPr>
              <w:fldChar w:fldCharType="begin"/>
            </w:r>
            <w:r w:rsidR="00615268" w:rsidRPr="00C64665">
              <w:rPr>
                <w:rFonts w:ascii="Calibri" w:hAnsi="Calibri" w:cs="Calibri"/>
                <w:b/>
                <w:bCs/>
              </w:rPr>
              <w:instrText xml:space="preserve"> PAGE </w:instrText>
            </w:r>
            <w:r w:rsidR="00615268" w:rsidRPr="00C64665">
              <w:rPr>
                <w:rFonts w:ascii="Calibri" w:hAnsi="Calibri" w:cs="Calibri"/>
                <w:b/>
                <w:bCs/>
              </w:rPr>
              <w:fldChar w:fldCharType="separate"/>
            </w:r>
            <w:r w:rsidR="00615268" w:rsidRPr="00C64665">
              <w:rPr>
                <w:rFonts w:ascii="Calibri" w:hAnsi="Calibri" w:cs="Calibri"/>
                <w:b/>
                <w:bCs/>
                <w:noProof/>
              </w:rPr>
              <w:t>2</w:t>
            </w:r>
            <w:r w:rsidR="00615268" w:rsidRPr="00C64665">
              <w:rPr>
                <w:rFonts w:ascii="Calibri" w:hAnsi="Calibri" w:cs="Calibri"/>
                <w:b/>
                <w:bCs/>
              </w:rPr>
              <w:fldChar w:fldCharType="end"/>
            </w:r>
            <w:r w:rsidR="00615268" w:rsidRPr="00C64665">
              <w:rPr>
                <w:rFonts w:ascii="Calibri" w:hAnsi="Calibri" w:cs="Calibri"/>
              </w:rPr>
              <w:t xml:space="preserve"> of </w:t>
            </w:r>
            <w:r w:rsidR="00615268" w:rsidRPr="00C64665">
              <w:rPr>
                <w:rFonts w:ascii="Calibri" w:hAnsi="Calibri" w:cs="Calibri"/>
                <w:b/>
                <w:bCs/>
              </w:rPr>
              <w:fldChar w:fldCharType="begin"/>
            </w:r>
            <w:r w:rsidR="00615268" w:rsidRPr="00C64665">
              <w:rPr>
                <w:rFonts w:ascii="Calibri" w:hAnsi="Calibri" w:cs="Calibri"/>
                <w:b/>
                <w:bCs/>
              </w:rPr>
              <w:instrText xml:space="preserve"> NUMPAGES  </w:instrText>
            </w:r>
            <w:r w:rsidR="00615268" w:rsidRPr="00C64665">
              <w:rPr>
                <w:rFonts w:ascii="Calibri" w:hAnsi="Calibri" w:cs="Calibri"/>
                <w:b/>
                <w:bCs/>
              </w:rPr>
              <w:fldChar w:fldCharType="separate"/>
            </w:r>
            <w:r w:rsidR="00615268" w:rsidRPr="00C64665">
              <w:rPr>
                <w:rFonts w:ascii="Calibri" w:hAnsi="Calibri" w:cs="Calibri"/>
                <w:b/>
                <w:bCs/>
                <w:noProof/>
              </w:rPr>
              <w:t>2</w:t>
            </w:r>
            <w:r w:rsidR="00615268" w:rsidRPr="00C64665">
              <w:rPr>
                <w:rFonts w:ascii="Calibri" w:hAnsi="Calibri" w:cs="Calibri"/>
                <w:b/>
                <w:bCs/>
              </w:rPr>
              <w:fldChar w:fldCharType="end"/>
            </w:r>
          </w:sdtContent>
        </w:sdt>
      </w:sdtContent>
    </w:sdt>
  </w:p>
  <w:p w14:paraId="7B15153D" w14:textId="77777777" w:rsidR="00D90A40" w:rsidRDefault="00D90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08EA6" w14:textId="77777777" w:rsidR="006E69F2" w:rsidRDefault="006E69F2" w:rsidP="0075425B">
      <w:pPr>
        <w:spacing w:after="0" w:line="240" w:lineRule="auto"/>
      </w:pPr>
      <w:r>
        <w:separator/>
      </w:r>
    </w:p>
  </w:footnote>
  <w:footnote w:type="continuationSeparator" w:id="0">
    <w:p w14:paraId="2DA58D3E" w14:textId="77777777" w:rsidR="006E69F2" w:rsidRDefault="006E69F2" w:rsidP="0075425B">
      <w:pPr>
        <w:spacing w:after="0" w:line="240" w:lineRule="auto"/>
      </w:pPr>
      <w:r>
        <w:continuationSeparator/>
      </w:r>
    </w:p>
  </w:footnote>
  <w:footnote w:type="continuationNotice" w:id="1">
    <w:p w14:paraId="7F1F641E" w14:textId="77777777" w:rsidR="006E69F2" w:rsidRDefault="006E69F2">
      <w:pPr>
        <w:spacing w:after="0" w:line="240" w:lineRule="auto"/>
      </w:pPr>
    </w:p>
  </w:footnote>
  <w:footnote w:id="2">
    <w:p w14:paraId="0FED8283" w14:textId="021E8B3A" w:rsidR="000833D1" w:rsidRPr="000833D1" w:rsidRDefault="000833D1" w:rsidP="000833D1">
      <w:pPr>
        <w:pStyle w:val="FootnoteText"/>
      </w:pPr>
      <w:r>
        <w:rPr>
          <w:rStyle w:val="FootnoteReference"/>
        </w:rPr>
        <w:footnoteRef/>
      </w:r>
      <w:r>
        <w:t xml:space="preserve"> </w:t>
      </w:r>
      <w:hyperlink r:id="rId1" w:history="1">
        <w:r w:rsidRPr="000833D1">
          <w:rPr>
            <w:rStyle w:val="Hyperlink"/>
          </w:rPr>
          <w:t>Explanatory Memorandum</w:t>
        </w:r>
      </w:hyperlink>
      <w:r w:rsidRPr="00CB76D3">
        <w:t>, Fair Work Legislation Amendment (Secure Jobs, Better Pay) Bill 2022</w:t>
      </w:r>
      <w:r>
        <w:t>.</w:t>
      </w:r>
    </w:p>
  </w:footnote>
  <w:footnote w:id="3">
    <w:p w14:paraId="410FE5BA" w14:textId="20424A32" w:rsidR="000833D1" w:rsidRPr="000833D1" w:rsidRDefault="000833D1">
      <w:pPr>
        <w:pStyle w:val="FootnoteText"/>
      </w:pPr>
      <w:r>
        <w:rPr>
          <w:rStyle w:val="FootnoteReference"/>
        </w:rPr>
        <w:footnoteRef/>
      </w:r>
      <w:r>
        <w:t xml:space="preserve"> </w:t>
      </w:r>
      <w:hyperlink r:id="rId2" w:history="1">
        <w:r w:rsidRPr="000833D1">
          <w:rPr>
            <w:rStyle w:val="Hyperlink"/>
          </w:rPr>
          <w:t>Explanatory Memorandum</w:t>
        </w:r>
      </w:hyperlink>
      <w:r>
        <w:t>, F</w:t>
      </w:r>
      <w:r w:rsidRPr="000833D1">
        <w:t xml:space="preserve">air </w:t>
      </w:r>
      <w:r>
        <w:t>W</w:t>
      </w:r>
      <w:r w:rsidRPr="000833D1">
        <w:t xml:space="preserve">ork </w:t>
      </w:r>
      <w:r>
        <w:t>L</w:t>
      </w:r>
      <w:r w:rsidRPr="000833D1">
        <w:t xml:space="preserve">egislation </w:t>
      </w:r>
      <w:r>
        <w:t>Am</w:t>
      </w:r>
      <w:r w:rsidRPr="000833D1">
        <w:t>endment</w:t>
      </w:r>
      <w:r>
        <w:t xml:space="preserve"> </w:t>
      </w:r>
      <w:r w:rsidRPr="000833D1">
        <w:t>(</w:t>
      </w:r>
      <w:r>
        <w:t>C</w:t>
      </w:r>
      <w:r w:rsidRPr="000833D1">
        <w:t xml:space="preserve">losing </w:t>
      </w:r>
      <w:r>
        <w:t>L</w:t>
      </w:r>
      <w:r w:rsidRPr="000833D1">
        <w:t xml:space="preserve">oopholes) </w:t>
      </w:r>
      <w:r>
        <w:t>B</w:t>
      </w:r>
      <w:r w:rsidRPr="000833D1">
        <w:t>ill 2023</w:t>
      </w:r>
      <w:r>
        <w:t xml:space="preserve">. </w:t>
      </w:r>
    </w:p>
  </w:footnote>
  <w:footnote w:id="4">
    <w:p w14:paraId="4E0A8BCB" w14:textId="4BCC04CA" w:rsidR="000833D1" w:rsidRPr="00CB76D3" w:rsidRDefault="000833D1">
      <w:pPr>
        <w:pStyle w:val="FootnoteText"/>
        <w:rPr>
          <w:lang w:val="en-AU"/>
        </w:rPr>
      </w:pPr>
      <w:r>
        <w:rPr>
          <w:rStyle w:val="FootnoteReference"/>
        </w:rPr>
        <w:footnoteRef/>
      </w:r>
      <w:r>
        <w:t xml:space="preserve"> </w:t>
      </w:r>
      <w:hyperlink r:id="rId3" w:history="1">
        <w:r w:rsidRPr="000833D1">
          <w:rPr>
            <w:rStyle w:val="Hyperlink"/>
          </w:rPr>
          <w:t>Explanatory Memorandum</w:t>
        </w:r>
      </w:hyperlink>
      <w:r>
        <w:t>, F</w:t>
      </w:r>
      <w:r w:rsidRPr="000833D1">
        <w:t xml:space="preserve">air </w:t>
      </w:r>
      <w:r>
        <w:t>W</w:t>
      </w:r>
      <w:r w:rsidRPr="000833D1">
        <w:t xml:space="preserve">ork </w:t>
      </w:r>
      <w:r>
        <w:t>L</w:t>
      </w:r>
      <w:r w:rsidRPr="000833D1">
        <w:t xml:space="preserve">egislation </w:t>
      </w:r>
      <w:r>
        <w:t>Am</w:t>
      </w:r>
      <w:r w:rsidRPr="000833D1">
        <w:t>endment</w:t>
      </w:r>
      <w:r>
        <w:t xml:space="preserve"> </w:t>
      </w:r>
      <w:r w:rsidRPr="000833D1">
        <w:t>(</w:t>
      </w:r>
      <w:r>
        <w:t>C</w:t>
      </w:r>
      <w:r w:rsidRPr="000833D1">
        <w:t xml:space="preserve">losing </w:t>
      </w:r>
      <w:r>
        <w:t>L</w:t>
      </w:r>
      <w:r w:rsidRPr="000833D1">
        <w:t xml:space="preserve">oopholes) </w:t>
      </w:r>
      <w:r>
        <w:t>B</w:t>
      </w:r>
      <w:r w:rsidRPr="000833D1">
        <w:t>ill 2023</w:t>
      </w:r>
      <w:r>
        <w:t>.</w:t>
      </w:r>
    </w:p>
  </w:footnote>
  <w:footnote w:id="5">
    <w:p w14:paraId="6C9126D9" w14:textId="59D0964A" w:rsidR="007252C2" w:rsidRPr="00CB76D3" w:rsidRDefault="007252C2">
      <w:pPr>
        <w:pStyle w:val="FootnoteText"/>
        <w:rPr>
          <w:lang w:val="en-AU"/>
        </w:rPr>
      </w:pPr>
      <w:r>
        <w:rPr>
          <w:rStyle w:val="FootnoteReference"/>
        </w:rPr>
        <w:footnoteRef/>
      </w:r>
      <w:r>
        <w:t xml:space="preserve"> </w:t>
      </w:r>
      <w:r>
        <w:rPr>
          <w:lang w:val="en-AU"/>
        </w:rPr>
        <w:t xml:space="preserve">Commonwealth of Australia, </w:t>
      </w:r>
      <w:hyperlink r:id="rId4" w:history="1">
        <w:r w:rsidRPr="007252C2">
          <w:rPr>
            <w:rStyle w:val="Hyperlink"/>
            <w:lang w:val="en-AU"/>
          </w:rPr>
          <w:t>Working together to deliver the NDIS: Independent Review into the National Disability Insurance Scheme – Final Report</w:t>
        </w:r>
      </w:hyperlink>
      <w:r>
        <w:rPr>
          <w:lang w:val="en-AU"/>
        </w:rPr>
        <w:t xml:space="preserve">, 2023. </w:t>
      </w:r>
    </w:p>
  </w:footnote>
  <w:footnote w:id="6">
    <w:p w14:paraId="6319EB95" w14:textId="7A7E5530" w:rsidR="007252C2" w:rsidRPr="00CB76D3" w:rsidRDefault="007252C2">
      <w:pPr>
        <w:pStyle w:val="FootnoteText"/>
        <w:rPr>
          <w:lang w:val="en-AU"/>
        </w:rPr>
      </w:pPr>
      <w:r>
        <w:rPr>
          <w:rStyle w:val="FootnoteReference"/>
        </w:rPr>
        <w:footnoteRef/>
      </w:r>
      <w:r>
        <w:t xml:space="preserve"> </w:t>
      </w:r>
      <w:r>
        <w:rPr>
          <w:lang w:val="en-AU"/>
        </w:rPr>
        <w:t xml:space="preserve">Commonwealth of Australia, </w:t>
      </w:r>
      <w:hyperlink r:id="rId5" w:history="1">
        <w:r w:rsidRPr="007252C2">
          <w:rPr>
            <w:rStyle w:val="Hyperlink"/>
            <w:lang w:val="en-AU"/>
          </w:rPr>
          <w:t>Australian Government Response to the Disability Royal Commission</w:t>
        </w:r>
      </w:hyperlink>
      <w:r>
        <w:rPr>
          <w:lang w:val="en-AU"/>
        </w:rPr>
        <w:t xml:space="preserve">, 2024. </w:t>
      </w:r>
    </w:p>
  </w:footnote>
  <w:footnote w:id="7">
    <w:p w14:paraId="4A9BC5FC" w14:textId="79BBE669" w:rsidR="00403B35" w:rsidRPr="00CB76D3" w:rsidRDefault="00403B35">
      <w:pPr>
        <w:pStyle w:val="FootnoteText"/>
        <w:rPr>
          <w:lang w:val="en-AU"/>
        </w:rPr>
      </w:pPr>
      <w:r>
        <w:rPr>
          <w:rStyle w:val="FootnoteReference"/>
        </w:rPr>
        <w:footnoteRef/>
      </w:r>
      <w:r>
        <w:t xml:space="preserve"> Australian Government Department of Education, </w:t>
      </w:r>
      <w:hyperlink r:id="rId6" w:history="1">
        <w:r w:rsidRPr="00403B35">
          <w:rPr>
            <w:rStyle w:val="Hyperlink"/>
          </w:rPr>
          <w:t>Accord Priority Actions</w:t>
        </w:r>
      </w:hyperlink>
      <w:r>
        <w:t xml:space="preserve">, 2023. </w:t>
      </w:r>
    </w:p>
  </w:footnote>
  <w:footnote w:id="8">
    <w:p w14:paraId="4984942A" w14:textId="75EC1DEC" w:rsidR="00403B35" w:rsidRPr="00CB76D3" w:rsidRDefault="00403B35">
      <w:pPr>
        <w:pStyle w:val="FootnoteText"/>
        <w:rPr>
          <w:lang w:val="en-AU"/>
        </w:rPr>
      </w:pPr>
      <w:r>
        <w:rPr>
          <w:rStyle w:val="FootnoteReference"/>
        </w:rPr>
        <w:footnoteRef/>
      </w:r>
      <w:r>
        <w:t xml:space="preserve"> </w:t>
      </w:r>
      <w:r>
        <w:rPr>
          <w:lang w:val="en-AU"/>
        </w:rPr>
        <w:t xml:space="preserve">Australian Government Department of Finance, </w:t>
      </w:r>
      <w:hyperlink r:id="rId7" w:history="1">
        <w:r w:rsidRPr="00403B35">
          <w:rPr>
            <w:rStyle w:val="Hyperlink"/>
            <w:lang w:val="en-AU"/>
          </w:rPr>
          <w:t>Commonwealth Supplier Code of Conduct</w:t>
        </w:r>
      </w:hyperlink>
      <w:r>
        <w:rPr>
          <w:lang w:val="en-AU"/>
        </w:rPr>
        <w:t xml:space="preserve">, 2024.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15BB"/>
    <w:multiLevelType w:val="hybridMultilevel"/>
    <w:tmpl w:val="C73CE5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2E2B54"/>
    <w:multiLevelType w:val="hybridMultilevel"/>
    <w:tmpl w:val="ACE099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BA3A47"/>
    <w:multiLevelType w:val="hybridMultilevel"/>
    <w:tmpl w:val="CA92C0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095A53"/>
    <w:multiLevelType w:val="hybridMultilevel"/>
    <w:tmpl w:val="D40698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096EFC"/>
    <w:multiLevelType w:val="hybridMultilevel"/>
    <w:tmpl w:val="2A1252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7825A4"/>
    <w:multiLevelType w:val="hybridMultilevel"/>
    <w:tmpl w:val="404272E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DB5C76"/>
    <w:multiLevelType w:val="hybridMultilevel"/>
    <w:tmpl w:val="CF326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6D0C9B"/>
    <w:multiLevelType w:val="hybridMultilevel"/>
    <w:tmpl w:val="A4ACF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217FB2"/>
    <w:multiLevelType w:val="hybridMultilevel"/>
    <w:tmpl w:val="3592A7F6"/>
    <w:lvl w:ilvl="0" w:tplc="1E9CAED2">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D86BC3"/>
    <w:multiLevelType w:val="hybridMultilevel"/>
    <w:tmpl w:val="D6C25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9074BC"/>
    <w:multiLevelType w:val="hybridMultilevel"/>
    <w:tmpl w:val="2324A3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CB031A"/>
    <w:multiLevelType w:val="hybridMultilevel"/>
    <w:tmpl w:val="4E6604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EB173B6"/>
    <w:multiLevelType w:val="hybridMultilevel"/>
    <w:tmpl w:val="C6123F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8B1A73"/>
    <w:multiLevelType w:val="hybridMultilevel"/>
    <w:tmpl w:val="CFE880A6"/>
    <w:lvl w:ilvl="0" w:tplc="BD12F80C">
      <w:start w:val="1"/>
      <w:numFmt w:val="bullet"/>
      <w:lvlText w:val=""/>
      <w:lvlJc w:val="left"/>
      <w:pPr>
        <w:ind w:left="720" w:hanging="360"/>
      </w:pPr>
      <w:rPr>
        <w:rFonts w:ascii="Symbol" w:hAnsi="Symbol" w:hint="default"/>
      </w:rPr>
    </w:lvl>
    <w:lvl w:ilvl="1" w:tplc="791234F0">
      <w:start w:val="1"/>
      <w:numFmt w:val="bullet"/>
      <w:lvlText w:val="o"/>
      <w:lvlJc w:val="left"/>
      <w:pPr>
        <w:ind w:left="1440" w:hanging="360"/>
      </w:pPr>
      <w:rPr>
        <w:rFonts w:ascii="Courier New" w:hAnsi="Courier New" w:hint="default"/>
      </w:rPr>
    </w:lvl>
    <w:lvl w:ilvl="2" w:tplc="3572DB5C">
      <w:start w:val="1"/>
      <w:numFmt w:val="bullet"/>
      <w:lvlText w:val=""/>
      <w:lvlJc w:val="left"/>
      <w:pPr>
        <w:ind w:left="2160" w:hanging="360"/>
      </w:pPr>
      <w:rPr>
        <w:rFonts w:ascii="Wingdings" w:hAnsi="Wingdings" w:hint="default"/>
      </w:rPr>
    </w:lvl>
    <w:lvl w:ilvl="3" w:tplc="DFAC62BE">
      <w:start w:val="1"/>
      <w:numFmt w:val="bullet"/>
      <w:lvlText w:val=""/>
      <w:lvlJc w:val="left"/>
      <w:pPr>
        <w:ind w:left="2880" w:hanging="360"/>
      </w:pPr>
      <w:rPr>
        <w:rFonts w:ascii="Symbol" w:hAnsi="Symbol" w:hint="default"/>
      </w:rPr>
    </w:lvl>
    <w:lvl w:ilvl="4" w:tplc="B038D432">
      <w:start w:val="1"/>
      <w:numFmt w:val="bullet"/>
      <w:lvlText w:val="o"/>
      <w:lvlJc w:val="left"/>
      <w:pPr>
        <w:ind w:left="3600" w:hanging="360"/>
      </w:pPr>
      <w:rPr>
        <w:rFonts w:ascii="Courier New" w:hAnsi="Courier New" w:hint="default"/>
      </w:rPr>
    </w:lvl>
    <w:lvl w:ilvl="5" w:tplc="15D4AE52">
      <w:start w:val="1"/>
      <w:numFmt w:val="bullet"/>
      <w:lvlText w:val=""/>
      <w:lvlJc w:val="left"/>
      <w:pPr>
        <w:ind w:left="4320" w:hanging="360"/>
      </w:pPr>
      <w:rPr>
        <w:rFonts w:ascii="Wingdings" w:hAnsi="Wingdings" w:hint="default"/>
      </w:rPr>
    </w:lvl>
    <w:lvl w:ilvl="6" w:tplc="FD7E6538">
      <w:start w:val="1"/>
      <w:numFmt w:val="bullet"/>
      <w:lvlText w:val=""/>
      <w:lvlJc w:val="left"/>
      <w:pPr>
        <w:ind w:left="5040" w:hanging="360"/>
      </w:pPr>
      <w:rPr>
        <w:rFonts w:ascii="Symbol" w:hAnsi="Symbol" w:hint="default"/>
      </w:rPr>
    </w:lvl>
    <w:lvl w:ilvl="7" w:tplc="7A207A6C">
      <w:start w:val="1"/>
      <w:numFmt w:val="bullet"/>
      <w:lvlText w:val="o"/>
      <w:lvlJc w:val="left"/>
      <w:pPr>
        <w:ind w:left="5760" w:hanging="360"/>
      </w:pPr>
      <w:rPr>
        <w:rFonts w:ascii="Courier New" w:hAnsi="Courier New" w:hint="default"/>
      </w:rPr>
    </w:lvl>
    <w:lvl w:ilvl="8" w:tplc="244CCED6">
      <w:start w:val="1"/>
      <w:numFmt w:val="bullet"/>
      <w:lvlText w:val=""/>
      <w:lvlJc w:val="left"/>
      <w:pPr>
        <w:ind w:left="6480" w:hanging="360"/>
      </w:pPr>
      <w:rPr>
        <w:rFonts w:ascii="Wingdings" w:hAnsi="Wingdings" w:hint="default"/>
      </w:rPr>
    </w:lvl>
  </w:abstractNum>
  <w:abstractNum w:abstractNumId="14" w15:restartNumberingAfterBreak="0">
    <w:nsid w:val="36CF5D00"/>
    <w:multiLevelType w:val="hybridMultilevel"/>
    <w:tmpl w:val="3C367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80B397A"/>
    <w:multiLevelType w:val="hybridMultilevel"/>
    <w:tmpl w:val="63D6952C"/>
    <w:lvl w:ilvl="0" w:tplc="21D4392E">
      <w:start w:val="1"/>
      <w:numFmt w:val="bullet"/>
      <w:lvlText w:val=""/>
      <w:lvlJc w:val="left"/>
      <w:pPr>
        <w:ind w:left="1020" w:hanging="360"/>
      </w:pPr>
      <w:rPr>
        <w:rFonts w:ascii="Symbol" w:hAnsi="Symbol"/>
      </w:rPr>
    </w:lvl>
    <w:lvl w:ilvl="1" w:tplc="FABCC8B4">
      <w:start w:val="1"/>
      <w:numFmt w:val="bullet"/>
      <w:lvlText w:val=""/>
      <w:lvlJc w:val="left"/>
      <w:pPr>
        <w:ind w:left="1020" w:hanging="360"/>
      </w:pPr>
      <w:rPr>
        <w:rFonts w:ascii="Symbol" w:hAnsi="Symbol"/>
      </w:rPr>
    </w:lvl>
    <w:lvl w:ilvl="2" w:tplc="305A7C94">
      <w:start w:val="1"/>
      <w:numFmt w:val="bullet"/>
      <w:lvlText w:val=""/>
      <w:lvlJc w:val="left"/>
      <w:pPr>
        <w:ind w:left="1020" w:hanging="360"/>
      </w:pPr>
      <w:rPr>
        <w:rFonts w:ascii="Symbol" w:hAnsi="Symbol"/>
      </w:rPr>
    </w:lvl>
    <w:lvl w:ilvl="3" w:tplc="C5F84A64">
      <w:start w:val="1"/>
      <w:numFmt w:val="bullet"/>
      <w:lvlText w:val=""/>
      <w:lvlJc w:val="left"/>
      <w:pPr>
        <w:ind w:left="1020" w:hanging="360"/>
      </w:pPr>
      <w:rPr>
        <w:rFonts w:ascii="Symbol" w:hAnsi="Symbol"/>
      </w:rPr>
    </w:lvl>
    <w:lvl w:ilvl="4" w:tplc="6D90C6B2">
      <w:start w:val="1"/>
      <w:numFmt w:val="bullet"/>
      <w:lvlText w:val=""/>
      <w:lvlJc w:val="left"/>
      <w:pPr>
        <w:ind w:left="1020" w:hanging="360"/>
      </w:pPr>
      <w:rPr>
        <w:rFonts w:ascii="Symbol" w:hAnsi="Symbol"/>
      </w:rPr>
    </w:lvl>
    <w:lvl w:ilvl="5" w:tplc="1D640D2E">
      <w:start w:val="1"/>
      <w:numFmt w:val="bullet"/>
      <w:lvlText w:val=""/>
      <w:lvlJc w:val="left"/>
      <w:pPr>
        <w:ind w:left="1020" w:hanging="360"/>
      </w:pPr>
      <w:rPr>
        <w:rFonts w:ascii="Symbol" w:hAnsi="Symbol"/>
      </w:rPr>
    </w:lvl>
    <w:lvl w:ilvl="6" w:tplc="F73A321A">
      <w:start w:val="1"/>
      <w:numFmt w:val="bullet"/>
      <w:lvlText w:val=""/>
      <w:lvlJc w:val="left"/>
      <w:pPr>
        <w:ind w:left="1020" w:hanging="360"/>
      </w:pPr>
      <w:rPr>
        <w:rFonts w:ascii="Symbol" w:hAnsi="Symbol"/>
      </w:rPr>
    </w:lvl>
    <w:lvl w:ilvl="7" w:tplc="672C5D2A">
      <w:start w:val="1"/>
      <w:numFmt w:val="bullet"/>
      <w:lvlText w:val=""/>
      <w:lvlJc w:val="left"/>
      <w:pPr>
        <w:ind w:left="1020" w:hanging="360"/>
      </w:pPr>
      <w:rPr>
        <w:rFonts w:ascii="Symbol" w:hAnsi="Symbol"/>
      </w:rPr>
    </w:lvl>
    <w:lvl w:ilvl="8" w:tplc="79B80CAA">
      <w:start w:val="1"/>
      <w:numFmt w:val="bullet"/>
      <w:lvlText w:val=""/>
      <w:lvlJc w:val="left"/>
      <w:pPr>
        <w:ind w:left="1020" w:hanging="360"/>
      </w:pPr>
      <w:rPr>
        <w:rFonts w:ascii="Symbol" w:hAnsi="Symbol"/>
      </w:rPr>
    </w:lvl>
  </w:abstractNum>
  <w:abstractNum w:abstractNumId="16" w15:restartNumberingAfterBreak="0">
    <w:nsid w:val="383E513B"/>
    <w:multiLevelType w:val="hybridMultilevel"/>
    <w:tmpl w:val="5CB60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672CE7"/>
    <w:multiLevelType w:val="hybridMultilevel"/>
    <w:tmpl w:val="88E06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981FB9"/>
    <w:multiLevelType w:val="hybridMultilevel"/>
    <w:tmpl w:val="8BBC176E"/>
    <w:lvl w:ilvl="0" w:tplc="2DB85FD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B26EFF"/>
    <w:multiLevelType w:val="hybridMultilevel"/>
    <w:tmpl w:val="150237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4E5F8A"/>
    <w:multiLevelType w:val="hybridMultilevel"/>
    <w:tmpl w:val="0C2AF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C10CCB"/>
    <w:multiLevelType w:val="hybridMultilevel"/>
    <w:tmpl w:val="CE02C8F8"/>
    <w:lvl w:ilvl="0" w:tplc="FA344EBA">
      <w:numFmt w:val="bullet"/>
      <w:lvlText w:val=""/>
      <w:lvlJc w:val="left"/>
      <w:pPr>
        <w:ind w:left="420" w:hanging="360"/>
      </w:pPr>
      <w:rPr>
        <w:rFonts w:ascii="Symbol" w:eastAsia="Calibri" w:hAnsi="Symbol" w:cs="Calibr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2" w15:restartNumberingAfterBreak="0">
    <w:nsid w:val="414003D0"/>
    <w:multiLevelType w:val="hybridMultilevel"/>
    <w:tmpl w:val="CE226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29467A0"/>
    <w:multiLevelType w:val="hybridMultilevel"/>
    <w:tmpl w:val="87BA78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3CA6291"/>
    <w:multiLevelType w:val="hybridMultilevel"/>
    <w:tmpl w:val="244AB7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4442534"/>
    <w:multiLevelType w:val="hybridMultilevel"/>
    <w:tmpl w:val="C888AA9E"/>
    <w:lvl w:ilvl="0" w:tplc="552044A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7FE1628"/>
    <w:multiLevelType w:val="hybridMultilevel"/>
    <w:tmpl w:val="489631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9935FDE"/>
    <w:multiLevelType w:val="hybridMultilevel"/>
    <w:tmpl w:val="19CC0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B9C1951"/>
    <w:multiLevelType w:val="hybridMultilevel"/>
    <w:tmpl w:val="0B8A2F88"/>
    <w:lvl w:ilvl="0" w:tplc="01CAE824">
      <w:start w:val="1"/>
      <w:numFmt w:val="bullet"/>
      <w:lvlText w:val="-"/>
      <w:lvlJc w:val="left"/>
      <w:pPr>
        <w:ind w:left="720" w:hanging="360"/>
      </w:pPr>
      <w:rPr>
        <w:rFonts w:ascii="Aptos" w:hAnsi="Aptos" w:hint="default"/>
      </w:rPr>
    </w:lvl>
    <w:lvl w:ilvl="1" w:tplc="3E8AB9DC">
      <w:start w:val="1"/>
      <w:numFmt w:val="bullet"/>
      <w:lvlText w:val="o"/>
      <w:lvlJc w:val="left"/>
      <w:pPr>
        <w:ind w:left="1440" w:hanging="360"/>
      </w:pPr>
      <w:rPr>
        <w:rFonts w:ascii="Courier New" w:hAnsi="Courier New" w:hint="default"/>
      </w:rPr>
    </w:lvl>
    <w:lvl w:ilvl="2" w:tplc="DC0E9E9A">
      <w:start w:val="1"/>
      <w:numFmt w:val="bullet"/>
      <w:lvlText w:val=""/>
      <w:lvlJc w:val="left"/>
      <w:pPr>
        <w:ind w:left="2160" w:hanging="360"/>
      </w:pPr>
      <w:rPr>
        <w:rFonts w:ascii="Wingdings" w:hAnsi="Wingdings" w:hint="default"/>
      </w:rPr>
    </w:lvl>
    <w:lvl w:ilvl="3" w:tplc="E0862FAA">
      <w:start w:val="1"/>
      <w:numFmt w:val="bullet"/>
      <w:lvlText w:val=""/>
      <w:lvlJc w:val="left"/>
      <w:pPr>
        <w:ind w:left="2880" w:hanging="360"/>
      </w:pPr>
      <w:rPr>
        <w:rFonts w:ascii="Symbol" w:hAnsi="Symbol" w:hint="default"/>
      </w:rPr>
    </w:lvl>
    <w:lvl w:ilvl="4" w:tplc="01F8D926">
      <w:start w:val="1"/>
      <w:numFmt w:val="bullet"/>
      <w:lvlText w:val="o"/>
      <w:lvlJc w:val="left"/>
      <w:pPr>
        <w:ind w:left="3600" w:hanging="360"/>
      </w:pPr>
      <w:rPr>
        <w:rFonts w:ascii="Courier New" w:hAnsi="Courier New" w:hint="default"/>
      </w:rPr>
    </w:lvl>
    <w:lvl w:ilvl="5" w:tplc="017A083A">
      <w:start w:val="1"/>
      <w:numFmt w:val="bullet"/>
      <w:lvlText w:val=""/>
      <w:lvlJc w:val="left"/>
      <w:pPr>
        <w:ind w:left="4320" w:hanging="360"/>
      </w:pPr>
      <w:rPr>
        <w:rFonts w:ascii="Wingdings" w:hAnsi="Wingdings" w:hint="default"/>
      </w:rPr>
    </w:lvl>
    <w:lvl w:ilvl="6" w:tplc="0F92905A">
      <w:start w:val="1"/>
      <w:numFmt w:val="bullet"/>
      <w:lvlText w:val=""/>
      <w:lvlJc w:val="left"/>
      <w:pPr>
        <w:ind w:left="5040" w:hanging="360"/>
      </w:pPr>
      <w:rPr>
        <w:rFonts w:ascii="Symbol" w:hAnsi="Symbol" w:hint="default"/>
      </w:rPr>
    </w:lvl>
    <w:lvl w:ilvl="7" w:tplc="63BC8B2A">
      <w:start w:val="1"/>
      <w:numFmt w:val="bullet"/>
      <w:lvlText w:val="o"/>
      <w:lvlJc w:val="left"/>
      <w:pPr>
        <w:ind w:left="5760" w:hanging="360"/>
      </w:pPr>
      <w:rPr>
        <w:rFonts w:ascii="Courier New" w:hAnsi="Courier New" w:hint="default"/>
      </w:rPr>
    </w:lvl>
    <w:lvl w:ilvl="8" w:tplc="39E0BDF8">
      <w:start w:val="1"/>
      <w:numFmt w:val="bullet"/>
      <w:lvlText w:val=""/>
      <w:lvlJc w:val="left"/>
      <w:pPr>
        <w:ind w:left="6480" w:hanging="360"/>
      </w:pPr>
      <w:rPr>
        <w:rFonts w:ascii="Wingdings" w:hAnsi="Wingdings" w:hint="default"/>
      </w:rPr>
    </w:lvl>
  </w:abstractNum>
  <w:abstractNum w:abstractNumId="29" w15:restartNumberingAfterBreak="0">
    <w:nsid w:val="4D161826"/>
    <w:multiLevelType w:val="hybridMultilevel"/>
    <w:tmpl w:val="1E5E3F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E0B3CAA"/>
    <w:multiLevelType w:val="hybridMultilevel"/>
    <w:tmpl w:val="00BA2790"/>
    <w:lvl w:ilvl="0" w:tplc="4B5806EC">
      <w:start w:val="1"/>
      <w:numFmt w:val="bullet"/>
      <w:lvlText w:val=""/>
      <w:lvlJc w:val="left"/>
      <w:pPr>
        <w:ind w:left="1020" w:hanging="360"/>
      </w:pPr>
      <w:rPr>
        <w:rFonts w:ascii="Symbol" w:hAnsi="Symbol"/>
      </w:rPr>
    </w:lvl>
    <w:lvl w:ilvl="1" w:tplc="E7D22544">
      <w:start w:val="1"/>
      <w:numFmt w:val="bullet"/>
      <w:lvlText w:val=""/>
      <w:lvlJc w:val="left"/>
      <w:pPr>
        <w:ind w:left="1020" w:hanging="360"/>
      </w:pPr>
      <w:rPr>
        <w:rFonts w:ascii="Symbol" w:hAnsi="Symbol"/>
      </w:rPr>
    </w:lvl>
    <w:lvl w:ilvl="2" w:tplc="02281068">
      <w:start w:val="1"/>
      <w:numFmt w:val="bullet"/>
      <w:lvlText w:val=""/>
      <w:lvlJc w:val="left"/>
      <w:pPr>
        <w:ind w:left="1020" w:hanging="360"/>
      </w:pPr>
      <w:rPr>
        <w:rFonts w:ascii="Symbol" w:hAnsi="Symbol"/>
      </w:rPr>
    </w:lvl>
    <w:lvl w:ilvl="3" w:tplc="D412390E">
      <w:start w:val="1"/>
      <w:numFmt w:val="bullet"/>
      <w:lvlText w:val=""/>
      <w:lvlJc w:val="left"/>
      <w:pPr>
        <w:ind w:left="1020" w:hanging="360"/>
      </w:pPr>
      <w:rPr>
        <w:rFonts w:ascii="Symbol" w:hAnsi="Symbol"/>
      </w:rPr>
    </w:lvl>
    <w:lvl w:ilvl="4" w:tplc="43E623DC">
      <w:start w:val="1"/>
      <w:numFmt w:val="bullet"/>
      <w:lvlText w:val=""/>
      <w:lvlJc w:val="left"/>
      <w:pPr>
        <w:ind w:left="1020" w:hanging="360"/>
      </w:pPr>
      <w:rPr>
        <w:rFonts w:ascii="Symbol" w:hAnsi="Symbol"/>
      </w:rPr>
    </w:lvl>
    <w:lvl w:ilvl="5" w:tplc="351E3DCA">
      <w:start w:val="1"/>
      <w:numFmt w:val="bullet"/>
      <w:lvlText w:val=""/>
      <w:lvlJc w:val="left"/>
      <w:pPr>
        <w:ind w:left="1020" w:hanging="360"/>
      </w:pPr>
      <w:rPr>
        <w:rFonts w:ascii="Symbol" w:hAnsi="Symbol"/>
      </w:rPr>
    </w:lvl>
    <w:lvl w:ilvl="6" w:tplc="C8749722">
      <w:start w:val="1"/>
      <w:numFmt w:val="bullet"/>
      <w:lvlText w:val=""/>
      <w:lvlJc w:val="left"/>
      <w:pPr>
        <w:ind w:left="1020" w:hanging="360"/>
      </w:pPr>
      <w:rPr>
        <w:rFonts w:ascii="Symbol" w:hAnsi="Symbol"/>
      </w:rPr>
    </w:lvl>
    <w:lvl w:ilvl="7" w:tplc="8D3CC126">
      <w:start w:val="1"/>
      <w:numFmt w:val="bullet"/>
      <w:lvlText w:val=""/>
      <w:lvlJc w:val="left"/>
      <w:pPr>
        <w:ind w:left="1020" w:hanging="360"/>
      </w:pPr>
      <w:rPr>
        <w:rFonts w:ascii="Symbol" w:hAnsi="Symbol"/>
      </w:rPr>
    </w:lvl>
    <w:lvl w:ilvl="8" w:tplc="5F7689E4">
      <w:start w:val="1"/>
      <w:numFmt w:val="bullet"/>
      <w:lvlText w:val=""/>
      <w:lvlJc w:val="left"/>
      <w:pPr>
        <w:ind w:left="1020" w:hanging="360"/>
      </w:pPr>
      <w:rPr>
        <w:rFonts w:ascii="Symbol" w:hAnsi="Symbol"/>
      </w:rPr>
    </w:lvl>
  </w:abstractNum>
  <w:abstractNum w:abstractNumId="31" w15:restartNumberingAfterBreak="0">
    <w:nsid w:val="4F7C0A6A"/>
    <w:multiLevelType w:val="hybridMultilevel"/>
    <w:tmpl w:val="6B262E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3917558"/>
    <w:multiLevelType w:val="hybridMultilevel"/>
    <w:tmpl w:val="1EC28356"/>
    <w:lvl w:ilvl="0" w:tplc="0D026854">
      <w:start w:val="1"/>
      <w:numFmt w:val="bullet"/>
      <w:lvlText w:val="-"/>
      <w:lvlJc w:val="left"/>
      <w:pPr>
        <w:ind w:left="720" w:hanging="360"/>
      </w:pPr>
      <w:rPr>
        <w:rFonts w:ascii="Aptos" w:hAnsi="Aptos" w:hint="default"/>
      </w:rPr>
    </w:lvl>
    <w:lvl w:ilvl="1" w:tplc="E790305C">
      <w:start w:val="1"/>
      <w:numFmt w:val="bullet"/>
      <w:lvlText w:val="o"/>
      <w:lvlJc w:val="left"/>
      <w:pPr>
        <w:ind w:left="1440" w:hanging="360"/>
      </w:pPr>
      <w:rPr>
        <w:rFonts w:ascii="Courier New" w:hAnsi="Courier New" w:hint="default"/>
      </w:rPr>
    </w:lvl>
    <w:lvl w:ilvl="2" w:tplc="7F3CAED0">
      <w:start w:val="1"/>
      <w:numFmt w:val="bullet"/>
      <w:lvlText w:val=""/>
      <w:lvlJc w:val="left"/>
      <w:pPr>
        <w:ind w:left="2160" w:hanging="360"/>
      </w:pPr>
      <w:rPr>
        <w:rFonts w:ascii="Wingdings" w:hAnsi="Wingdings" w:hint="default"/>
      </w:rPr>
    </w:lvl>
    <w:lvl w:ilvl="3" w:tplc="16E6E536">
      <w:start w:val="1"/>
      <w:numFmt w:val="bullet"/>
      <w:lvlText w:val=""/>
      <w:lvlJc w:val="left"/>
      <w:pPr>
        <w:ind w:left="2880" w:hanging="360"/>
      </w:pPr>
      <w:rPr>
        <w:rFonts w:ascii="Symbol" w:hAnsi="Symbol" w:hint="default"/>
      </w:rPr>
    </w:lvl>
    <w:lvl w:ilvl="4" w:tplc="F26EE708">
      <w:start w:val="1"/>
      <w:numFmt w:val="bullet"/>
      <w:lvlText w:val="o"/>
      <w:lvlJc w:val="left"/>
      <w:pPr>
        <w:ind w:left="3600" w:hanging="360"/>
      </w:pPr>
      <w:rPr>
        <w:rFonts w:ascii="Courier New" w:hAnsi="Courier New" w:hint="default"/>
      </w:rPr>
    </w:lvl>
    <w:lvl w:ilvl="5" w:tplc="D730D01A">
      <w:start w:val="1"/>
      <w:numFmt w:val="bullet"/>
      <w:lvlText w:val=""/>
      <w:lvlJc w:val="left"/>
      <w:pPr>
        <w:ind w:left="4320" w:hanging="360"/>
      </w:pPr>
      <w:rPr>
        <w:rFonts w:ascii="Wingdings" w:hAnsi="Wingdings" w:hint="default"/>
      </w:rPr>
    </w:lvl>
    <w:lvl w:ilvl="6" w:tplc="06240DBC">
      <w:start w:val="1"/>
      <w:numFmt w:val="bullet"/>
      <w:lvlText w:val=""/>
      <w:lvlJc w:val="left"/>
      <w:pPr>
        <w:ind w:left="5040" w:hanging="360"/>
      </w:pPr>
      <w:rPr>
        <w:rFonts w:ascii="Symbol" w:hAnsi="Symbol" w:hint="default"/>
      </w:rPr>
    </w:lvl>
    <w:lvl w:ilvl="7" w:tplc="62AA7232">
      <w:start w:val="1"/>
      <w:numFmt w:val="bullet"/>
      <w:lvlText w:val="o"/>
      <w:lvlJc w:val="left"/>
      <w:pPr>
        <w:ind w:left="5760" w:hanging="360"/>
      </w:pPr>
      <w:rPr>
        <w:rFonts w:ascii="Courier New" w:hAnsi="Courier New" w:hint="default"/>
      </w:rPr>
    </w:lvl>
    <w:lvl w:ilvl="8" w:tplc="45DA1C6C">
      <w:start w:val="1"/>
      <w:numFmt w:val="bullet"/>
      <w:lvlText w:val=""/>
      <w:lvlJc w:val="left"/>
      <w:pPr>
        <w:ind w:left="6480" w:hanging="360"/>
      </w:pPr>
      <w:rPr>
        <w:rFonts w:ascii="Wingdings" w:hAnsi="Wingdings" w:hint="default"/>
      </w:rPr>
    </w:lvl>
  </w:abstractNum>
  <w:abstractNum w:abstractNumId="33" w15:restartNumberingAfterBreak="0">
    <w:nsid w:val="580B5EE7"/>
    <w:multiLevelType w:val="hybridMultilevel"/>
    <w:tmpl w:val="404272EE"/>
    <w:lvl w:ilvl="0" w:tplc="A18607EA">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17179F3"/>
    <w:multiLevelType w:val="hybridMultilevel"/>
    <w:tmpl w:val="5FD607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48F0B35"/>
    <w:multiLevelType w:val="hybridMultilevel"/>
    <w:tmpl w:val="3F52A7CE"/>
    <w:lvl w:ilvl="0" w:tplc="53FA2E9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5930F86"/>
    <w:multiLevelType w:val="hybridMultilevel"/>
    <w:tmpl w:val="70B8B510"/>
    <w:lvl w:ilvl="0" w:tplc="D3C4BB48">
      <w:start w:val="1"/>
      <w:numFmt w:val="bullet"/>
      <w:lvlText w:val=""/>
      <w:lvlJc w:val="left"/>
      <w:pPr>
        <w:ind w:left="1020" w:hanging="360"/>
      </w:pPr>
      <w:rPr>
        <w:rFonts w:ascii="Symbol" w:hAnsi="Symbol"/>
      </w:rPr>
    </w:lvl>
    <w:lvl w:ilvl="1" w:tplc="40EE7A9A">
      <w:start w:val="1"/>
      <w:numFmt w:val="bullet"/>
      <w:lvlText w:val=""/>
      <w:lvlJc w:val="left"/>
      <w:pPr>
        <w:ind w:left="1020" w:hanging="360"/>
      </w:pPr>
      <w:rPr>
        <w:rFonts w:ascii="Symbol" w:hAnsi="Symbol"/>
      </w:rPr>
    </w:lvl>
    <w:lvl w:ilvl="2" w:tplc="CE785E94">
      <w:start w:val="1"/>
      <w:numFmt w:val="bullet"/>
      <w:lvlText w:val=""/>
      <w:lvlJc w:val="left"/>
      <w:pPr>
        <w:ind w:left="1020" w:hanging="360"/>
      </w:pPr>
      <w:rPr>
        <w:rFonts w:ascii="Symbol" w:hAnsi="Symbol"/>
      </w:rPr>
    </w:lvl>
    <w:lvl w:ilvl="3" w:tplc="AD1E0310">
      <w:start w:val="1"/>
      <w:numFmt w:val="bullet"/>
      <w:lvlText w:val=""/>
      <w:lvlJc w:val="left"/>
      <w:pPr>
        <w:ind w:left="1020" w:hanging="360"/>
      </w:pPr>
      <w:rPr>
        <w:rFonts w:ascii="Symbol" w:hAnsi="Symbol"/>
      </w:rPr>
    </w:lvl>
    <w:lvl w:ilvl="4" w:tplc="D2A453C2">
      <w:start w:val="1"/>
      <w:numFmt w:val="bullet"/>
      <w:lvlText w:val=""/>
      <w:lvlJc w:val="left"/>
      <w:pPr>
        <w:ind w:left="1020" w:hanging="360"/>
      </w:pPr>
      <w:rPr>
        <w:rFonts w:ascii="Symbol" w:hAnsi="Symbol"/>
      </w:rPr>
    </w:lvl>
    <w:lvl w:ilvl="5" w:tplc="AB5EA0E0">
      <w:start w:val="1"/>
      <w:numFmt w:val="bullet"/>
      <w:lvlText w:val=""/>
      <w:lvlJc w:val="left"/>
      <w:pPr>
        <w:ind w:left="1020" w:hanging="360"/>
      </w:pPr>
      <w:rPr>
        <w:rFonts w:ascii="Symbol" w:hAnsi="Symbol"/>
      </w:rPr>
    </w:lvl>
    <w:lvl w:ilvl="6" w:tplc="29C86194">
      <w:start w:val="1"/>
      <w:numFmt w:val="bullet"/>
      <w:lvlText w:val=""/>
      <w:lvlJc w:val="left"/>
      <w:pPr>
        <w:ind w:left="1020" w:hanging="360"/>
      </w:pPr>
      <w:rPr>
        <w:rFonts w:ascii="Symbol" w:hAnsi="Symbol"/>
      </w:rPr>
    </w:lvl>
    <w:lvl w:ilvl="7" w:tplc="CE20176E">
      <w:start w:val="1"/>
      <w:numFmt w:val="bullet"/>
      <w:lvlText w:val=""/>
      <w:lvlJc w:val="left"/>
      <w:pPr>
        <w:ind w:left="1020" w:hanging="360"/>
      </w:pPr>
      <w:rPr>
        <w:rFonts w:ascii="Symbol" w:hAnsi="Symbol"/>
      </w:rPr>
    </w:lvl>
    <w:lvl w:ilvl="8" w:tplc="32927156">
      <w:start w:val="1"/>
      <w:numFmt w:val="bullet"/>
      <w:lvlText w:val=""/>
      <w:lvlJc w:val="left"/>
      <w:pPr>
        <w:ind w:left="1020" w:hanging="360"/>
      </w:pPr>
      <w:rPr>
        <w:rFonts w:ascii="Symbol" w:hAnsi="Symbol"/>
      </w:rPr>
    </w:lvl>
  </w:abstractNum>
  <w:abstractNum w:abstractNumId="37" w15:restartNumberingAfterBreak="0">
    <w:nsid w:val="667D0B68"/>
    <w:multiLevelType w:val="hybridMultilevel"/>
    <w:tmpl w:val="1E92316C"/>
    <w:lvl w:ilvl="0" w:tplc="6A06F48A">
      <w:start w:val="1"/>
      <w:numFmt w:val="bullet"/>
      <w:lvlText w:val=""/>
      <w:lvlJc w:val="left"/>
      <w:pPr>
        <w:ind w:left="720" w:hanging="360"/>
      </w:pPr>
      <w:rPr>
        <w:rFonts w:ascii="Symbol" w:hAnsi="Symbol" w:hint="default"/>
      </w:rPr>
    </w:lvl>
    <w:lvl w:ilvl="1" w:tplc="D7149D12">
      <w:start w:val="1"/>
      <w:numFmt w:val="bullet"/>
      <w:lvlText w:val=""/>
      <w:lvlJc w:val="left"/>
      <w:pPr>
        <w:ind w:left="1440" w:hanging="360"/>
      </w:pPr>
      <w:rPr>
        <w:rFonts w:ascii="Symbol" w:hAnsi="Symbol" w:hint="default"/>
      </w:rPr>
    </w:lvl>
    <w:lvl w:ilvl="2" w:tplc="49521D58">
      <w:start w:val="1"/>
      <w:numFmt w:val="bullet"/>
      <w:lvlText w:val=""/>
      <w:lvlJc w:val="left"/>
      <w:pPr>
        <w:ind w:left="2160" w:hanging="360"/>
      </w:pPr>
      <w:rPr>
        <w:rFonts w:ascii="Wingdings" w:hAnsi="Wingdings" w:hint="default"/>
      </w:rPr>
    </w:lvl>
    <w:lvl w:ilvl="3" w:tplc="FFBC7848">
      <w:start w:val="1"/>
      <w:numFmt w:val="bullet"/>
      <w:lvlText w:val=""/>
      <w:lvlJc w:val="left"/>
      <w:pPr>
        <w:ind w:left="2880" w:hanging="360"/>
      </w:pPr>
      <w:rPr>
        <w:rFonts w:ascii="Symbol" w:hAnsi="Symbol" w:hint="default"/>
      </w:rPr>
    </w:lvl>
    <w:lvl w:ilvl="4" w:tplc="F6A6C90A">
      <w:start w:val="1"/>
      <w:numFmt w:val="bullet"/>
      <w:lvlText w:val="o"/>
      <w:lvlJc w:val="left"/>
      <w:pPr>
        <w:ind w:left="3600" w:hanging="360"/>
      </w:pPr>
      <w:rPr>
        <w:rFonts w:ascii="Courier New" w:hAnsi="Courier New" w:hint="default"/>
      </w:rPr>
    </w:lvl>
    <w:lvl w:ilvl="5" w:tplc="3FB8FBB0">
      <w:start w:val="1"/>
      <w:numFmt w:val="bullet"/>
      <w:lvlText w:val=""/>
      <w:lvlJc w:val="left"/>
      <w:pPr>
        <w:ind w:left="4320" w:hanging="360"/>
      </w:pPr>
      <w:rPr>
        <w:rFonts w:ascii="Wingdings" w:hAnsi="Wingdings" w:hint="default"/>
      </w:rPr>
    </w:lvl>
    <w:lvl w:ilvl="6" w:tplc="58D8C0A2">
      <w:start w:val="1"/>
      <w:numFmt w:val="bullet"/>
      <w:lvlText w:val=""/>
      <w:lvlJc w:val="left"/>
      <w:pPr>
        <w:ind w:left="5040" w:hanging="360"/>
      </w:pPr>
      <w:rPr>
        <w:rFonts w:ascii="Symbol" w:hAnsi="Symbol" w:hint="default"/>
      </w:rPr>
    </w:lvl>
    <w:lvl w:ilvl="7" w:tplc="904E7FB2">
      <w:start w:val="1"/>
      <w:numFmt w:val="bullet"/>
      <w:lvlText w:val="o"/>
      <w:lvlJc w:val="left"/>
      <w:pPr>
        <w:ind w:left="5760" w:hanging="360"/>
      </w:pPr>
      <w:rPr>
        <w:rFonts w:ascii="Courier New" w:hAnsi="Courier New" w:hint="default"/>
      </w:rPr>
    </w:lvl>
    <w:lvl w:ilvl="8" w:tplc="6180E5F6">
      <w:start w:val="1"/>
      <w:numFmt w:val="bullet"/>
      <w:lvlText w:val=""/>
      <w:lvlJc w:val="left"/>
      <w:pPr>
        <w:ind w:left="6480" w:hanging="360"/>
      </w:pPr>
      <w:rPr>
        <w:rFonts w:ascii="Wingdings" w:hAnsi="Wingdings" w:hint="default"/>
      </w:rPr>
    </w:lvl>
  </w:abstractNum>
  <w:abstractNum w:abstractNumId="38" w15:restartNumberingAfterBreak="0">
    <w:nsid w:val="6C177038"/>
    <w:multiLevelType w:val="hybridMultilevel"/>
    <w:tmpl w:val="CC2EA3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C7A593C"/>
    <w:multiLevelType w:val="hybridMultilevel"/>
    <w:tmpl w:val="22662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1DC5D3F"/>
    <w:multiLevelType w:val="hybridMultilevel"/>
    <w:tmpl w:val="279E6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6A32CF4"/>
    <w:multiLevelType w:val="hybridMultilevel"/>
    <w:tmpl w:val="9792357E"/>
    <w:lvl w:ilvl="0" w:tplc="9DFE92AE">
      <w:start w:val="1"/>
      <w:numFmt w:val="bullet"/>
      <w:lvlText w:val=""/>
      <w:lvlJc w:val="left"/>
      <w:pPr>
        <w:ind w:left="1020" w:hanging="360"/>
      </w:pPr>
      <w:rPr>
        <w:rFonts w:ascii="Symbol" w:hAnsi="Symbol"/>
      </w:rPr>
    </w:lvl>
    <w:lvl w:ilvl="1" w:tplc="9D96FC20">
      <w:start w:val="1"/>
      <w:numFmt w:val="bullet"/>
      <w:lvlText w:val=""/>
      <w:lvlJc w:val="left"/>
      <w:pPr>
        <w:ind w:left="1020" w:hanging="360"/>
      </w:pPr>
      <w:rPr>
        <w:rFonts w:ascii="Symbol" w:hAnsi="Symbol"/>
      </w:rPr>
    </w:lvl>
    <w:lvl w:ilvl="2" w:tplc="06D69764">
      <w:start w:val="1"/>
      <w:numFmt w:val="bullet"/>
      <w:lvlText w:val=""/>
      <w:lvlJc w:val="left"/>
      <w:pPr>
        <w:ind w:left="1020" w:hanging="360"/>
      </w:pPr>
      <w:rPr>
        <w:rFonts w:ascii="Symbol" w:hAnsi="Symbol"/>
      </w:rPr>
    </w:lvl>
    <w:lvl w:ilvl="3" w:tplc="455C44C0">
      <w:start w:val="1"/>
      <w:numFmt w:val="bullet"/>
      <w:lvlText w:val=""/>
      <w:lvlJc w:val="left"/>
      <w:pPr>
        <w:ind w:left="1020" w:hanging="360"/>
      </w:pPr>
      <w:rPr>
        <w:rFonts w:ascii="Symbol" w:hAnsi="Symbol"/>
      </w:rPr>
    </w:lvl>
    <w:lvl w:ilvl="4" w:tplc="CF7EA0F8">
      <w:start w:val="1"/>
      <w:numFmt w:val="bullet"/>
      <w:lvlText w:val=""/>
      <w:lvlJc w:val="left"/>
      <w:pPr>
        <w:ind w:left="1020" w:hanging="360"/>
      </w:pPr>
      <w:rPr>
        <w:rFonts w:ascii="Symbol" w:hAnsi="Symbol"/>
      </w:rPr>
    </w:lvl>
    <w:lvl w:ilvl="5" w:tplc="F4CCF418">
      <w:start w:val="1"/>
      <w:numFmt w:val="bullet"/>
      <w:lvlText w:val=""/>
      <w:lvlJc w:val="left"/>
      <w:pPr>
        <w:ind w:left="1020" w:hanging="360"/>
      </w:pPr>
      <w:rPr>
        <w:rFonts w:ascii="Symbol" w:hAnsi="Symbol"/>
      </w:rPr>
    </w:lvl>
    <w:lvl w:ilvl="6" w:tplc="087C009E">
      <w:start w:val="1"/>
      <w:numFmt w:val="bullet"/>
      <w:lvlText w:val=""/>
      <w:lvlJc w:val="left"/>
      <w:pPr>
        <w:ind w:left="1020" w:hanging="360"/>
      </w:pPr>
      <w:rPr>
        <w:rFonts w:ascii="Symbol" w:hAnsi="Symbol"/>
      </w:rPr>
    </w:lvl>
    <w:lvl w:ilvl="7" w:tplc="082E4194">
      <w:start w:val="1"/>
      <w:numFmt w:val="bullet"/>
      <w:lvlText w:val=""/>
      <w:lvlJc w:val="left"/>
      <w:pPr>
        <w:ind w:left="1020" w:hanging="360"/>
      </w:pPr>
      <w:rPr>
        <w:rFonts w:ascii="Symbol" w:hAnsi="Symbol"/>
      </w:rPr>
    </w:lvl>
    <w:lvl w:ilvl="8" w:tplc="16307C04">
      <w:start w:val="1"/>
      <w:numFmt w:val="bullet"/>
      <w:lvlText w:val=""/>
      <w:lvlJc w:val="left"/>
      <w:pPr>
        <w:ind w:left="1020" w:hanging="360"/>
      </w:pPr>
      <w:rPr>
        <w:rFonts w:ascii="Symbol" w:hAnsi="Symbol"/>
      </w:rPr>
    </w:lvl>
  </w:abstractNum>
  <w:abstractNum w:abstractNumId="42" w15:restartNumberingAfterBreak="0">
    <w:nsid w:val="776104BA"/>
    <w:multiLevelType w:val="hybridMultilevel"/>
    <w:tmpl w:val="231AED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80F3849"/>
    <w:multiLevelType w:val="hybridMultilevel"/>
    <w:tmpl w:val="ED2EB8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8A40675"/>
    <w:multiLevelType w:val="hybridMultilevel"/>
    <w:tmpl w:val="CB5E53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95001124">
    <w:abstractNumId w:val="28"/>
  </w:num>
  <w:num w:numId="2" w16cid:durableId="648093308">
    <w:abstractNumId w:val="32"/>
  </w:num>
  <w:num w:numId="3" w16cid:durableId="2106460021">
    <w:abstractNumId w:val="37"/>
  </w:num>
  <w:num w:numId="4" w16cid:durableId="679815782">
    <w:abstractNumId w:val="13"/>
  </w:num>
  <w:num w:numId="5" w16cid:durableId="2084378309">
    <w:abstractNumId w:val="19"/>
  </w:num>
  <w:num w:numId="6" w16cid:durableId="1662156777">
    <w:abstractNumId w:val="35"/>
  </w:num>
  <w:num w:numId="7" w16cid:durableId="824972770">
    <w:abstractNumId w:val="25"/>
  </w:num>
  <w:num w:numId="8" w16cid:durableId="292368982">
    <w:abstractNumId w:val="18"/>
  </w:num>
  <w:num w:numId="9" w16cid:durableId="1612014481">
    <w:abstractNumId w:val="42"/>
  </w:num>
  <w:num w:numId="10" w16cid:durableId="985821492">
    <w:abstractNumId w:val="16"/>
  </w:num>
  <w:num w:numId="11" w16cid:durableId="1546023352">
    <w:abstractNumId w:val="0"/>
  </w:num>
  <w:num w:numId="12" w16cid:durableId="284820651">
    <w:abstractNumId w:val="26"/>
  </w:num>
  <w:num w:numId="13" w16cid:durableId="673646644">
    <w:abstractNumId w:val="8"/>
  </w:num>
  <w:num w:numId="14" w16cid:durableId="468287367">
    <w:abstractNumId w:val="17"/>
  </w:num>
  <w:num w:numId="15" w16cid:durableId="1359431467">
    <w:abstractNumId w:val="43"/>
  </w:num>
  <w:num w:numId="16" w16cid:durableId="2118937995">
    <w:abstractNumId w:val="11"/>
  </w:num>
  <w:num w:numId="17" w16cid:durableId="1782602132">
    <w:abstractNumId w:val="27"/>
  </w:num>
  <w:num w:numId="18" w16cid:durableId="1454520443">
    <w:abstractNumId w:val="4"/>
  </w:num>
  <w:num w:numId="19" w16cid:durableId="1064835172">
    <w:abstractNumId w:val="38"/>
  </w:num>
  <w:num w:numId="20" w16cid:durableId="849877981">
    <w:abstractNumId w:val="6"/>
  </w:num>
  <w:num w:numId="21" w16cid:durableId="246966072">
    <w:abstractNumId w:val="12"/>
  </w:num>
  <w:num w:numId="22" w16cid:durableId="20860154">
    <w:abstractNumId w:val="31"/>
  </w:num>
  <w:num w:numId="23" w16cid:durableId="2131320716">
    <w:abstractNumId w:val="23"/>
  </w:num>
  <w:num w:numId="24" w16cid:durableId="1895654147">
    <w:abstractNumId w:val="10"/>
  </w:num>
  <w:num w:numId="25" w16cid:durableId="63072720">
    <w:abstractNumId w:val="1"/>
  </w:num>
  <w:num w:numId="26" w16cid:durableId="1328047549">
    <w:abstractNumId w:val="34"/>
  </w:num>
  <w:num w:numId="27" w16cid:durableId="1917746365">
    <w:abstractNumId w:val="24"/>
  </w:num>
  <w:num w:numId="28" w16cid:durableId="1664971263">
    <w:abstractNumId w:val="2"/>
  </w:num>
  <w:num w:numId="29" w16cid:durableId="1190756154">
    <w:abstractNumId w:val="14"/>
  </w:num>
  <w:num w:numId="30" w16cid:durableId="96028356">
    <w:abstractNumId w:val="33"/>
  </w:num>
  <w:num w:numId="31" w16cid:durableId="1973974007">
    <w:abstractNumId w:val="9"/>
  </w:num>
  <w:num w:numId="32" w16cid:durableId="1122924396">
    <w:abstractNumId w:val="22"/>
  </w:num>
  <w:num w:numId="33" w16cid:durableId="281153371">
    <w:abstractNumId w:val="20"/>
  </w:num>
  <w:num w:numId="34" w16cid:durableId="666591225">
    <w:abstractNumId w:val="7"/>
  </w:num>
  <w:num w:numId="35" w16cid:durableId="69037895">
    <w:abstractNumId w:val="29"/>
  </w:num>
  <w:num w:numId="36" w16cid:durableId="120928406">
    <w:abstractNumId w:val="3"/>
  </w:num>
  <w:num w:numId="37" w16cid:durableId="113334207">
    <w:abstractNumId w:val="40"/>
  </w:num>
  <w:num w:numId="38" w16cid:durableId="1696541237">
    <w:abstractNumId w:val="39"/>
  </w:num>
  <w:num w:numId="39" w16cid:durableId="960838153">
    <w:abstractNumId w:val="5"/>
  </w:num>
  <w:num w:numId="40" w16cid:durableId="764155711">
    <w:abstractNumId w:val="21"/>
  </w:num>
  <w:num w:numId="41" w16cid:durableId="169293311">
    <w:abstractNumId w:val="15"/>
  </w:num>
  <w:num w:numId="42" w16cid:durableId="1259607400">
    <w:abstractNumId w:val="30"/>
  </w:num>
  <w:num w:numId="43" w16cid:durableId="145979550">
    <w:abstractNumId w:val="41"/>
  </w:num>
  <w:num w:numId="44" w16cid:durableId="820465345">
    <w:abstractNumId w:val="36"/>
  </w:num>
  <w:num w:numId="45" w16cid:durableId="140302387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7B9627"/>
    <w:rsid w:val="00001597"/>
    <w:rsid w:val="00002843"/>
    <w:rsid w:val="00003E9E"/>
    <w:rsid w:val="00004DB3"/>
    <w:rsid w:val="00006321"/>
    <w:rsid w:val="0000771E"/>
    <w:rsid w:val="000108B5"/>
    <w:rsid w:val="0001469A"/>
    <w:rsid w:val="00020F82"/>
    <w:rsid w:val="000218F8"/>
    <w:rsid w:val="00021A2B"/>
    <w:rsid w:val="0002779A"/>
    <w:rsid w:val="00031761"/>
    <w:rsid w:val="00031B30"/>
    <w:rsid w:val="00032A00"/>
    <w:rsid w:val="00032E36"/>
    <w:rsid w:val="0003567F"/>
    <w:rsid w:val="00036676"/>
    <w:rsid w:val="00036B9E"/>
    <w:rsid w:val="000404BE"/>
    <w:rsid w:val="00041E07"/>
    <w:rsid w:val="00045681"/>
    <w:rsid w:val="000511FB"/>
    <w:rsid w:val="00054E19"/>
    <w:rsid w:val="00055490"/>
    <w:rsid w:val="00056678"/>
    <w:rsid w:val="00057C04"/>
    <w:rsid w:val="00060519"/>
    <w:rsid w:val="00063034"/>
    <w:rsid w:val="000643B7"/>
    <w:rsid w:val="00065025"/>
    <w:rsid w:val="00065055"/>
    <w:rsid w:val="00066D3A"/>
    <w:rsid w:val="00070DC8"/>
    <w:rsid w:val="00071084"/>
    <w:rsid w:val="00071BD8"/>
    <w:rsid w:val="00071F3A"/>
    <w:rsid w:val="000729BB"/>
    <w:rsid w:val="00072B5A"/>
    <w:rsid w:val="00075786"/>
    <w:rsid w:val="000772B2"/>
    <w:rsid w:val="0008154D"/>
    <w:rsid w:val="00081F33"/>
    <w:rsid w:val="00082571"/>
    <w:rsid w:val="00083290"/>
    <w:rsid w:val="000833D1"/>
    <w:rsid w:val="00085152"/>
    <w:rsid w:val="0008598B"/>
    <w:rsid w:val="000868D4"/>
    <w:rsid w:val="0009035E"/>
    <w:rsid w:val="00091500"/>
    <w:rsid w:val="00091943"/>
    <w:rsid w:val="00091D54"/>
    <w:rsid w:val="00094C38"/>
    <w:rsid w:val="000A0888"/>
    <w:rsid w:val="000A16DD"/>
    <w:rsid w:val="000A22CE"/>
    <w:rsid w:val="000A497B"/>
    <w:rsid w:val="000A60CD"/>
    <w:rsid w:val="000B20A6"/>
    <w:rsid w:val="000B2374"/>
    <w:rsid w:val="000B4879"/>
    <w:rsid w:val="000C13E7"/>
    <w:rsid w:val="000C186B"/>
    <w:rsid w:val="000C419C"/>
    <w:rsid w:val="000C41F4"/>
    <w:rsid w:val="000C5D31"/>
    <w:rsid w:val="000C65FD"/>
    <w:rsid w:val="000C7B3D"/>
    <w:rsid w:val="000D023A"/>
    <w:rsid w:val="000D1280"/>
    <w:rsid w:val="000D1B50"/>
    <w:rsid w:val="000D2939"/>
    <w:rsid w:val="000D3653"/>
    <w:rsid w:val="000D3C19"/>
    <w:rsid w:val="000D4723"/>
    <w:rsid w:val="000D5E4B"/>
    <w:rsid w:val="000D7F51"/>
    <w:rsid w:val="000E0130"/>
    <w:rsid w:val="000E08DE"/>
    <w:rsid w:val="000E0C81"/>
    <w:rsid w:val="000E2D6C"/>
    <w:rsid w:val="000E3F4E"/>
    <w:rsid w:val="000E5940"/>
    <w:rsid w:val="000E5E7A"/>
    <w:rsid w:val="000E64EC"/>
    <w:rsid w:val="000E71D5"/>
    <w:rsid w:val="000F4317"/>
    <w:rsid w:val="000F4AF3"/>
    <w:rsid w:val="000F7265"/>
    <w:rsid w:val="000F766A"/>
    <w:rsid w:val="00102058"/>
    <w:rsid w:val="0010256E"/>
    <w:rsid w:val="001052C3"/>
    <w:rsid w:val="00105A4D"/>
    <w:rsid w:val="00107E6D"/>
    <w:rsid w:val="001108BE"/>
    <w:rsid w:val="00110C4D"/>
    <w:rsid w:val="00111132"/>
    <w:rsid w:val="00112E01"/>
    <w:rsid w:val="001134DE"/>
    <w:rsid w:val="00113AFE"/>
    <w:rsid w:val="0011402F"/>
    <w:rsid w:val="00114092"/>
    <w:rsid w:val="0011605B"/>
    <w:rsid w:val="001219DA"/>
    <w:rsid w:val="00121D29"/>
    <w:rsid w:val="001222D6"/>
    <w:rsid w:val="00124395"/>
    <w:rsid w:val="00126FCD"/>
    <w:rsid w:val="00127CED"/>
    <w:rsid w:val="001333E7"/>
    <w:rsid w:val="0013394E"/>
    <w:rsid w:val="00134F58"/>
    <w:rsid w:val="001351B6"/>
    <w:rsid w:val="00135F42"/>
    <w:rsid w:val="001369B1"/>
    <w:rsid w:val="00136FCD"/>
    <w:rsid w:val="00137492"/>
    <w:rsid w:val="00140BF9"/>
    <w:rsid w:val="001461D0"/>
    <w:rsid w:val="00151210"/>
    <w:rsid w:val="00151EA1"/>
    <w:rsid w:val="00153737"/>
    <w:rsid w:val="0015724C"/>
    <w:rsid w:val="001578AB"/>
    <w:rsid w:val="00161D6A"/>
    <w:rsid w:val="00163078"/>
    <w:rsid w:val="0016380F"/>
    <w:rsid w:val="00165F6E"/>
    <w:rsid w:val="0017026A"/>
    <w:rsid w:val="001711F5"/>
    <w:rsid w:val="001723E6"/>
    <w:rsid w:val="00174FB5"/>
    <w:rsid w:val="001761D6"/>
    <w:rsid w:val="00182634"/>
    <w:rsid w:val="00182C82"/>
    <w:rsid w:val="00184CC3"/>
    <w:rsid w:val="00185686"/>
    <w:rsid w:val="00186A1C"/>
    <w:rsid w:val="00187A25"/>
    <w:rsid w:val="0019242D"/>
    <w:rsid w:val="001933DC"/>
    <w:rsid w:val="001A1389"/>
    <w:rsid w:val="001A300F"/>
    <w:rsid w:val="001A3278"/>
    <w:rsid w:val="001A5720"/>
    <w:rsid w:val="001A574F"/>
    <w:rsid w:val="001A6F3D"/>
    <w:rsid w:val="001B0F8B"/>
    <w:rsid w:val="001B27DE"/>
    <w:rsid w:val="001B2E51"/>
    <w:rsid w:val="001B3558"/>
    <w:rsid w:val="001B4EC2"/>
    <w:rsid w:val="001C1E0B"/>
    <w:rsid w:val="001C3EDE"/>
    <w:rsid w:val="001C67E8"/>
    <w:rsid w:val="001C68E4"/>
    <w:rsid w:val="001D02F1"/>
    <w:rsid w:val="001D0363"/>
    <w:rsid w:val="001D05BC"/>
    <w:rsid w:val="001D29FF"/>
    <w:rsid w:val="001D7964"/>
    <w:rsid w:val="001E19A2"/>
    <w:rsid w:val="001E4C81"/>
    <w:rsid w:val="001E5B57"/>
    <w:rsid w:val="001F08E6"/>
    <w:rsid w:val="001F09BD"/>
    <w:rsid w:val="001F343E"/>
    <w:rsid w:val="001F58AB"/>
    <w:rsid w:val="001F688E"/>
    <w:rsid w:val="00201738"/>
    <w:rsid w:val="00205C00"/>
    <w:rsid w:val="00205F57"/>
    <w:rsid w:val="00207613"/>
    <w:rsid w:val="00207ACF"/>
    <w:rsid w:val="00207FDA"/>
    <w:rsid w:val="00210503"/>
    <w:rsid w:val="00210D5B"/>
    <w:rsid w:val="0021112A"/>
    <w:rsid w:val="00215F79"/>
    <w:rsid w:val="00217D65"/>
    <w:rsid w:val="00222E64"/>
    <w:rsid w:val="002262C1"/>
    <w:rsid w:val="0022691C"/>
    <w:rsid w:val="00233464"/>
    <w:rsid w:val="00233EC4"/>
    <w:rsid w:val="00234245"/>
    <w:rsid w:val="002353E2"/>
    <w:rsid w:val="00241536"/>
    <w:rsid w:val="00241AF0"/>
    <w:rsid w:val="00242AA9"/>
    <w:rsid w:val="00243C0D"/>
    <w:rsid w:val="002455C9"/>
    <w:rsid w:val="00246386"/>
    <w:rsid w:val="002469E7"/>
    <w:rsid w:val="002472FE"/>
    <w:rsid w:val="00250D1C"/>
    <w:rsid w:val="002528BD"/>
    <w:rsid w:val="002546CB"/>
    <w:rsid w:val="00262EB3"/>
    <w:rsid w:val="0026344C"/>
    <w:rsid w:val="00264533"/>
    <w:rsid w:val="00264DB6"/>
    <w:rsid w:val="00265A7F"/>
    <w:rsid w:val="00267B1B"/>
    <w:rsid w:val="0027567D"/>
    <w:rsid w:val="002759A2"/>
    <w:rsid w:val="00277B44"/>
    <w:rsid w:val="00277EE2"/>
    <w:rsid w:val="00281A0B"/>
    <w:rsid w:val="00282FE8"/>
    <w:rsid w:val="002862C3"/>
    <w:rsid w:val="00287780"/>
    <w:rsid w:val="0029089C"/>
    <w:rsid w:val="00290F5D"/>
    <w:rsid w:val="0029194B"/>
    <w:rsid w:val="00291A44"/>
    <w:rsid w:val="0029270F"/>
    <w:rsid w:val="00292D76"/>
    <w:rsid w:val="00293E24"/>
    <w:rsid w:val="00295BFB"/>
    <w:rsid w:val="00296ED8"/>
    <w:rsid w:val="00297F55"/>
    <w:rsid w:val="002A1118"/>
    <w:rsid w:val="002A150D"/>
    <w:rsid w:val="002A6329"/>
    <w:rsid w:val="002A7C01"/>
    <w:rsid w:val="002B3909"/>
    <w:rsid w:val="002B459A"/>
    <w:rsid w:val="002B50F6"/>
    <w:rsid w:val="002B61DA"/>
    <w:rsid w:val="002B639A"/>
    <w:rsid w:val="002B6CDF"/>
    <w:rsid w:val="002B7CFA"/>
    <w:rsid w:val="002C0601"/>
    <w:rsid w:val="002C18A1"/>
    <w:rsid w:val="002C23F3"/>
    <w:rsid w:val="002C7D85"/>
    <w:rsid w:val="002D1983"/>
    <w:rsid w:val="002D440B"/>
    <w:rsid w:val="002D6418"/>
    <w:rsid w:val="002D7865"/>
    <w:rsid w:val="002D7B14"/>
    <w:rsid w:val="002E0968"/>
    <w:rsid w:val="002E1B02"/>
    <w:rsid w:val="002E2653"/>
    <w:rsid w:val="002E3A50"/>
    <w:rsid w:val="002E3D81"/>
    <w:rsid w:val="002E5514"/>
    <w:rsid w:val="002E6614"/>
    <w:rsid w:val="002E6BAD"/>
    <w:rsid w:val="002F0BFB"/>
    <w:rsid w:val="002F3060"/>
    <w:rsid w:val="002F4F99"/>
    <w:rsid w:val="002F7753"/>
    <w:rsid w:val="002F79CB"/>
    <w:rsid w:val="003003A6"/>
    <w:rsid w:val="00300605"/>
    <w:rsid w:val="00302686"/>
    <w:rsid w:val="003044A8"/>
    <w:rsid w:val="0031192B"/>
    <w:rsid w:val="00314D17"/>
    <w:rsid w:val="003162C6"/>
    <w:rsid w:val="003166CC"/>
    <w:rsid w:val="0032109E"/>
    <w:rsid w:val="00327938"/>
    <w:rsid w:val="00332291"/>
    <w:rsid w:val="00334986"/>
    <w:rsid w:val="003402B5"/>
    <w:rsid w:val="00340C14"/>
    <w:rsid w:val="003415F0"/>
    <w:rsid w:val="00343390"/>
    <w:rsid w:val="00346A1A"/>
    <w:rsid w:val="00346D25"/>
    <w:rsid w:val="00346E17"/>
    <w:rsid w:val="0034787C"/>
    <w:rsid w:val="0035133A"/>
    <w:rsid w:val="00351D8E"/>
    <w:rsid w:val="0035263C"/>
    <w:rsid w:val="00354FCD"/>
    <w:rsid w:val="00355237"/>
    <w:rsid w:val="00355727"/>
    <w:rsid w:val="00355A8C"/>
    <w:rsid w:val="00356487"/>
    <w:rsid w:val="003610F7"/>
    <w:rsid w:val="00362186"/>
    <w:rsid w:val="00362553"/>
    <w:rsid w:val="00363878"/>
    <w:rsid w:val="00370B54"/>
    <w:rsid w:val="00370B5D"/>
    <w:rsid w:val="0037417A"/>
    <w:rsid w:val="0037493A"/>
    <w:rsid w:val="00374E6C"/>
    <w:rsid w:val="00375479"/>
    <w:rsid w:val="00375B4D"/>
    <w:rsid w:val="003761FB"/>
    <w:rsid w:val="003762E9"/>
    <w:rsid w:val="0037663D"/>
    <w:rsid w:val="00380F0E"/>
    <w:rsid w:val="003830E0"/>
    <w:rsid w:val="003840EE"/>
    <w:rsid w:val="00384671"/>
    <w:rsid w:val="00385CDD"/>
    <w:rsid w:val="00387F95"/>
    <w:rsid w:val="003904CB"/>
    <w:rsid w:val="00390ACE"/>
    <w:rsid w:val="00390D81"/>
    <w:rsid w:val="003A0D05"/>
    <w:rsid w:val="003A2E0B"/>
    <w:rsid w:val="003A51E8"/>
    <w:rsid w:val="003A5B35"/>
    <w:rsid w:val="003B0B9B"/>
    <w:rsid w:val="003B477B"/>
    <w:rsid w:val="003B6B90"/>
    <w:rsid w:val="003B7962"/>
    <w:rsid w:val="003C2DF4"/>
    <w:rsid w:val="003C3DBA"/>
    <w:rsid w:val="003C4EF9"/>
    <w:rsid w:val="003C6646"/>
    <w:rsid w:val="003D0025"/>
    <w:rsid w:val="003D063D"/>
    <w:rsid w:val="003D2CC0"/>
    <w:rsid w:val="003D2CE0"/>
    <w:rsid w:val="003D5255"/>
    <w:rsid w:val="003D6E07"/>
    <w:rsid w:val="003E15A9"/>
    <w:rsid w:val="003E6374"/>
    <w:rsid w:val="003F09FB"/>
    <w:rsid w:val="003F1AF7"/>
    <w:rsid w:val="003F2FA5"/>
    <w:rsid w:val="003F3806"/>
    <w:rsid w:val="003F5288"/>
    <w:rsid w:val="003F580A"/>
    <w:rsid w:val="003F693F"/>
    <w:rsid w:val="003F6ABA"/>
    <w:rsid w:val="003F7D5B"/>
    <w:rsid w:val="00400879"/>
    <w:rsid w:val="00403922"/>
    <w:rsid w:val="00403B35"/>
    <w:rsid w:val="00404C67"/>
    <w:rsid w:val="00411713"/>
    <w:rsid w:val="00413833"/>
    <w:rsid w:val="00413AFD"/>
    <w:rsid w:val="00414859"/>
    <w:rsid w:val="00417945"/>
    <w:rsid w:val="00421702"/>
    <w:rsid w:val="0042173A"/>
    <w:rsid w:val="004219C2"/>
    <w:rsid w:val="0042516C"/>
    <w:rsid w:val="0042559C"/>
    <w:rsid w:val="004302A6"/>
    <w:rsid w:val="004316F0"/>
    <w:rsid w:val="00431E4D"/>
    <w:rsid w:val="0043369B"/>
    <w:rsid w:val="004342A2"/>
    <w:rsid w:val="004352B0"/>
    <w:rsid w:val="004379D8"/>
    <w:rsid w:val="0044002C"/>
    <w:rsid w:val="00441FED"/>
    <w:rsid w:val="004433FB"/>
    <w:rsid w:val="00443EBC"/>
    <w:rsid w:val="0044544B"/>
    <w:rsid w:val="00446CA4"/>
    <w:rsid w:val="00451569"/>
    <w:rsid w:val="0045208C"/>
    <w:rsid w:val="00452394"/>
    <w:rsid w:val="00453017"/>
    <w:rsid w:val="00455A31"/>
    <w:rsid w:val="00456C98"/>
    <w:rsid w:val="00461BC9"/>
    <w:rsid w:val="00462CB4"/>
    <w:rsid w:val="0046423A"/>
    <w:rsid w:val="00465963"/>
    <w:rsid w:val="00466E99"/>
    <w:rsid w:val="00467B2F"/>
    <w:rsid w:val="00467F03"/>
    <w:rsid w:val="00471820"/>
    <w:rsid w:val="00471F3D"/>
    <w:rsid w:val="00472E3A"/>
    <w:rsid w:val="00473BF5"/>
    <w:rsid w:val="0047438A"/>
    <w:rsid w:val="0047746C"/>
    <w:rsid w:val="004777BC"/>
    <w:rsid w:val="00477D92"/>
    <w:rsid w:val="00477E97"/>
    <w:rsid w:val="0048052F"/>
    <w:rsid w:val="00482167"/>
    <w:rsid w:val="00484F99"/>
    <w:rsid w:val="00485A6C"/>
    <w:rsid w:val="00494D04"/>
    <w:rsid w:val="00495B69"/>
    <w:rsid w:val="004965E9"/>
    <w:rsid w:val="004A02EA"/>
    <w:rsid w:val="004A2B68"/>
    <w:rsid w:val="004A3788"/>
    <w:rsid w:val="004A6A35"/>
    <w:rsid w:val="004A6B9A"/>
    <w:rsid w:val="004A758B"/>
    <w:rsid w:val="004A7986"/>
    <w:rsid w:val="004B0CB9"/>
    <w:rsid w:val="004B5B05"/>
    <w:rsid w:val="004B5EC0"/>
    <w:rsid w:val="004B692E"/>
    <w:rsid w:val="004B79B7"/>
    <w:rsid w:val="004C1C2A"/>
    <w:rsid w:val="004C3DC0"/>
    <w:rsid w:val="004C3F1E"/>
    <w:rsid w:val="004C521C"/>
    <w:rsid w:val="004C6B6C"/>
    <w:rsid w:val="004C6CFA"/>
    <w:rsid w:val="004D21EB"/>
    <w:rsid w:val="004D27E2"/>
    <w:rsid w:val="004D54B9"/>
    <w:rsid w:val="004D572A"/>
    <w:rsid w:val="004E4825"/>
    <w:rsid w:val="004E5823"/>
    <w:rsid w:val="004E7252"/>
    <w:rsid w:val="004E79CC"/>
    <w:rsid w:val="004E7B53"/>
    <w:rsid w:val="004F1174"/>
    <w:rsid w:val="004F3CBB"/>
    <w:rsid w:val="004F68B2"/>
    <w:rsid w:val="004F7BC1"/>
    <w:rsid w:val="00500A1D"/>
    <w:rsid w:val="00501BE2"/>
    <w:rsid w:val="00501E60"/>
    <w:rsid w:val="00504891"/>
    <w:rsid w:val="005048A9"/>
    <w:rsid w:val="00504939"/>
    <w:rsid w:val="005079FE"/>
    <w:rsid w:val="0051077B"/>
    <w:rsid w:val="00511749"/>
    <w:rsid w:val="00517046"/>
    <w:rsid w:val="00520AD6"/>
    <w:rsid w:val="00520B70"/>
    <w:rsid w:val="00520F7C"/>
    <w:rsid w:val="00523DD1"/>
    <w:rsid w:val="00524491"/>
    <w:rsid w:val="005253A7"/>
    <w:rsid w:val="0052565C"/>
    <w:rsid w:val="005269D9"/>
    <w:rsid w:val="00527661"/>
    <w:rsid w:val="0053018C"/>
    <w:rsid w:val="00530A43"/>
    <w:rsid w:val="00530D7A"/>
    <w:rsid w:val="00533977"/>
    <w:rsid w:val="00535076"/>
    <w:rsid w:val="00537C2C"/>
    <w:rsid w:val="0054042F"/>
    <w:rsid w:val="0054143C"/>
    <w:rsid w:val="0054281A"/>
    <w:rsid w:val="00544BF6"/>
    <w:rsid w:val="0054557C"/>
    <w:rsid w:val="00546D99"/>
    <w:rsid w:val="00550F0B"/>
    <w:rsid w:val="00556625"/>
    <w:rsid w:val="0056137B"/>
    <w:rsid w:val="00561734"/>
    <w:rsid w:val="0056258C"/>
    <w:rsid w:val="00563EC6"/>
    <w:rsid w:val="00565251"/>
    <w:rsid w:val="0056708E"/>
    <w:rsid w:val="005710D0"/>
    <w:rsid w:val="00571FB2"/>
    <w:rsid w:val="00573EC6"/>
    <w:rsid w:val="00577495"/>
    <w:rsid w:val="00581F5E"/>
    <w:rsid w:val="005843AB"/>
    <w:rsid w:val="00591D9C"/>
    <w:rsid w:val="00592A64"/>
    <w:rsid w:val="00595B80"/>
    <w:rsid w:val="005A206C"/>
    <w:rsid w:val="005A2C3D"/>
    <w:rsid w:val="005A2DA0"/>
    <w:rsid w:val="005A44EF"/>
    <w:rsid w:val="005A45A4"/>
    <w:rsid w:val="005A5A27"/>
    <w:rsid w:val="005A614A"/>
    <w:rsid w:val="005A65AF"/>
    <w:rsid w:val="005A6721"/>
    <w:rsid w:val="005B0F92"/>
    <w:rsid w:val="005B4255"/>
    <w:rsid w:val="005B46B6"/>
    <w:rsid w:val="005C0623"/>
    <w:rsid w:val="005C0D67"/>
    <w:rsid w:val="005C1958"/>
    <w:rsid w:val="005C2C98"/>
    <w:rsid w:val="005D087A"/>
    <w:rsid w:val="005E04A1"/>
    <w:rsid w:val="005E283C"/>
    <w:rsid w:val="005E41BF"/>
    <w:rsid w:val="005E7052"/>
    <w:rsid w:val="005F032A"/>
    <w:rsid w:val="005F09C7"/>
    <w:rsid w:val="005F2164"/>
    <w:rsid w:val="005F5199"/>
    <w:rsid w:val="005F6847"/>
    <w:rsid w:val="005F6BEC"/>
    <w:rsid w:val="005F73A3"/>
    <w:rsid w:val="005F74CC"/>
    <w:rsid w:val="0060133B"/>
    <w:rsid w:val="0060332B"/>
    <w:rsid w:val="00603E49"/>
    <w:rsid w:val="00604B88"/>
    <w:rsid w:val="00607D50"/>
    <w:rsid w:val="0061038F"/>
    <w:rsid w:val="00610D1D"/>
    <w:rsid w:val="0061109C"/>
    <w:rsid w:val="00611155"/>
    <w:rsid w:val="006111FD"/>
    <w:rsid w:val="0061143D"/>
    <w:rsid w:val="00611643"/>
    <w:rsid w:val="00611A3E"/>
    <w:rsid w:val="006139DF"/>
    <w:rsid w:val="00614EBC"/>
    <w:rsid w:val="00615268"/>
    <w:rsid w:val="00615B39"/>
    <w:rsid w:val="006204BF"/>
    <w:rsid w:val="006218D5"/>
    <w:rsid w:val="00624344"/>
    <w:rsid w:val="006250AC"/>
    <w:rsid w:val="00625138"/>
    <w:rsid w:val="00630DE6"/>
    <w:rsid w:val="006324FD"/>
    <w:rsid w:val="0063483E"/>
    <w:rsid w:val="00635202"/>
    <w:rsid w:val="00640254"/>
    <w:rsid w:val="00642021"/>
    <w:rsid w:val="0064232C"/>
    <w:rsid w:val="00643062"/>
    <w:rsid w:val="00643065"/>
    <w:rsid w:val="00644D4A"/>
    <w:rsid w:val="00651EE9"/>
    <w:rsid w:val="00652C71"/>
    <w:rsid w:val="00653CAC"/>
    <w:rsid w:val="00654EF7"/>
    <w:rsid w:val="00655673"/>
    <w:rsid w:val="00657550"/>
    <w:rsid w:val="00660D14"/>
    <w:rsid w:val="006631C0"/>
    <w:rsid w:val="00663670"/>
    <w:rsid w:val="006638CE"/>
    <w:rsid w:val="00663B0A"/>
    <w:rsid w:val="00664FB7"/>
    <w:rsid w:val="006661B1"/>
    <w:rsid w:val="00672A1F"/>
    <w:rsid w:val="00672C80"/>
    <w:rsid w:val="00672D73"/>
    <w:rsid w:val="00675CC7"/>
    <w:rsid w:val="00681917"/>
    <w:rsid w:val="00681F30"/>
    <w:rsid w:val="00684F09"/>
    <w:rsid w:val="006857DE"/>
    <w:rsid w:val="00691334"/>
    <w:rsid w:val="006951C6"/>
    <w:rsid w:val="006972BF"/>
    <w:rsid w:val="006A3561"/>
    <w:rsid w:val="006B2446"/>
    <w:rsid w:val="006B2A17"/>
    <w:rsid w:val="006B4F1A"/>
    <w:rsid w:val="006B4F84"/>
    <w:rsid w:val="006B5D36"/>
    <w:rsid w:val="006B65DA"/>
    <w:rsid w:val="006B696F"/>
    <w:rsid w:val="006C17F7"/>
    <w:rsid w:val="006C22E1"/>
    <w:rsid w:val="006C6A35"/>
    <w:rsid w:val="006C721B"/>
    <w:rsid w:val="006D1179"/>
    <w:rsid w:val="006D14A4"/>
    <w:rsid w:val="006D32AD"/>
    <w:rsid w:val="006D4346"/>
    <w:rsid w:val="006E0336"/>
    <w:rsid w:val="006E0875"/>
    <w:rsid w:val="006E10E6"/>
    <w:rsid w:val="006E48A9"/>
    <w:rsid w:val="006E4C1E"/>
    <w:rsid w:val="006E62F9"/>
    <w:rsid w:val="006E63D1"/>
    <w:rsid w:val="006E69F2"/>
    <w:rsid w:val="006F1FC5"/>
    <w:rsid w:val="006F27D5"/>
    <w:rsid w:val="006F4CEF"/>
    <w:rsid w:val="006F754E"/>
    <w:rsid w:val="006F7CDA"/>
    <w:rsid w:val="00700FD7"/>
    <w:rsid w:val="00702A19"/>
    <w:rsid w:val="00702BD0"/>
    <w:rsid w:val="00703538"/>
    <w:rsid w:val="007047F6"/>
    <w:rsid w:val="00705795"/>
    <w:rsid w:val="00705C5A"/>
    <w:rsid w:val="00705D02"/>
    <w:rsid w:val="00706E12"/>
    <w:rsid w:val="007102F3"/>
    <w:rsid w:val="0071071B"/>
    <w:rsid w:val="007108C3"/>
    <w:rsid w:val="007139CA"/>
    <w:rsid w:val="00713C24"/>
    <w:rsid w:val="0071517B"/>
    <w:rsid w:val="00721DC9"/>
    <w:rsid w:val="00721F68"/>
    <w:rsid w:val="00723AC9"/>
    <w:rsid w:val="00724C45"/>
    <w:rsid w:val="007252C2"/>
    <w:rsid w:val="00725740"/>
    <w:rsid w:val="00725AC7"/>
    <w:rsid w:val="007272B1"/>
    <w:rsid w:val="00735D8A"/>
    <w:rsid w:val="0073604D"/>
    <w:rsid w:val="0074289B"/>
    <w:rsid w:val="00742E40"/>
    <w:rsid w:val="00744CC2"/>
    <w:rsid w:val="0074528D"/>
    <w:rsid w:val="00746254"/>
    <w:rsid w:val="00746259"/>
    <w:rsid w:val="00752B04"/>
    <w:rsid w:val="0075425B"/>
    <w:rsid w:val="00757DD1"/>
    <w:rsid w:val="00760220"/>
    <w:rsid w:val="0076121B"/>
    <w:rsid w:val="00761B41"/>
    <w:rsid w:val="00763712"/>
    <w:rsid w:val="007651E2"/>
    <w:rsid w:val="00766D28"/>
    <w:rsid w:val="00766ECD"/>
    <w:rsid w:val="00767399"/>
    <w:rsid w:val="00767E4E"/>
    <w:rsid w:val="0077183D"/>
    <w:rsid w:val="00773061"/>
    <w:rsid w:val="0077416B"/>
    <w:rsid w:val="0077624A"/>
    <w:rsid w:val="007843BD"/>
    <w:rsid w:val="007848D6"/>
    <w:rsid w:val="007849CA"/>
    <w:rsid w:val="00784ADA"/>
    <w:rsid w:val="0078758A"/>
    <w:rsid w:val="007954BC"/>
    <w:rsid w:val="007A04E6"/>
    <w:rsid w:val="007A101C"/>
    <w:rsid w:val="007A44D8"/>
    <w:rsid w:val="007A6A1E"/>
    <w:rsid w:val="007B4637"/>
    <w:rsid w:val="007B6554"/>
    <w:rsid w:val="007C1CD0"/>
    <w:rsid w:val="007C4DE1"/>
    <w:rsid w:val="007C639D"/>
    <w:rsid w:val="007C6E67"/>
    <w:rsid w:val="007D28BA"/>
    <w:rsid w:val="007D2F22"/>
    <w:rsid w:val="007D3F4A"/>
    <w:rsid w:val="007D527D"/>
    <w:rsid w:val="007D6EC2"/>
    <w:rsid w:val="007E0738"/>
    <w:rsid w:val="007E4107"/>
    <w:rsid w:val="007E5E97"/>
    <w:rsid w:val="007E741F"/>
    <w:rsid w:val="007E7F86"/>
    <w:rsid w:val="007F09DC"/>
    <w:rsid w:val="007F37DB"/>
    <w:rsid w:val="007F6F1D"/>
    <w:rsid w:val="007F7DCD"/>
    <w:rsid w:val="0080139C"/>
    <w:rsid w:val="00802313"/>
    <w:rsid w:val="008025EC"/>
    <w:rsid w:val="0080371A"/>
    <w:rsid w:val="00804E93"/>
    <w:rsid w:val="00805913"/>
    <w:rsid w:val="00807B7A"/>
    <w:rsid w:val="00811722"/>
    <w:rsid w:val="00811947"/>
    <w:rsid w:val="0081349A"/>
    <w:rsid w:val="00814C1D"/>
    <w:rsid w:val="00815DA8"/>
    <w:rsid w:val="0081734E"/>
    <w:rsid w:val="00820993"/>
    <w:rsid w:val="008233EC"/>
    <w:rsid w:val="008257F8"/>
    <w:rsid w:val="00825C71"/>
    <w:rsid w:val="008329CF"/>
    <w:rsid w:val="0083588B"/>
    <w:rsid w:val="0083704B"/>
    <w:rsid w:val="00841E4F"/>
    <w:rsid w:val="00844C42"/>
    <w:rsid w:val="00847053"/>
    <w:rsid w:val="00847514"/>
    <w:rsid w:val="008575C5"/>
    <w:rsid w:val="0086014A"/>
    <w:rsid w:val="00860D91"/>
    <w:rsid w:val="00860E81"/>
    <w:rsid w:val="008621DA"/>
    <w:rsid w:val="00862583"/>
    <w:rsid w:val="0086532E"/>
    <w:rsid w:val="00866B0F"/>
    <w:rsid w:val="008673B6"/>
    <w:rsid w:val="00872760"/>
    <w:rsid w:val="008743D4"/>
    <w:rsid w:val="00876C8D"/>
    <w:rsid w:val="008827C4"/>
    <w:rsid w:val="008836BE"/>
    <w:rsid w:val="00883A35"/>
    <w:rsid w:val="00893781"/>
    <w:rsid w:val="00896B5C"/>
    <w:rsid w:val="00897B31"/>
    <w:rsid w:val="00897E69"/>
    <w:rsid w:val="008A2C36"/>
    <w:rsid w:val="008A2F6E"/>
    <w:rsid w:val="008A36D5"/>
    <w:rsid w:val="008B0436"/>
    <w:rsid w:val="008B0519"/>
    <w:rsid w:val="008B2314"/>
    <w:rsid w:val="008B31E3"/>
    <w:rsid w:val="008B6F38"/>
    <w:rsid w:val="008C2EEB"/>
    <w:rsid w:val="008C562D"/>
    <w:rsid w:val="008D35D7"/>
    <w:rsid w:val="008D4680"/>
    <w:rsid w:val="008D4F5C"/>
    <w:rsid w:val="008D64AD"/>
    <w:rsid w:val="008D6703"/>
    <w:rsid w:val="008D7DED"/>
    <w:rsid w:val="008E2617"/>
    <w:rsid w:val="008E5AD6"/>
    <w:rsid w:val="008E7297"/>
    <w:rsid w:val="008F2FAF"/>
    <w:rsid w:val="008F4EB9"/>
    <w:rsid w:val="008F662D"/>
    <w:rsid w:val="008F7358"/>
    <w:rsid w:val="008F7F52"/>
    <w:rsid w:val="00906344"/>
    <w:rsid w:val="00906429"/>
    <w:rsid w:val="00910E13"/>
    <w:rsid w:val="00911F6B"/>
    <w:rsid w:val="009127CE"/>
    <w:rsid w:val="00914BD0"/>
    <w:rsid w:val="009174F6"/>
    <w:rsid w:val="0092053E"/>
    <w:rsid w:val="009215A6"/>
    <w:rsid w:val="009217AB"/>
    <w:rsid w:val="00921E31"/>
    <w:rsid w:val="00923BED"/>
    <w:rsid w:val="0092586E"/>
    <w:rsid w:val="00926935"/>
    <w:rsid w:val="0092764F"/>
    <w:rsid w:val="009360B1"/>
    <w:rsid w:val="00936CB7"/>
    <w:rsid w:val="00937581"/>
    <w:rsid w:val="0094203D"/>
    <w:rsid w:val="0094371E"/>
    <w:rsid w:val="009437F7"/>
    <w:rsid w:val="00946484"/>
    <w:rsid w:val="00947164"/>
    <w:rsid w:val="00947F1D"/>
    <w:rsid w:val="00954D1B"/>
    <w:rsid w:val="00955267"/>
    <w:rsid w:val="009564AF"/>
    <w:rsid w:val="00956D61"/>
    <w:rsid w:val="00957292"/>
    <w:rsid w:val="00960FB5"/>
    <w:rsid w:val="00964DFA"/>
    <w:rsid w:val="0096528A"/>
    <w:rsid w:val="00965E8E"/>
    <w:rsid w:val="00967B13"/>
    <w:rsid w:val="009703A1"/>
    <w:rsid w:val="00971CED"/>
    <w:rsid w:val="00972F96"/>
    <w:rsid w:val="00976E21"/>
    <w:rsid w:val="00977DA3"/>
    <w:rsid w:val="0098284E"/>
    <w:rsid w:val="0098319A"/>
    <w:rsid w:val="00986E32"/>
    <w:rsid w:val="00986E59"/>
    <w:rsid w:val="00990375"/>
    <w:rsid w:val="0099133B"/>
    <w:rsid w:val="00991A01"/>
    <w:rsid w:val="0099353E"/>
    <w:rsid w:val="00995A51"/>
    <w:rsid w:val="009962E9"/>
    <w:rsid w:val="009967BB"/>
    <w:rsid w:val="009A201D"/>
    <w:rsid w:val="009A2549"/>
    <w:rsid w:val="009A2746"/>
    <w:rsid w:val="009A3C27"/>
    <w:rsid w:val="009A4113"/>
    <w:rsid w:val="009B0375"/>
    <w:rsid w:val="009B077A"/>
    <w:rsid w:val="009B2173"/>
    <w:rsid w:val="009B4385"/>
    <w:rsid w:val="009B5FCF"/>
    <w:rsid w:val="009C48B1"/>
    <w:rsid w:val="009C54AF"/>
    <w:rsid w:val="009C72EA"/>
    <w:rsid w:val="009D3D38"/>
    <w:rsid w:val="009D3E8F"/>
    <w:rsid w:val="009D5914"/>
    <w:rsid w:val="009D6833"/>
    <w:rsid w:val="009E27A0"/>
    <w:rsid w:val="009E34E6"/>
    <w:rsid w:val="009E6415"/>
    <w:rsid w:val="009E71A6"/>
    <w:rsid w:val="009F2A12"/>
    <w:rsid w:val="009F317E"/>
    <w:rsid w:val="009F5406"/>
    <w:rsid w:val="009F5A16"/>
    <w:rsid w:val="00A01E59"/>
    <w:rsid w:val="00A055F5"/>
    <w:rsid w:val="00A07CDA"/>
    <w:rsid w:val="00A10E3D"/>
    <w:rsid w:val="00A12C0F"/>
    <w:rsid w:val="00A12C83"/>
    <w:rsid w:val="00A14135"/>
    <w:rsid w:val="00A157E2"/>
    <w:rsid w:val="00A1791A"/>
    <w:rsid w:val="00A21225"/>
    <w:rsid w:val="00A215DF"/>
    <w:rsid w:val="00A22ACA"/>
    <w:rsid w:val="00A23963"/>
    <w:rsid w:val="00A242C8"/>
    <w:rsid w:val="00A25BF3"/>
    <w:rsid w:val="00A27CC1"/>
    <w:rsid w:val="00A30640"/>
    <w:rsid w:val="00A31B19"/>
    <w:rsid w:val="00A31D80"/>
    <w:rsid w:val="00A330B1"/>
    <w:rsid w:val="00A359C7"/>
    <w:rsid w:val="00A37D8E"/>
    <w:rsid w:val="00A4525F"/>
    <w:rsid w:val="00A45278"/>
    <w:rsid w:val="00A4536C"/>
    <w:rsid w:val="00A46CD1"/>
    <w:rsid w:val="00A55655"/>
    <w:rsid w:val="00A57F24"/>
    <w:rsid w:val="00A6098E"/>
    <w:rsid w:val="00A60A6E"/>
    <w:rsid w:val="00A64A46"/>
    <w:rsid w:val="00A64B09"/>
    <w:rsid w:val="00A64F77"/>
    <w:rsid w:val="00A654AC"/>
    <w:rsid w:val="00A7080E"/>
    <w:rsid w:val="00A716B6"/>
    <w:rsid w:val="00A71B3E"/>
    <w:rsid w:val="00A75705"/>
    <w:rsid w:val="00A81001"/>
    <w:rsid w:val="00A8105E"/>
    <w:rsid w:val="00A81CC8"/>
    <w:rsid w:val="00A83EE7"/>
    <w:rsid w:val="00A874B4"/>
    <w:rsid w:val="00A9040D"/>
    <w:rsid w:val="00A90428"/>
    <w:rsid w:val="00A905D4"/>
    <w:rsid w:val="00A90BC4"/>
    <w:rsid w:val="00A94102"/>
    <w:rsid w:val="00A95E7A"/>
    <w:rsid w:val="00A97E99"/>
    <w:rsid w:val="00AA143B"/>
    <w:rsid w:val="00AA3FD9"/>
    <w:rsid w:val="00AA492F"/>
    <w:rsid w:val="00AA4BB6"/>
    <w:rsid w:val="00AA50B1"/>
    <w:rsid w:val="00AA57D2"/>
    <w:rsid w:val="00AA682B"/>
    <w:rsid w:val="00AA710F"/>
    <w:rsid w:val="00AB3B90"/>
    <w:rsid w:val="00AB5E7A"/>
    <w:rsid w:val="00AB6EF8"/>
    <w:rsid w:val="00AC2D02"/>
    <w:rsid w:val="00AC5353"/>
    <w:rsid w:val="00AC61C8"/>
    <w:rsid w:val="00AD1221"/>
    <w:rsid w:val="00AD20C4"/>
    <w:rsid w:val="00AD29D0"/>
    <w:rsid w:val="00AD40CC"/>
    <w:rsid w:val="00AD51F5"/>
    <w:rsid w:val="00AD5747"/>
    <w:rsid w:val="00AD57B9"/>
    <w:rsid w:val="00AD7D84"/>
    <w:rsid w:val="00AE51D7"/>
    <w:rsid w:val="00AE7F38"/>
    <w:rsid w:val="00AF127B"/>
    <w:rsid w:val="00AF18CF"/>
    <w:rsid w:val="00AF5675"/>
    <w:rsid w:val="00B001BF"/>
    <w:rsid w:val="00B03E9F"/>
    <w:rsid w:val="00B05481"/>
    <w:rsid w:val="00B0661A"/>
    <w:rsid w:val="00B066AE"/>
    <w:rsid w:val="00B070A4"/>
    <w:rsid w:val="00B11051"/>
    <w:rsid w:val="00B11385"/>
    <w:rsid w:val="00B11A38"/>
    <w:rsid w:val="00B11FE7"/>
    <w:rsid w:val="00B1312D"/>
    <w:rsid w:val="00B13E4A"/>
    <w:rsid w:val="00B14456"/>
    <w:rsid w:val="00B156AD"/>
    <w:rsid w:val="00B21421"/>
    <w:rsid w:val="00B21561"/>
    <w:rsid w:val="00B21885"/>
    <w:rsid w:val="00B21C32"/>
    <w:rsid w:val="00B23EE0"/>
    <w:rsid w:val="00B26EAA"/>
    <w:rsid w:val="00B27B24"/>
    <w:rsid w:val="00B27CB3"/>
    <w:rsid w:val="00B30D7B"/>
    <w:rsid w:val="00B3359E"/>
    <w:rsid w:val="00B3397B"/>
    <w:rsid w:val="00B33C1D"/>
    <w:rsid w:val="00B33D37"/>
    <w:rsid w:val="00B33DDE"/>
    <w:rsid w:val="00B36F1E"/>
    <w:rsid w:val="00B4097E"/>
    <w:rsid w:val="00B42012"/>
    <w:rsid w:val="00B4655D"/>
    <w:rsid w:val="00B47DBC"/>
    <w:rsid w:val="00B51405"/>
    <w:rsid w:val="00B53E17"/>
    <w:rsid w:val="00B5437A"/>
    <w:rsid w:val="00B54DED"/>
    <w:rsid w:val="00B56092"/>
    <w:rsid w:val="00B57398"/>
    <w:rsid w:val="00B57480"/>
    <w:rsid w:val="00B57FE2"/>
    <w:rsid w:val="00B619DC"/>
    <w:rsid w:val="00B64479"/>
    <w:rsid w:val="00B6675D"/>
    <w:rsid w:val="00B72E1B"/>
    <w:rsid w:val="00B73C2B"/>
    <w:rsid w:val="00B74877"/>
    <w:rsid w:val="00B751A8"/>
    <w:rsid w:val="00B7527F"/>
    <w:rsid w:val="00B8056E"/>
    <w:rsid w:val="00B81FBC"/>
    <w:rsid w:val="00B8253D"/>
    <w:rsid w:val="00B82B9B"/>
    <w:rsid w:val="00B83074"/>
    <w:rsid w:val="00B83255"/>
    <w:rsid w:val="00B83662"/>
    <w:rsid w:val="00B85184"/>
    <w:rsid w:val="00B929F7"/>
    <w:rsid w:val="00B92DB5"/>
    <w:rsid w:val="00B940D8"/>
    <w:rsid w:val="00B94103"/>
    <w:rsid w:val="00B970D7"/>
    <w:rsid w:val="00B9793B"/>
    <w:rsid w:val="00BA6900"/>
    <w:rsid w:val="00BA79EA"/>
    <w:rsid w:val="00BB090B"/>
    <w:rsid w:val="00BB0FA0"/>
    <w:rsid w:val="00BB1E98"/>
    <w:rsid w:val="00BB285F"/>
    <w:rsid w:val="00BB6C8E"/>
    <w:rsid w:val="00BC05C1"/>
    <w:rsid w:val="00BC11B3"/>
    <w:rsid w:val="00BC1277"/>
    <w:rsid w:val="00BC2BBF"/>
    <w:rsid w:val="00BC380B"/>
    <w:rsid w:val="00BC4224"/>
    <w:rsid w:val="00BC4735"/>
    <w:rsid w:val="00BC559F"/>
    <w:rsid w:val="00BD010F"/>
    <w:rsid w:val="00BD1B47"/>
    <w:rsid w:val="00BD3390"/>
    <w:rsid w:val="00BD6422"/>
    <w:rsid w:val="00BD685F"/>
    <w:rsid w:val="00BD7CC8"/>
    <w:rsid w:val="00BE1126"/>
    <w:rsid w:val="00BE1610"/>
    <w:rsid w:val="00BE3AFC"/>
    <w:rsid w:val="00BE4447"/>
    <w:rsid w:val="00BE4DDB"/>
    <w:rsid w:val="00BE7597"/>
    <w:rsid w:val="00BF1918"/>
    <w:rsid w:val="00BF2CAB"/>
    <w:rsid w:val="00BF3CFC"/>
    <w:rsid w:val="00BF4C16"/>
    <w:rsid w:val="00BF6359"/>
    <w:rsid w:val="00BF7EED"/>
    <w:rsid w:val="00BF7FFA"/>
    <w:rsid w:val="00C00829"/>
    <w:rsid w:val="00C01347"/>
    <w:rsid w:val="00C03ACA"/>
    <w:rsid w:val="00C051C9"/>
    <w:rsid w:val="00C05691"/>
    <w:rsid w:val="00C06531"/>
    <w:rsid w:val="00C0762A"/>
    <w:rsid w:val="00C12726"/>
    <w:rsid w:val="00C13EC5"/>
    <w:rsid w:val="00C14D98"/>
    <w:rsid w:val="00C16DE1"/>
    <w:rsid w:val="00C20FE6"/>
    <w:rsid w:val="00C221E4"/>
    <w:rsid w:val="00C239BE"/>
    <w:rsid w:val="00C2676B"/>
    <w:rsid w:val="00C27041"/>
    <w:rsid w:val="00C30044"/>
    <w:rsid w:val="00C33393"/>
    <w:rsid w:val="00C36489"/>
    <w:rsid w:val="00C4137E"/>
    <w:rsid w:val="00C41F92"/>
    <w:rsid w:val="00C43484"/>
    <w:rsid w:val="00C46692"/>
    <w:rsid w:val="00C46929"/>
    <w:rsid w:val="00C5143E"/>
    <w:rsid w:val="00C5650D"/>
    <w:rsid w:val="00C56F2D"/>
    <w:rsid w:val="00C57B26"/>
    <w:rsid w:val="00C64665"/>
    <w:rsid w:val="00C649E6"/>
    <w:rsid w:val="00C6515C"/>
    <w:rsid w:val="00C71A04"/>
    <w:rsid w:val="00C73B81"/>
    <w:rsid w:val="00C74AB7"/>
    <w:rsid w:val="00C7546A"/>
    <w:rsid w:val="00C7584F"/>
    <w:rsid w:val="00C80F7B"/>
    <w:rsid w:val="00C82729"/>
    <w:rsid w:val="00C839F5"/>
    <w:rsid w:val="00C845FC"/>
    <w:rsid w:val="00C84DBA"/>
    <w:rsid w:val="00C86F48"/>
    <w:rsid w:val="00C90DCA"/>
    <w:rsid w:val="00C911BE"/>
    <w:rsid w:val="00C918BB"/>
    <w:rsid w:val="00C91C8B"/>
    <w:rsid w:val="00C92BBA"/>
    <w:rsid w:val="00C93BAF"/>
    <w:rsid w:val="00CA0451"/>
    <w:rsid w:val="00CA3CA3"/>
    <w:rsid w:val="00CA3F88"/>
    <w:rsid w:val="00CA4EC2"/>
    <w:rsid w:val="00CA6BDA"/>
    <w:rsid w:val="00CA6CD8"/>
    <w:rsid w:val="00CA6E75"/>
    <w:rsid w:val="00CB0DBC"/>
    <w:rsid w:val="00CB1161"/>
    <w:rsid w:val="00CB42C6"/>
    <w:rsid w:val="00CB450F"/>
    <w:rsid w:val="00CB4FF1"/>
    <w:rsid w:val="00CB5632"/>
    <w:rsid w:val="00CB72E7"/>
    <w:rsid w:val="00CB76D3"/>
    <w:rsid w:val="00CC32AD"/>
    <w:rsid w:val="00CC468F"/>
    <w:rsid w:val="00CC5038"/>
    <w:rsid w:val="00CD13E8"/>
    <w:rsid w:val="00CD1732"/>
    <w:rsid w:val="00CD3D1A"/>
    <w:rsid w:val="00CD40F2"/>
    <w:rsid w:val="00CD57FD"/>
    <w:rsid w:val="00CD7165"/>
    <w:rsid w:val="00CD7201"/>
    <w:rsid w:val="00CD72CC"/>
    <w:rsid w:val="00CE1F82"/>
    <w:rsid w:val="00CE3853"/>
    <w:rsid w:val="00CE5998"/>
    <w:rsid w:val="00CE6404"/>
    <w:rsid w:val="00CF26F3"/>
    <w:rsid w:val="00CF4D98"/>
    <w:rsid w:val="00CF4F32"/>
    <w:rsid w:val="00D0126E"/>
    <w:rsid w:val="00D03603"/>
    <w:rsid w:val="00D043B3"/>
    <w:rsid w:val="00D10075"/>
    <w:rsid w:val="00D11B91"/>
    <w:rsid w:val="00D12A5C"/>
    <w:rsid w:val="00D15E18"/>
    <w:rsid w:val="00D160BF"/>
    <w:rsid w:val="00D160D5"/>
    <w:rsid w:val="00D17509"/>
    <w:rsid w:val="00D20684"/>
    <w:rsid w:val="00D21AAA"/>
    <w:rsid w:val="00D23946"/>
    <w:rsid w:val="00D26FCA"/>
    <w:rsid w:val="00D31E11"/>
    <w:rsid w:val="00D32D96"/>
    <w:rsid w:val="00D33FC5"/>
    <w:rsid w:val="00D3491E"/>
    <w:rsid w:val="00D352D7"/>
    <w:rsid w:val="00D37BD5"/>
    <w:rsid w:val="00D4079A"/>
    <w:rsid w:val="00D412A5"/>
    <w:rsid w:val="00D41D5E"/>
    <w:rsid w:val="00D424C4"/>
    <w:rsid w:val="00D4297B"/>
    <w:rsid w:val="00D43B07"/>
    <w:rsid w:val="00D4417F"/>
    <w:rsid w:val="00D457F4"/>
    <w:rsid w:val="00D46F05"/>
    <w:rsid w:val="00D61B74"/>
    <w:rsid w:val="00D623EE"/>
    <w:rsid w:val="00D64530"/>
    <w:rsid w:val="00D64D1D"/>
    <w:rsid w:val="00D6693A"/>
    <w:rsid w:val="00D726A0"/>
    <w:rsid w:val="00D72C19"/>
    <w:rsid w:val="00D7483A"/>
    <w:rsid w:val="00D7724A"/>
    <w:rsid w:val="00D81C5A"/>
    <w:rsid w:val="00D8302F"/>
    <w:rsid w:val="00D85047"/>
    <w:rsid w:val="00D864CD"/>
    <w:rsid w:val="00D8784B"/>
    <w:rsid w:val="00D90A40"/>
    <w:rsid w:val="00D92FBC"/>
    <w:rsid w:val="00DA0620"/>
    <w:rsid w:val="00DA3A26"/>
    <w:rsid w:val="00DA49A9"/>
    <w:rsid w:val="00DA4BE7"/>
    <w:rsid w:val="00DA547C"/>
    <w:rsid w:val="00DA6D02"/>
    <w:rsid w:val="00DA722E"/>
    <w:rsid w:val="00DB2040"/>
    <w:rsid w:val="00DB46C5"/>
    <w:rsid w:val="00DB784F"/>
    <w:rsid w:val="00DC13D1"/>
    <w:rsid w:val="00DC2F7C"/>
    <w:rsid w:val="00DC42B2"/>
    <w:rsid w:val="00DC44D5"/>
    <w:rsid w:val="00DC4623"/>
    <w:rsid w:val="00DC509E"/>
    <w:rsid w:val="00DC5187"/>
    <w:rsid w:val="00DC6996"/>
    <w:rsid w:val="00DC6B2E"/>
    <w:rsid w:val="00DD1233"/>
    <w:rsid w:val="00DD27C6"/>
    <w:rsid w:val="00DD2BDD"/>
    <w:rsid w:val="00DD3795"/>
    <w:rsid w:val="00DD3A4E"/>
    <w:rsid w:val="00DD485C"/>
    <w:rsid w:val="00DD4C0C"/>
    <w:rsid w:val="00DD5039"/>
    <w:rsid w:val="00DD7263"/>
    <w:rsid w:val="00DE128D"/>
    <w:rsid w:val="00DE1E9E"/>
    <w:rsid w:val="00DE22CB"/>
    <w:rsid w:val="00DE4766"/>
    <w:rsid w:val="00DE4D5E"/>
    <w:rsid w:val="00DE517A"/>
    <w:rsid w:val="00DE53C1"/>
    <w:rsid w:val="00DE666B"/>
    <w:rsid w:val="00DE7984"/>
    <w:rsid w:val="00DE7BB4"/>
    <w:rsid w:val="00DF02BC"/>
    <w:rsid w:val="00DF0B52"/>
    <w:rsid w:val="00DF1391"/>
    <w:rsid w:val="00DF3CC0"/>
    <w:rsid w:val="00DF5058"/>
    <w:rsid w:val="00DF6FA7"/>
    <w:rsid w:val="00E020BB"/>
    <w:rsid w:val="00E037EB"/>
    <w:rsid w:val="00E05B36"/>
    <w:rsid w:val="00E0704F"/>
    <w:rsid w:val="00E07608"/>
    <w:rsid w:val="00E12373"/>
    <w:rsid w:val="00E128FE"/>
    <w:rsid w:val="00E139F3"/>
    <w:rsid w:val="00E13D17"/>
    <w:rsid w:val="00E14219"/>
    <w:rsid w:val="00E1539D"/>
    <w:rsid w:val="00E21516"/>
    <w:rsid w:val="00E24154"/>
    <w:rsid w:val="00E24A4F"/>
    <w:rsid w:val="00E275C2"/>
    <w:rsid w:val="00E345BA"/>
    <w:rsid w:val="00E34D5D"/>
    <w:rsid w:val="00E34DB0"/>
    <w:rsid w:val="00E35DDE"/>
    <w:rsid w:val="00E37B7C"/>
    <w:rsid w:val="00E37F40"/>
    <w:rsid w:val="00E44CEB"/>
    <w:rsid w:val="00E46C54"/>
    <w:rsid w:val="00E5150F"/>
    <w:rsid w:val="00E51BFA"/>
    <w:rsid w:val="00E52847"/>
    <w:rsid w:val="00E6154E"/>
    <w:rsid w:val="00E63FB8"/>
    <w:rsid w:val="00E6505D"/>
    <w:rsid w:val="00E65B7E"/>
    <w:rsid w:val="00E67514"/>
    <w:rsid w:val="00E6762C"/>
    <w:rsid w:val="00E67927"/>
    <w:rsid w:val="00E70206"/>
    <w:rsid w:val="00E72CC8"/>
    <w:rsid w:val="00E7360F"/>
    <w:rsid w:val="00E7404A"/>
    <w:rsid w:val="00E749E5"/>
    <w:rsid w:val="00E74A9D"/>
    <w:rsid w:val="00E76F46"/>
    <w:rsid w:val="00E80111"/>
    <w:rsid w:val="00E826CF"/>
    <w:rsid w:val="00E83915"/>
    <w:rsid w:val="00E83B25"/>
    <w:rsid w:val="00E85D97"/>
    <w:rsid w:val="00E860C9"/>
    <w:rsid w:val="00E86B25"/>
    <w:rsid w:val="00E92808"/>
    <w:rsid w:val="00E92E2F"/>
    <w:rsid w:val="00E9309A"/>
    <w:rsid w:val="00E93A00"/>
    <w:rsid w:val="00E9460A"/>
    <w:rsid w:val="00E9578F"/>
    <w:rsid w:val="00E9592A"/>
    <w:rsid w:val="00E976C4"/>
    <w:rsid w:val="00EA1BA9"/>
    <w:rsid w:val="00EA2EA7"/>
    <w:rsid w:val="00EA3923"/>
    <w:rsid w:val="00EA3D54"/>
    <w:rsid w:val="00EA5852"/>
    <w:rsid w:val="00EA7F59"/>
    <w:rsid w:val="00EB0989"/>
    <w:rsid w:val="00EB2678"/>
    <w:rsid w:val="00EB28EE"/>
    <w:rsid w:val="00EB41B8"/>
    <w:rsid w:val="00EB44C4"/>
    <w:rsid w:val="00EB5FF9"/>
    <w:rsid w:val="00EC21CF"/>
    <w:rsid w:val="00EC4664"/>
    <w:rsid w:val="00EC48B9"/>
    <w:rsid w:val="00EC5330"/>
    <w:rsid w:val="00ED29A5"/>
    <w:rsid w:val="00ED6564"/>
    <w:rsid w:val="00ED6B4A"/>
    <w:rsid w:val="00EE0D1F"/>
    <w:rsid w:val="00EE11DF"/>
    <w:rsid w:val="00EE3000"/>
    <w:rsid w:val="00EE3D9A"/>
    <w:rsid w:val="00EF1980"/>
    <w:rsid w:val="00EF1BF9"/>
    <w:rsid w:val="00EF3291"/>
    <w:rsid w:val="00EF5BE2"/>
    <w:rsid w:val="00EF69A4"/>
    <w:rsid w:val="00EF79A6"/>
    <w:rsid w:val="00F00530"/>
    <w:rsid w:val="00F00856"/>
    <w:rsid w:val="00F021B4"/>
    <w:rsid w:val="00F0588D"/>
    <w:rsid w:val="00F058A9"/>
    <w:rsid w:val="00F0F292"/>
    <w:rsid w:val="00F10667"/>
    <w:rsid w:val="00F16D6B"/>
    <w:rsid w:val="00F1771A"/>
    <w:rsid w:val="00F2010A"/>
    <w:rsid w:val="00F20D3A"/>
    <w:rsid w:val="00F2161B"/>
    <w:rsid w:val="00F253E1"/>
    <w:rsid w:val="00F2616B"/>
    <w:rsid w:val="00F26C29"/>
    <w:rsid w:val="00F26CE5"/>
    <w:rsid w:val="00F26DD8"/>
    <w:rsid w:val="00F33838"/>
    <w:rsid w:val="00F339DD"/>
    <w:rsid w:val="00F33F19"/>
    <w:rsid w:val="00F372DF"/>
    <w:rsid w:val="00F41E02"/>
    <w:rsid w:val="00F43EAB"/>
    <w:rsid w:val="00F44747"/>
    <w:rsid w:val="00F46BE3"/>
    <w:rsid w:val="00F46D44"/>
    <w:rsid w:val="00F477D1"/>
    <w:rsid w:val="00F51AB9"/>
    <w:rsid w:val="00F51FC6"/>
    <w:rsid w:val="00F53A76"/>
    <w:rsid w:val="00F549E9"/>
    <w:rsid w:val="00F56D3C"/>
    <w:rsid w:val="00F63D7F"/>
    <w:rsid w:val="00F646AE"/>
    <w:rsid w:val="00F704AC"/>
    <w:rsid w:val="00F745A9"/>
    <w:rsid w:val="00F75AAD"/>
    <w:rsid w:val="00F8288B"/>
    <w:rsid w:val="00F8376E"/>
    <w:rsid w:val="00F8700C"/>
    <w:rsid w:val="00F9222C"/>
    <w:rsid w:val="00F92638"/>
    <w:rsid w:val="00F92878"/>
    <w:rsid w:val="00F952FE"/>
    <w:rsid w:val="00F96BB9"/>
    <w:rsid w:val="00FA0E60"/>
    <w:rsid w:val="00FA1189"/>
    <w:rsid w:val="00FA1C89"/>
    <w:rsid w:val="00FA275B"/>
    <w:rsid w:val="00FA3308"/>
    <w:rsid w:val="00FA40BE"/>
    <w:rsid w:val="00FB00D5"/>
    <w:rsid w:val="00FB0B1F"/>
    <w:rsid w:val="00FB39C2"/>
    <w:rsid w:val="00FB562B"/>
    <w:rsid w:val="00FB6CD3"/>
    <w:rsid w:val="00FC21FB"/>
    <w:rsid w:val="00FC30CC"/>
    <w:rsid w:val="00FC4C44"/>
    <w:rsid w:val="00FC5E40"/>
    <w:rsid w:val="00FC74A5"/>
    <w:rsid w:val="00FC7BD7"/>
    <w:rsid w:val="00FD1842"/>
    <w:rsid w:val="00FD2604"/>
    <w:rsid w:val="00FD39B3"/>
    <w:rsid w:val="00FD3FFD"/>
    <w:rsid w:val="00FD4340"/>
    <w:rsid w:val="00FD5A71"/>
    <w:rsid w:val="00FD5FF1"/>
    <w:rsid w:val="00FD6486"/>
    <w:rsid w:val="00FD721B"/>
    <w:rsid w:val="00FD7A4F"/>
    <w:rsid w:val="00FE2DCA"/>
    <w:rsid w:val="00FE2F39"/>
    <w:rsid w:val="00FF23C0"/>
    <w:rsid w:val="00FF285E"/>
    <w:rsid w:val="00FF395D"/>
    <w:rsid w:val="016FB808"/>
    <w:rsid w:val="02E77A06"/>
    <w:rsid w:val="03153AA3"/>
    <w:rsid w:val="032A9BF0"/>
    <w:rsid w:val="0363E8C4"/>
    <w:rsid w:val="0409AA67"/>
    <w:rsid w:val="0453DDFD"/>
    <w:rsid w:val="0530C2E4"/>
    <w:rsid w:val="05401D87"/>
    <w:rsid w:val="05803E3A"/>
    <w:rsid w:val="0612BC61"/>
    <w:rsid w:val="064F136B"/>
    <w:rsid w:val="06582857"/>
    <w:rsid w:val="06E3628F"/>
    <w:rsid w:val="06FEF664"/>
    <w:rsid w:val="07CB9CF9"/>
    <w:rsid w:val="08E2D546"/>
    <w:rsid w:val="09C3C8F7"/>
    <w:rsid w:val="0A06B567"/>
    <w:rsid w:val="0A6CDA2C"/>
    <w:rsid w:val="0A97EB27"/>
    <w:rsid w:val="0AD9E42D"/>
    <w:rsid w:val="0AF620AD"/>
    <w:rsid w:val="0B1172DD"/>
    <w:rsid w:val="0B32D554"/>
    <w:rsid w:val="0B6D52CD"/>
    <w:rsid w:val="0B771F6F"/>
    <w:rsid w:val="0BC38288"/>
    <w:rsid w:val="0C0B5EA0"/>
    <w:rsid w:val="0C1BFE25"/>
    <w:rsid w:val="0C28BF63"/>
    <w:rsid w:val="0C8BD858"/>
    <w:rsid w:val="0D5F5954"/>
    <w:rsid w:val="0F00CC3D"/>
    <w:rsid w:val="0F7FA52E"/>
    <w:rsid w:val="1045F017"/>
    <w:rsid w:val="1056F6F5"/>
    <w:rsid w:val="10E3ED0B"/>
    <w:rsid w:val="13CED72B"/>
    <w:rsid w:val="149DF9C9"/>
    <w:rsid w:val="15393FD2"/>
    <w:rsid w:val="164D188E"/>
    <w:rsid w:val="165B22B1"/>
    <w:rsid w:val="16C29E46"/>
    <w:rsid w:val="17378F3A"/>
    <w:rsid w:val="17446CC8"/>
    <w:rsid w:val="175AD0F7"/>
    <w:rsid w:val="17FF34C8"/>
    <w:rsid w:val="18163D9D"/>
    <w:rsid w:val="18CFC530"/>
    <w:rsid w:val="1951BD54"/>
    <w:rsid w:val="1973807E"/>
    <w:rsid w:val="19D6763A"/>
    <w:rsid w:val="1B29C1CE"/>
    <w:rsid w:val="1B30590D"/>
    <w:rsid w:val="1B69C6CF"/>
    <w:rsid w:val="1B904DED"/>
    <w:rsid w:val="1BBA43ED"/>
    <w:rsid w:val="1CF5D699"/>
    <w:rsid w:val="1D43212B"/>
    <w:rsid w:val="1DF62EBE"/>
    <w:rsid w:val="1E42DD4D"/>
    <w:rsid w:val="1EE74D1B"/>
    <w:rsid w:val="1F08A278"/>
    <w:rsid w:val="1F3FEA51"/>
    <w:rsid w:val="1F422FB1"/>
    <w:rsid w:val="1FC025E2"/>
    <w:rsid w:val="204B57E0"/>
    <w:rsid w:val="20D41275"/>
    <w:rsid w:val="21BB58AB"/>
    <w:rsid w:val="21BD1C7A"/>
    <w:rsid w:val="222F211F"/>
    <w:rsid w:val="228392DF"/>
    <w:rsid w:val="236546D5"/>
    <w:rsid w:val="23669368"/>
    <w:rsid w:val="23F0D749"/>
    <w:rsid w:val="244CAFC2"/>
    <w:rsid w:val="248D2606"/>
    <w:rsid w:val="2569789F"/>
    <w:rsid w:val="256C5BB2"/>
    <w:rsid w:val="25F6A7BC"/>
    <w:rsid w:val="2628B490"/>
    <w:rsid w:val="2682C6DC"/>
    <w:rsid w:val="268DF2D9"/>
    <w:rsid w:val="26B7D1B3"/>
    <w:rsid w:val="276180FE"/>
    <w:rsid w:val="27763BD9"/>
    <w:rsid w:val="2815E66B"/>
    <w:rsid w:val="282ACEFA"/>
    <w:rsid w:val="289E0F90"/>
    <w:rsid w:val="28D541B4"/>
    <w:rsid w:val="2B158C0C"/>
    <w:rsid w:val="2B1CFB45"/>
    <w:rsid w:val="2B40A9DD"/>
    <w:rsid w:val="2BB0285A"/>
    <w:rsid w:val="2BF9CE8F"/>
    <w:rsid w:val="2C30F7A0"/>
    <w:rsid w:val="2CA0383B"/>
    <w:rsid w:val="2CF436D9"/>
    <w:rsid w:val="2E912270"/>
    <w:rsid w:val="2F18DBCD"/>
    <w:rsid w:val="2F619F00"/>
    <w:rsid w:val="2F876B17"/>
    <w:rsid w:val="304BE939"/>
    <w:rsid w:val="30B66675"/>
    <w:rsid w:val="30D1EB9A"/>
    <w:rsid w:val="31613C79"/>
    <w:rsid w:val="31B77743"/>
    <w:rsid w:val="32ECA2B5"/>
    <w:rsid w:val="32F7ED90"/>
    <w:rsid w:val="332BDDD7"/>
    <w:rsid w:val="339B7817"/>
    <w:rsid w:val="33D28025"/>
    <w:rsid w:val="3509F41B"/>
    <w:rsid w:val="35E46513"/>
    <w:rsid w:val="37170562"/>
    <w:rsid w:val="386BFF33"/>
    <w:rsid w:val="389F0992"/>
    <w:rsid w:val="3A7B9627"/>
    <w:rsid w:val="3AED4DF9"/>
    <w:rsid w:val="3B974D99"/>
    <w:rsid w:val="3BA7C7A6"/>
    <w:rsid w:val="3BB0BB2D"/>
    <w:rsid w:val="3BC4F659"/>
    <w:rsid w:val="3C5655CB"/>
    <w:rsid w:val="3C578CE1"/>
    <w:rsid w:val="3C679DE6"/>
    <w:rsid w:val="3DFCB12E"/>
    <w:rsid w:val="3EAAF15C"/>
    <w:rsid w:val="3EAE8A55"/>
    <w:rsid w:val="3EB1D730"/>
    <w:rsid w:val="3EFF558F"/>
    <w:rsid w:val="3F3151FA"/>
    <w:rsid w:val="3FCF818A"/>
    <w:rsid w:val="40B5EC6E"/>
    <w:rsid w:val="40E9F414"/>
    <w:rsid w:val="412A5928"/>
    <w:rsid w:val="43D312D4"/>
    <w:rsid w:val="44035C02"/>
    <w:rsid w:val="441C57B4"/>
    <w:rsid w:val="44B90C79"/>
    <w:rsid w:val="45CA13C7"/>
    <w:rsid w:val="462AC436"/>
    <w:rsid w:val="46366E26"/>
    <w:rsid w:val="4654B22F"/>
    <w:rsid w:val="471DA2AF"/>
    <w:rsid w:val="473453A6"/>
    <w:rsid w:val="47CD6A45"/>
    <w:rsid w:val="481FF3CD"/>
    <w:rsid w:val="48396D68"/>
    <w:rsid w:val="48B5E640"/>
    <w:rsid w:val="4989D560"/>
    <w:rsid w:val="49ADC695"/>
    <w:rsid w:val="4A0C942B"/>
    <w:rsid w:val="4ACFD5B6"/>
    <w:rsid w:val="4AE3F6AC"/>
    <w:rsid w:val="4B1F6C7E"/>
    <w:rsid w:val="4B4B4D1E"/>
    <w:rsid w:val="4B52705B"/>
    <w:rsid w:val="4B5AC95F"/>
    <w:rsid w:val="4B8D878C"/>
    <w:rsid w:val="4B990B49"/>
    <w:rsid w:val="4BAFEC97"/>
    <w:rsid w:val="4BEC590D"/>
    <w:rsid w:val="4C5042E3"/>
    <w:rsid w:val="4E107B8F"/>
    <w:rsid w:val="4E35136D"/>
    <w:rsid w:val="4F6F7600"/>
    <w:rsid w:val="4FA30B83"/>
    <w:rsid w:val="503909FB"/>
    <w:rsid w:val="50CCBA3D"/>
    <w:rsid w:val="51F66A16"/>
    <w:rsid w:val="522C8769"/>
    <w:rsid w:val="5328B67C"/>
    <w:rsid w:val="535A2C79"/>
    <w:rsid w:val="53B26BDD"/>
    <w:rsid w:val="54337DA0"/>
    <w:rsid w:val="547D10A4"/>
    <w:rsid w:val="554261C8"/>
    <w:rsid w:val="55694EED"/>
    <w:rsid w:val="5645FDEA"/>
    <w:rsid w:val="565F5573"/>
    <w:rsid w:val="5732FA79"/>
    <w:rsid w:val="5763A796"/>
    <w:rsid w:val="5807F5EB"/>
    <w:rsid w:val="59A79994"/>
    <w:rsid w:val="5A6A4C5C"/>
    <w:rsid w:val="5AD4EA0C"/>
    <w:rsid w:val="5B8B434F"/>
    <w:rsid w:val="5BD9BB91"/>
    <w:rsid w:val="5C993532"/>
    <w:rsid w:val="5CE57AAD"/>
    <w:rsid w:val="5D155EBB"/>
    <w:rsid w:val="5DD9CFB0"/>
    <w:rsid w:val="5E9EC213"/>
    <w:rsid w:val="5EAE7B61"/>
    <w:rsid w:val="5EB47EEA"/>
    <w:rsid w:val="5ECB9ED2"/>
    <w:rsid w:val="5EE62681"/>
    <w:rsid w:val="5F2382BC"/>
    <w:rsid w:val="60FFE487"/>
    <w:rsid w:val="6128BF76"/>
    <w:rsid w:val="6135C679"/>
    <w:rsid w:val="61D6739B"/>
    <w:rsid w:val="63637DDA"/>
    <w:rsid w:val="640DAB43"/>
    <w:rsid w:val="640E6CA3"/>
    <w:rsid w:val="64629991"/>
    <w:rsid w:val="64A52AA1"/>
    <w:rsid w:val="64F74B28"/>
    <w:rsid w:val="65A92C4C"/>
    <w:rsid w:val="664EA546"/>
    <w:rsid w:val="66908D20"/>
    <w:rsid w:val="66F5FA6A"/>
    <w:rsid w:val="67147C20"/>
    <w:rsid w:val="673F2C2C"/>
    <w:rsid w:val="6799CB5E"/>
    <w:rsid w:val="67B5238B"/>
    <w:rsid w:val="67F45A6B"/>
    <w:rsid w:val="68680F0A"/>
    <w:rsid w:val="68FB2A24"/>
    <w:rsid w:val="690A1C6C"/>
    <w:rsid w:val="6934A97C"/>
    <w:rsid w:val="693E3CE8"/>
    <w:rsid w:val="6A1C658E"/>
    <w:rsid w:val="6A51D216"/>
    <w:rsid w:val="6CFDF081"/>
    <w:rsid w:val="6D330C5C"/>
    <w:rsid w:val="6DF10DBC"/>
    <w:rsid w:val="6E95DB41"/>
    <w:rsid w:val="6EEF3AFD"/>
    <w:rsid w:val="6EF5824E"/>
    <w:rsid w:val="6FE28512"/>
    <w:rsid w:val="70127CF3"/>
    <w:rsid w:val="71747D1E"/>
    <w:rsid w:val="71ECD427"/>
    <w:rsid w:val="730F26D6"/>
    <w:rsid w:val="73904108"/>
    <w:rsid w:val="749AE309"/>
    <w:rsid w:val="74BD3608"/>
    <w:rsid w:val="75013BAC"/>
    <w:rsid w:val="75F3A562"/>
    <w:rsid w:val="76A1C2D9"/>
    <w:rsid w:val="771F8E91"/>
    <w:rsid w:val="781EB37E"/>
    <w:rsid w:val="78579055"/>
    <w:rsid w:val="78615D6F"/>
    <w:rsid w:val="78980018"/>
    <w:rsid w:val="7932D284"/>
    <w:rsid w:val="7940A651"/>
    <w:rsid w:val="7959087C"/>
    <w:rsid w:val="7977BC7F"/>
    <w:rsid w:val="79B202F2"/>
    <w:rsid w:val="79FEFA23"/>
    <w:rsid w:val="7AD77EA3"/>
    <w:rsid w:val="7B4DD353"/>
    <w:rsid w:val="7C0027A2"/>
    <w:rsid w:val="7C5680C3"/>
    <w:rsid w:val="7C8686D9"/>
    <w:rsid w:val="7C87C3BD"/>
    <w:rsid w:val="7CADD27E"/>
    <w:rsid w:val="7D7FC2AE"/>
    <w:rsid w:val="7DB951CF"/>
    <w:rsid w:val="7EC41694"/>
    <w:rsid w:val="7F6E1DE8"/>
    <w:rsid w:val="7F7BCD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B96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81FBC"/>
    <w:pPr>
      <w:spacing w:after="0"/>
      <w:outlineLvl w:val="1"/>
    </w:pPr>
    <w:rPr>
      <w:rFonts w:ascii="Calibri" w:eastAsia="Calibri" w:hAnsi="Calibri" w:cs="Calibri"/>
      <w:b/>
      <w:bCs/>
    </w:rPr>
  </w:style>
  <w:style w:type="paragraph" w:styleId="Heading3">
    <w:name w:val="heading 3"/>
    <w:basedOn w:val="Normal"/>
    <w:next w:val="Normal"/>
    <w:link w:val="Heading3Char"/>
    <w:uiPriority w:val="9"/>
    <w:unhideWhenUsed/>
    <w:qFormat/>
    <w:rsid w:val="00893781"/>
    <w:pPr>
      <w:spacing w:after="120" w:line="278" w:lineRule="auto"/>
      <w:outlineLvl w:val="2"/>
    </w:pPr>
    <w:rPr>
      <w:rFonts w:ascii="Calibri" w:eastAsia="Calibri" w:hAnsi="Calibri" w:cs="Calibri"/>
      <w:i/>
      <w:iCs/>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81FBC"/>
    <w:rPr>
      <w:rFonts w:ascii="Calibri" w:eastAsia="Calibri" w:hAnsi="Calibri" w:cs="Calibri"/>
      <w:b/>
      <w:bCs/>
    </w:rPr>
  </w:style>
  <w:style w:type="character" w:customStyle="1" w:styleId="Heading3Char">
    <w:name w:val="Heading 3 Char"/>
    <w:basedOn w:val="DefaultParagraphFont"/>
    <w:link w:val="Heading3"/>
    <w:uiPriority w:val="9"/>
    <w:rsid w:val="00893781"/>
    <w:rPr>
      <w:rFonts w:ascii="Calibri" w:eastAsia="Calibri" w:hAnsi="Calibri" w:cs="Calibri"/>
      <w:i/>
      <w:iCs/>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sid w:val="00B81FBC"/>
    <w:rPr>
      <w:rFonts w:ascii="Calibri" w:eastAsiaTheme="majorEastAsia" w:hAnsi="Calibri" w:cs="Calibri"/>
      <w:sz w:val="36"/>
      <w:szCs w:val="36"/>
      <w:lang w:val="en-AU" w:eastAsia="en-AU"/>
    </w:rPr>
  </w:style>
  <w:style w:type="paragraph" w:styleId="Title">
    <w:name w:val="Title"/>
    <w:basedOn w:val="paragraph"/>
    <w:next w:val="Normal"/>
    <w:link w:val="TitleChar"/>
    <w:uiPriority w:val="10"/>
    <w:qFormat/>
    <w:rsid w:val="00B81FBC"/>
    <w:pPr>
      <w:spacing w:before="0" w:beforeAutospacing="0" w:after="0" w:afterAutospacing="0"/>
      <w:jc w:val="center"/>
      <w:textAlignment w:val="baseline"/>
    </w:pPr>
    <w:rPr>
      <w:rFonts w:ascii="Calibri" w:eastAsiaTheme="majorEastAsia" w:hAnsi="Calibri" w:cs="Calibri"/>
      <w:sz w:val="36"/>
      <w:szCs w:val="3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7542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25B"/>
  </w:style>
  <w:style w:type="paragraph" w:styleId="Footer">
    <w:name w:val="footer"/>
    <w:basedOn w:val="Normal"/>
    <w:link w:val="FooterChar"/>
    <w:uiPriority w:val="99"/>
    <w:unhideWhenUsed/>
    <w:rsid w:val="007542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25B"/>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725740"/>
    <w:rPr>
      <w:sz w:val="16"/>
      <w:szCs w:val="16"/>
    </w:rPr>
  </w:style>
  <w:style w:type="paragraph" w:styleId="CommentText">
    <w:name w:val="annotation text"/>
    <w:basedOn w:val="Normal"/>
    <w:link w:val="CommentTextChar"/>
    <w:uiPriority w:val="99"/>
    <w:unhideWhenUsed/>
    <w:rsid w:val="00725740"/>
    <w:pPr>
      <w:spacing w:line="240" w:lineRule="auto"/>
    </w:pPr>
    <w:rPr>
      <w:sz w:val="20"/>
      <w:szCs w:val="20"/>
    </w:rPr>
  </w:style>
  <w:style w:type="character" w:customStyle="1" w:styleId="CommentTextChar">
    <w:name w:val="Comment Text Char"/>
    <w:basedOn w:val="DefaultParagraphFont"/>
    <w:link w:val="CommentText"/>
    <w:uiPriority w:val="99"/>
    <w:rsid w:val="00725740"/>
    <w:rPr>
      <w:sz w:val="20"/>
      <w:szCs w:val="20"/>
    </w:rPr>
  </w:style>
  <w:style w:type="paragraph" w:styleId="CommentSubject">
    <w:name w:val="annotation subject"/>
    <w:basedOn w:val="CommentText"/>
    <w:next w:val="CommentText"/>
    <w:link w:val="CommentSubjectChar"/>
    <w:uiPriority w:val="99"/>
    <w:semiHidden/>
    <w:unhideWhenUsed/>
    <w:rsid w:val="00725740"/>
    <w:rPr>
      <w:b/>
      <w:bCs/>
    </w:rPr>
  </w:style>
  <w:style w:type="character" w:customStyle="1" w:styleId="CommentSubjectChar">
    <w:name w:val="Comment Subject Char"/>
    <w:basedOn w:val="CommentTextChar"/>
    <w:link w:val="CommentSubject"/>
    <w:uiPriority w:val="99"/>
    <w:semiHidden/>
    <w:rsid w:val="00725740"/>
    <w:rPr>
      <w:b/>
      <w:bCs/>
      <w:sz w:val="20"/>
      <w:szCs w:val="20"/>
    </w:rPr>
  </w:style>
  <w:style w:type="paragraph" w:customStyle="1" w:styleId="paragraph">
    <w:name w:val="paragraph"/>
    <w:basedOn w:val="Normal"/>
    <w:rsid w:val="005710D0"/>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scxw126269999">
    <w:name w:val="scxw126269999"/>
    <w:basedOn w:val="DefaultParagraphFont"/>
    <w:rsid w:val="005710D0"/>
  </w:style>
  <w:style w:type="character" w:customStyle="1" w:styleId="wacimagecontainer">
    <w:name w:val="wacimagecontainer"/>
    <w:basedOn w:val="DefaultParagraphFont"/>
    <w:rsid w:val="005710D0"/>
  </w:style>
  <w:style w:type="character" w:customStyle="1" w:styleId="eop">
    <w:name w:val="eop"/>
    <w:basedOn w:val="DefaultParagraphFont"/>
    <w:rsid w:val="005710D0"/>
  </w:style>
  <w:style w:type="character" w:customStyle="1" w:styleId="normaltextrun">
    <w:name w:val="normaltextrun"/>
    <w:basedOn w:val="DefaultParagraphFont"/>
    <w:rsid w:val="005710D0"/>
  </w:style>
  <w:style w:type="paragraph" w:styleId="Revision">
    <w:name w:val="Revision"/>
    <w:hidden/>
    <w:uiPriority w:val="99"/>
    <w:semiHidden/>
    <w:rsid w:val="003162C6"/>
    <w:pPr>
      <w:spacing w:after="0" w:line="240" w:lineRule="auto"/>
    </w:pPr>
  </w:style>
  <w:style w:type="table" w:styleId="TableGrid">
    <w:name w:val="Table Grid"/>
    <w:basedOn w:val="TableNormal"/>
    <w:uiPriority w:val="39"/>
    <w:rsid w:val="00CD5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E09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0968"/>
    <w:rPr>
      <w:sz w:val="20"/>
      <w:szCs w:val="20"/>
    </w:rPr>
  </w:style>
  <w:style w:type="character" w:styleId="EndnoteReference">
    <w:name w:val="endnote reference"/>
    <w:basedOn w:val="DefaultParagraphFont"/>
    <w:uiPriority w:val="99"/>
    <w:semiHidden/>
    <w:unhideWhenUsed/>
    <w:rsid w:val="002E0968"/>
    <w:rPr>
      <w:vertAlign w:val="superscript"/>
    </w:rPr>
  </w:style>
  <w:style w:type="character" w:styleId="Hyperlink">
    <w:name w:val="Hyperlink"/>
    <w:basedOn w:val="DefaultParagraphFont"/>
    <w:uiPriority w:val="99"/>
    <w:unhideWhenUsed/>
    <w:rsid w:val="00FD4340"/>
    <w:rPr>
      <w:color w:val="467886" w:themeColor="hyperlink"/>
      <w:u w:val="single"/>
    </w:rPr>
  </w:style>
  <w:style w:type="character" w:styleId="UnresolvedMention">
    <w:name w:val="Unresolved Mention"/>
    <w:basedOn w:val="DefaultParagraphFont"/>
    <w:uiPriority w:val="99"/>
    <w:semiHidden/>
    <w:unhideWhenUsed/>
    <w:rsid w:val="00FD4340"/>
    <w:rPr>
      <w:color w:val="605E5C"/>
      <w:shd w:val="clear" w:color="auto" w:fill="E1DFDD"/>
    </w:rPr>
  </w:style>
  <w:style w:type="paragraph" w:styleId="NormalWeb">
    <w:name w:val="Normal (Web)"/>
    <w:basedOn w:val="Normal"/>
    <w:uiPriority w:val="99"/>
    <w:semiHidden/>
    <w:unhideWhenUsed/>
    <w:rsid w:val="000E08DE"/>
    <w:pPr>
      <w:spacing w:before="100" w:beforeAutospacing="1" w:after="100" w:afterAutospacing="1" w:line="240" w:lineRule="auto"/>
    </w:pPr>
    <w:rPr>
      <w:rFonts w:ascii="Times New Roman" w:eastAsia="Times New Roman" w:hAnsi="Times New Roman" w:cs="Times New Roman"/>
      <w:lang w:val="en-AU" w:eastAsia="en-AU"/>
    </w:rPr>
  </w:style>
  <w:style w:type="character" w:styleId="Mention">
    <w:name w:val="Mention"/>
    <w:basedOn w:val="DefaultParagraphFont"/>
    <w:uiPriority w:val="99"/>
    <w:unhideWhenUsed/>
    <w:rsid w:val="000E08DE"/>
    <w:rPr>
      <w:color w:val="2B579A"/>
      <w:shd w:val="clear" w:color="auto" w:fill="E6E6E6"/>
    </w:rPr>
  </w:style>
  <w:style w:type="paragraph" w:styleId="FootnoteText">
    <w:name w:val="footnote text"/>
    <w:basedOn w:val="Normal"/>
    <w:link w:val="FootnoteTextChar"/>
    <w:uiPriority w:val="99"/>
    <w:semiHidden/>
    <w:unhideWhenUsed/>
    <w:rsid w:val="000833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33D1"/>
    <w:rPr>
      <w:sz w:val="20"/>
      <w:szCs w:val="20"/>
    </w:rPr>
  </w:style>
  <w:style w:type="character" w:styleId="FootnoteReference">
    <w:name w:val="footnote reference"/>
    <w:basedOn w:val="DefaultParagraphFont"/>
    <w:uiPriority w:val="99"/>
    <w:semiHidden/>
    <w:unhideWhenUsed/>
    <w:rsid w:val="000833D1"/>
    <w:rPr>
      <w:vertAlign w:val="superscript"/>
    </w:rPr>
  </w:style>
  <w:style w:type="character" w:styleId="FollowedHyperlink">
    <w:name w:val="FollowedHyperlink"/>
    <w:basedOn w:val="DefaultParagraphFont"/>
    <w:uiPriority w:val="99"/>
    <w:semiHidden/>
    <w:unhideWhenUsed/>
    <w:rsid w:val="00CB76D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9252">
      <w:bodyDiv w:val="1"/>
      <w:marLeft w:val="0"/>
      <w:marRight w:val="0"/>
      <w:marTop w:val="0"/>
      <w:marBottom w:val="0"/>
      <w:divBdr>
        <w:top w:val="none" w:sz="0" w:space="0" w:color="auto"/>
        <w:left w:val="none" w:sz="0" w:space="0" w:color="auto"/>
        <w:bottom w:val="none" w:sz="0" w:space="0" w:color="auto"/>
        <w:right w:val="none" w:sz="0" w:space="0" w:color="auto"/>
      </w:divBdr>
    </w:div>
    <w:div w:id="95516254">
      <w:bodyDiv w:val="1"/>
      <w:marLeft w:val="0"/>
      <w:marRight w:val="0"/>
      <w:marTop w:val="0"/>
      <w:marBottom w:val="0"/>
      <w:divBdr>
        <w:top w:val="none" w:sz="0" w:space="0" w:color="auto"/>
        <w:left w:val="none" w:sz="0" w:space="0" w:color="auto"/>
        <w:bottom w:val="none" w:sz="0" w:space="0" w:color="auto"/>
        <w:right w:val="none" w:sz="0" w:space="0" w:color="auto"/>
      </w:divBdr>
    </w:div>
    <w:div w:id="395320287">
      <w:bodyDiv w:val="1"/>
      <w:marLeft w:val="0"/>
      <w:marRight w:val="0"/>
      <w:marTop w:val="0"/>
      <w:marBottom w:val="0"/>
      <w:divBdr>
        <w:top w:val="none" w:sz="0" w:space="0" w:color="auto"/>
        <w:left w:val="none" w:sz="0" w:space="0" w:color="auto"/>
        <w:bottom w:val="none" w:sz="0" w:space="0" w:color="auto"/>
        <w:right w:val="none" w:sz="0" w:space="0" w:color="auto"/>
      </w:divBdr>
    </w:div>
    <w:div w:id="496654381">
      <w:bodyDiv w:val="1"/>
      <w:marLeft w:val="0"/>
      <w:marRight w:val="0"/>
      <w:marTop w:val="0"/>
      <w:marBottom w:val="0"/>
      <w:divBdr>
        <w:top w:val="none" w:sz="0" w:space="0" w:color="auto"/>
        <w:left w:val="none" w:sz="0" w:space="0" w:color="auto"/>
        <w:bottom w:val="none" w:sz="0" w:space="0" w:color="auto"/>
        <w:right w:val="none" w:sz="0" w:space="0" w:color="auto"/>
      </w:divBdr>
      <w:divsChild>
        <w:div w:id="1940140663">
          <w:marLeft w:val="0"/>
          <w:marRight w:val="0"/>
          <w:marTop w:val="0"/>
          <w:marBottom w:val="0"/>
          <w:divBdr>
            <w:top w:val="none" w:sz="0" w:space="0" w:color="auto"/>
            <w:left w:val="none" w:sz="0" w:space="0" w:color="auto"/>
            <w:bottom w:val="none" w:sz="0" w:space="0" w:color="auto"/>
            <w:right w:val="none" w:sz="0" w:space="0" w:color="auto"/>
          </w:divBdr>
          <w:divsChild>
            <w:div w:id="3331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08473">
      <w:bodyDiv w:val="1"/>
      <w:marLeft w:val="0"/>
      <w:marRight w:val="0"/>
      <w:marTop w:val="0"/>
      <w:marBottom w:val="0"/>
      <w:divBdr>
        <w:top w:val="none" w:sz="0" w:space="0" w:color="auto"/>
        <w:left w:val="none" w:sz="0" w:space="0" w:color="auto"/>
        <w:bottom w:val="none" w:sz="0" w:space="0" w:color="auto"/>
        <w:right w:val="none" w:sz="0" w:space="0" w:color="auto"/>
      </w:divBdr>
    </w:div>
    <w:div w:id="509222430">
      <w:bodyDiv w:val="1"/>
      <w:marLeft w:val="0"/>
      <w:marRight w:val="0"/>
      <w:marTop w:val="0"/>
      <w:marBottom w:val="0"/>
      <w:divBdr>
        <w:top w:val="none" w:sz="0" w:space="0" w:color="auto"/>
        <w:left w:val="none" w:sz="0" w:space="0" w:color="auto"/>
        <w:bottom w:val="none" w:sz="0" w:space="0" w:color="auto"/>
        <w:right w:val="none" w:sz="0" w:space="0" w:color="auto"/>
      </w:divBdr>
    </w:div>
    <w:div w:id="610820082">
      <w:bodyDiv w:val="1"/>
      <w:marLeft w:val="0"/>
      <w:marRight w:val="0"/>
      <w:marTop w:val="0"/>
      <w:marBottom w:val="0"/>
      <w:divBdr>
        <w:top w:val="none" w:sz="0" w:space="0" w:color="auto"/>
        <w:left w:val="none" w:sz="0" w:space="0" w:color="auto"/>
        <w:bottom w:val="none" w:sz="0" w:space="0" w:color="auto"/>
        <w:right w:val="none" w:sz="0" w:space="0" w:color="auto"/>
      </w:divBdr>
      <w:divsChild>
        <w:div w:id="1360007142">
          <w:marLeft w:val="0"/>
          <w:marRight w:val="0"/>
          <w:marTop w:val="0"/>
          <w:marBottom w:val="0"/>
          <w:divBdr>
            <w:top w:val="none" w:sz="0" w:space="0" w:color="auto"/>
            <w:left w:val="none" w:sz="0" w:space="0" w:color="auto"/>
            <w:bottom w:val="none" w:sz="0" w:space="0" w:color="auto"/>
            <w:right w:val="none" w:sz="0" w:space="0" w:color="auto"/>
          </w:divBdr>
          <w:divsChild>
            <w:div w:id="61853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6607">
      <w:bodyDiv w:val="1"/>
      <w:marLeft w:val="0"/>
      <w:marRight w:val="0"/>
      <w:marTop w:val="0"/>
      <w:marBottom w:val="0"/>
      <w:divBdr>
        <w:top w:val="none" w:sz="0" w:space="0" w:color="auto"/>
        <w:left w:val="none" w:sz="0" w:space="0" w:color="auto"/>
        <w:bottom w:val="none" w:sz="0" w:space="0" w:color="auto"/>
        <w:right w:val="none" w:sz="0" w:space="0" w:color="auto"/>
      </w:divBdr>
    </w:div>
    <w:div w:id="1022170810">
      <w:bodyDiv w:val="1"/>
      <w:marLeft w:val="0"/>
      <w:marRight w:val="0"/>
      <w:marTop w:val="0"/>
      <w:marBottom w:val="0"/>
      <w:divBdr>
        <w:top w:val="none" w:sz="0" w:space="0" w:color="auto"/>
        <w:left w:val="none" w:sz="0" w:space="0" w:color="auto"/>
        <w:bottom w:val="none" w:sz="0" w:space="0" w:color="auto"/>
        <w:right w:val="none" w:sz="0" w:space="0" w:color="auto"/>
      </w:divBdr>
    </w:div>
    <w:div w:id="1096825429">
      <w:bodyDiv w:val="1"/>
      <w:marLeft w:val="0"/>
      <w:marRight w:val="0"/>
      <w:marTop w:val="0"/>
      <w:marBottom w:val="0"/>
      <w:divBdr>
        <w:top w:val="none" w:sz="0" w:space="0" w:color="auto"/>
        <w:left w:val="none" w:sz="0" w:space="0" w:color="auto"/>
        <w:bottom w:val="none" w:sz="0" w:space="0" w:color="auto"/>
        <w:right w:val="none" w:sz="0" w:space="0" w:color="auto"/>
      </w:divBdr>
    </w:div>
    <w:div w:id="1147622556">
      <w:bodyDiv w:val="1"/>
      <w:marLeft w:val="0"/>
      <w:marRight w:val="0"/>
      <w:marTop w:val="0"/>
      <w:marBottom w:val="0"/>
      <w:divBdr>
        <w:top w:val="none" w:sz="0" w:space="0" w:color="auto"/>
        <w:left w:val="none" w:sz="0" w:space="0" w:color="auto"/>
        <w:bottom w:val="none" w:sz="0" w:space="0" w:color="auto"/>
        <w:right w:val="none" w:sz="0" w:space="0" w:color="auto"/>
      </w:divBdr>
    </w:div>
    <w:div w:id="1204900274">
      <w:bodyDiv w:val="1"/>
      <w:marLeft w:val="0"/>
      <w:marRight w:val="0"/>
      <w:marTop w:val="0"/>
      <w:marBottom w:val="0"/>
      <w:divBdr>
        <w:top w:val="none" w:sz="0" w:space="0" w:color="auto"/>
        <w:left w:val="none" w:sz="0" w:space="0" w:color="auto"/>
        <w:bottom w:val="none" w:sz="0" w:space="0" w:color="auto"/>
        <w:right w:val="none" w:sz="0" w:space="0" w:color="auto"/>
      </w:divBdr>
    </w:div>
    <w:div w:id="1235705208">
      <w:bodyDiv w:val="1"/>
      <w:marLeft w:val="0"/>
      <w:marRight w:val="0"/>
      <w:marTop w:val="0"/>
      <w:marBottom w:val="0"/>
      <w:divBdr>
        <w:top w:val="none" w:sz="0" w:space="0" w:color="auto"/>
        <w:left w:val="none" w:sz="0" w:space="0" w:color="auto"/>
        <w:bottom w:val="none" w:sz="0" w:space="0" w:color="auto"/>
        <w:right w:val="none" w:sz="0" w:space="0" w:color="auto"/>
      </w:divBdr>
    </w:div>
    <w:div w:id="1245990956">
      <w:bodyDiv w:val="1"/>
      <w:marLeft w:val="0"/>
      <w:marRight w:val="0"/>
      <w:marTop w:val="0"/>
      <w:marBottom w:val="0"/>
      <w:divBdr>
        <w:top w:val="none" w:sz="0" w:space="0" w:color="auto"/>
        <w:left w:val="none" w:sz="0" w:space="0" w:color="auto"/>
        <w:bottom w:val="none" w:sz="0" w:space="0" w:color="auto"/>
        <w:right w:val="none" w:sz="0" w:space="0" w:color="auto"/>
      </w:divBdr>
    </w:div>
    <w:div w:id="1329137179">
      <w:bodyDiv w:val="1"/>
      <w:marLeft w:val="0"/>
      <w:marRight w:val="0"/>
      <w:marTop w:val="0"/>
      <w:marBottom w:val="0"/>
      <w:divBdr>
        <w:top w:val="none" w:sz="0" w:space="0" w:color="auto"/>
        <w:left w:val="none" w:sz="0" w:space="0" w:color="auto"/>
        <w:bottom w:val="none" w:sz="0" w:space="0" w:color="auto"/>
        <w:right w:val="none" w:sz="0" w:space="0" w:color="auto"/>
      </w:divBdr>
      <w:divsChild>
        <w:div w:id="212813451">
          <w:marLeft w:val="0"/>
          <w:marRight w:val="0"/>
          <w:marTop w:val="0"/>
          <w:marBottom w:val="0"/>
          <w:divBdr>
            <w:top w:val="none" w:sz="0" w:space="0" w:color="auto"/>
            <w:left w:val="none" w:sz="0" w:space="0" w:color="auto"/>
            <w:bottom w:val="none" w:sz="0" w:space="0" w:color="auto"/>
            <w:right w:val="none" w:sz="0" w:space="0" w:color="auto"/>
          </w:divBdr>
        </w:div>
        <w:div w:id="718823076">
          <w:marLeft w:val="0"/>
          <w:marRight w:val="0"/>
          <w:marTop w:val="0"/>
          <w:marBottom w:val="0"/>
          <w:divBdr>
            <w:top w:val="none" w:sz="0" w:space="0" w:color="auto"/>
            <w:left w:val="none" w:sz="0" w:space="0" w:color="auto"/>
            <w:bottom w:val="none" w:sz="0" w:space="0" w:color="auto"/>
            <w:right w:val="none" w:sz="0" w:space="0" w:color="auto"/>
          </w:divBdr>
        </w:div>
        <w:div w:id="1139567219">
          <w:marLeft w:val="0"/>
          <w:marRight w:val="0"/>
          <w:marTop w:val="0"/>
          <w:marBottom w:val="0"/>
          <w:divBdr>
            <w:top w:val="none" w:sz="0" w:space="0" w:color="auto"/>
            <w:left w:val="none" w:sz="0" w:space="0" w:color="auto"/>
            <w:bottom w:val="none" w:sz="0" w:space="0" w:color="auto"/>
            <w:right w:val="none" w:sz="0" w:space="0" w:color="auto"/>
          </w:divBdr>
        </w:div>
        <w:div w:id="1156143936">
          <w:marLeft w:val="0"/>
          <w:marRight w:val="0"/>
          <w:marTop w:val="0"/>
          <w:marBottom w:val="0"/>
          <w:divBdr>
            <w:top w:val="none" w:sz="0" w:space="0" w:color="auto"/>
            <w:left w:val="none" w:sz="0" w:space="0" w:color="auto"/>
            <w:bottom w:val="none" w:sz="0" w:space="0" w:color="auto"/>
            <w:right w:val="none" w:sz="0" w:space="0" w:color="auto"/>
          </w:divBdr>
        </w:div>
        <w:div w:id="1262449404">
          <w:marLeft w:val="0"/>
          <w:marRight w:val="0"/>
          <w:marTop w:val="0"/>
          <w:marBottom w:val="0"/>
          <w:divBdr>
            <w:top w:val="none" w:sz="0" w:space="0" w:color="auto"/>
            <w:left w:val="none" w:sz="0" w:space="0" w:color="auto"/>
            <w:bottom w:val="none" w:sz="0" w:space="0" w:color="auto"/>
            <w:right w:val="none" w:sz="0" w:space="0" w:color="auto"/>
          </w:divBdr>
        </w:div>
        <w:div w:id="1547596450">
          <w:marLeft w:val="0"/>
          <w:marRight w:val="0"/>
          <w:marTop w:val="0"/>
          <w:marBottom w:val="0"/>
          <w:divBdr>
            <w:top w:val="none" w:sz="0" w:space="0" w:color="auto"/>
            <w:left w:val="none" w:sz="0" w:space="0" w:color="auto"/>
            <w:bottom w:val="none" w:sz="0" w:space="0" w:color="auto"/>
            <w:right w:val="none" w:sz="0" w:space="0" w:color="auto"/>
          </w:divBdr>
        </w:div>
        <w:div w:id="1744644840">
          <w:marLeft w:val="0"/>
          <w:marRight w:val="0"/>
          <w:marTop w:val="0"/>
          <w:marBottom w:val="0"/>
          <w:divBdr>
            <w:top w:val="none" w:sz="0" w:space="0" w:color="auto"/>
            <w:left w:val="none" w:sz="0" w:space="0" w:color="auto"/>
            <w:bottom w:val="none" w:sz="0" w:space="0" w:color="auto"/>
            <w:right w:val="none" w:sz="0" w:space="0" w:color="auto"/>
          </w:divBdr>
        </w:div>
        <w:div w:id="2142530698">
          <w:marLeft w:val="0"/>
          <w:marRight w:val="0"/>
          <w:marTop w:val="0"/>
          <w:marBottom w:val="0"/>
          <w:divBdr>
            <w:top w:val="none" w:sz="0" w:space="0" w:color="auto"/>
            <w:left w:val="none" w:sz="0" w:space="0" w:color="auto"/>
            <w:bottom w:val="none" w:sz="0" w:space="0" w:color="auto"/>
            <w:right w:val="none" w:sz="0" w:space="0" w:color="auto"/>
          </w:divBdr>
        </w:div>
      </w:divsChild>
    </w:div>
    <w:div w:id="1330671487">
      <w:bodyDiv w:val="1"/>
      <w:marLeft w:val="0"/>
      <w:marRight w:val="0"/>
      <w:marTop w:val="0"/>
      <w:marBottom w:val="0"/>
      <w:divBdr>
        <w:top w:val="none" w:sz="0" w:space="0" w:color="auto"/>
        <w:left w:val="none" w:sz="0" w:space="0" w:color="auto"/>
        <w:bottom w:val="none" w:sz="0" w:space="0" w:color="auto"/>
        <w:right w:val="none" w:sz="0" w:space="0" w:color="auto"/>
      </w:divBdr>
      <w:divsChild>
        <w:div w:id="1145659124">
          <w:marLeft w:val="840"/>
          <w:marRight w:val="0"/>
          <w:marTop w:val="0"/>
          <w:marBottom w:val="120"/>
          <w:divBdr>
            <w:top w:val="none" w:sz="0" w:space="0" w:color="auto"/>
            <w:left w:val="none" w:sz="0" w:space="0" w:color="auto"/>
            <w:bottom w:val="none" w:sz="0" w:space="0" w:color="auto"/>
            <w:right w:val="none" w:sz="0" w:space="0" w:color="auto"/>
          </w:divBdr>
        </w:div>
        <w:div w:id="1482891508">
          <w:marLeft w:val="0"/>
          <w:marRight w:val="0"/>
          <w:marTop w:val="0"/>
          <w:marBottom w:val="0"/>
          <w:divBdr>
            <w:top w:val="none" w:sz="0" w:space="0" w:color="auto"/>
            <w:left w:val="none" w:sz="0" w:space="0" w:color="auto"/>
            <w:bottom w:val="none" w:sz="0" w:space="0" w:color="auto"/>
            <w:right w:val="none" w:sz="0" w:space="0" w:color="auto"/>
          </w:divBdr>
          <w:divsChild>
            <w:div w:id="2019962959">
              <w:marLeft w:val="840"/>
              <w:marRight w:val="0"/>
              <w:marTop w:val="0"/>
              <w:marBottom w:val="120"/>
              <w:divBdr>
                <w:top w:val="none" w:sz="0" w:space="0" w:color="auto"/>
                <w:left w:val="none" w:sz="0" w:space="0" w:color="auto"/>
                <w:bottom w:val="none" w:sz="0" w:space="0" w:color="auto"/>
                <w:right w:val="none" w:sz="0" w:space="0" w:color="auto"/>
              </w:divBdr>
            </w:div>
          </w:divsChild>
        </w:div>
      </w:divsChild>
    </w:div>
    <w:div w:id="1387145110">
      <w:bodyDiv w:val="1"/>
      <w:marLeft w:val="0"/>
      <w:marRight w:val="0"/>
      <w:marTop w:val="0"/>
      <w:marBottom w:val="0"/>
      <w:divBdr>
        <w:top w:val="none" w:sz="0" w:space="0" w:color="auto"/>
        <w:left w:val="none" w:sz="0" w:space="0" w:color="auto"/>
        <w:bottom w:val="none" w:sz="0" w:space="0" w:color="auto"/>
        <w:right w:val="none" w:sz="0" w:space="0" w:color="auto"/>
      </w:divBdr>
    </w:div>
    <w:div w:id="1392344178">
      <w:bodyDiv w:val="1"/>
      <w:marLeft w:val="0"/>
      <w:marRight w:val="0"/>
      <w:marTop w:val="0"/>
      <w:marBottom w:val="0"/>
      <w:divBdr>
        <w:top w:val="none" w:sz="0" w:space="0" w:color="auto"/>
        <w:left w:val="none" w:sz="0" w:space="0" w:color="auto"/>
        <w:bottom w:val="none" w:sz="0" w:space="0" w:color="auto"/>
        <w:right w:val="none" w:sz="0" w:space="0" w:color="auto"/>
      </w:divBdr>
    </w:div>
    <w:div w:id="1477261202">
      <w:bodyDiv w:val="1"/>
      <w:marLeft w:val="0"/>
      <w:marRight w:val="0"/>
      <w:marTop w:val="0"/>
      <w:marBottom w:val="0"/>
      <w:divBdr>
        <w:top w:val="none" w:sz="0" w:space="0" w:color="auto"/>
        <w:left w:val="none" w:sz="0" w:space="0" w:color="auto"/>
        <w:bottom w:val="none" w:sz="0" w:space="0" w:color="auto"/>
        <w:right w:val="none" w:sz="0" w:space="0" w:color="auto"/>
      </w:divBdr>
    </w:div>
    <w:div w:id="1650355340">
      <w:bodyDiv w:val="1"/>
      <w:marLeft w:val="0"/>
      <w:marRight w:val="0"/>
      <w:marTop w:val="0"/>
      <w:marBottom w:val="0"/>
      <w:divBdr>
        <w:top w:val="none" w:sz="0" w:space="0" w:color="auto"/>
        <w:left w:val="none" w:sz="0" w:space="0" w:color="auto"/>
        <w:bottom w:val="none" w:sz="0" w:space="0" w:color="auto"/>
        <w:right w:val="none" w:sz="0" w:space="0" w:color="auto"/>
      </w:divBdr>
    </w:div>
    <w:div w:id="1760827522">
      <w:bodyDiv w:val="1"/>
      <w:marLeft w:val="0"/>
      <w:marRight w:val="0"/>
      <w:marTop w:val="0"/>
      <w:marBottom w:val="0"/>
      <w:divBdr>
        <w:top w:val="none" w:sz="0" w:space="0" w:color="auto"/>
        <w:left w:val="none" w:sz="0" w:space="0" w:color="auto"/>
        <w:bottom w:val="none" w:sz="0" w:space="0" w:color="auto"/>
        <w:right w:val="none" w:sz="0" w:space="0" w:color="auto"/>
      </w:divBdr>
    </w:div>
    <w:div w:id="1986204963">
      <w:bodyDiv w:val="1"/>
      <w:marLeft w:val="0"/>
      <w:marRight w:val="0"/>
      <w:marTop w:val="0"/>
      <w:marBottom w:val="0"/>
      <w:divBdr>
        <w:top w:val="none" w:sz="0" w:space="0" w:color="auto"/>
        <w:left w:val="none" w:sz="0" w:space="0" w:color="auto"/>
        <w:bottom w:val="none" w:sz="0" w:space="0" w:color="auto"/>
        <w:right w:val="none" w:sz="0" w:space="0" w:color="auto"/>
      </w:divBdr>
    </w:div>
    <w:div w:id="201622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arlinfo.aph.gov.au/parlInfo/search/display/display.w3p;query=Id%3A%22legislation%2Fems%2Fr7072_ems_01d7cd27-1ed6-45d7-a976-800c6da47c6a%22" TargetMode="External"/><Relationship Id="rId7" Type="http://schemas.openxmlformats.org/officeDocument/2006/relationships/hyperlink" Target="https://www.finance.gov.au/government/procurement/commonwealth-supplier-code-conduct/commonwealth-supplier-code-conduct" TargetMode="External"/><Relationship Id="rId2" Type="http://schemas.openxmlformats.org/officeDocument/2006/relationships/hyperlink" Target="https://parlinfo.aph.gov.au/parlInfo/search/display/display.w3p;query=Id%3A%22legislation%2Fems%2Fr7072_ems_01d7cd27-1ed6-45d7-a976-800c6da47c6a%22" TargetMode="External"/><Relationship Id="rId1" Type="http://schemas.openxmlformats.org/officeDocument/2006/relationships/hyperlink" Target="https://parlinfo.aph.gov.au/parlInfo/search/display/display.w3p;query=Id%3A%22legislation%2Fems%2Fr6941_ems_d310a6ae-0ff2-4129-bc25-32c2bf274f86%22" TargetMode="External"/><Relationship Id="rId6" Type="http://schemas.openxmlformats.org/officeDocument/2006/relationships/hyperlink" Target="https://www.education.gov.au/australian-universities-accord/accord-priority-actions" TargetMode="External"/><Relationship Id="rId5" Type="http://schemas.openxmlformats.org/officeDocument/2006/relationships/hyperlink" Target="https://www.dss.gov.au/system/files/resources/australiangovernmentresponsetodrc_july2024.pdf" TargetMode="External"/><Relationship Id="rId4" Type="http://schemas.openxmlformats.org/officeDocument/2006/relationships/hyperlink" Target="https://www.ndisreview.gov.au/resources/reports/working-together-deliver-nd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A0E20-539F-48B3-B0D8-BB498D8FE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Select Committee on Job Security reports</dc:title>
  <dc:subject/>
  <dc:creator/>
  <cp:keywords/>
  <dc:description/>
  <cp:lastModifiedBy/>
  <cp:revision>1</cp:revision>
  <dcterms:created xsi:type="dcterms:W3CDTF">2025-02-12T01:12:00Z</dcterms:created>
  <dcterms:modified xsi:type="dcterms:W3CDTF">2025-02-12T01:12:00Z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2025-02-12T01:12:47Z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6321fec6-a41a-439a-b919-de9a39c920c7</vt:lpwstr>
  </property>
  <property fmtid="{D5CDD505-2E9C-101B-9397-08002B2CF9AE}" pid="8" name="MSIP_Label_79d889eb-932f-4752-8739-64d25806ef64_ContentBits">
    <vt:lpwstr>0</vt:lpwstr>
  </property>
</Properties>
</file>