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50" w:rsidRPr="00B02DF6" w:rsidRDefault="00135F50" w:rsidP="000A6B18">
      <w:bookmarkStart w:id="0" w:name="_Toc212451175"/>
      <w:bookmarkStart w:id="1" w:name="_Toc254618392"/>
      <w:bookmarkStart w:id="2" w:name="_Toc254619158"/>
      <w:bookmarkStart w:id="3" w:name="_Toc254622855"/>
      <w:bookmarkStart w:id="4" w:name="_Toc254697788"/>
      <w:r w:rsidRPr="00B02DF6">
        <w:rPr>
          <w:noProof/>
        </w:rPr>
        <w:drawing>
          <wp:anchor distT="0" distB="0" distL="114300" distR="114300" simplePos="0" relativeHeight="251660288" behindDoc="1" locked="0" layoutInCell="1" allowOverlap="1">
            <wp:simplePos x="0" y="0"/>
            <wp:positionH relativeFrom="column">
              <wp:posOffset>-1139190</wp:posOffset>
            </wp:positionH>
            <wp:positionV relativeFrom="paragraph">
              <wp:posOffset>-924560</wp:posOffset>
            </wp:positionV>
            <wp:extent cx="9462135" cy="10804525"/>
            <wp:effectExtent l="19050" t="0" r="5715" b="0"/>
            <wp:wrapNone/>
            <wp:docPr id="1" name="Picture 4" descr="Australian Government Department of Education, Employment and Workplace Rel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10-0684 EMPGEN Labour Market Assistance Outcome Quarterly Report Template cover_02"/>
                    <pic:cNvPicPr>
                      <a:picLocks noChangeAspect="1" noChangeArrowheads="1"/>
                    </pic:cNvPicPr>
                  </pic:nvPicPr>
                  <pic:blipFill>
                    <a:blip r:embed="rId8" cstate="print"/>
                    <a:srcRect/>
                    <a:stretch>
                      <a:fillRect/>
                    </a:stretch>
                  </pic:blipFill>
                  <pic:spPr bwMode="auto">
                    <a:xfrm>
                      <a:off x="0" y="0"/>
                      <a:ext cx="9462135" cy="10804525"/>
                    </a:xfrm>
                    <a:prstGeom prst="rect">
                      <a:avLst/>
                    </a:prstGeom>
                    <a:noFill/>
                    <a:ln w="9525">
                      <a:noFill/>
                      <a:miter lim="800000"/>
                      <a:headEnd/>
                      <a:tailEnd/>
                    </a:ln>
                  </pic:spPr>
                </pic:pic>
              </a:graphicData>
            </a:graphic>
          </wp:anchor>
        </w:drawing>
      </w:r>
      <w:bookmarkStart w:id="5" w:name="_Toc296516257"/>
      <w:bookmarkStart w:id="6" w:name="_Toc296521172"/>
      <w:bookmarkStart w:id="7" w:name="_Toc298927283"/>
      <w:bookmarkStart w:id="8" w:name="_Toc299006405"/>
      <w:bookmarkStart w:id="9" w:name="_Toc299006452"/>
      <w:bookmarkStart w:id="10" w:name="_Toc299006530"/>
    </w:p>
    <w:bookmarkEnd w:id="5"/>
    <w:bookmarkEnd w:id="6"/>
    <w:bookmarkEnd w:id="7"/>
    <w:bookmarkEnd w:id="8"/>
    <w:bookmarkEnd w:id="9"/>
    <w:bookmarkEnd w:id="10"/>
    <w:p w:rsidR="00135F50" w:rsidRPr="004251EB" w:rsidRDefault="00135F50" w:rsidP="00B02DF6">
      <w:pPr>
        <w:pStyle w:val="Title"/>
        <w:spacing w:before="4000"/>
      </w:pPr>
      <w:r w:rsidRPr="004251EB">
        <w:t>Good Practice in</w:t>
      </w:r>
      <w:r w:rsidRPr="004251EB">
        <w:br/>
        <w:t>Job Services Australia</w:t>
      </w:r>
    </w:p>
    <w:p w:rsidR="004251EB" w:rsidRPr="00A349BC" w:rsidRDefault="008D58B6" w:rsidP="00A349BC">
      <w:pPr>
        <w:pStyle w:val="Subtitle"/>
      </w:pPr>
      <w:r w:rsidRPr="00A349BC">
        <w:t xml:space="preserve">March </w:t>
      </w:r>
      <w:r w:rsidR="00135F50" w:rsidRPr="00A349BC">
        <w:t>2012</w:t>
      </w:r>
    </w:p>
    <w:p w:rsidR="004251EB" w:rsidRDefault="004251EB" w:rsidP="00033A13">
      <w:r>
        <w:br w:type="page"/>
      </w:r>
    </w:p>
    <w:p w:rsidR="008B37F0" w:rsidRDefault="008B37F0" w:rsidP="00484740">
      <w:pPr>
        <w:pStyle w:val="Normalafter12pt"/>
      </w:pPr>
      <w:bookmarkStart w:id="11" w:name="_Toc272393972"/>
      <w:bookmarkStart w:id="12" w:name="_Toc306261110"/>
      <w:bookmarkStart w:id="13" w:name="_Toc306278510"/>
      <w:bookmarkStart w:id="14" w:name="_Toc306714844"/>
      <w:bookmarkStart w:id="15" w:name="_Toc306714907"/>
      <w:bookmarkStart w:id="16" w:name="_Toc306715434"/>
      <w:bookmarkStart w:id="17" w:name="_Toc306889459"/>
      <w:bookmarkStart w:id="18" w:name="_Toc307215560"/>
      <w:bookmarkStart w:id="19" w:name="_Toc308449597"/>
      <w:bookmarkStart w:id="20" w:name="_Toc308449641"/>
      <w:bookmarkStart w:id="21" w:name="_Toc313969929"/>
      <w:bookmarkStart w:id="22" w:name="_Toc313970029"/>
      <w:bookmarkStart w:id="23" w:name="_Toc314913834"/>
      <w:bookmarkStart w:id="24" w:name="_Toc315161864"/>
      <w:bookmarkEnd w:id="0"/>
      <w:bookmarkEnd w:id="1"/>
      <w:bookmarkEnd w:id="2"/>
      <w:bookmarkEnd w:id="3"/>
      <w:bookmarkEnd w:id="4"/>
      <w:r>
        <w:lastRenderedPageBreak/>
        <w:t xml:space="preserve">For further information about this publication contact: </w:t>
      </w:r>
    </w:p>
    <w:p w:rsidR="008B37F0" w:rsidRDefault="008B37F0" w:rsidP="00484740">
      <w:pPr>
        <w:pStyle w:val="Normalafter12pt"/>
      </w:pPr>
      <w:r>
        <w:t>Employm</w:t>
      </w:r>
      <w:r w:rsidR="007C74AE">
        <w:t>ent Services Evaluation Section</w:t>
      </w:r>
      <w:r w:rsidR="008C5B61">
        <w:br/>
      </w:r>
      <w:r w:rsidR="003969C9">
        <w:t>Labour Market Strategy</w:t>
      </w:r>
      <w:r w:rsidR="007C74AE">
        <w:t xml:space="preserve"> Group</w:t>
      </w:r>
      <w:r w:rsidR="008C5B61">
        <w:br/>
      </w:r>
      <w:r>
        <w:t>Department of Education, Emp</w:t>
      </w:r>
      <w:r w:rsidR="007C74AE">
        <w:t>loyment and Workplace Relations</w:t>
      </w:r>
      <w:r w:rsidR="00892017">
        <w:br/>
      </w:r>
      <w:r w:rsidR="007C74AE">
        <w:t>GPO Box 9880, CANBERRA ACT 2601</w:t>
      </w:r>
    </w:p>
    <w:p w:rsidR="008B37F0" w:rsidRDefault="007C74AE" w:rsidP="008C5B61">
      <w:r>
        <w:t xml:space="preserve">General: 1300 363 </w:t>
      </w:r>
      <w:proofErr w:type="gramStart"/>
      <w:r>
        <w:t>079</w:t>
      </w:r>
      <w:r w:rsidR="008C5B61">
        <w:br/>
      </w:r>
      <w:r>
        <w:t>Switchboard</w:t>
      </w:r>
      <w:proofErr w:type="gramEnd"/>
      <w:r>
        <w:t>: 13 33 97</w:t>
      </w:r>
    </w:p>
    <w:p w:rsidR="003478AC" w:rsidRDefault="008B37F0" w:rsidP="008C5B61">
      <w:r>
        <w:t xml:space="preserve">Text telephone for the hearing impaired (TTY): </w:t>
      </w:r>
      <w:proofErr w:type="spellStart"/>
      <w:r>
        <w:t>FreeCall</w:t>
      </w:r>
      <w:proofErr w:type="spellEnd"/>
      <w:r>
        <w:t xml:space="preserve"> TM 1800 554 609</w:t>
      </w:r>
    </w:p>
    <w:p w:rsidR="00CF6752" w:rsidRPr="00A32476" w:rsidRDefault="00892017" w:rsidP="00A32476">
      <w:r>
        <w:t xml:space="preserve">Website: </w:t>
      </w:r>
      <w:hyperlink r:id="rId9" w:tooltip="Department of Education, Employment and Workplace Relations website" w:history="1">
        <w:r w:rsidR="00CF6752" w:rsidRPr="003059D8">
          <w:rPr>
            <w:rStyle w:val="Hyperlink"/>
          </w:rPr>
          <w:t>Department of Education, Employment and Workplace Relations</w:t>
        </w:r>
      </w:hyperlink>
      <w:r w:rsidR="001A7E6B">
        <w:t xml:space="preserve"> (</w:t>
      </w:r>
      <w:hyperlink r:id="rId10" w:history="1">
        <w:r w:rsidR="00907319" w:rsidRPr="007E7FB6">
          <w:rPr>
            <w:rStyle w:val="Hyperlink"/>
            <w:szCs w:val="22"/>
          </w:rPr>
          <w:t>http://www.deewr.gov.au/Employment/ResearchStatistics/ProgEval/Pages/Overview.aspx</w:t>
        </w:r>
      </w:hyperlink>
      <w:r w:rsidR="001A7E6B">
        <w:rPr>
          <w:szCs w:val="22"/>
        </w:rPr>
        <w:t>)</w:t>
      </w:r>
      <w:r w:rsidR="00907319">
        <w:rPr>
          <w:szCs w:val="22"/>
        </w:rPr>
        <w:t xml:space="preserve"> </w:t>
      </w:r>
    </w:p>
    <w:p w:rsidR="003478AC" w:rsidRDefault="003478AC" w:rsidP="0011186B">
      <w:pPr>
        <w:pStyle w:val="StyleNormal200ptbeforeAfter12pt"/>
      </w:pPr>
      <w:r>
        <w:t>CC by 3.0</w:t>
      </w:r>
    </w:p>
    <w:p w:rsidR="008C5B61" w:rsidRDefault="003969C9" w:rsidP="008C5B61">
      <w:r>
        <w:t>Commonwealth of Australia 2012</w:t>
      </w:r>
      <w:r w:rsidR="008C5B61">
        <w:t xml:space="preserve"> </w:t>
      </w:r>
    </w:p>
    <w:p w:rsidR="008C5B61" w:rsidRDefault="008C5B61" w:rsidP="008C5B61">
      <w:r>
        <w:t>978-0-642-</w:t>
      </w:r>
      <w:r w:rsidR="00046F1D">
        <w:t>78419-3</w:t>
      </w:r>
      <w:r>
        <w:t xml:space="preserve"> – </w:t>
      </w:r>
      <w:r w:rsidR="00046F1D">
        <w:t>Good Practice in Job Services Australia</w:t>
      </w:r>
      <w:r>
        <w:t xml:space="preserve"> (PDF) </w:t>
      </w:r>
    </w:p>
    <w:p w:rsidR="008C5B61" w:rsidRDefault="008C5B61" w:rsidP="008C5B61">
      <w:r w:rsidRPr="00BC6BD9">
        <w:t>978-0-642-78420-9</w:t>
      </w:r>
      <w:r w:rsidR="00046F1D" w:rsidRPr="00BC6BD9">
        <w:t xml:space="preserve"> </w:t>
      </w:r>
      <w:r w:rsidRPr="00BC6BD9">
        <w:t>–</w:t>
      </w:r>
      <w:r>
        <w:t xml:space="preserve"> </w:t>
      </w:r>
      <w:r w:rsidR="00046F1D">
        <w:t xml:space="preserve">Good Practice in Job Services Australia </w:t>
      </w:r>
      <w:r>
        <w:t>(</w:t>
      </w:r>
      <w:proofErr w:type="spellStart"/>
      <w:r w:rsidR="00046F1D">
        <w:t>DOCX</w:t>
      </w:r>
      <w:proofErr w:type="spellEnd"/>
      <w:r w:rsidR="00046F1D">
        <w:t>)</w:t>
      </w:r>
      <w:r>
        <w:t xml:space="preserve"> </w:t>
      </w:r>
    </w:p>
    <w:p w:rsidR="003478AC" w:rsidRPr="00A46287" w:rsidRDefault="003478AC" w:rsidP="008C5B61">
      <w:pPr>
        <w:rPr>
          <w:rFonts w:cs="Calibri"/>
        </w:rPr>
      </w:pPr>
      <w:r>
        <w:rPr>
          <w:noProof/>
        </w:rPr>
        <w:drawing>
          <wp:inline distT="0" distB="0" distL="0" distR="0">
            <wp:extent cx="847725" cy="285750"/>
            <wp:effectExtent l="19050" t="0" r="9525" b="0"/>
            <wp:docPr id="3" name="Picture 1" descr="Creative Commons Attribution 3.0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3478AC" w:rsidRPr="006513DB" w:rsidRDefault="003478AC" w:rsidP="003478AC">
      <w:r w:rsidRPr="006513DB">
        <w:t xml:space="preserve">With the exception of the Commonwealth Coat of Arms and where otherwise noted all material presented in this document is provided under a </w:t>
      </w:r>
      <w:hyperlink r:id="rId12" w:tooltip="Creative Commons Attribution 3.0 Australia" w:history="1">
        <w:r w:rsidRPr="006F4A06">
          <w:t>Creative Commons Attribution 3.0 Australia</w:t>
        </w:r>
      </w:hyperlink>
      <w:r w:rsidR="008C6A5F" w:rsidRPr="003C3761">
        <w:rPr>
          <w:rStyle w:val="Hyperlink"/>
        </w:rPr>
        <w:t xml:space="preserve"> </w:t>
      </w:r>
      <w:r w:rsidR="00AC6EC3" w:rsidRPr="00AC6EC3">
        <w:rPr>
          <w:szCs w:val="22"/>
        </w:rPr>
        <w:t>(http://creativecommons.org/licenses/by/3.0/au/)</w:t>
      </w:r>
      <w:r w:rsidR="00AC6EC3" w:rsidRPr="00AC6EC3">
        <w:t xml:space="preserve"> </w:t>
      </w:r>
      <w:r w:rsidRPr="006513DB">
        <w:t>licence</w:t>
      </w:r>
      <w:r w:rsidR="00AC6EC3">
        <w:t xml:space="preserve">. </w:t>
      </w:r>
    </w:p>
    <w:p w:rsidR="003478AC" w:rsidRPr="006513DB" w:rsidRDefault="003478AC" w:rsidP="003478AC">
      <w:r w:rsidRPr="006513DB">
        <w:t xml:space="preserve">The details of the relevant licence conditions are available on the </w:t>
      </w:r>
      <w:hyperlink r:id="rId13" w:tooltip="Creative Commons website" w:history="1">
        <w:r w:rsidRPr="003059D8">
          <w:rPr>
            <w:rStyle w:val="Hyperlink"/>
          </w:rPr>
          <w:t>Creative Commons</w:t>
        </w:r>
      </w:hyperlink>
      <w:r w:rsidR="00AC6EC3">
        <w:t xml:space="preserve"> </w:t>
      </w:r>
      <w:r w:rsidR="00F364D6">
        <w:t>website</w:t>
      </w:r>
      <w:r w:rsidR="00F364D6" w:rsidRPr="00AC6EC3">
        <w:rPr>
          <w:szCs w:val="22"/>
        </w:rPr>
        <w:t xml:space="preserve"> </w:t>
      </w:r>
      <w:r w:rsidR="00AC6EC3" w:rsidRPr="00AC6EC3">
        <w:rPr>
          <w:szCs w:val="22"/>
        </w:rPr>
        <w:t>(</w:t>
      </w:r>
      <w:hyperlink r:id="rId14" w:history="1">
        <w:r w:rsidR="00AC26B6" w:rsidRPr="007E7FB6">
          <w:rPr>
            <w:rStyle w:val="Hyperlink"/>
            <w:szCs w:val="22"/>
          </w:rPr>
          <w:t>http://creativecommons.org/licenses/by/3.0/au/legalcode</w:t>
        </w:r>
      </w:hyperlink>
      <w:r w:rsidR="00AC6EC3">
        <w:rPr>
          <w:szCs w:val="22"/>
        </w:rPr>
        <w:t>)</w:t>
      </w:r>
      <w:r w:rsidR="00AC26B6">
        <w:rPr>
          <w:szCs w:val="22"/>
        </w:rPr>
        <w:t xml:space="preserve"> </w:t>
      </w:r>
      <w:r w:rsidRPr="006513DB">
        <w:t>(accessible using the links provided) as is the full legal code for the CC BY 3.0 AU licence</w:t>
      </w:r>
      <w:r w:rsidR="008C6A5F">
        <w:t>.</w:t>
      </w:r>
    </w:p>
    <w:p w:rsidR="00EB35ED" w:rsidRPr="00EB35ED" w:rsidRDefault="003478AC" w:rsidP="003478AC">
      <w:r w:rsidRPr="006513DB">
        <w:t>The doc</w:t>
      </w:r>
      <w:r>
        <w:t>ument must be attributed as Department of Education, Employme</w:t>
      </w:r>
      <w:r w:rsidR="00E15A67">
        <w:t>nt and Workplace Relations, 2012</w:t>
      </w:r>
      <w:r>
        <w:t>,</w:t>
      </w:r>
      <w:r w:rsidRPr="006F6779">
        <w:rPr>
          <w:rStyle w:val="Emphasis"/>
        </w:rPr>
        <w:t xml:space="preserve"> </w:t>
      </w:r>
      <w:r w:rsidR="00F14008">
        <w:rPr>
          <w:rStyle w:val="Emphasis"/>
        </w:rPr>
        <w:t>Good practice in Job Services Australia</w:t>
      </w:r>
      <w:r>
        <w:t>, DEEWR, Canberra.</w:t>
      </w:r>
    </w:p>
    <w:p w:rsidR="001E7248" w:rsidRDefault="001E7248" w:rsidP="003771F8">
      <w:pPr>
        <w:pStyle w:val="Heading1"/>
        <w:sectPr w:rsidR="001E7248" w:rsidSect="00F7448E">
          <w:headerReference w:type="even" r:id="rId15"/>
          <w:headerReference w:type="default" r:id="rId16"/>
          <w:footerReference w:type="even" r:id="rId17"/>
          <w:footerReference w:type="default" r:id="rId18"/>
          <w:headerReference w:type="first" r:id="rId19"/>
          <w:footerReference w:type="first" r:id="rId20"/>
          <w:endnotePr>
            <w:numFmt w:val="lowerLetter"/>
            <w:numRestart w:val="eachSect"/>
          </w:endnotePr>
          <w:pgSz w:w="11906" w:h="16838" w:code="9"/>
          <w:pgMar w:top="1418" w:right="1701" w:bottom="1276" w:left="1701" w:header="709" w:footer="102" w:gutter="0"/>
          <w:pgNumType w:fmt="lowerRoman" w:start="1"/>
          <w:cols w:space="708"/>
          <w:titlePg/>
          <w:docGrid w:linePitch="360"/>
        </w:sectPr>
      </w:pPr>
      <w:bookmarkStart w:id="25" w:name="_Toc326152933"/>
      <w:bookmarkStart w:id="26" w:name="_Toc326153758"/>
      <w:bookmarkStart w:id="27" w:name="_Toc326567774"/>
    </w:p>
    <w:p w:rsidR="0041735A" w:rsidRDefault="000B3482" w:rsidP="003771F8">
      <w:pPr>
        <w:pStyle w:val="Heading1"/>
      </w:pPr>
      <w:bookmarkStart w:id="28" w:name="_Toc326764322"/>
      <w:r w:rsidRPr="00357E44">
        <w:lastRenderedPageBreak/>
        <w:t>Contents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F77425" w:rsidRDefault="00C23440">
      <w:pPr>
        <w:pStyle w:val="TOC1"/>
        <w:tabs>
          <w:tab w:val="right" w:leader="dot" w:pos="8494"/>
        </w:tabs>
        <w:rPr>
          <w:rFonts w:asciiTheme="minorHAnsi" w:eastAsiaTheme="minorEastAsia" w:hAnsiTheme="minorHAnsi" w:cstheme="minorBidi"/>
          <w:noProof/>
          <w:szCs w:val="22"/>
        </w:rPr>
      </w:pPr>
      <w:r w:rsidRPr="00C23440">
        <w:fldChar w:fldCharType="begin"/>
      </w:r>
      <w:r w:rsidR="000B3482" w:rsidRPr="00126DB4">
        <w:instrText xml:space="preserve"> TOC \o "1-3" \u </w:instrText>
      </w:r>
      <w:r w:rsidRPr="00C23440">
        <w:fldChar w:fldCharType="separate"/>
      </w:r>
      <w:r w:rsidR="00F77425">
        <w:rPr>
          <w:noProof/>
        </w:rPr>
        <w:t>1. Key findings</w:t>
      </w:r>
      <w:r w:rsidR="00F77425">
        <w:rPr>
          <w:noProof/>
        </w:rPr>
        <w:tab/>
      </w:r>
      <w:r>
        <w:rPr>
          <w:noProof/>
        </w:rPr>
        <w:fldChar w:fldCharType="begin"/>
      </w:r>
      <w:r w:rsidR="00F77425">
        <w:rPr>
          <w:noProof/>
        </w:rPr>
        <w:instrText xml:space="preserve"> PAGEREF _Toc326764323 \h </w:instrText>
      </w:r>
      <w:r>
        <w:rPr>
          <w:noProof/>
        </w:rPr>
      </w:r>
      <w:r>
        <w:rPr>
          <w:noProof/>
        </w:rPr>
        <w:fldChar w:fldCharType="separate"/>
      </w:r>
      <w:r w:rsidR="00732467">
        <w:rPr>
          <w:noProof/>
        </w:rPr>
        <w:t>1</w:t>
      </w:r>
      <w:r>
        <w:rPr>
          <w:noProof/>
        </w:rPr>
        <w:fldChar w:fldCharType="end"/>
      </w:r>
    </w:p>
    <w:p w:rsidR="00F77425" w:rsidRDefault="00F77425">
      <w:pPr>
        <w:pStyle w:val="TOC2"/>
        <w:tabs>
          <w:tab w:val="right" w:leader="dot" w:pos="8494"/>
        </w:tabs>
        <w:rPr>
          <w:rFonts w:asciiTheme="minorHAnsi" w:eastAsiaTheme="minorEastAsia" w:hAnsiTheme="minorHAnsi" w:cstheme="minorBidi"/>
          <w:noProof/>
          <w:sz w:val="22"/>
          <w:szCs w:val="22"/>
        </w:rPr>
      </w:pPr>
      <w:r w:rsidRPr="00427EF6">
        <w:rPr>
          <w:noProof/>
        </w:rPr>
        <w:t>Connecting well with job seekers:</w:t>
      </w:r>
      <w:r>
        <w:rPr>
          <w:noProof/>
        </w:rPr>
        <w:tab/>
      </w:r>
      <w:r w:rsidR="00C23440">
        <w:rPr>
          <w:noProof/>
        </w:rPr>
        <w:fldChar w:fldCharType="begin"/>
      </w:r>
      <w:r>
        <w:rPr>
          <w:noProof/>
        </w:rPr>
        <w:instrText xml:space="preserve"> PAGEREF _Toc326764324 \h </w:instrText>
      </w:r>
      <w:r w:rsidR="00C23440">
        <w:rPr>
          <w:noProof/>
        </w:rPr>
      </w:r>
      <w:r w:rsidR="00C23440">
        <w:rPr>
          <w:noProof/>
        </w:rPr>
        <w:fldChar w:fldCharType="separate"/>
      </w:r>
      <w:r w:rsidR="00732467">
        <w:rPr>
          <w:noProof/>
        </w:rPr>
        <w:t>1</w:t>
      </w:r>
      <w:r w:rsidR="00C23440">
        <w:rPr>
          <w:noProof/>
        </w:rPr>
        <w:fldChar w:fldCharType="end"/>
      </w:r>
    </w:p>
    <w:p w:rsidR="00F77425" w:rsidRDefault="00F77425">
      <w:pPr>
        <w:pStyle w:val="TOC2"/>
        <w:tabs>
          <w:tab w:val="right" w:leader="dot" w:pos="8494"/>
        </w:tabs>
        <w:rPr>
          <w:rFonts w:asciiTheme="minorHAnsi" w:eastAsiaTheme="minorEastAsia" w:hAnsiTheme="minorHAnsi" w:cstheme="minorBidi"/>
          <w:noProof/>
          <w:sz w:val="22"/>
          <w:szCs w:val="22"/>
        </w:rPr>
      </w:pPr>
      <w:r w:rsidRPr="00427EF6">
        <w:rPr>
          <w:noProof/>
        </w:rPr>
        <w:t>Engaging well with employers:</w:t>
      </w:r>
      <w:r>
        <w:rPr>
          <w:noProof/>
        </w:rPr>
        <w:tab/>
      </w:r>
      <w:r w:rsidR="00C23440">
        <w:rPr>
          <w:noProof/>
        </w:rPr>
        <w:fldChar w:fldCharType="begin"/>
      </w:r>
      <w:r>
        <w:rPr>
          <w:noProof/>
        </w:rPr>
        <w:instrText xml:space="preserve"> PAGEREF _Toc326764325 \h </w:instrText>
      </w:r>
      <w:r w:rsidR="00C23440">
        <w:rPr>
          <w:noProof/>
        </w:rPr>
      </w:r>
      <w:r w:rsidR="00C23440">
        <w:rPr>
          <w:noProof/>
        </w:rPr>
        <w:fldChar w:fldCharType="separate"/>
      </w:r>
      <w:r w:rsidR="00732467">
        <w:rPr>
          <w:noProof/>
        </w:rPr>
        <w:t>1</w:t>
      </w:r>
      <w:r w:rsidR="00C23440">
        <w:rPr>
          <w:noProof/>
        </w:rPr>
        <w:fldChar w:fldCharType="end"/>
      </w:r>
    </w:p>
    <w:p w:rsidR="00F77425" w:rsidRDefault="00F77425">
      <w:pPr>
        <w:pStyle w:val="TOC2"/>
        <w:tabs>
          <w:tab w:val="right" w:leader="dot" w:pos="8494"/>
        </w:tabs>
        <w:rPr>
          <w:rFonts w:asciiTheme="minorHAnsi" w:eastAsiaTheme="minorEastAsia" w:hAnsiTheme="minorHAnsi" w:cstheme="minorBidi"/>
          <w:noProof/>
          <w:sz w:val="22"/>
          <w:szCs w:val="22"/>
        </w:rPr>
      </w:pPr>
      <w:r w:rsidRPr="00427EF6">
        <w:rPr>
          <w:noProof/>
        </w:rPr>
        <w:t>Building connections:</w:t>
      </w:r>
      <w:r>
        <w:rPr>
          <w:noProof/>
        </w:rPr>
        <w:tab/>
      </w:r>
      <w:r w:rsidR="00C23440">
        <w:rPr>
          <w:noProof/>
        </w:rPr>
        <w:fldChar w:fldCharType="begin"/>
      </w:r>
      <w:r>
        <w:rPr>
          <w:noProof/>
        </w:rPr>
        <w:instrText xml:space="preserve"> PAGEREF _Toc326764326 \h </w:instrText>
      </w:r>
      <w:r w:rsidR="00C23440">
        <w:rPr>
          <w:noProof/>
        </w:rPr>
      </w:r>
      <w:r w:rsidR="00C23440">
        <w:rPr>
          <w:noProof/>
        </w:rPr>
        <w:fldChar w:fldCharType="separate"/>
      </w:r>
      <w:r w:rsidR="00732467">
        <w:rPr>
          <w:noProof/>
        </w:rPr>
        <w:t>2</w:t>
      </w:r>
      <w:r w:rsidR="00C23440">
        <w:rPr>
          <w:noProof/>
        </w:rPr>
        <w:fldChar w:fldCharType="end"/>
      </w:r>
    </w:p>
    <w:p w:rsidR="00F77425" w:rsidRDefault="00F77425">
      <w:pPr>
        <w:pStyle w:val="TOC1"/>
        <w:tabs>
          <w:tab w:val="left" w:pos="480"/>
          <w:tab w:val="right" w:leader="dot" w:pos="8494"/>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sidR="00C23440">
        <w:rPr>
          <w:noProof/>
        </w:rPr>
        <w:fldChar w:fldCharType="begin"/>
      </w:r>
      <w:r>
        <w:rPr>
          <w:noProof/>
        </w:rPr>
        <w:instrText xml:space="preserve"> PAGEREF _Toc326764327 \h </w:instrText>
      </w:r>
      <w:r w:rsidR="00C23440">
        <w:rPr>
          <w:noProof/>
        </w:rPr>
      </w:r>
      <w:r w:rsidR="00C23440">
        <w:rPr>
          <w:noProof/>
        </w:rPr>
        <w:fldChar w:fldCharType="separate"/>
      </w:r>
      <w:r w:rsidR="00732467">
        <w:rPr>
          <w:noProof/>
        </w:rPr>
        <w:t>3</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 xml:space="preserve">2.1 </w:t>
      </w:r>
      <w:r>
        <w:rPr>
          <w:rFonts w:asciiTheme="minorHAnsi" w:eastAsiaTheme="minorEastAsia" w:hAnsiTheme="minorHAnsi" w:cstheme="minorBidi"/>
          <w:noProof/>
          <w:sz w:val="22"/>
          <w:szCs w:val="22"/>
        </w:rPr>
        <w:tab/>
      </w:r>
      <w:r>
        <w:rPr>
          <w:noProof/>
        </w:rPr>
        <w:t>Identifying best practice</w:t>
      </w:r>
      <w:r>
        <w:rPr>
          <w:noProof/>
        </w:rPr>
        <w:tab/>
      </w:r>
      <w:r w:rsidR="00C23440">
        <w:rPr>
          <w:noProof/>
        </w:rPr>
        <w:fldChar w:fldCharType="begin"/>
      </w:r>
      <w:r>
        <w:rPr>
          <w:noProof/>
        </w:rPr>
        <w:instrText xml:space="preserve"> PAGEREF _Toc326764328 \h </w:instrText>
      </w:r>
      <w:r w:rsidR="00C23440">
        <w:rPr>
          <w:noProof/>
        </w:rPr>
      </w:r>
      <w:r w:rsidR="00C23440">
        <w:rPr>
          <w:noProof/>
        </w:rPr>
        <w:fldChar w:fldCharType="separate"/>
      </w:r>
      <w:r w:rsidR="00732467">
        <w:rPr>
          <w:noProof/>
        </w:rPr>
        <w:t>3</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 xml:space="preserve">2.2 </w:t>
      </w:r>
      <w:r>
        <w:rPr>
          <w:rFonts w:asciiTheme="minorHAnsi" w:eastAsiaTheme="minorEastAsia" w:hAnsiTheme="minorHAnsi" w:cstheme="minorBidi"/>
          <w:noProof/>
          <w:sz w:val="22"/>
          <w:szCs w:val="22"/>
        </w:rPr>
        <w:tab/>
      </w:r>
      <w:r>
        <w:rPr>
          <w:noProof/>
        </w:rPr>
        <w:t>Further Information</w:t>
      </w:r>
      <w:r>
        <w:rPr>
          <w:noProof/>
        </w:rPr>
        <w:tab/>
      </w:r>
      <w:r w:rsidR="00C23440">
        <w:rPr>
          <w:noProof/>
        </w:rPr>
        <w:fldChar w:fldCharType="begin"/>
      </w:r>
      <w:r>
        <w:rPr>
          <w:noProof/>
        </w:rPr>
        <w:instrText xml:space="preserve"> PAGEREF _Toc326764329 \h </w:instrText>
      </w:r>
      <w:r w:rsidR="00C23440">
        <w:rPr>
          <w:noProof/>
        </w:rPr>
      </w:r>
      <w:r w:rsidR="00C23440">
        <w:rPr>
          <w:noProof/>
        </w:rPr>
        <w:fldChar w:fldCharType="separate"/>
      </w:r>
      <w:r w:rsidR="00732467">
        <w:rPr>
          <w:noProof/>
        </w:rPr>
        <w:t>4</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Acknowledgements</w:t>
      </w:r>
      <w:r>
        <w:rPr>
          <w:noProof/>
        </w:rPr>
        <w:tab/>
      </w:r>
      <w:r w:rsidR="00C23440">
        <w:rPr>
          <w:noProof/>
        </w:rPr>
        <w:fldChar w:fldCharType="begin"/>
      </w:r>
      <w:r>
        <w:rPr>
          <w:noProof/>
        </w:rPr>
        <w:instrText xml:space="preserve"> PAGEREF _Toc326764330 \h </w:instrText>
      </w:r>
      <w:r w:rsidR="00C23440">
        <w:rPr>
          <w:noProof/>
        </w:rPr>
      </w:r>
      <w:r w:rsidR="00C23440">
        <w:rPr>
          <w:noProof/>
        </w:rPr>
        <w:fldChar w:fldCharType="separate"/>
      </w:r>
      <w:r w:rsidR="00732467">
        <w:rPr>
          <w:noProof/>
        </w:rPr>
        <w:t>4</w:t>
      </w:r>
      <w:r w:rsidR="00C23440">
        <w:rPr>
          <w:noProof/>
        </w:rPr>
        <w:fldChar w:fldCharType="end"/>
      </w:r>
    </w:p>
    <w:p w:rsidR="00F77425" w:rsidRDefault="00F77425">
      <w:pPr>
        <w:pStyle w:val="TOC1"/>
        <w:tabs>
          <w:tab w:val="left" w:pos="480"/>
          <w:tab w:val="right" w:leader="dot" w:pos="8494"/>
        </w:tabs>
        <w:rPr>
          <w:rFonts w:asciiTheme="minorHAnsi" w:eastAsiaTheme="minorEastAsia" w:hAnsiTheme="minorHAnsi" w:cstheme="minorBidi"/>
          <w:noProof/>
          <w:szCs w:val="22"/>
        </w:rPr>
      </w:pPr>
      <w:r>
        <w:rPr>
          <w:noProof/>
        </w:rPr>
        <w:t xml:space="preserve">3. </w:t>
      </w:r>
      <w:r>
        <w:rPr>
          <w:rFonts w:asciiTheme="minorHAnsi" w:eastAsiaTheme="minorEastAsia" w:hAnsiTheme="minorHAnsi" w:cstheme="minorBidi"/>
          <w:noProof/>
          <w:szCs w:val="22"/>
        </w:rPr>
        <w:tab/>
      </w:r>
      <w:r>
        <w:rPr>
          <w:noProof/>
        </w:rPr>
        <w:t>Assisting job seekers</w:t>
      </w:r>
      <w:r>
        <w:rPr>
          <w:noProof/>
        </w:rPr>
        <w:tab/>
      </w:r>
      <w:r w:rsidR="00C23440">
        <w:rPr>
          <w:noProof/>
        </w:rPr>
        <w:fldChar w:fldCharType="begin"/>
      </w:r>
      <w:r>
        <w:rPr>
          <w:noProof/>
        </w:rPr>
        <w:instrText xml:space="preserve"> PAGEREF _Toc326764331 \h </w:instrText>
      </w:r>
      <w:r w:rsidR="00C23440">
        <w:rPr>
          <w:noProof/>
        </w:rPr>
      </w:r>
      <w:r w:rsidR="00C23440">
        <w:rPr>
          <w:noProof/>
        </w:rPr>
        <w:fldChar w:fldCharType="separate"/>
      </w:r>
      <w:r w:rsidR="00732467">
        <w:rPr>
          <w:noProof/>
        </w:rPr>
        <w:t>5</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Engaging with job seekers</w:t>
      </w:r>
      <w:r>
        <w:rPr>
          <w:noProof/>
        </w:rPr>
        <w:tab/>
      </w:r>
      <w:r w:rsidR="00C23440">
        <w:rPr>
          <w:noProof/>
        </w:rPr>
        <w:fldChar w:fldCharType="begin"/>
      </w:r>
      <w:r>
        <w:rPr>
          <w:noProof/>
        </w:rPr>
        <w:instrText xml:space="preserve"> PAGEREF _Toc326764332 \h </w:instrText>
      </w:r>
      <w:r w:rsidR="00C23440">
        <w:rPr>
          <w:noProof/>
        </w:rPr>
      </w:r>
      <w:r w:rsidR="00C23440">
        <w:rPr>
          <w:noProof/>
        </w:rPr>
        <w:fldChar w:fldCharType="separate"/>
      </w:r>
      <w:r w:rsidR="00732467">
        <w:rPr>
          <w:noProof/>
        </w:rPr>
        <w:t>5</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Service planning</w:t>
      </w:r>
      <w:r>
        <w:rPr>
          <w:noProof/>
        </w:rPr>
        <w:tab/>
      </w:r>
      <w:r w:rsidR="00C23440">
        <w:rPr>
          <w:noProof/>
        </w:rPr>
        <w:fldChar w:fldCharType="begin"/>
      </w:r>
      <w:r>
        <w:rPr>
          <w:noProof/>
        </w:rPr>
        <w:instrText xml:space="preserve"> PAGEREF _Toc326764333 \h </w:instrText>
      </w:r>
      <w:r w:rsidR="00C23440">
        <w:rPr>
          <w:noProof/>
        </w:rPr>
      </w:r>
      <w:r w:rsidR="00C23440">
        <w:rPr>
          <w:noProof/>
        </w:rPr>
        <w:fldChar w:fldCharType="separate"/>
      </w:r>
      <w:r w:rsidR="00732467">
        <w:rPr>
          <w:noProof/>
        </w:rPr>
        <w:t>9</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Addressing barriers to employment</w:t>
      </w:r>
      <w:r>
        <w:rPr>
          <w:noProof/>
        </w:rPr>
        <w:tab/>
      </w:r>
      <w:r w:rsidR="00C23440">
        <w:rPr>
          <w:noProof/>
        </w:rPr>
        <w:fldChar w:fldCharType="begin"/>
      </w:r>
      <w:r>
        <w:rPr>
          <w:noProof/>
        </w:rPr>
        <w:instrText xml:space="preserve"> PAGEREF _Toc326764334 \h </w:instrText>
      </w:r>
      <w:r w:rsidR="00C23440">
        <w:rPr>
          <w:noProof/>
        </w:rPr>
      </w:r>
      <w:r w:rsidR="00C23440">
        <w:rPr>
          <w:noProof/>
        </w:rPr>
        <w:fldChar w:fldCharType="separate"/>
      </w:r>
      <w:r w:rsidR="00732467">
        <w:rPr>
          <w:noProof/>
        </w:rPr>
        <w:t>10</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Using the Employment Pathway Fund (EPF)</w:t>
      </w:r>
      <w:r>
        <w:rPr>
          <w:noProof/>
        </w:rPr>
        <w:tab/>
      </w:r>
      <w:r w:rsidR="00C23440">
        <w:rPr>
          <w:noProof/>
        </w:rPr>
        <w:fldChar w:fldCharType="begin"/>
      </w:r>
      <w:r>
        <w:rPr>
          <w:noProof/>
        </w:rPr>
        <w:instrText xml:space="preserve"> PAGEREF _Toc326764335 \h </w:instrText>
      </w:r>
      <w:r w:rsidR="00C23440">
        <w:rPr>
          <w:noProof/>
        </w:rPr>
      </w:r>
      <w:r w:rsidR="00C23440">
        <w:rPr>
          <w:noProof/>
        </w:rPr>
        <w:fldChar w:fldCharType="separate"/>
      </w:r>
      <w:r w:rsidR="00732467">
        <w:rPr>
          <w:noProof/>
        </w:rPr>
        <w:t>12</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Connecting job seekers with training and work experience activities</w:t>
      </w:r>
      <w:r>
        <w:rPr>
          <w:noProof/>
        </w:rPr>
        <w:tab/>
      </w:r>
      <w:r w:rsidR="00C23440">
        <w:rPr>
          <w:noProof/>
        </w:rPr>
        <w:fldChar w:fldCharType="begin"/>
      </w:r>
      <w:r>
        <w:rPr>
          <w:noProof/>
        </w:rPr>
        <w:instrText xml:space="preserve"> PAGEREF _Toc326764336 \h </w:instrText>
      </w:r>
      <w:r w:rsidR="00C23440">
        <w:rPr>
          <w:noProof/>
        </w:rPr>
      </w:r>
      <w:r w:rsidR="00C23440">
        <w:rPr>
          <w:noProof/>
        </w:rPr>
        <w:fldChar w:fldCharType="separate"/>
      </w:r>
      <w:r w:rsidR="00732467">
        <w:rPr>
          <w:noProof/>
        </w:rPr>
        <w:t>14</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Effective reverse marketing and employer engagement</w:t>
      </w:r>
      <w:r>
        <w:rPr>
          <w:noProof/>
        </w:rPr>
        <w:tab/>
      </w:r>
      <w:r w:rsidR="00C23440">
        <w:rPr>
          <w:noProof/>
        </w:rPr>
        <w:fldChar w:fldCharType="begin"/>
      </w:r>
      <w:r>
        <w:rPr>
          <w:noProof/>
        </w:rPr>
        <w:instrText xml:space="preserve"> PAGEREF _Toc326764337 \h </w:instrText>
      </w:r>
      <w:r w:rsidR="00C23440">
        <w:rPr>
          <w:noProof/>
        </w:rPr>
      </w:r>
      <w:r w:rsidR="00C23440">
        <w:rPr>
          <w:noProof/>
        </w:rPr>
        <w:fldChar w:fldCharType="separate"/>
      </w:r>
      <w:r w:rsidR="00732467">
        <w:rPr>
          <w:noProof/>
        </w:rPr>
        <w:t>17</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noProof/>
        </w:rPr>
        <w:t>Helping job seekers look for work</w:t>
      </w:r>
      <w:r>
        <w:rPr>
          <w:noProof/>
        </w:rPr>
        <w:tab/>
      </w:r>
      <w:r w:rsidR="00C23440">
        <w:rPr>
          <w:noProof/>
        </w:rPr>
        <w:fldChar w:fldCharType="begin"/>
      </w:r>
      <w:r>
        <w:rPr>
          <w:noProof/>
        </w:rPr>
        <w:instrText xml:space="preserve"> PAGEREF _Toc326764338 \h </w:instrText>
      </w:r>
      <w:r w:rsidR="00C23440">
        <w:rPr>
          <w:noProof/>
        </w:rPr>
      </w:r>
      <w:r w:rsidR="00C23440">
        <w:rPr>
          <w:noProof/>
        </w:rPr>
        <w:fldChar w:fldCharType="separate"/>
      </w:r>
      <w:r w:rsidR="00732467">
        <w:rPr>
          <w:noProof/>
        </w:rPr>
        <w:t>19</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3.8</w:t>
      </w:r>
      <w:r>
        <w:rPr>
          <w:rFonts w:asciiTheme="minorHAnsi" w:eastAsiaTheme="minorEastAsia" w:hAnsiTheme="minorHAnsi" w:cstheme="minorBidi"/>
          <w:noProof/>
          <w:sz w:val="22"/>
          <w:szCs w:val="22"/>
        </w:rPr>
        <w:tab/>
      </w:r>
      <w:r>
        <w:rPr>
          <w:noProof/>
        </w:rPr>
        <w:t>Placing job seekers in jobs</w:t>
      </w:r>
      <w:r>
        <w:rPr>
          <w:noProof/>
        </w:rPr>
        <w:tab/>
      </w:r>
      <w:r w:rsidR="00C23440">
        <w:rPr>
          <w:noProof/>
        </w:rPr>
        <w:fldChar w:fldCharType="begin"/>
      </w:r>
      <w:r>
        <w:rPr>
          <w:noProof/>
        </w:rPr>
        <w:instrText xml:space="preserve"> PAGEREF _Toc326764339 \h </w:instrText>
      </w:r>
      <w:r w:rsidR="00C23440">
        <w:rPr>
          <w:noProof/>
        </w:rPr>
      </w:r>
      <w:r w:rsidR="00C23440">
        <w:rPr>
          <w:noProof/>
        </w:rPr>
        <w:fldChar w:fldCharType="separate"/>
      </w:r>
      <w:r w:rsidR="00732467">
        <w:rPr>
          <w:noProof/>
        </w:rPr>
        <w:t>20</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3.9</w:t>
      </w:r>
      <w:r>
        <w:rPr>
          <w:rFonts w:asciiTheme="minorHAnsi" w:eastAsiaTheme="minorEastAsia" w:hAnsiTheme="minorHAnsi" w:cstheme="minorBidi"/>
          <w:noProof/>
          <w:sz w:val="22"/>
          <w:szCs w:val="22"/>
        </w:rPr>
        <w:tab/>
      </w:r>
      <w:r>
        <w:rPr>
          <w:noProof/>
        </w:rPr>
        <w:t>Wage subsidies</w:t>
      </w:r>
      <w:r>
        <w:rPr>
          <w:noProof/>
        </w:rPr>
        <w:tab/>
      </w:r>
      <w:r w:rsidR="00C23440">
        <w:rPr>
          <w:noProof/>
        </w:rPr>
        <w:fldChar w:fldCharType="begin"/>
      </w:r>
      <w:r>
        <w:rPr>
          <w:noProof/>
        </w:rPr>
        <w:instrText xml:space="preserve"> PAGEREF _Toc326764340 \h </w:instrText>
      </w:r>
      <w:r w:rsidR="00C23440">
        <w:rPr>
          <w:noProof/>
        </w:rPr>
      </w:r>
      <w:r w:rsidR="00C23440">
        <w:rPr>
          <w:noProof/>
        </w:rPr>
        <w:fldChar w:fldCharType="separate"/>
      </w:r>
      <w:r w:rsidR="00732467">
        <w:rPr>
          <w:noProof/>
        </w:rPr>
        <w:t>21</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3.10</w:t>
      </w:r>
      <w:r>
        <w:rPr>
          <w:rFonts w:asciiTheme="minorHAnsi" w:eastAsiaTheme="minorEastAsia" w:hAnsiTheme="minorHAnsi" w:cstheme="minorBidi"/>
          <w:noProof/>
          <w:sz w:val="22"/>
          <w:szCs w:val="22"/>
        </w:rPr>
        <w:tab/>
      </w:r>
      <w:r>
        <w:rPr>
          <w:noProof/>
        </w:rPr>
        <w:t>Supporting job seekers after job placement</w:t>
      </w:r>
      <w:r>
        <w:rPr>
          <w:noProof/>
        </w:rPr>
        <w:tab/>
      </w:r>
      <w:r w:rsidR="00C23440">
        <w:rPr>
          <w:noProof/>
        </w:rPr>
        <w:fldChar w:fldCharType="begin"/>
      </w:r>
      <w:r>
        <w:rPr>
          <w:noProof/>
        </w:rPr>
        <w:instrText xml:space="preserve"> PAGEREF _Toc326764341 \h </w:instrText>
      </w:r>
      <w:r w:rsidR="00C23440">
        <w:rPr>
          <w:noProof/>
        </w:rPr>
      </w:r>
      <w:r w:rsidR="00C23440">
        <w:rPr>
          <w:noProof/>
        </w:rPr>
        <w:fldChar w:fldCharType="separate"/>
      </w:r>
      <w:r w:rsidR="00732467">
        <w:rPr>
          <w:noProof/>
        </w:rPr>
        <w:t>22</w:t>
      </w:r>
      <w:r w:rsidR="00C23440">
        <w:rPr>
          <w:noProof/>
        </w:rPr>
        <w:fldChar w:fldCharType="end"/>
      </w:r>
    </w:p>
    <w:p w:rsidR="00F77425" w:rsidRDefault="00F77425">
      <w:pPr>
        <w:pStyle w:val="TOC1"/>
        <w:tabs>
          <w:tab w:val="left" w:pos="480"/>
          <w:tab w:val="right" w:leader="dot" w:pos="8494"/>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Assisting employers</w:t>
      </w:r>
      <w:r>
        <w:rPr>
          <w:noProof/>
        </w:rPr>
        <w:tab/>
      </w:r>
      <w:r w:rsidR="00C23440">
        <w:rPr>
          <w:noProof/>
        </w:rPr>
        <w:fldChar w:fldCharType="begin"/>
      </w:r>
      <w:r>
        <w:rPr>
          <w:noProof/>
        </w:rPr>
        <w:instrText xml:space="preserve"> PAGEREF _Toc326764342 \h </w:instrText>
      </w:r>
      <w:r w:rsidR="00C23440">
        <w:rPr>
          <w:noProof/>
        </w:rPr>
      </w:r>
      <w:r w:rsidR="00C23440">
        <w:rPr>
          <w:noProof/>
        </w:rPr>
        <w:fldChar w:fldCharType="separate"/>
      </w:r>
      <w:r w:rsidR="00732467">
        <w:rPr>
          <w:noProof/>
        </w:rPr>
        <w:t>25</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Identifying skills needs</w:t>
      </w:r>
      <w:r>
        <w:rPr>
          <w:noProof/>
        </w:rPr>
        <w:tab/>
      </w:r>
      <w:r w:rsidR="00C23440">
        <w:rPr>
          <w:noProof/>
        </w:rPr>
        <w:fldChar w:fldCharType="begin"/>
      </w:r>
      <w:r>
        <w:rPr>
          <w:noProof/>
        </w:rPr>
        <w:instrText xml:space="preserve"> PAGEREF _Toc326764343 \h </w:instrText>
      </w:r>
      <w:r w:rsidR="00C23440">
        <w:rPr>
          <w:noProof/>
        </w:rPr>
      </w:r>
      <w:r w:rsidR="00C23440">
        <w:rPr>
          <w:noProof/>
        </w:rPr>
        <w:fldChar w:fldCharType="separate"/>
      </w:r>
      <w:r w:rsidR="00732467">
        <w:rPr>
          <w:noProof/>
        </w:rPr>
        <w:t>25</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Meeting employers’ needs</w:t>
      </w:r>
      <w:r>
        <w:rPr>
          <w:noProof/>
        </w:rPr>
        <w:tab/>
      </w:r>
      <w:r w:rsidR="00C23440">
        <w:rPr>
          <w:noProof/>
        </w:rPr>
        <w:fldChar w:fldCharType="begin"/>
      </w:r>
      <w:r>
        <w:rPr>
          <w:noProof/>
        </w:rPr>
        <w:instrText xml:space="preserve"> PAGEREF _Toc326764344 \h </w:instrText>
      </w:r>
      <w:r w:rsidR="00C23440">
        <w:rPr>
          <w:noProof/>
        </w:rPr>
      </w:r>
      <w:r w:rsidR="00C23440">
        <w:rPr>
          <w:noProof/>
        </w:rPr>
        <w:fldChar w:fldCharType="separate"/>
      </w:r>
      <w:r w:rsidR="00732467">
        <w:rPr>
          <w:noProof/>
        </w:rPr>
        <w:t>26</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Providing good service</w:t>
      </w:r>
      <w:r>
        <w:rPr>
          <w:noProof/>
        </w:rPr>
        <w:tab/>
      </w:r>
      <w:r w:rsidR="00C23440">
        <w:rPr>
          <w:noProof/>
        </w:rPr>
        <w:fldChar w:fldCharType="begin"/>
      </w:r>
      <w:r>
        <w:rPr>
          <w:noProof/>
        </w:rPr>
        <w:instrText xml:space="preserve"> PAGEREF _Toc326764345 \h </w:instrText>
      </w:r>
      <w:r w:rsidR="00C23440">
        <w:rPr>
          <w:noProof/>
        </w:rPr>
      </w:r>
      <w:r w:rsidR="00C23440">
        <w:rPr>
          <w:noProof/>
        </w:rPr>
        <w:fldChar w:fldCharType="separate"/>
      </w:r>
      <w:r w:rsidR="00732467">
        <w:rPr>
          <w:noProof/>
        </w:rPr>
        <w:t>26</w:t>
      </w:r>
      <w:r w:rsidR="00C23440">
        <w:rPr>
          <w:noProof/>
        </w:rPr>
        <w:fldChar w:fldCharType="end"/>
      </w:r>
    </w:p>
    <w:p w:rsidR="00F77425" w:rsidRDefault="00F77425">
      <w:pPr>
        <w:pStyle w:val="TOC1"/>
        <w:tabs>
          <w:tab w:val="left" w:pos="480"/>
          <w:tab w:val="right" w:leader="dot" w:pos="8494"/>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Overall business approach</w:t>
      </w:r>
      <w:r>
        <w:rPr>
          <w:noProof/>
        </w:rPr>
        <w:tab/>
      </w:r>
      <w:r w:rsidR="00C23440">
        <w:rPr>
          <w:noProof/>
        </w:rPr>
        <w:fldChar w:fldCharType="begin"/>
      </w:r>
      <w:r>
        <w:rPr>
          <w:noProof/>
        </w:rPr>
        <w:instrText xml:space="preserve"> PAGEREF _Toc326764346 \h </w:instrText>
      </w:r>
      <w:r w:rsidR="00C23440">
        <w:rPr>
          <w:noProof/>
        </w:rPr>
      </w:r>
      <w:r w:rsidR="00C23440">
        <w:rPr>
          <w:noProof/>
        </w:rPr>
        <w:fldChar w:fldCharType="separate"/>
      </w:r>
      <w:r w:rsidR="00732467">
        <w:rPr>
          <w:noProof/>
        </w:rPr>
        <w:t>27</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Connecting with the community</w:t>
      </w:r>
      <w:r>
        <w:rPr>
          <w:noProof/>
        </w:rPr>
        <w:tab/>
      </w:r>
      <w:r w:rsidR="00C23440">
        <w:rPr>
          <w:noProof/>
        </w:rPr>
        <w:fldChar w:fldCharType="begin"/>
      </w:r>
      <w:r>
        <w:rPr>
          <w:noProof/>
        </w:rPr>
        <w:instrText xml:space="preserve"> PAGEREF _Toc326764347 \h </w:instrText>
      </w:r>
      <w:r w:rsidR="00C23440">
        <w:rPr>
          <w:noProof/>
        </w:rPr>
      </w:r>
      <w:r w:rsidR="00C23440">
        <w:rPr>
          <w:noProof/>
        </w:rPr>
        <w:fldChar w:fldCharType="separate"/>
      </w:r>
      <w:r w:rsidR="00732467">
        <w:rPr>
          <w:noProof/>
        </w:rPr>
        <w:t>27</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Making use of Government programs</w:t>
      </w:r>
      <w:r>
        <w:rPr>
          <w:noProof/>
        </w:rPr>
        <w:tab/>
      </w:r>
      <w:r w:rsidR="00C23440">
        <w:rPr>
          <w:noProof/>
        </w:rPr>
        <w:fldChar w:fldCharType="begin"/>
      </w:r>
      <w:r>
        <w:rPr>
          <w:noProof/>
        </w:rPr>
        <w:instrText xml:space="preserve"> PAGEREF _Toc326764348 \h </w:instrText>
      </w:r>
      <w:r w:rsidR="00C23440">
        <w:rPr>
          <w:noProof/>
        </w:rPr>
      </w:r>
      <w:r w:rsidR="00C23440">
        <w:rPr>
          <w:noProof/>
        </w:rPr>
        <w:fldChar w:fldCharType="separate"/>
      </w:r>
      <w:r w:rsidR="00732467">
        <w:rPr>
          <w:noProof/>
        </w:rPr>
        <w:t>27</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Management and staffing</w:t>
      </w:r>
      <w:r>
        <w:rPr>
          <w:noProof/>
        </w:rPr>
        <w:tab/>
      </w:r>
      <w:r w:rsidR="00C23440">
        <w:rPr>
          <w:noProof/>
        </w:rPr>
        <w:fldChar w:fldCharType="begin"/>
      </w:r>
      <w:r>
        <w:rPr>
          <w:noProof/>
        </w:rPr>
        <w:instrText xml:space="preserve"> PAGEREF _Toc326764349 \h </w:instrText>
      </w:r>
      <w:r w:rsidR="00C23440">
        <w:rPr>
          <w:noProof/>
        </w:rPr>
      </w:r>
      <w:r w:rsidR="00C23440">
        <w:rPr>
          <w:noProof/>
        </w:rPr>
        <w:fldChar w:fldCharType="separate"/>
      </w:r>
      <w:r w:rsidR="00732467">
        <w:rPr>
          <w:noProof/>
        </w:rPr>
        <w:t>28</w:t>
      </w:r>
      <w:r w:rsidR="00C23440">
        <w:rPr>
          <w:noProof/>
        </w:rPr>
        <w:fldChar w:fldCharType="end"/>
      </w:r>
    </w:p>
    <w:p w:rsidR="00F77425" w:rsidRDefault="00F77425">
      <w:pPr>
        <w:pStyle w:val="TOC2"/>
        <w:tabs>
          <w:tab w:val="left" w:pos="880"/>
          <w:tab w:val="right" w:leader="dot" w:pos="8494"/>
        </w:tabs>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Networking with other service providers</w:t>
      </w:r>
      <w:r>
        <w:rPr>
          <w:noProof/>
        </w:rPr>
        <w:tab/>
      </w:r>
      <w:r w:rsidR="00C23440">
        <w:rPr>
          <w:noProof/>
        </w:rPr>
        <w:fldChar w:fldCharType="begin"/>
      </w:r>
      <w:r>
        <w:rPr>
          <w:noProof/>
        </w:rPr>
        <w:instrText xml:space="preserve"> PAGEREF _Toc326764350 \h </w:instrText>
      </w:r>
      <w:r w:rsidR="00C23440">
        <w:rPr>
          <w:noProof/>
        </w:rPr>
      </w:r>
      <w:r w:rsidR="00C23440">
        <w:rPr>
          <w:noProof/>
        </w:rPr>
        <w:fldChar w:fldCharType="separate"/>
      </w:r>
      <w:r w:rsidR="00732467">
        <w:rPr>
          <w:noProof/>
        </w:rPr>
        <w:t>29</w:t>
      </w:r>
      <w:r w:rsidR="00C23440">
        <w:rPr>
          <w:noProof/>
        </w:rPr>
        <w:fldChar w:fldCharType="end"/>
      </w:r>
    </w:p>
    <w:p w:rsidR="00F77425" w:rsidRDefault="00F77425">
      <w:pPr>
        <w:pStyle w:val="TOC1"/>
        <w:tabs>
          <w:tab w:val="right" w:leader="dot" w:pos="8494"/>
        </w:tabs>
        <w:rPr>
          <w:rFonts w:asciiTheme="minorHAnsi" w:eastAsiaTheme="minorEastAsia" w:hAnsiTheme="minorHAnsi" w:cstheme="minorBidi"/>
          <w:noProof/>
          <w:szCs w:val="22"/>
        </w:rPr>
      </w:pPr>
      <w:r>
        <w:rPr>
          <w:noProof/>
        </w:rPr>
        <w:t>Appendix A</w:t>
      </w:r>
      <w:r>
        <w:rPr>
          <w:noProof/>
        </w:rPr>
        <w:tab/>
      </w:r>
      <w:r w:rsidR="00C23440">
        <w:rPr>
          <w:noProof/>
        </w:rPr>
        <w:fldChar w:fldCharType="begin"/>
      </w:r>
      <w:r>
        <w:rPr>
          <w:noProof/>
        </w:rPr>
        <w:instrText xml:space="preserve"> PAGEREF _Toc326764351 \h </w:instrText>
      </w:r>
      <w:r w:rsidR="00C23440">
        <w:rPr>
          <w:noProof/>
        </w:rPr>
      </w:r>
      <w:r w:rsidR="00C23440">
        <w:rPr>
          <w:noProof/>
        </w:rPr>
        <w:fldChar w:fldCharType="separate"/>
      </w:r>
      <w:r w:rsidR="00732467">
        <w:rPr>
          <w:noProof/>
        </w:rPr>
        <w:t>30</w:t>
      </w:r>
      <w:r w:rsidR="00C23440">
        <w:rPr>
          <w:noProof/>
        </w:rPr>
        <w:fldChar w:fldCharType="end"/>
      </w:r>
    </w:p>
    <w:p w:rsidR="00F77425" w:rsidRDefault="00F77425">
      <w:pPr>
        <w:pStyle w:val="TOC2"/>
        <w:tabs>
          <w:tab w:val="right" w:leader="dot" w:pos="8494"/>
        </w:tabs>
        <w:rPr>
          <w:rFonts w:asciiTheme="minorHAnsi" w:eastAsiaTheme="minorEastAsia" w:hAnsiTheme="minorHAnsi" w:cstheme="minorBidi"/>
          <w:noProof/>
          <w:sz w:val="22"/>
          <w:szCs w:val="22"/>
        </w:rPr>
      </w:pPr>
      <w:r>
        <w:rPr>
          <w:noProof/>
        </w:rPr>
        <w:t>Additional Tables</w:t>
      </w:r>
      <w:r>
        <w:rPr>
          <w:noProof/>
        </w:rPr>
        <w:tab/>
      </w:r>
      <w:r w:rsidR="00C23440">
        <w:rPr>
          <w:noProof/>
        </w:rPr>
        <w:fldChar w:fldCharType="begin"/>
      </w:r>
      <w:r>
        <w:rPr>
          <w:noProof/>
        </w:rPr>
        <w:instrText xml:space="preserve"> PAGEREF _Toc326764352 \h </w:instrText>
      </w:r>
      <w:r w:rsidR="00C23440">
        <w:rPr>
          <w:noProof/>
        </w:rPr>
      </w:r>
      <w:r w:rsidR="00C23440">
        <w:rPr>
          <w:noProof/>
        </w:rPr>
        <w:fldChar w:fldCharType="separate"/>
      </w:r>
      <w:r w:rsidR="00732467">
        <w:rPr>
          <w:noProof/>
        </w:rPr>
        <w:t>30</w:t>
      </w:r>
      <w:r w:rsidR="00C23440">
        <w:rPr>
          <w:noProof/>
        </w:rPr>
        <w:fldChar w:fldCharType="end"/>
      </w:r>
    </w:p>
    <w:p w:rsidR="00F77425" w:rsidRDefault="00F77425">
      <w:pPr>
        <w:pStyle w:val="TOC1"/>
        <w:tabs>
          <w:tab w:val="right" w:leader="dot" w:pos="8494"/>
        </w:tabs>
        <w:rPr>
          <w:rFonts w:asciiTheme="minorHAnsi" w:eastAsiaTheme="minorEastAsia" w:hAnsiTheme="minorHAnsi" w:cstheme="minorBidi"/>
          <w:noProof/>
          <w:szCs w:val="22"/>
        </w:rPr>
      </w:pPr>
      <w:r>
        <w:rPr>
          <w:noProof/>
        </w:rPr>
        <w:t>Appendix B: Research Method</w:t>
      </w:r>
      <w:r>
        <w:rPr>
          <w:noProof/>
        </w:rPr>
        <w:tab/>
      </w:r>
      <w:r w:rsidR="00C23440">
        <w:rPr>
          <w:noProof/>
        </w:rPr>
        <w:fldChar w:fldCharType="begin"/>
      </w:r>
      <w:r>
        <w:rPr>
          <w:noProof/>
        </w:rPr>
        <w:instrText xml:space="preserve"> PAGEREF _Toc326764353 \h </w:instrText>
      </w:r>
      <w:r w:rsidR="00C23440">
        <w:rPr>
          <w:noProof/>
        </w:rPr>
      </w:r>
      <w:r w:rsidR="00C23440">
        <w:rPr>
          <w:noProof/>
        </w:rPr>
        <w:fldChar w:fldCharType="separate"/>
      </w:r>
      <w:r w:rsidR="00732467">
        <w:rPr>
          <w:noProof/>
        </w:rPr>
        <w:t>34</w:t>
      </w:r>
      <w:r w:rsidR="00C23440">
        <w:rPr>
          <w:noProof/>
        </w:rPr>
        <w:fldChar w:fldCharType="end"/>
      </w:r>
    </w:p>
    <w:p w:rsidR="00F77425" w:rsidRDefault="00F77425">
      <w:pPr>
        <w:pStyle w:val="TOC2"/>
        <w:tabs>
          <w:tab w:val="right" w:leader="dot" w:pos="8494"/>
        </w:tabs>
        <w:rPr>
          <w:rFonts w:asciiTheme="minorHAnsi" w:eastAsiaTheme="minorEastAsia" w:hAnsiTheme="minorHAnsi" w:cstheme="minorBidi"/>
          <w:noProof/>
          <w:sz w:val="22"/>
          <w:szCs w:val="22"/>
        </w:rPr>
      </w:pPr>
      <w:r>
        <w:rPr>
          <w:noProof/>
        </w:rPr>
        <w:t>Sources of information</w:t>
      </w:r>
      <w:r>
        <w:rPr>
          <w:noProof/>
        </w:rPr>
        <w:tab/>
      </w:r>
      <w:r w:rsidR="00C23440">
        <w:rPr>
          <w:noProof/>
        </w:rPr>
        <w:fldChar w:fldCharType="begin"/>
      </w:r>
      <w:r>
        <w:rPr>
          <w:noProof/>
        </w:rPr>
        <w:instrText xml:space="preserve"> PAGEREF _Toc326764354 \h </w:instrText>
      </w:r>
      <w:r w:rsidR="00C23440">
        <w:rPr>
          <w:noProof/>
        </w:rPr>
      </w:r>
      <w:r w:rsidR="00C23440">
        <w:rPr>
          <w:noProof/>
        </w:rPr>
        <w:fldChar w:fldCharType="separate"/>
      </w:r>
      <w:r w:rsidR="00732467">
        <w:rPr>
          <w:noProof/>
        </w:rPr>
        <w:t>34</w:t>
      </w:r>
      <w:r w:rsidR="00C23440">
        <w:rPr>
          <w:noProof/>
        </w:rPr>
        <w:fldChar w:fldCharType="end"/>
      </w:r>
    </w:p>
    <w:p w:rsidR="00F77425" w:rsidRDefault="00F77425">
      <w:pPr>
        <w:pStyle w:val="TOC2"/>
        <w:tabs>
          <w:tab w:val="right" w:leader="dot" w:pos="8494"/>
        </w:tabs>
        <w:rPr>
          <w:rFonts w:asciiTheme="minorHAnsi" w:eastAsiaTheme="minorEastAsia" w:hAnsiTheme="minorHAnsi" w:cstheme="minorBidi"/>
          <w:noProof/>
          <w:sz w:val="22"/>
          <w:szCs w:val="22"/>
        </w:rPr>
      </w:pPr>
      <w:r>
        <w:rPr>
          <w:noProof/>
        </w:rPr>
        <w:t>Identifying high and low performing sites</w:t>
      </w:r>
      <w:r>
        <w:rPr>
          <w:noProof/>
        </w:rPr>
        <w:tab/>
      </w:r>
      <w:r w:rsidR="00C23440">
        <w:rPr>
          <w:noProof/>
        </w:rPr>
        <w:fldChar w:fldCharType="begin"/>
      </w:r>
      <w:r>
        <w:rPr>
          <w:noProof/>
        </w:rPr>
        <w:instrText xml:space="preserve"> PAGEREF _Toc326764355 \h </w:instrText>
      </w:r>
      <w:r w:rsidR="00C23440">
        <w:rPr>
          <w:noProof/>
        </w:rPr>
      </w:r>
      <w:r w:rsidR="00C23440">
        <w:rPr>
          <w:noProof/>
        </w:rPr>
        <w:fldChar w:fldCharType="separate"/>
      </w:r>
      <w:r w:rsidR="00732467">
        <w:rPr>
          <w:noProof/>
        </w:rPr>
        <w:t>36</w:t>
      </w:r>
      <w:r w:rsidR="00C23440">
        <w:rPr>
          <w:noProof/>
        </w:rPr>
        <w:fldChar w:fldCharType="end"/>
      </w:r>
    </w:p>
    <w:p w:rsidR="00F77425" w:rsidRDefault="00F77425">
      <w:pPr>
        <w:pStyle w:val="TOC2"/>
        <w:tabs>
          <w:tab w:val="right" w:leader="dot" w:pos="8494"/>
        </w:tabs>
        <w:rPr>
          <w:rFonts w:asciiTheme="minorHAnsi" w:eastAsiaTheme="minorEastAsia" w:hAnsiTheme="minorHAnsi" w:cstheme="minorBidi"/>
          <w:noProof/>
          <w:sz w:val="22"/>
          <w:szCs w:val="22"/>
        </w:rPr>
      </w:pPr>
      <w:r>
        <w:rPr>
          <w:noProof/>
        </w:rPr>
        <w:t>Analyses</w:t>
      </w:r>
      <w:r>
        <w:rPr>
          <w:noProof/>
        </w:rPr>
        <w:tab/>
      </w:r>
      <w:r w:rsidR="00C23440">
        <w:rPr>
          <w:noProof/>
        </w:rPr>
        <w:fldChar w:fldCharType="begin"/>
      </w:r>
      <w:r>
        <w:rPr>
          <w:noProof/>
        </w:rPr>
        <w:instrText xml:space="preserve"> PAGEREF _Toc326764356 \h </w:instrText>
      </w:r>
      <w:r w:rsidR="00C23440">
        <w:rPr>
          <w:noProof/>
        </w:rPr>
      </w:r>
      <w:r w:rsidR="00C23440">
        <w:rPr>
          <w:noProof/>
        </w:rPr>
        <w:fldChar w:fldCharType="separate"/>
      </w:r>
      <w:r w:rsidR="00732467">
        <w:rPr>
          <w:noProof/>
        </w:rPr>
        <w:t>37</w:t>
      </w:r>
      <w:r w:rsidR="00C23440">
        <w:rPr>
          <w:noProof/>
        </w:rPr>
        <w:fldChar w:fldCharType="end"/>
      </w:r>
    </w:p>
    <w:p w:rsidR="00F77425" w:rsidRDefault="00F77425">
      <w:pPr>
        <w:pStyle w:val="TOC2"/>
        <w:tabs>
          <w:tab w:val="right" w:leader="dot" w:pos="8494"/>
        </w:tabs>
        <w:rPr>
          <w:rFonts w:asciiTheme="minorHAnsi" w:eastAsiaTheme="minorEastAsia" w:hAnsiTheme="minorHAnsi" w:cstheme="minorBidi"/>
          <w:noProof/>
          <w:sz w:val="22"/>
          <w:szCs w:val="22"/>
        </w:rPr>
      </w:pPr>
      <w:r w:rsidRPr="00427EF6">
        <w:rPr>
          <w:noProof/>
        </w:rPr>
        <w:t>Caveat</w:t>
      </w:r>
      <w:r>
        <w:rPr>
          <w:noProof/>
        </w:rPr>
        <w:tab/>
      </w:r>
      <w:r w:rsidR="00C23440">
        <w:rPr>
          <w:noProof/>
        </w:rPr>
        <w:fldChar w:fldCharType="begin"/>
      </w:r>
      <w:r>
        <w:rPr>
          <w:noProof/>
        </w:rPr>
        <w:instrText xml:space="preserve"> PAGEREF _Toc326764357 \h </w:instrText>
      </w:r>
      <w:r w:rsidR="00C23440">
        <w:rPr>
          <w:noProof/>
        </w:rPr>
      </w:r>
      <w:r w:rsidR="00C23440">
        <w:rPr>
          <w:noProof/>
        </w:rPr>
        <w:fldChar w:fldCharType="separate"/>
      </w:r>
      <w:r w:rsidR="00732467">
        <w:rPr>
          <w:noProof/>
        </w:rPr>
        <w:t>37</w:t>
      </w:r>
      <w:r w:rsidR="00C23440">
        <w:rPr>
          <w:noProof/>
        </w:rPr>
        <w:fldChar w:fldCharType="end"/>
      </w:r>
    </w:p>
    <w:p w:rsidR="00F77425" w:rsidRDefault="00F77425">
      <w:pPr>
        <w:pStyle w:val="TOC2"/>
        <w:tabs>
          <w:tab w:val="right" w:leader="dot" w:pos="8494"/>
        </w:tabs>
        <w:rPr>
          <w:rFonts w:asciiTheme="minorHAnsi" w:eastAsiaTheme="minorEastAsia" w:hAnsiTheme="minorHAnsi" w:cstheme="minorBidi"/>
          <w:noProof/>
          <w:sz w:val="22"/>
          <w:szCs w:val="22"/>
        </w:rPr>
      </w:pPr>
      <w:r w:rsidRPr="00427EF6">
        <w:rPr>
          <w:noProof/>
        </w:rPr>
        <w:t>Statistical Procedures</w:t>
      </w:r>
      <w:r>
        <w:rPr>
          <w:noProof/>
        </w:rPr>
        <w:tab/>
      </w:r>
      <w:r w:rsidR="00C23440">
        <w:rPr>
          <w:noProof/>
        </w:rPr>
        <w:fldChar w:fldCharType="begin"/>
      </w:r>
      <w:r>
        <w:rPr>
          <w:noProof/>
        </w:rPr>
        <w:instrText xml:space="preserve"> PAGEREF _Toc326764358 \h </w:instrText>
      </w:r>
      <w:r w:rsidR="00C23440">
        <w:rPr>
          <w:noProof/>
        </w:rPr>
      </w:r>
      <w:r w:rsidR="00C23440">
        <w:rPr>
          <w:noProof/>
        </w:rPr>
        <w:fldChar w:fldCharType="separate"/>
      </w:r>
      <w:r w:rsidR="00732467">
        <w:rPr>
          <w:noProof/>
        </w:rPr>
        <w:t>37</w:t>
      </w:r>
      <w:r w:rsidR="00C23440">
        <w:rPr>
          <w:noProof/>
        </w:rPr>
        <w:fldChar w:fldCharType="end"/>
      </w:r>
    </w:p>
    <w:p w:rsidR="00F77425" w:rsidRDefault="00F77425">
      <w:pPr>
        <w:pStyle w:val="TOC1"/>
        <w:tabs>
          <w:tab w:val="right" w:leader="dot" w:pos="8494"/>
        </w:tabs>
        <w:rPr>
          <w:rFonts w:asciiTheme="minorHAnsi" w:eastAsiaTheme="minorEastAsia" w:hAnsiTheme="minorHAnsi" w:cstheme="minorBidi"/>
          <w:noProof/>
          <w:szCs w:val="22"/>
        </w:rPr>
      </w:pPr>
      <w:r>
        <w:rPr>
          <w:noProof/>
        </w:rPr>
        <w:t>References</w:t>
      </w:r>
      <w:r>
        <w:rPr>
          <w:noProof/>
        </w:rPr>
        <w:tab/>
      </w:r>
      <w:r w:rsidR="00C23440">
        <w:rPr>
          <w:noProof/>
        </w:rPr>
        <w:fldChar w:fldCharType="begin"/>
      </w:r>
      <w:r>
        <w:rPr>
          <w:noProof/>
        </w:rPr>
        <w:instrText xml:space="preserve"> PAGEREF _Toc326764359 \h </w:instrText>
      </w:r>
      <w:r w:rsidR="00C23440">
        <w:rPr>
          <w:noProof/>
        </w:rPr>
      </w:r>
      <w:r w:rsidR="00C23440">
        <w:rPr>
          <w:noProof/>
        </w:rPr>
        <w:fldChar w:fldCharType="separate"/>
      </w:r>
      <w:r w:rsidR="00732467">
        <w:rPr>
          <w:noProof/>
        </w:rPr>
        <w:t>38</w:t>
      </w:r>
      <w:r w:rsidR="00C23440">
        <w:rPr>
          <w:noProof/>
        </w:rPr>
        <w:fldChar w:fldCharType="end"/>
      </w:r>
    </w:p>
    <w:p w:rsidR="00380C11" w:rsidRPr="00C6604E" w:rsidRDefault="00C23440" w:rsidP="00C6604E">
      <w:pPr>
        <w:pStyle w:val="Heading1"/>
      </w:pPr>
      <w:r w:rsidRPr="00126DB4">
        <w:fldChar w:fldCharType="end"/>
      </w:r>
      <w:bookmarkStart w:id="29" w:name="_Toc326764323"/>
      <w:bookmarkStart w:id="30" w:name="_Toc272393973"/>
      <w:r w:rsidR="00380C11" w:rsidRPr="00C6604E">
        <w:t>1. Key findings</w:t>
      </w:r>
      <w:bookmarkEnd w:id="29"/>
    </w:p>
    <w:p w:rsidR="0025677B" w:rsidRDefault="0025677B" w:rsidP="00C6604E">
      <w:r>
        <w:t>T</w:t>
      </w:r>
      <w:r w:rsidRPr="0025677B">
        <w:t xml:space="preserve">his report examines </w:t>
      </w:r>
      <w:r w:rsidR="0038181E">
        <w:t xml:space="preserve">the practices used by providers of Job Services Australia (JSA) employment services to achieve high levels of performance in employment outcomes and high quality services. It </w:t>
      </w:r>
      <w:r w:rsidR="0005490E">
        <w:t xml:space="preserve">does this by </w:t>
      </w:r>
      <w:r w:rsidR="0038181E">
        <w:t>examin</w:t>
      </w:r>
      <w:r w:rsidR="0005490E">
        <w:t>ing</w:t>
      </w:r>
      <w:r w:rsidR="0038181E">
        <w:t xml:space="preserve"> the</w:t>
      </w:r>
      <w:r w:rsidRPr="0025677B">
        <w:t xml:space="preserve"> relationships between quantifiable</w:t>
      </w:r>
      <w:r w:rsidR="0038181E">
        <w:t xml:space="preserve"> provider </w:t>
      </w:r>
      <w:r w:rsidRPr="0025677B">
        <w:t xml:space="preserve">site characteristics as measured by </w:t>
      </w:r>
      <w:r>
        <w:t>JSA</w:t>
      </w:r>
      <w:r w:rsidRPr="0025677B">
        <w:t xml:space="preserve"> Star Ratings and Quality Framework measures, and the intrinsic factors that job seekers, employment consultants and employers speak about when describing a “quality service”</w:t>
      </w:r>
      <w:r>
        <w:t>.</w:t>
      </w:r>
    </w:p>
    <w:p w:rsidR="00380C11" w:rsidRPr="0025677B" w:rsidRDefault="0038181E" w:rsidP="00C6604E">
      <w:r>
        <w:t>J</w:t>
      </w:r>
      <w:r w:rsidR="00380C11" w:rsidRPr="0025677B">
        <w:t>SA employment service providers vary greatly —in their organisational details, the environment they operate in, and in how they approach the task of assisting job seekers.</w:t>
      </w:r>
      <w:r w:rsidR="0025677B">
        <w:t xml:space="preserve"> T</w:t>
      </w:r>
      <w:r w:rsidR="0025677B" w:rsidRPr="0025677B">
        <w:t>here is no</w:t>
      </w:r>
      <w:r w:rsidR="00380C11" w:rsidRPr="0025677B">
        <w:t xml:space="preserve"> fixed formula of characteristics or practices that mark out high performing sites. Instead, a combination of many factors tends to contribute to good practice, depending on each service provider’s caseload, </w:t>
      </w:r>
      <w:r w:rsidR="00126093">
        <w:t>environment and business model.</w:t>
      </w:r>
    </w:p>
    <w:p w:rsidR="00380C11" w:rsidRDefault="00380C11" w:rsidP="00C6604E">
      <w:r w:rsidRPr="0025677B">
        <w:t>However, high performing employment service providers do tend to differ</w:t>
      </w:r>
      <w:r w:rsidR="00F858BE">
        <w:t xml:space="preserve"> from</w:t>
      </w:r>
      <w:r w:rsidRPr="0025677B">
        <w:t xml:space="preserve"> </w:t>
      </w:r>
      <w:r w:rsidR="00F858BE">
        <w:t xml:space="preserve">mid- and low-performing providers </w:t>
      </w:r>
      <w:r w:rsidRPr="0025677B">
        <w:t xml:space="preserve">in their overall approach to providing employment assistance. </w:t>
      </w:r>
      <w:r w:rsidR="00F858BE">
        <w:t>High performers are</w:t>
      </w:r>
      <w:r w:rsidRPr="0025677B">
        <w:t xml:space="preserve"> more likely to</w:t>
      </w:r>
      <w:r w:rsidR="0025677B">
        <w:t xml:space="preserve"> </w:t>
      </w:r>
      <w:r w:rsidRPr="0025677B">
        <w:t>have a positive, problem-solving attitude</w:t>
      </w:r>
      <w:r w:rsidR="0025677B">
        <w:t xml:space="preserve">; </w:t>
      </w:r>
      <w:r w:rsidR="00F858BE">
        <w:t xml:space="preserve">to </w:t>
      </w:r>
      <w:r>
        <w:t>find innovative solutions to the problems they encounter</w:t>
      </w:r>
      <w:r w:rsidR="0025677B">
        <w:t xml:space="preserve">; and </w:t>
      </w:r>
      <w:r w:rsidR="00F858BE">
        <w:t xml:space="preserve">to </w:t>
      </w:r>
      <w:r>
        <w:t>make full use of the resources available to them, such as from other Government programs and the resources available in their community</w:t>
      </w:r>
      <w:r w:rsidR="0025677B">
        <w:t>.</w:t>
      </w:r>
    </w:p>
    <w:p w:rsidR="00380C11" w:rsidRDefault="00380C11" w:rsidP="00C6604E">
      <w:r>
        <w:t>High perform</w:t>
      </w:r>
      <w:r w:rsidR="00FE1337">
        <w:t>ing</w:t>
      </w:r>
      <w:r>
        <w:t xml:space="preserve"> sites are more likely than mid</w:t>
      </w:r>
      <w:r w:rsidR="00F858BE">
        <w:t>-</w:t>
      </w:r>
      <w:r>
        <w:t xml:space="preserve"> and low</w:t>
      </w:r>
      <w:r w:rsidR="00F858BE">
        <w:t>-</w:t>
      </w:r>
      <w:r>
        <w:t>perform</w:t>
      </w:r>
      <w:r w:rsidR="00F858BE">
        <w:t>ers</w:t>
      </w:r>
      <w:r>
        <w:t xml:space="preserve"> to</w:t>
      </w:r>
      <w:r w:rsidR="00E215BB">
        <w:t xml:space="preserve"> </w:t>
      </w:r>
      <w:r w:rsidR="0005490E">
        <w:t>use practices that are</w:t>
      </w:r>
      <w:r w:rsidR="00E215BB">
        <w:t xml:space="preserve"> goal-oriented</w:t>
      </w:r>
      <w:r w:rsidR="0005490E">
        <w:t xml:space="preserve"> and lead to </w:t>
      </w:r>
      <w:r w:rsidR="00E215BB">
        <w:t>individually tailored service</w:t>
      </w:r>
      <w:r w:rsidR="00F858BE">
        <w:t>s for job seekers</w:t>
      </w:r>
      <w:r w:rsidR="00E215BB">
        <w:t>. They may use a range of strategies to achieve this, including</w:t>
      </w:r>
      <w:r w:rsidR="0071355B">
        <w:t>:</w:t>
      </w:r>
    </w:p>
    <w:p w:rsidR="00E03ADE" w:rsidRPr="008E0767" w:rsidRDefault="00E03ADE" w:rsidP="008E0767">
      <w:pPr>
        <w:pStyle w:val="Heading2"/>
        <w:spacing w:before="160" w:after="40"/>
        <w:rPr>
          <w:color w:val="auto"/>
          <w:sz w:val="24"/>
          <w:szCs w:val="24"/>
        </w:rPr>
      </w:pPr>
      <w:bookmarkStart w:id="31" w:name="_Toc326153069"/>
      <w:bookmarkStart w:id="32" w:name="_Toc326153760"/>
      <w:bookmarkStart w:id="33" w:name="_Toc326764324"/>
      <w:r w:rsidRPr="008E0767">
        <w:rPr>
          <w:color w:val="auto"/>
          <w:sz w:val="24"/>
          <w:szCs w:val="24"/>
        </w:rPr>
        <w:t>Connect</w:t>
      </w:r>
      <w:r w:rsidR="00DD104E" w:rsidRPr="008E0767">
        <w:rPr>
          <w:color w:val="auto"/>
          <w:sz w:val="24"/>
          <w:szCs w:val="24"/>
        </w:rPr>
        <w:t>ing</w:t>
      </w:r>
      <w:r w:rsidRPr="008E0767">
        <w:rPr>
          <w:color w:val="auto"/>
          <w:sz w:val="24"/>
          <w:szCs w:val="24"/>
        </w:rPr>
        <w:t xml:space="preserve"> well with job seekers</w:t>
      </w:r>
      <w:r w:rsidR="00C720AE" w:rsidRPr="008E0767">
        <w:rPr>
          <w:color w:val="auto"/>
          <w:sz w:val="24"/>
          <w:szCs w:val="24"/>
        </w:rPr>
        <w:t>:</w:t>
      </w:r>
      <w:bookmarkEnd w:id="31"/>
      <w:bookmarkEnd w:id="32"/>
      <w:bookmarkEnd w:id="33"/>
    </w:p>
    <w:p w:rsidR="00E03ADE" w:rsidRDefault="0071355B" w:rsidP="00C17689">
      <w:pPr>
        <w:pStyle w:val="ListBullet"/>
      </w:pPr>
      <w:r>
        <w:t>E</w:t>
      </w:r>
      <w:r w:rsidR="00E03ADE">
        <w:t>mphasis</w:t>
      </w:r>
      <w:r w:rsidR="00DD104E">
        <w:t>ing</w:t>
      </w:r>
      <w:r w:rsidR="00E03ADE">
        <w:t xml:space="preserve"> the importance of building rapport </w:t>
      </w:r>
      <w:r>
        <w:t xml:space="preserve">with job seekers </w:t>
      </w:r>
      <w:r w:rsidR="00E03ADE">
        <w:t>and spend</w:t>
      </w:r>
      <w:r w:rsidR="00DD104E">
        <w:t>ing</w:t>
      </w:r>
      <w:r w:rsidR="00E03ADE">
        <w:t xml:space="preserve"> time doing it</w:t>
      </w:r>
      <w:r>
        <w:t>,</w:t>
      </w:r>
      <w:r w:rsidR="00E03ADE">
        <w:t xml:space="preserve"> including </w:t>
      </w:r>
      <w:r>
        <w:t xml:space="preserve">paying </w:t>
      </w:r>
      <w:r w:rsidR="00E03ADE">
        <w:t>attention to personal relationships and the physical comfort of the job seeker</w:t>
      </w:r>
      <w:r w:rsidR="000C2B58">
        <w:t>.</w:t>
      </w:r>
    </w:p>
    <w:p w:rsidR="0071355B" w:rsidRDefault="000C2B58" w:rsidP="00C17689">
      <w:pPr>
        <w:pStyle w:val="ListBullet"/>
      </w:pPr>
      <w:r>
        <w:t>T</w:t>
      </w:r>
      <w:r w:rsidR="00E03ADE">
        <w:t>reat</w:t>
      </w:r>
      <w:r w:rsidR="00DD104E">
        <w:t>ing</w:t>
      </w:r>
      <w:r w:rsidR="00E03ADE">
        <w:t xml:space="preserve"> job seekers as individuals and with respect</w:t>
      </w:r>
      <w:r>
        <w:t>.</w:t>
      </w:r>
    </w:p>
    <w:p w:rsidR="00E03ADE" w:rsidRDefault="000C2B58" w:rsidP="00C17689">
      <w:pPr>
        <w:pStyle w:val="ListBullet"/>
      </w:pPr>
      <w:r>
        <w:t>U</w:t>
      </w:r>
      <w:r w:rsidR="00E03ADE">
        <w:t>s</w:t>
      </w:r>
      <w:r w:rsidR="00DD104E">
        <w:t>ing</w:t>
      </w:r>
      <w:r w:rsidR="00E03ADE">
        <w:t xml:space="preserve"> job seekers’ Employment Pathway Plans (EPPs)</w:t>
      </w:r>
      <w:r w:rsidR="008D6C08">
        <w:t xml:space="preserve"> </w:t>
      </w:r>
      <w:r w:rsidR="00AD69E9">
        <w:t xml:space="preserve">effectively, </w:t>
      </w:r>
      <w:r w:rsidR="008D6C08">
        <w:t>as a service planning tool</w:t>
      </w:r>
      <w:r w:rsidR="00C720AE">
        <w:t xml:space="preserve"> and to encourage job seekers to set and achieve their goals</w:t>
      </w:r>
      <w:r>
        <w:t>.</w:t>
      </w:r>
    </w:p>
    <w:p w:rsidR="00C720AE" w:rsidRDefault="000C2B58" w:rsidP="00C17689">
      <w:pPr>
        <w:pStyle w:val="ListBullet"/>
      </w:pPr>
      <w:r>
        <w:t>A</w:t>
      </w:r>
      <w:r w:rsidR="00C720AE">
        <w:t>ddress</w:t>
      </w:r>
      <w:r w:rsidR="00DD104E">
        <w:t xml:space="preserve">ing </w:t>
      </w:r>
      <w:r w:rsidR="004948D6">
        <w:t>job seekers’</w:t>
      </w:r>
      <w:r w:rsidR="00C720AE">
        <w:t xml:space="preserve"> vocational and non-vocational barriers together</w:t>
      </w:r>
      <w:r w:rsidR="0071355B">
        <w:t>,</w:t>
      </w:r>
      <w:r w:rsidR="00C720AE">
        <w:t xml:space="preserve"> rather than focusing </w:t>
      </w:r>
      <w:r w:rsidR="00DD104E">
        <w:t xml:space="preserve">exclusively </w:t>
      </w:r>
      <w:r w:rsidR="00C720AE">
        <w:t xml:space="preserve">on </w:t>
      </w:r>
      <w:r w:rsidR="004948D6">
        <w:t xml:space="preserve">either </w:t>
      </w:r>
      <w:r w:rsidR="0071355B">
        <w:t xml:space="preserve">non-vocational barriers or a </w:t>
      </w:r>
      <w:r w:rsidR="00F858BE">
        <w:t>strictly ‘</w:t>
      </w:r>
      <w:r w:rsidR="00C720AE">
        <w:t>work first</w:t>
      </w:r>
      <w:r w:rsidR="00F858BE">
        <w:t>’</w:t>
      </w:r>
      <w:r w:rsidR="004948D6">
        <w:t xml:space="preserve"> approach</w:t>
      </w:r>
      <w:r>
        <w:t>.</w:t>
      </w:r>
    </w:p>
    <w:p w:rsidR="004948D6" w:rsidRDefault="000C2B58" w:rsidP="00C17689">
      <w:pPr>
        <w:pStyle w:val="ListBullet"/>
      </w:pPr>
      <w:r>
        <w:t>U</w:t>
      </w:r>
      <w:r w:rsidR="004948D6">
        <w:t>s</w:t>
      </w:r>
      <w:r w:rsidR="00DD104E">
        <w:t>ing</w:t>
      </w:r>
      <w:r w:rsidR="004948D6">
        <w:t xml:space="preserve"> the Employment Expenditure Fund (EPF) for expenditure directly related to employment</w:t>
      </w:r>
      <w:r w:rsidR="0071355B">
        <w:t xml:space="preserve">, such as wage subsidies and reverse </w:t>
      </w:r>
      <w:r w:rsidR="00B674ED">
        <w:t>marketing</w:t>
      </w:r>
      <w:r>
        <w:t>.</w:t>
      </w:r>
    </w:p>
    <w:p w:rsidR="0071355B" w:rsidRDefault="00AD69E9" w:rsidP="00C17689">
      <w:pPr>
        <w:pStyle w:val="ListBullet"/>
      </w:pPr>
      <w:r>
        <w:t xml:space="preserve">Using local labour market information effectively to target </w:t>
      </w:r>
      <w:r w:rsidR="004948D6">
        <w:t>training and work experience activities for job seekers</w:t>
      </w:r>
      <w:r w:rsidR="000C2B58">
        <w:t>.</w:t>
      </w:r>
    </w:p>
    <w:p w:rsidR="00426876" w:rsidRDefault="000C2B58" w:rsidP="00C17689">
      <w:pPr>
        <w:pStyle w:val="ListBullet"/>
      </w:pPr>
      <w:r>
        <w:t>U</w:t>
      </w:r>
      <w:r w:rsidR="0071355B">
        <w:t>s</w:t>
      </w:r>
      <w:r w:rsidR="00DD104E">
        <w:t>ing</w:t>
      </w:r>
      <w:r w:rsidR="0071355B">
        <w:t xml:space="preserve"> a range of strategies to encourage job seeker compliance.</w:t>
      </w:r>
    </w:p>
    <w:p w:rsidR="00E03ADE" w:rsidRPr="008E0767" w:rsidRDefault="00E03ADE" w:rsidP="008E0767">
      <w:pPr>
        <w:pStyle w:val="Heading2"/>
        <w:spacing w:before="160" w:after="40"/>
        <w:rPr>
          <w:color w:val="auto"/>
          <w:sz w:val="24"/>
          <w:szCs w:val="24"/>
        </w:rPr>
      </w:pPr>
      <w:bookmarkStart w:id="34" w:name="_Toc326153070"/>
      <w:bookmarkStart w:id="35" w:name="_Toc326153761"/>
      <w:bookmarkStart w:id="36" w:name="_Toc326764325"/>
      <w:r w:rsidRPr="008E0767">
        <w:rPr>
          <w:color w:val="auto"/>
          <w:sz w:val="24"/>
          <w:szCs w:val="24"/>
        </w:rPr>
        <w:t>Engag</w:t>
      </w:r>
      <w:r w:rsidR="00DD104E" w:rsidRPr="008E0767">
        <w:rPr>
          <w:color w:val="auto"/>
          <w:sz w:val="24"/>
          <w:szCs w:val="24"/>
        </w:rPr>
        <w:t>ing</w:t>
      </w:r>
      <w:r w:rsidRPr="008E0767">
        <w:rPr>
          <w:color w:val="auto"/>
          <w:sz w:val="24"/>
          <w:szCs w:val="24"/>
        </w:rPr>
        <w:t xml:space="preserve"> w</w:t>
      </w:r>
      <w:r w:rsidR="00426876" w:rsidRPr="008E0767">
        <w:rPr>
          <w:color w:val="auto"/>
          <w:sz w:val="24"/>
          <w:szCs w:val="24"/>
        </w:rPr>
        <w:t>e</w:t>
      </w:r>
      <w:r w:rsidRPr="008E0767">
        <w:rPr>
          <w:color w:val="auto"/>
          <w:sz w:val="24"/>
          <w:szCs w:val="24"/>
        </w:rPr>
        <w:t>ll with employers</w:t>
      </w:r>
      <w:r w:rsidR="0071355B" w:rsidRPr="008E0767">
        <w:rPr>
          <w:color w:val="auto"/>
          <w:sz w:val="24"/>
          <w:szCs w:val="24"/>
        </w:rPr>
        <w:t>:</w:t>
      </w:r>
      <w:bookmarkEnd w:id="34"/>
      <w:bookmarkEnd w:id="35"/>
      <w:bookmarkEnd w:id="36"/>
    </w:p>
    <w:p w:rsidR="00587E44" w:rsidRDefault="0071355B" w:rsidP="00C56D38">
      <w:pPr>
        <w:pStyle w:val="ListBullet"/>
      </w:pPr>
      <w:r>
        <w:t>B</w:t>
      </w:r>
      <w:r w:rsidR="00DD104E">
        <w:t>eing</w:t>
      </w:r>
      <w:r w:rsidR="00426876">
        <w:t xml:space="preserve"> more proactive in their relationships with employers — in working to understand employers’ </w:t>
      </w:r>
      <w:r>
        <w:t xml:space="preserve">skills </w:t>
      </w:r>
      <w:r w:rsidR="00426876">
        <w:t>need</w:t>
      </w:r>
      <w:r>
        <w:t>s</w:t>
      </w:r>
      <w:r w:rsidR="00426876">
        <w:t xml:space="preserve">, </w:t>
      </w:r>
      <w:r>
        <w:t xml:space="preserve">referring or reverse </w:t>
      </w:r>
      <w:r w:rsidR="00B674ED">
        <w:t xml:space="preserve">marketing </w:t>
      </w:r>
      <w:r>
        <w:t xml:space="preserve">job seekers to them, and </w:t>
      </w:r>
      <w:r w:rsidR="00426876">
        <w:t xml:space="preserve">supporting employers </w:t>
      </w:r>
      <w:r w:rsidR="00AD69E9">
        <w:t xml:space="preserve">effectively </w:t>
      </w:r>
      <w:r w:rsidR="00426876">
        <w:t>after placing job seekers with them</w:t>
      </w:r>
      <w:r>
        <w:t>.</w:t>
      </w:r>
    </w:p>
    <w:p w:rsidR="00587E44" w:rsidRDefault="00587E44" w:rsidP="00587E44">
      <w:r>
        <w:br w:type="page"/>
      </w:r>
    </w:p>
    <w:p w:rsidR="00E03ADE" w:rsidRPr="008E0767" w:rsidRDefault="00E03ADE" w:rsidP="008E0767">
      <w:pPr>
        <w:pStyle w:val="Heading2"/>
        <w:spacing w:before="160" w:after="40"/>
        <w:rPr>
          <w:iCs w:val="0"/>
          <w:color w:val="auto"/>
          <w:sz w:val="24"/>
        </w:rPr>
      </w:pPr>
      <w:bookmarkStart w:id="37" w:name="_Toc326153071"/>
      <w:bookmarkStart w:id="38" w:name="_Toc326153762"/>
      <w:bookmarkStart w:id="39" w:name="_Toc326764326"/>
      <w:r w:rsidRPr="008E0767">
        <w:rPr>
          <w:iCs w:val="0"/>
          <w:color w:val="auto"/>
          <w:sz w:val="24"/>
        </w:rPr>
        <w:t>Buil</w:t>
      </w:r>
      <w:r w:rsidR="00951848" w:rsidRPr="008E0767">
        <w:rPr>
          <w:iCs w:val="0"/>
          <w:color w:val="auto"/>
          <w:sz w:val="24"/>
        </w:rPr>
        <w:t>d</w:t>
      </w:r>
      <w:r w:rsidR="00DD104E" w:rsidRPr="008E0767">
        <w:rPr>
          <w:iCs w:val="0"/>
          <w:color w:val="auto"/>
          <w:sz w:val="24"/>
        </w:rPr>
        <w:t>ing</w:t>
      </w:r>
      <w:r w:rsidRPr="008E0767">
        <w:rPr>
          <w:iCs w:val="0"/>
          <w:color w:val="auto"/>
          <w:sz w:val="24"/>
        </w:rPr>
        <w:t xml:space="preserve"> connections:</w:t>
      </w:r>
      <w:bookmarkEnd w:id="37"/>
      <w:bookmarkEnd w:id="38"/>
      <w:bookmarkEnd w:id="39"/>
    </w:p>
    <w:p w:rsidR="00C720AE" w:rsidRDefault="0071355B" w:rsidP="00C56D38">
      <w:pPr>
        <w:pStyle w:val="ListBullet"/>
      </w:pPr>
      <w:r>
        <w:t>B</w:t>
      </w:r>
      <w:r w:rsidR="00C720AE">
        <w:t>uild</w:t>
      </w:r>
      <w:r w:rsidR="00DD104E">
        <w:t>ing</w:t>
      </w:r>
      <w:r w:rsidR="00C720AE">
        <w:t xml:space="preserve"> strong linkages with </w:t>
      </w:r>
      <w:r>
        <w:t xml:space="preserve">employers, </w:t>
      </w:r>
      <w:r w:rsidR="00C720AE">
        <w:t xml:space="preserve">other providers, and other </w:t>
      </w:r>
      <w:r w:rsidR="00A744D7">
        <w:t>government,</w:t>
      </w:r>
      <w:r w:rsidR="00C720AE">
        <w:t xml:space="preserve"> community and other services</w:t>
      </w:r>
      <w:r w:rsidR="000C2B58">
        <w:t>.</w:t>
      </w:r>
    </w:p>
    <w:p w:rsidR="00376309" w:rsidRDefault="000C2B58" w:rsidP="00C56D38">
      <w:pPr>
        <w:pStyle w:val="ListBullet"/>
      </w:pPr>
      <w:r>
        <w:t>B</w:t>
      </w:r>
      <w:r w:rsidR="00376309">
        <w:t>uild</w:t>
      </w:r>
      <w:r w:rsidR="00DD104E">
        <w:t>ing</w:t>
      </w:r>
      <w:r w:rsidR="00376309">
        <w:t xml:space="preserve"> productive working relationships with many organisations </w:t>
      </w:r>
      <w:r w:rsidR="00F858BE">
        <w:t>such as</w:t>
      </w:r>
      <w:r w:rsidR="00376309">
        <w:t xml:space="preserve">: </w:t>
      </w:r>
      <w:r w:rsidR="00F858BE">
        <w:t>community</w:t>
      </w:r>
      <w:r w:rsidR="001E7248">
        <w:t xml:space="preserve"> organisations,</w:t>
      </w:r>
      <w:r w:rsidR="00376309">
        <w:t xml:space="preserve"> schools</w:t>
      </w:r>
      <w:r w:rsidR="001E7248">
        <w:t>, training organisations, employer associations,</w:t>
      </w:r>
      <w:r w:rsidR="00376309">
        <w:t xml:space="preserve"> rehabili</w:t>
      </w:r>
      <w:r w:rsidR="001E7248">
        <w:t>tative and counselling services,</w:t>
      </w:r>
      <w:r w:rsidR="00376309">
        <w:t xml:space="preserve"> and other JSA providers in the area. </w:t>
      </w:r>
    </w:p>
    <w:p w:rsidR="007451AD" w:rsidRPr="00761FBB" w:rsidRDefault="00380C11" w:rsidP="007B234C">
      <w:pPr>
        <w:pStyle w:val="Heading1"/>
      </w:pPr>
      <w:bookmarkStart w:id="40" w:name="_Toc326764327"/>
      <w:r>
        <w:t>2</w:t>
      </w:r>
      <w:r w:rsidR="002647F2">
        <w:t>.</w:t>
      </w:r>
      <w:r w:rsidR="002647F2">
        <w:tab/>
      </w:r>
      <w:r w:rsidR="001C7EB2">
        <w:t>Introduction</w:t>
      </w:r>
      <w:bookmarkEnd w:id="40"/>
    </w:p>
    <w:p w:rsidR="007451AD" w:rsidRDefault="007451AD" w:rsidP="007451AD">
      <w:r>
        <w:t xml:space="preserve">This </w:t>
      </w:r>
      <w:r w:rsidR="001B7AD2">
        <w:t>report</w:t>
      </w:r>
      <w:r w:rsidR="006D2A22">
        <w:t xml:space="preserve"> </w:t>
      </w:r>
      <w:r w:rsidR="00B436D7">
        <w:t>outlines</w:t>
      </w:r>
      <w:r>
        <w:t xml:space="preserve"> the strategies and practices that contribute to </w:t>
      </w:r>
      <w:r w:rsidR="00B436D7">
        <w:t>good practice</w:t>
      </w:r>
      <w:r>
        <w:t xml:space="preserve"> by Job Services Australia (JSA) </w:t>
      </w:r>
      <w:r w:rsidR="002A1404">
        <w:t>employment services provider</w:t>
      </w:r>
      <w:r>
        <w:t xml:space="preserve">s. It </w:t>
      </w:r>
      <w:r w:rsidR="00B436D7">
        <w:t xml:space="preserve">is intended to </w:t>
      </w:r>
      <w:r>
        <w:t>foster improvement in the delivery of employment services</w:t>
      </w:r>
      <w:r w:rsidR="007B234C">
        <w:t>,</w:t>
      </w:r>
      <w:r>
        <w:t xml:space="preserve"> by sharing the Department’s findings on the characteristics and practices commonly found in high-performing </w:t>
      </w:r>
      <w:r w:rsidR="00E17417">
        <w:t xml:space="preserve">employment service </w:t>
      </w:r>
      <w:r>
        <w:t xml:space="preserve">providers. </w:t>
      </w:r>
    </w:p>
    <w:p w:rsidR="007451AD" w:rsidRDefault="002A1404" w:rsidP="007451AD">
      <w:r w:rsidRPr="008E0767">
        <w:rPr>
          <w:rStyle w:val="Strong"/>
        </w:rPr>
        <w:t>This</w:t>
      </w:r>
      <w:r w:rsidR="007451AD" w:rsidRPr="008E0767">
        <w:rPr>
          <w:rStyle w:val="Strong"/>
        </w:rPr>
        <w:t xml:space="preserve"> </w:t>
      </w:r>
      <w:r w:rsidR="006D2A22" w:rsidRPr="008E0767">
        <w:rPr>
          <w:rStyle w:val="Strong"/>
        </w:rPr>
        <w:t xml:space="preserve">paper </w:t>
      </w:r>
      <w:r w:rsidR="007451AD" w:rsidRPr="008E0767">
        <w:rPr>
          <w:rStyle w:val="Strong"/>
        </w:rPr>
        <w:t xml:space="preserve">is not </w:t>
      </w:r>
      <w:r w:rsidRPr="008E0767">
        <w:rPr>
          <w:rStyle w:val="Strong"/>
        </w:rPr>
        <w:t xml:space="preserve">intended </w:t>
      </w:r>
      <w:r w:rsidR="00B436D7" w:rsidRPr="008E0767">
        <w:rPr>
          <w:rStyle w:val="Strong"/>
        </w:rPr>
        <w:t xml:space="preserve">to be used </w:t>
      </w:r>
      <w:r w:rsidR="00B91909" w:rsidRPr="008E0767">
        <w:rPr>
          <w:rStyle w:val="Strong"/>
        </w:rPr>
        <w:t xml:space="preserve">by service providers </w:t>
      </w:r>
      <w:r w:rsidRPr="008E0767">
        <w:rPr>
          <w:rStyle w:val="Strong"/>
        </w:rPr>
        <w:t xml:space="preserve">as </w:t>
      </w:r>
      <w:r w:rsidR="007451AD" w:rsidRPr="008E0767">
        <w:rPr>
          <w:rStyle w:val="Strong"/>
        </w:rPr>
        <w:t>a set of prescriptions or directions</w:t>
      </w:r>
      <w:r w:rsidR="007451AD" w:rsidRPr="00B91909">
        <w:t xml:space="preserve">, but </w:t>
      </w:r>
      <w:r w:rsidRPr="00B91909">
        <w:t xml:space="preserve">as </w:t>
      </w:r>
      <w:r w:rsidR="007451AD" w:rsidRPr="00B91909">
        <w:t xml:space="preserve">an information source to be drawn on </w:t>
      </w:r>
      <w:r w:rsidRPr="00B91909">
        <w:t xml:space="preserve">by </w:t>
      </w:r>
      <w:r w:rsidR="007B234C" w:rsidRPr="00B91909">
        <w:t>those</w:t>
      </w:r>
      <w:r w:rsidRPr="00B91909">
        <w:t xml:space="preserve"> seeking new</w:t>
      </w:r>
      <w:r>
        <w:t xml:space="preserve"> and improved ways of working</w:t>
      </w:r>
      <w:r w:rsidR="007451AD">
        <w:t>, according to the</w:t>
      </w:r>
      <w:r>
        <w:t>ir</w:t>
      </w:r>
      <w:r w:rsidR="007451AD">
        <w:t xml:space="preserve"> </w:t>
      </w:r>
      <w:r>
        <w:t xml:space="preserve">own unique </w:t>
      </w:r>
      <w:r w:rsidR="007451AD">
        <w:t>circumstances.</w:t>
      </w:r>
      <w:r w:rsidR="00E47009">
        <w:t xml:space="preserve"> It should be </w:t>
      </w:r>
      <w:r w:rsidR="007B234C">
        <w:t>used</w:t>
      </w:r>
      <w:r w:rsidR="00E47009">
        <w:t xml:space="preserve"> </w:t>
      </w:r>
      <w:r w:rsidR="00C57075" w:rsidRPr="0099014C">
        <w:t>in addition to</w:t>
      </w:r>
      <w:r w:rsidR="00E47009">
        <w:t xml:space="preserve"> </w:t>
      </w:r>
      <w:r w:rsidR="00AD69E9">
        <w:t>the service requirements specified under the Employment Services Deed 4 2009–12 (</w:t>
      </w:r>
      <w:proofErr w:type="spellStart"/>
      <w:r w:rsidR="00AD69E9">
        <w:t>ESD4</w:t>
      </w:r>
      <w:proofErr w:type="spellEnd"/>
      <w:r w:rsidR="00AD69E9">
        <w:t xml:space="preserve">) and </w:t>
      </w:r>
      <w:r w:rsidR="00B436D7">
        <w:t xml:space="preserve">other </w:t>
      </w:r>
      <w:r w:rsidR="00E47009">
        <w:t>information provided by the Department on specific aspec</w:t>
      </w:r>
      <w:r w:rsidR="007013C7">
        <w:t>ts of service provision.</w:t>
      </w:r>
    </w:p>
    <w:p w:rsidR="007451AD" w:rsidRDefault="007451AD" w:rsidP="007451AD">
      <w:r>
        <w:t>JSA employment service providers vary greatly in their organisational details, and in how they approach the task of assisting job seekers. The analysis conduct</w:t>
      </w:r>
      <w:r w:rsidR="005C0F02">
        <w:t>ed for this report</w:t>
      </w:r>
      <w:r>
        <w:t xml:space="preserve"> did not find any definitive set of characteristics or practices that mark out high performing sites. Instead, a combination of many factors tends to contribute to </w:t>
      </w:r>
      <w:r w:rsidR="007B234C">
        <w:t>good</w:t>
      </w:r>
      <w:r>
        <w:t xml:space="preserve"> practice, depending on each </w:t>
      </w:r>
      <w:r w:rsidR="00E17417">
        <w:t xml:space="preserve">service </w:t>
      </w:r>
      <w:r>
        <w:t xml:space="preserve">provider’s caseload, operating environment and business model. </w:t>
      </w:r>
    </w:p>
    <w:p w:rsidR="007451AD" w:rsidRDefault="00C62D7A" w:rsidP="007451AD">
      <w:pPr>
        <w:pStyle w:val="Heading2"/>
      </w:pPr>
      <w:bookmarkStart w:id="41" w:name="_Toc326764328"/>
      <w:r>
        <w:t>2</w:t>
      </w:r>
      <w:r w:rsidR="00EF1D64">
        <w:t xml:space="preserve">.1 </w:t>
      </w:r>
      <w:r w:rsidR="007B234C">
        <w:tab/>
      </w:r>
      <w:r w:rsidR="00B8549D">
        <w:t>Identifying best practice</w:t>
      </w:r>
      <w:bookmarkEnd w:id="41"/>
    </w:p>
    <w:p w:rsidR="007451AD" w:rsidRDefault="007451AD" w:rsidP="007451AD">
      <w:r>
        <w:t>The Department’s JSA star ratings</w:t>
      </w:r>
      <w:r w:rsidR="000F3B1B">
        <w:t>, which measure the efficiency and effectiveness of employment services providers, were used in conjunction with participant experience measures from the KPI3 Quality Framework to</w:t>
      </w:r>
      <w:r>
        <w:t xml:space="preserve"> identify high, medium and low performing </w:t>
      </w:r>
      <w:r w:rsidR="00B436D7">
        <w:t xml:space="preserve">employment services provider </w:t>
      </w:r>
      <w:r>
        <w:t>site</w:t>
      </w:r>
      <w:r w:rsidR="000F3B1B">
        <w:t>s</w:t>
      </w:r>
      <w:r>
        <w:t>. In this way, both the outcomes and experience</w:t>
      </w:r>
      <w:r w:rsidR="00B436D7">
        <w:t>s</w:t>
      </w:r>
      <w:r>
        <w:t xml:space="preserve"> of job seekers were used to evaluate performance</w:t>
      </w:r>
      <w:r w:rsidR="00E55491">
        <w:t xml:space="preserve"> </w:t>
      </w:r>
      <w:r w:rsidR="00B321D9">
        <w:t xml:space="preserve">as outlined in the research method </w:t>
      </w:r>
      <w:r w:rsidR="00066773">
        <w:t>at</w:t>
      </w:r>
      <w:r w:rsidR="00B321D9">
        <w:t xml:space="preserve"> </w:t>
      </w:r>
      <w:hyperlink w:anchor="Appendix_A" w:tooltip="Appendix A Research Method" w:history="1">
        <w:r w:rsidR="00E55491" w:rsidRPr="006F4A06">
          <w:t xml:space="preserve">Appendix </w:t>
        </w:r>
        <w:r w:rsidR="00347022" w:rsidRPr="006F4A06">
          <w:t>B</w:t>
        </w:r>
      </w:hyperlink>
      <w:r w:rsidRPr="006F4A06">
        <w:t>.</w:t>
      </w:r>
      <w:r>
        <w:t xml:space="preserve"> </w:t>
      </w:r>
      <w:r w:rsidR="00695207">
        <w:t>These results were then compared with d</w:t>
      </w:r>
      <w:r>
        <w:t xml:space="preserve">ata drawn from a wide range of sources, including: </w:t>
      </w:r>
    </w:p>
    <w:p w:rsidR="007451AD" w:rsidRPr="007451AD" w:rsidRDefault="007451AD" w:rsidP="00C56D38">
      <w:pPr>
        <w:pStyle w:val="ListBullet"/>
      </w:pPr>
      <w:r w:rsidRPr="007451AD">
        <w:t>the Department’s administrative data sources, known as the DEEWR Corporate Data Set, which contains information about job seekers collected through the</w:t>
      </w:r>
      <w:r w:rsidR="00EF2BF6">
        <w:t>ir JSA provider and Centrelink;</w:t>
      </w:r>
    </w:p>
    <w:p w:rsidR="007451AD" w:rsidRPr="007451AD" w:rsidRDefault="007451AD" w:rsidP="00C56D38">
      <w:pPr>
        <w:pStyle w:val="ListBullet"/>
      </w:pPr>
      <w:r w:rsidRPr="007451AD">
        <w:t>the 2010 Employment Service Provider Survey, which surveyed over 1,000 sites providing employment assistance through at least one of the government’s programs</w:t>
      </w:r>
      <w:r w:rsidR="00897C99">
        <w:t>, including 678 providers of Job Services Australia</w:t>
      </w:r>
      <w:r w:rsidR="00B436D7">
        <w:t>;</w:t>
      </w:r>
    </w:p>
    <w:p w:rsidR="007451AD" w:rsidRPr="007451AD" w:rsidRDefault="00B436D7" w:rsidP="00C56D38">
      <w:pPr>
        <w:pStyle w:val="ListBullet"/>
      </w:pPr>
      <w:r>
        <w:t>t</w:t>
      </w:r>
      <w:r w:rsidR="00CD751A">
        <w:t xml:space="preserve">he </w:t>
      </w:r>
      <w:r>
        <w:t xml:space="preserve">Department’s </w:t>
      </w:r>
      <w:r w:rsidR="00CD751A">
        <w:t xml:space="preserve">2010 Employer Survey, which surveyed over 5,400 employers </w:t>
      </w:r>
      <w:r>
        <w:t>for</w:t>
      </w:r>
      <w:r w:rsidR="00CD751A">
        <w:t xml:space="preserve"> information about </w:t>
      </w:r>
      <w:r>
        <w:t>their</w:t>
      </w:r>
      <w:r w:rsidR="00CD751A">
        <w:t xml:space="preserve"> recruitment practices, use of Government employment services and other assistance, </w:t>
      </w:r>
      <w:r w:rsidR="007451AD" w:rsidRPr="007451AD">
        <w:t>and</w:t>
      </w:r>
      <w:r w:rsidR="00CD751A">
        <w:t xml:space="preserve"> attitudes towards hiring people in key groups of interest</w:t>
      </w:r>
      <w:r w:rsidR="00471DEE">
        <w:t>;</w:t>
      </w:r>
    </w:p>
    <w:p w:rsidR="00471DEE" w:rsidRPr="00C82566" w:rsidRDefault="007451AD" w:rsidP="00C56D38">
      <w:pPr>
        <w:pStyle w:val="ListBullet"/>
      </w:pPr>
      <w:r w:rsidRPr="00C82566">
        <w:t>discussions and focus groups conducted with service providers and job seekers in thirteen locations across Australia, including five metropolitan areas and eight regional areas</w:t>
      </w:r>
      <w:r w:rsidR="00471DEE" w:rsidRPr="00C82566">
        <w:t>; and</w:t>
      </w:r>
    </w:p>
    <w:p w:rsidR="007451AD" w:rsidRPr="00C82566" w:rsidRDefault="00471DEE" w:rsidP="00C56D38">
      <w:pPr>
        <w:pStyle w:val="ListBullet"/>
      </w:pPr>
      <w:proofErr w:type="gramStart"/>
      <w:r w:rsidRPr="00C82566">
        <w:t>the</w:t>
      </w:r>
      <w:proofErr w:type="gramEnd"/>
      <w:r w:rsidRPr="00C82566">
        <w:t xml:space="preserve"> Department</w:t>
      </w:r>
      <w:r w:rsidR="00074712" w:rsidRPr="00C82566">
        <w:t>’</w:t>
      </w:r>
      <w:r w:rsidRPr="00C82566">
        <w:t>s longitudinal surveys</w:t>
      </w:r>
      <w:r w:rsidR="00074712" w:rsidRPr="00C82566">
        <w:t xml:space="preserve"> of job seekers and income support recipients</w:t>
      </w:r>
      <w:r w:rsidR="00716CFD" w:rsidRPr="00C82566">
        <w:t>: the</w:t>
      </w:r>
      <w:r w:rsidRPr="00C82566">
        <w:t xml:space="preserve"> Employment Assistance Survey (</w:t>
      </w:r>
      <w:proofErr w:type="spellStart"/>
      <w:r w:rsidRPr="00C82566">
        <w:t>EAS</w:t>
      </w:r>
      <w:proofErr w:type="spellEnd"/>
      <w:r w:rsidRPr="00C82566">
        <w:t xml:space="preserve">) and Dynamics of </w:t>
      </w:r>
      <w:r w:rsidR="00074712" w:rsidRPr="00C82566">
        <w:t xml:space="preserve">Australian </w:t>
      </w:r>
      <w:r w:rsidRPr="00C82566">
        <w:t xml:space="preserve">Income Support </w:t>
      </w:r>
      <w:r w:rsidR="00074712" w:rsidRPr="00C82566">
        <w:t>&amp;</w:t>
      </w:r>
      <w:r w:rsidRPr="00C82566">
        <w:t xml:space="preserve"> Employment Services (DAISES)</w:t>
      </w:r>
      <w:r w:rsidR="00074712" w:rsidRPr="00C82566">
        <w:t>.</w:t>
      </w:r>
    </w:p>
    <w:p w:rsidR="00495C86" w:rsidRDefault="007451AD" w:rsidP="001B7AD2">
      <w:r>
        <w:t>Various statistical tools including regression analysis were used to identify the links between practice and performance</w:t>
      </w:r>
      <w:r w:rsidR="001C7EB2">
        <w:t xml:space="preserve">, using </w:t>
      </w:r>
      <w:r w:rsidR="00E55491">
        <w:t>data at</w:t>
      </w:r>
      <w:r w:rsidR="001C7EB2">
        <w:t xml:space="preserve"> provider site level</w:t>
      </w:r>
      <w:r>
        <w:t>.</w:t>
      </w:r>
    </w:p>
    <w:p w:rsidR="00495C86" w:rsidRDefault="00495C86" w:rsidP="006776E8">
      <w:r>
        <w:br w:type="page"/>
      </w:r>
    </w:p>
    <w:p w:rsidR="001B7AD2" w:rsidRDefault="001B7AD2" w:rsidP="001B7AD2">
      <w:r>
        <w:t xml:space="preserve">Further insights were then gained from the qualitative data gathered in the discussions and focus groups. This data was analysed using </w:t>
      </w:r>
      <w:proofErr w:type="spellStart"/>
      <w:r>
        <w:t>NVivo</w:t>
      </w:r>
      <w:proofErr w:type="spellEnd"/>
      <w:r>
        <w:t xml:space="preserve"> computer software to identify </w:t>
      </w:r>
      <w:r w:rsidR="001C7EB2">
        <w:t>common</w:t>
      </w:r>
      <w:r>
        <w:t xml:space="preserve"> themes and topics.</w:t>
      </w:r>
    </w:p>
    <w:p w:rsidR="00A9010B" w:rsidRDefault="00471379" w:rsidP="007451AD">
      <w:r>
        <w:t xml:space="preserve">Tests for statistical significance where used were appropriate; however service providers emphasise that best practice comprises a range of strategies appropriate to the circumstances of each individual job seeker, and </w:t>
      </w:r>
      <w:r w:rsidR="00A9010B">
        <w:t xml:space="preserve">these strategies are not always amenable to statistical analysis </w:t>
      </w:r>
      <w:r w:rsidR="00716CFD">
        <w:t xml:space="preserve">with </w:t>
      </w:r>
      <w:r w:rsidR="00EF2BF6">
        <w:t>the data available.</w:t>
      </w:r>
    </w:p>
    <w:p w:rsidR="007451AD" w:rsidRDefault="00EF2BF6" w:rsidP="007451AD">
      <w:r>
        <w:t>M</w:t>
      </w:r>
      <w:r w:rsidR="00380C11">
        <w:t>ore information</w:t>
      </w:r>
      <w:r w:rsidR="00471379">
        <w:t xml:space="preserve"> on the research methods used</w:t>
      </w:r>
      <w:r>
        <w:t xml:space="preserve"> is available at </w:t>
      </w:r>
      <w:hyperlink w:anchor="_Appendix_A:_Research" w:tooltip="Appendix B: Research Method" w:history="1">
        <w:r w:rsidRPr="007013C7">
          <w:rPr>
            <w:rStyle w:val="Hyperlink"/>
          </w:rPr>
          <w:t xml:space="preserve">Appendix </w:t>
        </w:r>
        <w:r w:rsidR="00347022">
          <w:rPr>
            <w:rStyle w:val="Hyperlink"/>
          </w:rPr>
          <w:t>B</w:t>
        </w:r>
        <w:r w:rsidR="007013C7" w:rsidRPr="007013C7">
          <w:rPr>
            <w:rStyle w:val="Hyperlink"/>
          </w:rPr>
          <w:t>: Research Method</w:t>
        </w:r>
      </w:hyperlink>
      <w:r w:rsidR="00380C11">
        <w:t>.</w:t>
      </w:r>
    </w:p>
    <w:p w:rsidR="007451AD" w:rsidRDefault="00C62D7A" w:rsidP="007451AD">
      <w:pPr>
        <w:pStyle w:val="Heading2"/>
      </w:pPr>
      <w:bookmarkStart w:id="42" w:name="_Toc326764329"/>
      <w:r>
        <w:t>2</w:t>
      </w:r>
      <w:r w:rsidR="00EF1D64">
        <w:t xml:space="preserve">.2 </w:t>
      </w:r>
      <w:r w:rsidR="007B234C">
        <w:tab/>
      </w:r>
      <w:r w:rsidR="007451AD">
        <w:t>Further Information</w:t>
      </w:r>
      <w:bookmarkEnd w:id="42"/>
    </w:p>
    <w:p w:rsidR="00E47009" w:rsidRPr="00F62C12" w:rsidRDefault="00E47009" w:rsidP="00E47009">
      <w:pPr>
        <w:rPr>
          <w:rStyle w:val="Strong"/>
        </w:rPr>
      </w:pPr>
      <w:r>
        <w:t xml:space="preserve">The Department publishes information sheets and reports on many topics </w:t>
      </w:r>
      <w:r w:rsidR="00B81226">
        <w:t>for</w:t>
      </w:r>
      <w:r>
        <w:t xml:space="preserve"> employment services </w:t>
      </w:r>
      <w:r w:rsidR="00B81226">
        <w:t xml:space="preserve">providers </w:t>
      </w:r>
      <w:r>
        <w:t xml:space="preserve">through the </w:t>
      </w:r>
      <w:r w:rsidR="00B436D7" w:rsidRPr="00F62C12">
        <w:rPr>
          <w:rStyle w:val="Strong"/>
        </w:rPr>
        <w:t xml:space="preserve">Employment and Community Services Network </w:t>
      </w:r>
      <w:r w:rsidRPr="00F62C12">
        <w:rPr>
          <w:rStyle w:val="Strong"/>
        </w:rPr>
        <w:t xml:space="preserve">Provider Portal for Stream </w:t>
      </w:r>
      <w:r w:rsidR="003A25E7" w:rsidRPr="00F62C12">
        <w:rPr>
          <w:rStyle w:val="Strong"/>
        </w:rPr>
        <w:t>S</w:t>
      </w:r>
      <w:r w:rsidRPr="00F62C12">
        <w:rPr>
          <w:rStyle w:val="Strong"/>
        </w:rPr>
        <w:t>ervices</w:t>
      </w:r>
      <w:r w:rsidRPr="00F62C12">
        <w:t>.</w:t>
      </w:r>
    </w:p>
    <w:p w:rsidR="007451AD" w:rsidRPr="007B234C" w:rsidRDefault="00C62D7A" w:rsidP="002647F2">
      <w:pPr>
        <w:pStyle w:val="Heading2"/>
      </w:pPr>
      <w:bookmarkStart w:id="43" w:name="_Toc326764330"/>
      <w:r>
        <w:t>2</w:t>
      </w:r>
      <w:r w:rsidR="002647F2">
        <w:t>.3</w:t>
      </w:r>
      <w:r w:rsidR="007B234C">
        <w:tab/>
      </w:r>
      <w:r w:rsidR="007451AD" w:rsidRPr="007B234C">
        <w:t>Acknowledgements</w:t>
      </w:r>
      <w:bookmarkEnd w:id="43"/>
    </w:p>
    <w:p w:rsidR="007451AD" w:rsidRDefault="007451AD" w:rsidP="007451AD">
      <w:r>
        <w:t xml:space="preserve">The Department would like to acknowledge the contributions of the JSA site staff and management and the job seekers </w:t>
      </w:r>
      <w:r w:rsidR="00B91909">
        <w:t xml:space="preserve">and employers </w:t>
      </w:r>
      <w:r>
        <w:t xml:space="preserve">who participated in the interviews, focus groups and surveys used in the preparation of this </w:t>
      </w:r>
      <w:r w:rsidR="005C0F02">
        <w:t>report</w:t>
      </w:r>
      <w:r>
        <w:t>. Your contribution has been of great value to this and other work of the Department.</w:t>
      </w:r>
    </w:p>
    <w:p w:rsidR="007451AD" w:rsidRDefault="00EB40E0" w:rsidP="00EF1D64">
      <w:pPr>
        <w:pStyle w:val="Heading1"/>
      </w:pPr>
      <w:bookmarkStart w:id="44" w:name="_Toc326764331"/>
      <w:r>
        <w:t>3</w:t>
      </w:r>
      <w:r w:rsidR="00EF1D64" w:rsidRPr="000421A0">
        <w:t>.</w:t>
      </w:r>
      <w:r w:rsidR="00EF1D64">
        <w:t xml:space="preserve"> </w:t>
      </w:r>
      <w:r w:rsidR="00EF1D64">
        <w:tab/>
      </w:r>
      <w:r w:rsidR="007451AD">
        <w:t>Assisting job seekers</w:t>
      </w:r>
      <w:bookmarkEnd w:id="44"/>
    </w:p>
    <w:p w:rsidR="007451AD" w:rsidRDefault="00EB40E0" w:rsidP="007451AD">
      <w:pPr>
        <w:pStyle w:val="Heading2"/>
      </w:pPr>
      <w:bookmarkStart w:id="45" w:name="_Toc326764332"/>
      <w:r>
        <w:t>3</w:t>
      </w:r>
      <w:r w:rsidR="00EF1D64">
        <w:t>.1</w:t>
      </w:r>
      <w:r w:rsidR="00EF1D64">
        <w:tab/>
      </w:r>
      <w:r w:rsidR="005C39D7">
        <w:t>Engaging with job seekers</w:t>
      </w:r>
      <w:bookmarkEnd w:id="45"/>
      <w:r w:rsidR="007451AD">
        <w:t xml:space="preserve"> </w:t>
      </w:r>
    </w:p>
    <w:tbl>
      <w:tblPr>
        <w:tblStyle w:val="TableGrid"/>
        <w:tblW w:w="0" w:type="auto"/>
        <w:tblLook w:val="04A0"/>
      </w:tblPr>
      <w:tblGrid>
        <w:gridCol w:w="8720"/>
      </w:tblGrid>
      <w:tr w:rsidR="00D547FC" w:rsidTr="00D547FC">
        <w:tc>
          <w:tcPr>
            <w:tcW w:w="8720" w:type="dxa"/>
          </w:tcPr>
          <w:p w:rsidR="00D547FC" w:rsidRPr="00AD7191" w:rsidRDefault="00D547FC" w:rsidP="0099014C">
            <w:r w:rsidRPr="000C1ABF">
              <w:t>High performing sites are more likely than mid and low performing sites to</w:t>
            </w:r>
            <w:r>
              <w:t>:</w:t>
            </w:r>
          </w:p>
          <w:p w:rsidR="00D547FC" w:rsidRDefault="00D547FC" w:rsidP="00EE06CE">
            <w:pPr>
              <w:pStyle w:val="ListBullet"/>
            </w:pPr>
            <w:r>
              <w:t>Commenc</w:t>
            </w:r>
            <w:r w:rsidR="00074E16">
              <w:t>e</w:t>
            </w:r>
            <w:r>
              <w:t xml:space="preserve"> job seekers quickly and achiev</w:t>
            </w:r>
            <w:r w:rsidR="00074E16">
              <w:t>e</w:t>
            </w:r>
            <w:r>
              <w:t xml:space="preserve"> </w:t>
            </w:r>
            <w:r w:rsidR="00B8022B">
              <w:t>more contacts with job seekers</w:t>
            </w:r>
            <w:r>
              <w:t>.</w:t>
            </w:r>
          </w:p>
          <w:p w:rsidR="00D547FC" w:rsidRDefault="00D547FC" w:rsidP="00EE06CE">
            <w:pPr>
              <w:pStyle w:val="ListBullet"/>
            </w:pPr>
            <w:r>
              <w:t>Build rapport with job seekers, and maintain their engagement by:</w:t>
            </w:r>
            <w:r w:rsidRPr="00D55933">
              <w:t xml:space="preserve"> </w:t>
            </w:r>
          </w:p>
          <w:p w:rsidR="00D547FC" w:rsidRPr="00B97CF9" w:rsidRDefault="00D547FC" w:rsidP="00EE06CE">
            <w:pPr>
              <w:pStyle w:val="ListBullet2"/>
            </w:pPr>
            <w:r w:rsidRPr="00B97CF9">
              <w:t>clearly explaining their services and the job seekers’ roles and responsibilities</w:t>
            </w:r>
          </w:p>
          <w:p w:rsidR="00D547FC" w:rsidRPr="00B97CF9" w:rsidRDefault="00D547FC" w:rsidP="00EE06CE">
            <w:pPr>
              <w:pStyle w:val="ListBullet2"/>
            </w:pPr>
            <w:r w:rsidRPr="00B97CF9">
              <w:t>having a physical environment that is comfortable, professional and allows for privacy when needed</w:t>
            </w:r>
          </w:p>
          <w:p w:rsidR="00D547FC" w:rsidRPr="00B97CF9" w:rsidRDefault="00D547FC" w:rsidP="00EE06CE">
            <w:pPr>
              <w:pStyle w:val="ListBullet2"/>
            </w:pPr>
            <w:r w:rsidRPr="00B97CF9">
              <w:t xml:space="preserve">where possible, matching job seekers to employment consultants with similar characteristics </w:t>
            </w:r>
          </w:p>
          <w:p w:rsidR="00D547FC" w:rsidRPr="00B97CF9" w:rsidRDefault="00D547FC" w:rsidP="00EE06CE">
            <w:pPr>
              <w:pStyle w:val="ListBullet2"/>
            </w:pPr>
            <w:r w:rsidRPr="00B97CF9">
              <w:t>using responses from the Job Seeker Classification Instrument (JSCI) or other assessment tools to better understand the job seeker’s needs</w:t>
            </w:r>
          </w:p>
          <w:p w:rsidR="00D547FC" w:rsidRPr="00B97CF9" w:rsidRDefault="00D547FC" w:rsidP="00EE06CE">
            <w:pPr>
              <w:pStyle w:val="ListBullet2"/>
            </w:pPr>
            <w:proofErr w:type="gramStart"/>
            <w:r w:rsidRPr="00B97CF9">
              <w:t>treat</w:t>
            </w:r>
            <w:r w:rsidR="00C6604E">
              <w:t>ing</w:t>
            </w:r>
            <w:proofErr w:type="gramEnd"/>
            <w:r w:rsidRPr="00B97CF9">
              <w:t xml:space="preserve"> job seekers as individuals and with respect. </w:t>
            </w:r>
          </w:p>
          <w:p w:rsidR="00D547FC" w:rsidRPr="00EE06CE" w:rsidRDefault="00D547FC" w:rsidP="00EE06CE">
            <w:pPr>
              <w:pStyle w:val="ListBullet"/>
            </w:pPr>
            <w:r w:rsidRPr="00EE06CE">
              <w:t>Us</w:t>
            </w:r>
            <w:r w:rsidR="00074E16" w:rsidRPr="00EE06CE">
              <w:t>e</w:t>
            </w:r>
            <w:r w:rsidRPr="00EE06CE">
              <w:t xml:space="preserve"> a wide range of strategies to suit the individual needs of job seekers from diverse backgrounds and situations, such as:</w:t>
            </w:r>
          </w:p>
          <w:p w:rsidR="00D547FC" w:rsidRDefault="00D547FC" w:rsidP="00EE06CE">
            <w:pPr>
              <w:pStyle w:val="ListBullet2"/>
            </w:pPr>
            <w:r>
              <w:t>develop</w:t>
            </w:r>
            <w:r w:rsidR="00C6604E">
              <w:t>ing</w:t>
            </w:r>
            <w:r>
              <w:t xml:space="preserve"> the cross-cultural awareness of all staff</w:t>
            </w:r>
          </w:p>
          <w:p w:rsidR="00D547FC" w:rsidRDefault="00716CFD" w:rsidP="00EE06CE">
            <w:pPr>
              <w:pStyle w:val="ListBullet2"/>
            </w:pPr>
            <w:proofErr w:type="gramStart"/>
            <w:r>
              <w:t>effectively</w:t>
            </w:r>
            <w:proofErr w:type="gramEnd"/>
            <w:r>
              <w:t xml:space="preserve"> using and communicating their</w:t>
            </w:r>
            <w:r w:rsidR="00D547FC">
              <w:t xml:space="preserve"> Indigenous Employment Strategy.</w:t>
            </w:r>
          </w:p>
          <w:p w:rsidR="00D547FC" w:rsidRPr="00EE06CE" w:rsidRDefault="00D547FC" w:rsidP="00EE06CE">
            <w:pPr>
              <w:pStyle w:val="ListBullet"/>
            </w:pPr>
            <w:r w:rsidRPr="00EE06CE">
              <w:t>Hav</w:t>
            </w:r>
            <w:r w:rsidR="00074E16" w:rsidRPr="00EE06CE">
              <w:t>e</w:t>
            </w:r>
            <w:r w:rsidRPr="00EE06CE">
              <w:t xml:space="preserve"> procedures in place for transferring job seeker information when their employment consultant changes. </w:t>
            </w:r>
          </w:p>
          <w:p w:rsidR="00D547FC" w:rsidRDefault="00D547FC" w:rsidP="00EE06CE">
            <w:pPr>
              <w:pStyle w:val="ListBullet"/>
            </w:pPr>
            <w:r w:rsidRPr="00EE06CE">
              <w:t>Encourag</w:t>
            </w:r>
            <w:r w:rsidR="00074E16" w:rsidRPr="00EE06CE">
              <w:t>e</w:t>
            </w:r>
            <w:r w:rsidRPr="00EE06CE">
              <w:t xml:space="preserve"> job seeker compliance using a wide variety of communication techniques, including, but not limited to, SMS messaging, email or physical visits where appropriate.</w:t>
            </w:r>
          </w:p>
        </w:tc>
      </w:tr>
    </w:tbl>
    <w:p w:rsidR="003A25E7" w:rsidRDefault="00EE06CE" w:rsidP="001C4EDF">
      <w:r>
        <w:br/>
      </w:r>
      <w:r w:rsidR="00716CFD">
        <w:t>E</w:t>
      </w:r>
      <w:r w:rsidR="003A25E7">
        <w:t xml:space="preserve">ngaging job seekers </w:t>
      </w:r>
      <w:r w:rsidR="00716CFD">
        <w:t xml:space="preserve">effectively </w:t>
      </w:r>
      <w:r w:rsidR="003A25E7">
        <w:t>with employment services is critical to ensuring that assistance is deli</w:t>
      </w:r>
      <w:r w:rsidR="001C4EDF">
        <w:t>v</w:t>
      </w:r>
      <w:r w:rsidR="003A25E7">
        <w:t xml:space="preserve">ered to job seekers </w:t>
      </w:r>
      <w:r w:rsidR="00716CFD">
        <w:t>appropriately</w:t>
      </w:r>
      <w:r w:rsidR="003A25E7">
        <w:t>, and that they remain motivated to look for work</w:t>
      </w:r>
      <w:r w:rsidR="001C4EDF">
        <w:t xml:space="preserve"> </w:t>
      </w:r>
      <w:r w:rsidR="005472E8">
        <w:t xml:space="preserve">actively </w:t>
      </w:r>
      <w:r w:rsidR="001C4EDF">
        <w:t>throughout their period of unemployment.</w:t>
      </w:r>
    </w:p>
    <w:p w:rsidR="007451AD" w:rsidRDefault="007451AD" w:rsidP="007451AD">
      <w:pPr>
        <w:pStyle w:val="Heading30"/>
      </w:pPr>
      <w:r>
        <w:t>Tim</w:t>
      </w:r>
      <w:r w:rsidR="00D8163E">
        <w:t>ing</w:t>
      </w:r>
      <w:r>
        <w:t xml:space="preserve"> and frequency of contact</w:t>
      </w:r>
    </w:p>
    <w:p w:rsidR="00D8163E" w:rsidRDefault="007451AD" w:rsidP="00B4074B">
      <w:r w:rsidRPr="005472E8">
        <w:t xml:space="preserve">High performing sites </w:t>
      </w:r>
      <w:r w:rsidR="005472E8">
        <w:t xml:space="preserve">connect with job seekers more quickly and engage with job seekers more frequently than lower performing providers. </w:t>
      </w:r>
      <w:r w:rsidRPr="00B4074B">
        <w:t xml:space="preserve">High performing sites are more likely to commence job seekers </w:t>
      </w:r>
      <w:r w:rsidR="005472E8" w:rsidRPr="00B4074B">
        <w:t xml:space="preserve">within eight </w:t>
      </w:r>
      <w:r w:rsidRPr="00B4074B">
        <w:t>days of referral, particularly job seekers in Streams 1 and 2.</w:t>
      </w:r>
      <w:r w:rsidR="005472E8">
        <w:t xml:space="preserve"> </w:t>
      </w:r>
      <w:r w:rsidR="00D8163E">
        <w:t xml:space="preserve">In addition, </w:t>
      </w:r>
      <w:r w:rsidR="005472E8">
        <w:t>high performing sites</w:t>
      </w:r>
      <w:r w:rsidR="00D66323">
        <w:t xml:space="preserve"> </w:t>
      </w:r>
      <w:r w:rsidR="00B8022B">
        <w:t>have more contacts with job seekers than</w:t>
      </w:r>
      <w:r w:rsidR="000F3B1B" w:rsidRPr="005472E8">
        <w:t xml:space="preserve"> </w:t>
      </w:r>
      <w:r w:rsidR="005472E8" w:rsidRPr="005472E8">
        <w:t>low performing sites</w:t>
      </w:r>
      <w:r w:rsidR="00B8022B">
        <w:t>.</w:t>
      </w:r>
    </w:p>
    <w:p w:rsidR="007451AD" w:rsidRPr="005472E8" w:rsidRDefault="00D8163E" w:rsidP="00D8163E">
      <w:pPr>
        <w:pStyle w:val="Heading30"/>
      </w:pPr>
      <w:r>
        <w:t>Building rapport</w:t>
      </w:r>
    </w:p>
    <w:p w:rsidR="0039389C" w:rsidRPr="00195D94" w:rsidRDefault="00D8163E" w:rsidP="0039389C">
      <w:r>
        <w:t xml:space="preserve">As can be seen in </w:t>
      </w:r>
      <w:hyperlink w:anchor="Table1" w:tooltip="Table 1" w:history="1">
        <w:r w:rsidRPr="006F4A06">
          <w:t>Table 1</w:t>
        </w:r>
      </w:hyperlink>
      <w:r w:rsidRPr="006F4A06">
        <w:t>,</w:t>
      </w:r>
      <w:r w:rsidR="00D66323">
        <w:t xml:space="preserve"> JSA</w:t>
      </w:r>
      <w:r>
        <w:t xml:space="preserve"> providers </w:t>
      </w:r>
      <w:r w:rsidR="0039389C">
        <w:t>generally report spending</w:t>
      </w:r>
      <w:r>
        <w:t xml:space="preserve"> longer on average on </w:t>
      </w:r>
      <w:r w:rsidR="0039389C">
        <w:t xml:space="preserve">initial contact and assessment tasks for job seekers in higher Streams. </w:t>
      </w:r>
      <w:r>
        <w:t xml:space="preserve">The relationship between the reported average time spent and task type suggests that </w:t>
      </w:r>
      <w:r w:rsidR="00716CFD">
        <w:t xml:space="preserve">the </w:t>
      </w:r>
      <w:r>
        <w:t xml:space="preserve">increasing complexity associated with job seeker disadvantage </w:t>
      </w:r>
      <w:r w:rsidR="008429C6">
        <w:t>drives</w:t>
      </w:r>
      <w:r>
        <w:t xml:space="preserve"> differences in the time and effort required</w:t>
      </w:r>
      <w:sdt>
        <w:sdtPr>
          <w:id w:val="75627888"/>
          <w:citation/>
        </w:sdtPr>
        <w:sdtContent>
          <w:r w:rsidR="00C23440" w:rsidRPr="00195D94">
            <w:fldChar w:fldCharType="begin"/>
          </w:r>
          <w:r w:rsidR="00F063CA" w:rsidRPr="00195D94">
            <w:instrText xml:space="preserve"> CITATION PS \l 3081  </w:instrText>
          </w:r>
          <w:r w:rsidR="00C23440" w:rsidRPr="00195D94">
            <w:fldChar w:fldCharType="separate"/>
          </w:r>
          <w:r w:rsidR="00F77425">
            <w:rPr>
              <w:noProof/>
            </w:rPr>
            <w:t xml:space="preserve"> (Employment Service Provider Survey, 2010)</w:t>
          </w:r>
          <w:r w:rsidR="00C23440" w:rsidRPr="00195D94">
            <w:fldChar w:fldCharType="end"/>
          </w:r>
        </w:sdtContent>
      </w:sdt>
      <w:r w:rsidR="0039389C" w:rsidRPr="007C486B">
        <w:rPr>
          <w:rStyle w:val="Hyperlink"/>
        </w:rPr>
        <w:t>.</w:t>
      </w:r>
    </w:p>
    <w:p w:rsidR="008E7353" w:rsidRDefault="00D8163E" w:rsidP="0039389C">
      <w:proofErr w:type="gramStart"/>
      <w:r w:rsidRPr="008429C6">
        <w:t>Ju</w:t>
      </w:r>
      <w:r w:rsidR="007451AD" w:rsidRPr="008429C6">
        <w:t xml:space="preserve">st under half of </w:t>
      </w:r>
      <w:r w:rsidR="00E17417" w:rsidRPr="008429C6">
        <w:t xml:space="preserve">service </w:t>
      </w:r>
      <w:r w:rsidR="007451AD" w:rsidRPr="008429C6">
        <w:t xml:space="preserve">providers </w:t>
      </w:r>
      <w:r w:rsidRPr="008429C6">
        <w:t xml:space="preserve">report spending an average of </w:t>
      </w:r>
      <w:r w:rsidR="007451AD" w:rsidRPr="008429C6">
        <w:t>16-30 minutes on initial</w:t>
      </w:r>
      <w:r w:rsidR="007451AD" w:rsidRPr="005472E8">
        <w:t xml:space="preserve"> contact and registration </w:t>
      </w:r>
      <w:r>
        <w:t>for Stream 1 job seekers</w:t>
      </w:r>
      <w:r w:rsidR="00716CFD">
        <w:t>,</w:t>
      </w:r>
      <w:r>
        <w:t xml:space="preserve"> </w:t>
      </w:r>
      <w:r w:rsidR="007451AD" w:rsidRPr="005472E8">
        <w:t>and around 36</w:t>
      </w:r>
      <w:r>
        <w:t xml:space="preserve"> per cent report spending </w:t>
      </w:r>
      <w:r w:rsidR="007451AD" w:rsidRPr="005472E8">
        <w:t>over 30 minutes.</w:t>
      </w:r>
      <w:proofErr w:type="gramEnd"/>
      <w:r w:rsidR="007451AD" w:rsidRPr="005472E8">
        <w:t xml:space="preserve"> For Streams 2 to 4, most sites spend </w:t>
      </w:r>
      <w:r w:rsidR="004C3DF4">
        <w:t xml:space="preserve">on average </w:t>
      </w:r>
      <w:r w:rsidR="007451AD" w:rsidRPr="005472E8">
        <w:t xml:space="preserve">more than 30 minutes on initial </w:t>
      </w:r>
    </w:p>
    <w:p w:rsidR="008E7353" w:rsidRDefault="008E7353">
      <w:pPr>
        <w:spacing w:before="0" w:after="0"/>
      </w:pPr>
      <w:r>
        <w:br w:type="page"/>
      </w:r>
    </w:p>
    <w:p w:rsidR="005472E8" w:rsidRDefault="007451AD" w:rsidP="0039389C">
      <w:proofErr w:type="gramStart"/>
      <w:r w:rsidRPr="005472E8">
        <w:t>contact</w:t>
      </w:r>
      <w:proofErr w:type="gramEnd"/>
      <w:r w:rsidRPr="005472E8">
        <w:t xml:space="preserve"> and registration, including preparation of Employment Pathway Plans (EPP) – 89</w:t>
      </w:r>
      <w:r w:rsidR="00A05738">
        <w:t xml:space="preserve"> per cent</w:t>
      </w:r>
      <w:r w:rsidRPr="005472E8">
        <w:t xml:space="preserve"> of Stream 2-3 and 95</w:t>
      </w:r>
      <w:r w:rsidR="00A05738">
        <w:t xml:space="preserve"> per cent</w:t>
      </w:r>
      <w:r w:rsidRPr="005472E8">
        <w:t xml:space="preserve"> of </w:t>
      </w:r>
      <w:r w:rsidR="00A05738">
        <w:t xml:space="preserve">Stream 4 </w:t>
      </w:r>
      <w:r w:rsidR="0086638D" w:rsidRPr="005472E8">
        <w:t>(</w:t>
      </w:r>
      <w:hyperlink w:anchor="Table1" w:tooltip="Table 1" w:history="1">
        <w:r w:rsidR="0086638D" w:rsidRPr="003448C1">
          <w:rPr>
            <w:rStyle w:val="Hyperlink"/>
          </w:rPr>
          <w:t xml:space="preserve">Table </w:t>
        </w:r>
        <w:r w:rsidR="0091766A" w:rsidRPr="003448C1">
          <w:rPr>
            <w:rStyle w:val="Hyperlink"/>
          </w:rPr>
          <w:t>1</w:t>
        </w:r>
      </w:hyperlink>
      <w:r w:rsidR="0086638D" w:rsidRPr="005472E8">
        <w:t xml:space="preserve">) </w:t>
      </w:r>
      <w:r w:rsidR="00AA1DD9" w:rsidRPr="001329BC">
        <w:t>(Employment Service Provider Survey, 2010)</w:t>
      </w:r>
      <w:r w:rsidR="00D8163E" w:rsidRPr="001329BC">
        <w:t>.</w:t>
      </w:r>
    </w:p>
    <w:p w:rsidR="007451AD" w:rsidRPr="005F433F" w:rsidRDefault="007451AD" w:rsidP="008E7353">
      <w:pPr>
        <w:pStyle w:val="Captionbefore12"/>
      </w:pPr>
      <w:bookmarkStart w:id="46" w:name="Table1"/>
      <w:bookmarkEnd w:id="46"/>
      <w:r w:rsidRPr="005F433F">
        <w:t xml:space="preserve">Table </w:t>
      </w:r>
      <w:r w:rsidR="0091766A" w:rsidRPr="005F433F">
        <w:t>1</w:t>
      </w:r>
      <w:r w:rsidRPr="005F433F">
        <w:t>: Reported average time spent on initial contact tasks (</w:t>
      </w:r>
      <w:r w:rsidR="00A74022">
        <w:t>per cent</w:t>
      </w:r>
      <w:r w:rsidRPr="005F433F">
        <w:t>)</w:t>
      </w:r>
    </w:p>
    <w:tbl>
      <w:tblPr>
        <w:tblW w:w="8080" w:type="dxa"/>
        <w:tblInd w:w="80" w:type="dxa"/>
        <w:tblBorders>
          <w:top w:val="single" w:sz="4" w:space="0" w:color="auto"/>
          <w:bottom w:val="single" w:sz="4" w:space="0" w:color="auto"/>
        </w:tblBorders>
        <w:shd w:val="clear" w:color="auto" w:fill="002F63"/>
        <w:tblLayout w:type="fixed"/>
        <w:tblCellMar>
          <w:left w:w="0" w:type="dxa"/>
          <w:right w:w="0" w:type="dxa"/>
        </w:tblCellMar>
        <w:tblLook w:val="00A0"/>
      </w:tblPr>
      <w:tblGrid>
        <w:gridCol w:w="3686"/>
        <w:gridCol w:w="878"/>
        <w:gridCol w:w="879"/>
        <w:gridCol w:w="879"/>
        <w:gridCol w:w="879"/>
        <w:gridCol w:w="879"/>
      </w:tblGrid>
      <w:tr w:rsidR="0086638D" w:rsidRPr="00F33398" w:rsidTr="009C741D">
        <w:trPr>
          <w:cantSplit/>
          <w:trHeight w:val="60"/>
          <w:tblHeader/>
        </w:trPr>
        <w:tc>
          <w:tcPr>
            <w:tcW w:w="3686"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86638D" w:rsidRPr="007C486B" w:rsidRDefault="007C486B" w:rsidP="004D1BCB">
            <w:pPr>
              <w:pStyle w:val="TableHeadingtext"/>
            </w:pPr>
            <w:r>
              <w:t>Stream</w:t>
            </w:r>
          </w:p>
        </w:tc>
        <w:tc>
          <w:tcPr>
            <w:tcW w:w="878"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86638D" w:rsidRPr="0086638D" w:rsidRDefault="0086638D" w:rsidP="004D1BCB">
            <w:pPr>
              <w:pStyle w:val="TableHeadingtext"/>
              <w:jc w:val="center"/>
              <w:rPr>
                <w:bCs/>
              </w:rPr>
            </w:pPr>
            <w:r w:rsidRPr="0086638D">
              <w:rPr>
                <w:bCs/>
              </w:rPr>
              <w:t>Up to 15 mins</w:t>
            </w:r>
          </w:p>
        </w:tc>
        <w:tc>
          <w:tcPr>
            <w:tcW w:w="879"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86638D" w:rsidRPr="0086638D" w:rsidRDefault="0086638D" w:rsidP="004D1BCB">
            <w:pPr>
              <w:pStyle w:val="TableHeadingtext"/>
              <w:jc w:val="center"/>
              <w:rPr>
                <w:bCs/>
              </w:rPr>
            </w:pPr>
            <w:r w:rsidRPr="0086638D">
              <w:rPr>
                <w:bCs/>
              </w:rPr>
              <w:t>16-30 mins</w:t>
            </w:r>
          </w:p>
        </w:tc>
        <w:tc>
          <w:tcPr>
            <w:tcW w:w="879"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86638D" w:rsidRPr="0086638D" w:rsidRDefault="0086638D" w:rsidP="004D1BCB">
            <w:pPr>
              <w:pStyle w:val="TableHeadingtext"/>
              <w:jc w:val="center"/>
              <w:rPr>
                <w:bCs/>
              </w:rPr>
            </w:pPr>
            <w:r w:rsidRPr="0086638D">
              <w:rPr>
                <w:bCs/>
              </w:rPr>
              <w:t>31-60 mins</w:t>
            </w:r>
          </w:p>
        </w:tc>
        <w:tc>
          <w:tcPr>
            <w:tcW w:w="879" w:type="dxa"/>
            <w:tcBorders>
              <w:top w:val="single" w:sz="4" w:space="0" w:color="auto"/>
              <w:bottom w:val="single" w:sz="4" w:space="0" w:color="auto"/>
            </w:tcBorders>
            <w:vAlign w:val="bottom"/>
          </w:tcPr>
          <w:p w:rsidR="0086638D" w:rsidRPr="0086638D" w:rsidRDefault="0086638D" w:rsidP="004D1BCB">
            <w:pPr>
              <w:pStyle w:val="TableHeadingtext"/>
              <w:jc w:val="center"/>
              <w:rPr>
                <w:bCs/>
              </w:rPr>
            </w:pPr>
            <w:r w:rsidRPr="0086638D">
              <w:rPr>
                <w:bCs/>
              </w:rPr>
              <w:t>More than 1 hour</w:t>
            </w:r>
          </w:p>
        </w:tc>
        <w:tc>
          <w:tcPr>
            <w:tcW w:w="879" w:type="dxa"/>
            <w:tcBorders>
              <w:top w:val="single" w:sz="4" w:space="0" w:color="auto"/>
              <w:bottom w:val="single" w:sz="4" w:space="0" w:color="auto"/>
            </w:tcBorders>
            <w:vAlign w:val="bottom"/>
          </w:tcPr>
          <w:p w:rsidR="0086638D" w:rsidRPr="0086638D" w:rsidRDefault="0086638D" w:rsidP="004D1BCB">
            <w:pPr>
              <w:pStyle w:val="TableHeadingtext"/>
              <w:jc w:val="center"/>
              <w:rPr>
                <w:bCs/>
              </w:rPr>
            </w:pPr>
            <w:r w:rsidRPr="0086638D">
              <w:rPr>
                <w:bCs/>
              </w:rPr>
              <w:t>Total</w:t>
            </w:r>
          </w:p>
        </w:tc>
      </w:tr>
      <w:tr w:rsidR="0086638D" w:rsidRPr="0086638D" w:rsidTr="009C741D">
        <w:trPr>
          <w:cantSplit/>
          <w:trHeight w:val="397"/>
          <w:tblHeader/>
        </w:trPr>
        <w:tc>
          <w:tcPr>
            <w:tcW w:w="3686" w:type="dxa"/>
            <w:tcBorders>
              <w:top w:val="single" w:sz="4" w:space="0" w:color="auto"/>
            </w:tcBorders>
            <w:shd w:val="clear" w:color="auto" w:fill="auto"/>
            <w:tcMar>
              <w:top w:w="80" w:type="dxa"/>
              <w:left w:w="80" w:type="dxa"/>
              <w:bottom w:w="80" w:type="dxa"/>
              <w:right w:w="80" w:type="dxa"/>
            </w:tcMar>
            <w:vAlign w:val="bottom"/>
          </w:tcPr>
          <w:p w:rsidR="0086638D" w:rsidRPr="00A540C4" w:rsidRDefault="0086638D" w:rsidP="00E46A28">
            <w:pPr>
              <w:pStyle w:val="tabletext"/>
            </w:pPr>
            <w:r w:rsidRPr="00A540C4">
              <w:t>Stream 1 i</w:t>
            </w:r>
            <w:r w:rsidR="005472E8">
              <w:t>nitial contact and registration</w:t>
            </w:r>
          </w:p>
        </w:tc>
        <w:tc>
          <w:tcPr>
            <w:tcW w:w="878" w:type="dxa"/>
            <w:tcBorders>
              <w:top w:val="single" w:sz="4" w:space="0" w:color="auto"/>
            </w:tcBorders>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17</w:t>
            </w:r>
          </w:p>
        </w:tc>
        <w:tc>
          <w:tcPr>
            <w:tcW w:w="879" w:type="dxa"/>
            <w:tcBorders>
              <w:top w:val="single" w:sz="4" w:space="0" w:color="auto"/>
            </w:tcBorders>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47</w:t>
            </w:r>
          </w:p>
        </w:tc>
        <w:tc>
          <w:tcPr>
            <w:tcW w:w="879" w:type="dxa"/>
            <w:tcBorders>
              <w:top w:val="single" w:sz="4" w:space="0" w:color="auto"/>
            </w:tcBorders>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33</w:t>
            </w:r>
          </w:p>
        </w:tc>
        <w:tc>
          <w:tcPr>
            <w:tcW w:w="879" w:type="dxa"/>
            <w:tcBorders>
              <w:top w:val="single" w:sz="4" w:space="0" w:color="auto"/>
            </w:tcBorders>
            <w:vAlign w:val="bottom"/>
          </w:tcPr>
          <w:p w:rsidR="0086638D" w:rsidRPr="00A540C4" w:rsidRDefault="0086638D" w:rsidP="00E46A28">
            <w:pPr>
              <w:pStyle w:val="tabletext"/>
              <w:jc w:val="center"/>
            </w:pPr>
            <w:r w:rsidRPr="00A540C4">
              <w:t>3</w:t>
            </w:r>
          </w:p>
        </w:tc>
        <w:tc>
          <w:tcPr>
            <w:tcW w:w="879" w:type="dxa"/>
            <w:tcBorders>
              <w:top w:val="single" w:sz="4" w:space="0" w:color="auto"/>
            </w:tcBorders>
            <w:vAlign w:val="bottom"/>
          </w:tcPr>
          <w:p w:rsidR="0086638D" w:rsidRPr="00A540C4" w:rsidRDefault="0086638D" w:rsidP="00E46A28">
            <w:pPr>
              <w:pStyle w:val="tabletext"/>
              <w:jc w:val="center"/>
            </w:pPr>
            <w:r w:rsidRPr="00A540C4">
              <w:t>100</w:t>
            </w:r>
          </w:p>
        </w:tc>
      </w:tr>
      <w:tr w:rsidR="0086638D" w:rsidRPr="0086638D" w:rsidTr="009C741D">
        <w:trPr>
          <w:cantSplit/>
          <w:trHeight w:val="407"/>
          <w:tblHeader/>
        </w:trPr>
        <w:tc>
          <w:tcPr>
            <w:tcW w:w="3686" w:type="dxa"/>
            <w:shd w:val="clear" w:color="auto" w:fill="auto"/>
            <w:tcMar>
              <w:top w:w="80" w:type="dxa"/>
              <w:left w:w="80" w:type="dxa"/>
              <w:bottom w:w="80" w:type="dxa"/>
              <w:right w:w="80" w:type="dxa"/>
            </w:tcMar>
            <w:vAlign w:val="bottom"/>
          </w:tcPr>
          <w:p w:rsidR="0086638D" w:rsidRPr="00A540C4" w:rsidRDefault="0086638D" w:rsidP="00E46A28">
            <w:pPr>
              <w:pStyle w:val="tabletext"/>
            </w:pPr>
            <w:r w:rsidRPr="00A540C4">
              <w:t>Str</w:t>
            </w:r>
            <w:r w:rsidR="005472E8">
              <w:t>eam 1 initial skills assessment</w:t>
            </w:r>
          </w:p>
        </w:tc>
        <w:tc>
          <w:tcPr>
            <w:tcW w:w="878"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4</w:t>
            </w:r>
          </w:p>
        </w:tc>
        <w:tc>
          <w:tcPr>
            <w:tcW w:w="879"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25</w:t>
            </w:r>
          </w:p>
        </w:tc>
        <w:tc>
          <w:tcPr>
            <w:tcW w:w="879"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59</w:t>
            </w:r>
          </w:p>
        </w:tc>
        <w:tc>
          <w:tcPr>
            <w:tcW w:w="879" w:type="dxa"/>
            <w:vAlign w:val="bottom"/>
          </w:tcPr>
          <w:p w:rsidR="0086638D" w:rsidRPr="00A540C4" w:rsidRDefault="0086638D" w:rsidP="00E46A28">
            <w:pPr>
              <w:pStyle w:val="tabletext"/>
              <w:jc w:val="center"/>
            </w:pPr>
            <w:r w:rsidRPr="00A540C4">
              <w:t>12</w:t>
            </w:r>
          </w:p>
        </w:tc>
        <w:tc>
          <w:tcPr>
            <w:tcW w:w="879" w:type="dxa"/>
            <w:vAlign w:val="bottom"/>
          </w:tcPr>
          <w:p w:rsidR="0086638D" w:rsidRPr="00A540C4" w:rsidRDefault="0086638D" w:rsidP="00E46A28">
            <w:pPr>
              <w:pStyle w:val="tabletext"/>
              <w:jc w:val="center"/>
            </w:pPr>
            <w:r w:rsidRPr="00A540C4">
              <w:t>100</w:t>
            </w:r>
          </w:p>
        </w:tc>
      </w:tr>
      <w:tr w:rsidR="0086638D" w:rsidRPr="0086638D" w:rsidTr="009C741D">
        <w:trPr>
          <w:cantSplit/>
          <w:trHeight w:val="359"/>
          <w:tblHeader/>
        </w:trPr>
        <w:tc>
          <w:tcPr>
            <w:tcW w:w="3686" w:type="dxa"/>
            <w:shd w:val="clear" w:color="auto" w:fill="auto"/>
            <w:tcMar>
              <w:top w:w="80" w:type="dxa"/>
              <w:left w:w="80" w:type="dxa"/>
              <w:bottom w:w="80" w:type="dxa"/>
              <w:right w:w="80" w:type="dxa"/>
            </w:tcMar>
            <w:vAlign w:val="bottom"/>
          </w:tcPr>
          <w:p w:rsidR="0086638D" w:rsidRPr="00A540C4" w:rsidRDefault="0086638D" w:rsidP="00E46A28">
            <w:pPr>
              <w:pStyle w:val="tabletext"/>
            </w:pPr>
            <w:r w:rsidRPr="00A540C4">
              <w:t xml:space="preserve">Stream 1 first EPP update </w:t>
            </w:r>
          </w:p>
        </w:tc>
        <w:tc>
          <w:tcPr>
            <w:tcW w:w="878"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10</w:t>
            </w:r>
          </w:p>
        </w:tc>
        <w:tc>
          <w:tcPr>
            <w:tcW w:w="879"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45</w:t>
            </w:r>
          </w:p>
        </w:tc>
        <w:tc>
          <w:tcPr>
            <w:tcW w:w="879"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42</w:t>
            </w:r>
          </w:p>
        </w:tc>
        <w:tc>
          <w:tcPr>
            <w:tcW w:w="879" w:type="dxa"/>
            <w:vAlign w:val="bottom"/>
          </w:tcPr>
          <w:p w:rsidR="0086638D" w:rsidRPr="00A540C4" w:rsidRDefault="0086638D" w:rsidP="00E46A28">
            <w:pPr>
              <w:pStyle w:val="tabletext"/>
              <w:jc w:val="center"/>
            </w:pPr>
            <w:r w:rsidRPr="00A540C4">
              <w:t>3</w:t>
            </w:r>
          </w:p>
        </w:tc>
        <w:tc>
          <w:tcPr>
            <w:tcW w:w="879" w:type="dxa"/>
            <w:vAlign w:val="bottom"/>
          </w:tcPr>
          <w:p w:rsidR="0086638D" w:rsidRPr="00A540C4" w:rsidRDefault="0086638D" w:rsidP="00E46A28">
            <w:pPr>
              <w:pStyle w:val="tabletext"/>
              <w:jc w:val="center"/>
            </w:pPr>
            <w:r w:rsidRPr="00A540C4">
              <w:t>100</w:t>
            </w:r>
          </w:p>
        </w:tc>
      </w:tr>
      <w:tr w:rsidR="0086638D" w:rsidRPr="0086638D" w:rsidTr="009C741D">
        <w:trPr>
          <w:cantSplit/>
          <w:trHeight w:val="311"/>
          <w:tblHeader/>
        </w:trPr>
        <w:tc>
          <w:tcPr>
            <w:tcW w:w="3686" w:type="dxa"/>
            <w:shd w:val="clear" w:color="auto" w:fill="auto"/>
            <w:tcMar>
              <w:top w:w="80" w:type="dxa"/>
              <w:left w:w="80" w:type="dxa"/>
              <w:bottom w:w="80" w:type="dxa"/>
              <w:right w:w="80" w:type="dxa"/>
            </w:tcMar>
            <w:vAlign w:val="bottom"/>
          </w:tcPr>
          <w:p w:rsidR="0086638D" w:rsidRPr="00A540C4" w:rsidRDefault="0086638D" w:rsidP="00E46A28">
            <w:pPr>
              <w:pStyle w:val="tabletext"/>
            </w:pPr>
            <w:r w:rsidRPr="00A540C4">
              <w:t>Stream 2-3 initial contact and registration</w:t>
            </w:r>
            <w:r w:rsidR="00D212BC" w:rsidRPr="00A540C4">
              <w:t xml:space="preserve"> </w:t>
            </w:r>
          </w:p>
        </w:tc>
        <w:tc>
          <w:tcPr>
            <w:tcW w:w="878"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1</w:t>
            </w:r>
          </w:p>
        </w:tc>
        <w:tc>
          <w:tcPr>
            <w:tcW w:w="879"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11</w:t>
            </w:r>
          </w:p>
        </w:tc>
        <w:tc>
          <w:tcPr>
            <w:tcW w:w="879"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70</w:t>
            </w:r>
          </w:p>
        </w:tc>
        <w:tc>
          <w:tcPr>
            <w:tcW w:w="879" w:type="dxa"/>
            <w:vAlign w:val="bottom"/>
          </w:tcPr>
          <w:p w:rsidR="0086638D" w:rsidRPr="00A540C4" w:rsidRDefault="0086638D" w:rsidP="00E46A28">
            <w:pPr>
              <w:pStyle w:val="tabletext"/>
              <w:jc w:val="center"/>
            </w:pPr>
            <w:r w:rsidRPr="00A540C4">
              <w:t>19</w:t>
            </w:r>
          </w:p>
        </w:tc>
        <w:tc>
          <w:tcPr>
            <w:tcW w:w="879" w:type="dxa"/>
            <w:vAlign w:val="bottom"/>
          </w:tcPr>
          <w:p w:rsidR="0086638D" w:rsidRPr="00A540C4" w:rsidRDefault="0086638D" w:rsidP="00E46A28">
            <w:pPr>
              <w:pStyle w:val="tabletext"/>
              <w:jc w:val="center"/>
            </w:pPr>
            <w:r w:rsidRPr="00A540C4">
              <w:t>100</w:t>
            </w:r>
          </w:p>
        </w:tc>
      </w:tr>
      <w:tr w:rsidR="0086638D" w:rsidRPr="0086638D" w:rsidTr="009C741D">
        <w:trPr>
          <w:cantSplit/>
          <w:trHeight w:val="60"/>
          <w:tblHeader/>
        </w:trPr>
        <w:tc>
          <w:tcPr>
            <w:tcW w:w="3686" w:type="dxa"/>
            <w:shd w:val="clear" w:color="auto" w:fill="auto"/>
            <w:tcMar>
              <w:top w:w="80" w:type="dxa"/>
              <w:left w:w="80" w:type="dxa"/>
              <w:bottom w:w="80" w:type="dxa"/>
              <w:right w:w="80" w:type="dxa"/>
            </w:tcMar>
            <w:vAlign w:val="bottom"/>
          </w:tcPr>
          <w:p w:rsidR="0086638D" w:rsidRPr="00A540C4" w:rsidRDefault="0086638D" w:rsidP="00E46A28">
            <w:pPr>
              <w:pStyle w:val="tabletext"/>
            </w:pPr>
            <w:r w:rsidRPr="00A540C4">
              <w:t>Stream 4 initial contact and registration</w:t>
            </w:r>
            <w:r w:rsidR="00D212BC" w:rsidRPr="00A540C4">
              <w:t xml:space="preserve"> </w:t>
            </w:r>
          </w:p>
        </w:tc>
        <w:tc>
          <w:tcPr>
            <w:tcW w:w="878" w:type="dxa"/>
            <w:shd w:val="clear" w:color="auto" w:fill="auto"/>
            <w:tcMar>
              <w:top w:w="80" w:type="dxa"/>
              <w:left w:w="80" w:type="dxa"/>
              <w:bottom w:w="80" w:type="dxa"/>
              <w:right w:w="80" w:type="dxa"/>
            </w:tcMar>
            <w:vAlign w:val="bottom"/>
          </w:tcPr>
          <w:p w:rsidR="0086638D" w:rsidRPr="00A540C4" w:rsidRDefault="00A74022" w:rsidP="00E46A28">
            <w:pPr>
              <w:pStyle w:val="tabletext"/>
              <w:jc w:val="center"/>
            </w:pPr>
            <w:r>
              <w:t>–</w:t>
            </w:r>
          </w:p>
        </w:tc>
        <w:tc>
          <w:tcPr>
            <w:tcW w:w="879"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4</w:t>
            </w:r>
          </w:p>
        </w:tc>
        <w:tc>
          <w:tcPr>
            <w:tcW w:w="879" w:type="dxa"/>
            <w:shd w:val="clear" w:color="auto" w:fill="auto"/>
            <w:tcMar>
              <w:top w:w="80" w:type="dxa"/>
              <w:left w:w="80" w:type="dxa"/>
              <w:bottom w:w="80" w:type="dxa"/>
              <w:right w:w="80" w:type="dxa"/>
            </w:tcMar>
            <w:vAlign w:val="bottom"/>
          </w:tcPr>
          <w:p w:rsidR="0086638D" w:rsidRPr="00A540C4" w:rsidRDefault="0086638D" w:rsidP="00E46A28">
            <w:pPr>
              <w:pStyle w:val="tabletext"/>
              <w:jc w:val="center"/>
            </w:pPr>
            <w:r w:rsidRPr="00A540C4">
              <w:t>48</w:t>
            </w:r>
          </w:p>
        </w:tc>
        <w:tc>
          <w:tcPr>
            <w:tcW w:w="879" w:type="dxa"/>
            <w:vAlign w:val="bottom"/>
          </w:tcPr>
          <w:p w:rsidR="0086638D" w:rsidRPr="00A540C4" w:rsidRDefault="0086638D" w:rsidP="00E46A28">
            <w:pPr>
              <w:pStyle w:val="tabletext"/>
              <w:jc w:val="center"/>
            </w:pPr>
            <w:r w:rsidRPr="00A540C4">
              <w:t>47</w:t>
            </w:r>
          </w:p>
        </w:tc>
        <w:tc>
          <w:tcPr>
            <w:tcW w:w="879" w:type="dxa"/>
            <w:vAlign w:val="bottom"/>
          </w:tcPr>
          <w:p w:rsidR="0086638D" w:rsidRPr="00A540C4" w:rsidRDefault="0086638D" w:rsidP="00E46A28">
            <w:pPr>
              <w:pStyle w:val="tabletext"/>
              <w:jc w:val="center"/>
            </w:pPr>
            <w:r w:rsidRPr="00A540C4">
              <w:t>100</w:t>
            </w:r>
          </w:p>
        </w:tc>
      </w:tr>
    </w:tbl>
    <w:p w:rsidR="00503EFB" w:rsidRPr="00716CFD" w:rsidRDefault="00A74022" w:rsidP="00716CFD">
      <w:pPr>
        <w:pStyle w:val="Sourceandnotetexthanging"/>
        <w:rPr>
          <w:b w:val="0"/>
        </w:rPr>
      </w:pPr>
      <w:r w:rsidRPr="00A74022">
        <w:t>Note:</w:t>
      </w:r>
      <w:r w:rsidR="00157E5D" w:rsidRPr="00157E5D">
        <w:tab/>
      </w:r>
      <w:r w:rsidR="00157E5D" w:rsidRPr="00716CFD">
        <w:rPr>
          <w:b w:val="0"/>
        </w:rPr>
        <w:t xml:space="preserve">Figures have been rounded and discrepancies may occur between sums of the component items and totals. </w:t>
      </w:r>
    </w:p>
    <w:p w:rsidR="007451AD" w:rsidRDefault="007451AD" w:rsidP="0086638D">
      <w:pPr>
        <w:pStyle w:val="Sourceandnotetext"/>
      </w:pPr>
      <w:r w:rsidRPr="0086638D">
        <w:rPr>
          <w:b/>
          <w:bCs/>
        </w:rPr>
        <w:t>Source:</w:t>
      </w:r>
      <w:r>
        <w:t xml:space="preserve"> DEEWR Survey of Employment Service Providers 2010</w:t>
      </w:r>
    </w:p>
    <w:p w:rsidR="007451AD" w:rsidRDefault="00D8163E" w:rsidP="007451AD">
      <w:r w:rsidRPr="00D8163E">
        <w:t xml:space="preserve">There is no </w:t>
      </w:r>
      <w:r w:rsidR="00A74022">
        <w:t xml:space="preserve">statistically </w:t>
      </w:r>
      <w:r w:rsidRPr="00D8163E">
        <w:t xml:space="preserve">significant association between provider performance and the amount of time providers report spending on </w:t>
      </w:r>
      <w:r w:rsidR="0039389C">
        <w:t>initial connection and assessment tasks</w:t>
      </w:r>
      <w:r w:rsidRPr="00D8163E">
        <w:t xml:space="preserve">. </w:t>
      </w:r>
      <w:r>
        <w:t>W</w:t>
      </w:r>
      <w:r w:rsidR="007451AD">
        <w:t xml:space="preserve">hile the average time spent in initial contact is not linked to site performance, </w:t>
      </w:r>
      <w:r w:rsidR="0039389C">
        <w:t xml:space="preserve">however, </w:t>
      </w:r>
      <w:r w:rsidR="007451AD">
        <w:t xml:space="preserve">the content and style does tend to vary with performance level. </w:t>
      </w:r>
    </w:p>
    <w:p w:rsidR="007451AD" w:rsidRPr="0039389C" w:rsidRDefault="007451AD" w:rsidP="00B4074B">
      <w:r w:rsidRPr="000D575C">
        <w:t xml:space="preserve">Higher performing sites tend to regard the first appointment as a crucial time to build rapport with job seekers, </w:t>
      </w:r>
      <w:r w:rsidR="0039389C" w:rsidRPr="000D575C">
        <w:t xml:space="preserve">particularly those in Streams 2 to </w:t>
      </w:r>
      <w:r w:rsidRPr="000D575C">
        <w:t>4</w:t>
      </w:r>
      <w:r w:rsidR="004C142E" w:rsidRPr="000D575C">
        <w:t xml:space="preserve"> </w:t>
      </w:r>
      <w:r w:rsidR="00AA1DD9" w:rsidRPr="00195D94">
        <w:rPr>
          <w:noProof/>
        </w:rPr>
        <w:t>(discussions with service providers, 2010)</w:t>
      </w:r>
      <w:r w:rsidRPr="00B4074B">
        <w:t>.</w:t>
      </w:r>
      <w:r w:rsidRPr="0039389C">
        <w:t xml:space="preserve"> Employment consultants</w:t>
      </w:r>
      <w:r w:rsidR="0039389C">
        <w:t xml:space="preserve"> and site managers </w:t>
      </w:r>
      <w:r w:rsidRPr="0039389C">
        <w:t xml:space="preserve">from </w:t>
      </w:r>
      <w:r w:rsidR="0039389C">
        <w:t>high performing</w:t>
      </w:r>
      <w:r w:rsidRPr="0039389C">
        <w:t xml:space="preserve"> sites report using a number of strategies</w:t>
      </w:r>
      <w:r w:rsidR="0039389C">
        <w:t xml:space="preserve"> to </w:t>
      </w:r>
      <w:r w:rsidR="0023610F">
        <w:t>ensure that initial contact</w:t>
      </w:r>
      <w:r w:rsidR="004C142E">
        <w:t>s</w:t>
      </w:r>
      <w:r w:rsidR="0023610F">
        <w:t xml:space="preserve"> establish a foundation for a productive servicing relationship</w:t>
      </w:r>
      <w:r w:rsidRPr="0039389C">
        <w:t xml:space="preserve">, including: </w:t>
      </w:r>
    </w:p>
    <w:p w:rsidR="00A50577" w:rsidRPr="0039389C" w:rsidRDefault="007116F7" w:rsidP="00530524">
      <w:pPr>
        <w:pStyle w:val="ListBullet"/>
      </w:pPr>
      <w:r>
        <w:t xml:space="preserve">Maintaining </w:t>
      </w:r>
      <w:r w:rsidR="00A50577" w:rsidRPr="0039389C">
        <w:t>a friendly and welcoming approach</w:t>
      </w:r>
      <w:r>
        <w:t>.</w:t>
      </w:r>
    </w:p>
    <w:p w:rsidR="007451AD" w:rsidRPr="0039389C" w:rsidRDefault="007116F7" w:rsidP="00530524">
      <w:pPr>
        <w:pStyle w:val="ListBullet"/>
      </w:pPr>
      <w:r w:rsidRPr="000D575C">
        <w:t>Ma</w:t>
      </w:r>
      <w:r w:rsidR="007451AD" w:rsidRPr="000D575C">
        <w:t xml:space="preserve">tching the employment consultant to the job seeker </w:t>
      </w:r>
      <w:r w:rsidR="007451AD" w:rsidRPr="0039389C">
        <w:t xml:space="preserve">by characteristics such as age, sex and cultural background, or employing employment consultants </w:t>
      </w:r>
      <w:r w:rsidR="00A74022">
        <w:t>who</w:t>
      </w:r>
      <w:r w:rsidR="007451AD" w:rsidRPr="0039389C">
        <w:t xml:space="preserve"> are able to adjust their ‘style’ </w:t>
      </w:r>
      <w:r w:rsidR="001C4EDF" w:rsidRPr="0039389C">
        <w:t>to suit a range of job seekers</w:t>
      </w:r>
      <w:r>
        <w:t>.</w:t>
      </w:r>
    </w:p>
    <w:p w:rsidR="00E47009" w:rsidRPr="0039389C" w:rsidRDefault="00C57075" w:rsidP="00530524">
      <w:pPr>
        <w:pStyle w:val="ListBullet"/>
      </w:pPr>
      <w:r w:rsidRPr="00F3270F">
        <w:rPr>
          <w:rStyle w:val="Emphasis"/>
        </w:rPr>
        <w:t xml:space="preserve">Clearly </w:t>
      </w:r>
      <w:r w:rsidR="00E47009" w:rsidRPr="000D575C">
        <w:t>explaining the purpose and procedures around the services offered</w:t>
      </w:r>
      <w:r w:rsidR="00E47009" w:rsidRPr="0039389C">
        <w:t>, including what they can offer job seekers, compliance requirements and procedures, and any re-assessment processes such as Job Capacity Assessments (</w:t>
      </w:r>
      <w:proofErr w:type="spellStart"/>
      <w:r w:rsidR="00E47009" w:rsidRPr="0039389C">
        <w:t>JCA</w:t>
      </w:r>
      <w:proofErr w:type="spellEnd"/>
      <w:r w:rsidR="00E47009" w:rsidRPr="0039389C">
        <w:t>) (now Employment Services Assessment</w:t>
      </w:r>
      <w:r w:rsidR="00A50577" w:rsidRPr="0039389C">
        <w:t>s</w:t>
      </w:r>
      <w:r w:rsidR="00E47009" w:rsidRPr="0039389C">
        <w:t xml:space="preserve"> (</w:t>
      </w:r>
      <w:proofErr w:type="spellStart"/>
      <w:r w:rsidR="00E47009" w:rsidRPr="0039389C">
        <w:t>ESAt</w:t>
      </w:r>
      <w:proofErr w:type="spellEnd"/>
      <w:r w:rsidR="00A74022">
        <w:t>)</w:t>
      </w:r>
      <w:r w:rsidR="00E47009" w:rsidRPr="0039389C">
        <w:t>)</w:t>
      </w:r>
      <w:r w:rsidR="007116F7">
        <w:t>.</w:t>
      </w:r>
    </w:p>
    <w:p w:rsidR="007451AD" w:rsidRPr="0039389C" w:rsidRDefault="007116F7" w:rsidP="00530524">
      <w:pPr>
        <w:pStyle w:val="ListBullet"/>
      </w:pPr>
      <w:r>
        <w:t>A</w:t>
      </w:r>
      <w:r w:rsidR="007451AD" w:rsidRPr="0039389C">
        <w:t>llowing time</w:t>
      </w:r>
      <w:r w:rsidRPr="007116F7">
        <w:t xml:space="preserve"> </w:t>
      </w:r>
      <w:r w:rsidRPr="0039389C">
        <w:t>for job seekers to ‘open up’</w:t>
      </w:r>
      <w:r w:rsidR="007451AD" w:rsidRPr="0039389C">
        <w:t>, in</w:t>
      </w:r>
      <w:r>
        <w:t xml:space="preserve"> the first appointment or over subsequent appointments.</w:t>
      </w:r>
      <w:r w:rsidR="007451AD" w:rsidRPr="0039389C">
        <w:t xml:space="preserve"> </w:t>
      </w:r>
    </w:p>
    <w:p w:rsidR="007451AD" w:rsidRPr="000D575C" w:rsidRDefault="007116F7" w:rsidP="00530524">
      <w:pPr>
        <w:pStyle w:val="ListBullet"/>
      </w:pPr>
      <w:r w:rsidRPr="000D575C">
        <w:t xml:space="preserve">Providing a </w:t>
      </w:r>
      <w:r w:rsidR="007451AD" w:rsidRPr="000D575C">
        <w:t xml:space="preserve">physical environment that is comfortable and professional, and allows for privacy </w:t>
      </w:r>
      <w:r w:rsidRPr="000D575C">
        <w:t>when needed.</w:t>
      </w:r>
    </w:p>
    <w:p w:rsidR="00DE2585" w:rsidRDefault="00DE2585" w:rsidP="00530524">
      <w:pPr>
        <w:pStyle w:val="ListBullet"/>
      </w:pPr>
      <w:r>
        <w:t>U</w:t>
      </w:r>
      <w:r w:rsidR="007451AD" w:rsidRPr="0039389C">
        <w:t xml:space="preserve">sing </w:t>
      </w:r>
      <w:r>
        <w:t xml:space="preserve">individual </w:t>
      </w:r>
      <w:r w:rsidR="007451AD" w:rsidRPr="0039389C">
        <w:t xml:space="preserve">responses from the Job Seeker Classification Instrument (JSCI) or other assessment tools to better understand the job seeker’s needs, and to help structure their conversation. </w:t>
      </w:r>
    </w:p>
    <w:p w:rsidR="00DE2585" w:rsidRDefault="007451AD" w:rsidP="00530524">
      <w:pPr>
        <w:pStyle w:val="ListBullet"/>
      </w:pPr>
      <w:r w:rsidRPr="0039389C">
        <w:t>Some providers find it useful to revisit the JSCI, altering the style of questions or asking further questions</w:t>
      </w:r>
      <w:r w:rsidR="00B16D51">
        <w:t xml:space="preserve"> to elicit more information from the job seeker that may be relevant to assist servicing.</w:t>
      </w:r>
    </w:p>
    <w:p w:rsidR="007451AD" w:rsidRPr="0039389C" w:rsidRDefault="007451AD" w:rsidP="00530524">
      <w:pPr>
        <w:pStyle w:val="ListBullet"/>
      </w:pPr>
      <w:r w:rsidRPr="0039389C">
        <w:t xml:space="preserve">Some </w:t>
      </w:r>
      <w:r w:rsidR="00DE2585">
        <w:t xml:space="preserve">providers </w:t>
      </w:r>
      <w:r w:rsidRPr="0039389C">
        <w:t xml:space="preserve">have developed their own assessment tool to </w:t>
      </w:r>
      <w:r w:rsidR="00DE2585">
        <w:t>compl</w:t>
      </w:r>
      <w:r w:rsidR="00A74022">
        <w:t>e</w:t>
      </w:r>
      <w:r w:rsidR="00DE2585">
        <w:t xml:space="preserve">ment </w:t>
      </w:r>
      <w:r w:rsidRPr="0039389C">
        <w:t>the JSCI</w:t>
      </w:r>
      <w:r w:rsidR="00DE2585">
        <w:t>.</w:t>
      </w:r>
    </w:p>
    <w:p w:rsidR="004C55E2" w:rsidRPr="0039389C" w:rsidRDefault="00DE2585" w:rsidP="00530524">
      <w:pPr>
        <w:pStyle w:val="ListBullet"/>
      </w:pPr>
      <w:r w:rsidRPr="000D575C">
        <w:t>U</w:t>
      </w:r>
      <w:r w:rsidR="007451AD" w:rsidRPr="000D575C">
        <w:t>sing the job seeker’s Employment Pathway Plan</w:t>
      </w:r>
      <w:r w:rsidR="007451AD" w:rsidRPr="0039389C">
        <w:t xml:space="preserve"> </w:t>
      </w:r>
      <w:r w:rsidR="004C142E">
        <w:t xml:space="preserve">effectively, </w:t>
      </w:r>
      <w:r w:rsidRPr="0039389C">
        <w:t>as a tool to learn more of the job seeker’s situation and to help motivate them</w:t>
      </w:r>
      <w:r>
        <w:t>, rather</w:t>
      </w:r>
      <w:r w:rsidR="007451AD" w:rsidRPr="0039389C">
        <w:t xml:space="preserve"> than viewing it as ‘something that has to be done’ </w:t>
      </w:r>
      <w:r w:rsidR="00AA1DD9" w:rsidRPr="00195D94">
        <w:rPr>
          <w:noProof/>
        </w:rPr>
        <w:t>(discussions with service providers, 2010)</w:t>
      </w:r>
      <w:r w:rsidR="004C55E2" w:rsidRPr="0039389C">
        <w:t>.</w:t>
      </w:r>
      <w:r w:rsidR="0011186B">
        <w:br/>
      </w:r>
    </w:p>
    <w:p w:rsidR="00DE2585" w:rsidRPr="00C46AA7" w:rsidRDefault="00DE2585" w:rsidP="00243BD4">
      <w:pPr>
        <w:pStyle w:val="StyleQuoteBlBoxSinglesolidlineAuto05ptLinewidth"/>
      </w:pPr>
      <w:r>
        <w:t>[Employment consultant]</w:t>
      </w:r>
      <w:r w:rsidRPr="00C46AA7">
        <w:t xml:space="preserve"> said hello and we introduced ourselves. They asked for a copy of my resume and any licences and certificates I had, what I’d been doing, what I wanted to do, they didn’t want to waste their time finding me something I’m not going to like and stick with. They asked about my personal situation and they want to sort through all of that so that I can be stable enough to get a job and to stick with that.</w:t>
      </w:r>
    </w:p>
    <w:p w:rsidR="00DE2585" w:rsidRPr="00220C44" w:rsidRDefault="00DE2585" w:rsidP="00DE2585">
      <w:pPr>
        <w:pStyle w:val="QuoteRef"/>
        <w:pBdr>
          <w:top w:val="single" w:sz="4" w:space="1" w:color="auto"/>
          <w:left w:val="single" w:sz="4" w:space="4" w:color="auto"/>
          <w:bottom w:val="single" w:sz="4" w:space="1" w:color="auto"/>
          <w:right w:val="single" w:sz="4" w:space="4" w:color="auto"/>
        </w:pBdr>
      </w:pPr>
      <w:r w:rsidRPr="00220C44">
        <w:t xml:space="preserve">Job seeker, metropolitan centre, New South Wales </w:t>
      </w:r>
    </w:p>
    <w:p w:rsidR="00DE2585" w:rsidRDefault="0011186B" w:rsidP="007A3C92">
      <w:pPr>
        <w:pStyle w:val="Heading30"/>
      </w:pPr>
      <w:r>
        <w:br/>
      </w:r>
      <w:r w:rsidR="00DE2585">
        <w:t>Maintaining engagement</w:t>
      </w:r>
    </w:p>
    <w:p w:rsidR="00C17355" w:rsidRDefault="007A3C92" w:rsidP="00C17355">
      <w:r w:rsidRPr="00D02C29">
        <w:t xml:space="preserve">According to both job seekers and employment consultants, consistently high quality service in all contacts is important for maintaining good relationships, and encouraging job seeker </w:t>
      </w:r>
      <w:r>
        <w:t xml:space="preserve">engagement. </w:t>
      </w:r>
      <w:r w:rsidR="00C17355">
        <w:t>Job seekers report that they value employment consultants who are:</w:t>
      </w:r>
    </w:p>
    <w:p w:rsidR="00C17355" w:rsidRPr="00DE2585" w:rsidRDefault="00C17355" w:rsidP="003D08ED">
      <w:pPr>
        <w:pStyle w:val="ListBullet"/>
      </w:pPr>
      <w:r w:rsidRPr="00DE2585">
        <w:t>ready for their initial appointment</w:t>
      </w:r>
      <w:r w:rsidR="00DE2585">
        <w:t>;</w:t>
      </w:r>
    </w:p>
    <w:p w:rsidR="00C17355" w:rsidRPr="00DE2585" w:rsidRDefault="00C17355" w:rsidP="003D08ED">
      <w:pPr>
        <w:pStyle w:val="ListBullet"/>
      </w:pPr>
      <w:r w:rsidRPr="00DE2585">
        <w:t>prepared to spend time and effort with them</w:t>
      </w:r>
      <w:r w:rsidR="00DE2585">
        <w:t>;</w:t>
      </w:r>
    </w:p>
    <w:p w:rsidR="00C17355" w:rsidRPr="00DE2585" w:rsidRDefault="00C17355" w:rsidP="003D08ED">
      <w:pPr>
        <w:pStyle w:val="ListBullet"/>
      </w:pPr>
      <w:r w:rsidRPr="00DE2585">
        <w:t xml:space="preserve">seek to understand </w:t>
      </w:r>
      <w:r w:rsidR="00DE2585">
        <w:t xml:space="preserve">their individual circumstances; and </w:t>
      </w:r>
    </w:p>
    <w:p w:rsidR="00C17355" w:rsidRPr="00DE2585" w:rsidRDefault="00C17355" w:rsidP="003D08ED">
      <w:pPr>
        <w:pStyle w:val="ListBullet"/>
      </w:pPr>
      <w:proofErr w:type="gramStart"/>
      <w:r w:rsidRPr="00DE2585">
        <w:t>add</w:t>
      </w:r>
      <w:proofErr w:type="gramEnd"/>
      <w:r w:rsidRPr="00DE2585">
        <w:t xml:space="preserve"> value to </w:t>
      </w:r>
      <w:r w:rsidR="001105ED" w:rsidRPr="00DE2585">
        <w:t>their</w:t>
      </w:r>
      <w:r w:rsidRPr="00DE2585">
        <w:t xml:space="preserve"> own </w:t>
      </w:r>
      <w:r w:rsidR="00DE2585">
        <w:t xml:space="preserve">job search </w:t>
      </w:r>
      <w:r w:rsidRPr="00DE2585">
        <w:t>efforts, for instance with detailed knowledge about the local labour market or other government programs</w:t>
      </w:r>
      <w:r w:rsidR="001105ED" w:rsidRPr="00DE2585">
        <w:t>.</w:t>
      </w:r>
      <w:r w:rsidRPr="00DE2585">
        <w:t xml:space="preserve"> </w:t>
      </w:r>
      <w:r w:rsidR="0011186B">
        <w:br/>
      </w:r>
    </w:p>
    <w:p w:rsidR="00EF45B4" w:rsidRDefault="00DE2585" w:rsidP="00243BD4">
      <w:pPr>
        <w:pStyle w:val="StyleQuoteBlBoxSinglesolidlineAuto05ptLinewidth"/>
      </w:pPr>
      <w:r w:rsidRPr="00C46AA7">
        <w:t xml:space="preserve">I dislike that they seem like they aren’t trying. Two out of four times I went in to see my case </w:t>
      </w:r>
      <w:proofErr w:type="gramStart"/>
      <w:r w:rsidRPr="00C46AA7">
        <w:t>manager,</w:t>
      </w:r>
      <w:proofErr w:type="gramEnd"/>
      <w:r w:rsidRPr="00C46AA7">
        <w:t xml:space="preserve"> she would just give me a piece of paper to tell me when my next interview was.</w:t>
      </w:r>
    </w:p>
    <w:p w:rsidR="00DE2585" w:rsidRPr="00220C44" w:rsidRDefault="00DE2585" w:rsidP="003D08ED">
      <w:pPr>
        <w:pStyle w:val="QuoteRef"/>
        <w:pBdr>
          <w:top w:val="single" w:sz="4" w:space="1" w:color="auto"/>
          <w:left w:val="single" w:sz="4" w:space="4" w:color="auto"/>
          <w:bottom w:val="single" w:sz="4" w:space="1" w:color="auto"/>
          <w:right w:val="single" w:sz="4" w:space="4" w:color="auto"/>
        </w:pBdr>
      </w:pPr>
      <w:r w:rsidRPr="00220C44">
        <w:t xml:space="preserve">Job seeker, metropolitan centre, Queensland </w:t>
      </w:r>
    </w:p>
    <w:p w:rsidR="008E4604" w:rsidRPr="00DE2585" w:rsidRDefault="0011186B" w:rsidP="00B4074B">
      <w:r>
        <w:br/>
      </w:r>
      <w:r w:rsidR="00FC2806" w:rsidRPr="000D575C">
        <w:t>J</w:t>
      </w:r>
      <w:r w:rsidR="001105ED" w:rsidRPr="000D575C">
        <w:t>ob seekers</w:t>
      </w:r>
      <w:r w:rsidR="00DE2585" w:rsidRPr="000D575C">
        <w:t xml:space="preserve"> at</w:t>
      </w:r>
      <w:r w:rsidR="001105ED" w:rsidRPr="000D575C">
        <w:t xml:space="preserve"> high perform</w:t>
      </w:r>
      <w:r w:rsidR="00DE2585" w:rsidRPr="000D575C">
        <w:t>ing</w:t>
      </w:r>
      <w:r w:rsidR="001105ED" w:rsidRPr="000D575C">
        <w:t xml:space="preserve"> sites are more likely to </w:t>
      </w:r>
      <w:r w:rsidR="00FC2806" w:rsidRPr="000D575C">
        <w:t>remember</w:t>
      </w:r>
      <w:r w:rsidR="001105ED" w:rsidRPr="000D575C">
        <w:t xml:space="preserve"> </w:t>
      </w:r>
      <w:r w:rsidR="00FC2806" w:rsidRPr="000D575C">
        <w:t xml:space="preserve">their </w:t>
      </w:r>
      <w:r w:rsidR="001105ED" w:rsidRPr="000D575C">
        <w:t>discussions with their employment consultants</w:t>
      </w:r>
      <w:r w:rsidR="00FC2806" w:rsidRPr="000D575C">
        <w:t xml:space="preserve"> </w:t>
      </w:r>
      <w:sdt>
        <w:sdtPr>
          <w:id w:val="172849414"/>
          <w:citation/>
        </w:sdtPr>
        <w:sdtContent>
          <w:r w:rsidR="00C23440" w:rsidRPr="00DE2585">
            <w:fldChar w:fldCharType="begin"/>
          </w:r>
          <w:r w:rsidR="00FC2806" w:rsidRPr="00DE2585">
            <w:instrText xml:space="preserve"> CITATION PPM10 \l 3081 </w:instrText>
          </w:r>
          <w:r w:rsidR="00C23440" w:rsidRPr="00DE2585">
            <w:fldChar w:fldCharType="separate"/>
          </w:r>
          <w:r w:rsidR="00F77425">
            <w:rPr>
              <w:noProof/>
            </w:rPr>
            <w:t>(PPM, 2010)</w:t>
          </w:r>
          <w:r w:rsidR="00C23440" w:rsidRPr="00DE2585">
            <w:fldChar w:fldCharType="end"/>
          </w:r>
        </w:sdtContent>
      </w:sdt>
      <w:r w:rsidR="00FC2806" w:rsidRPr="00B4074B">
        <w:t xml:space="preserve">, indicating that they have been more engaged by them. </w:t>
      </w:r>
      <w:r w:rsidR="00152982">
        <w:t>D</w:t>
      </w:r>
      <w:r w:rsidR="00FC2806" w:rsidRPr="00DE2585">
        <w:t>iscussions can cover many topics, and can help to engage and motivate job seekers as well as guide the assistance provided</w:t>
      </w:r>
      <w:r w:rsidR="004B036A">
        <w:t xml:space="preserve"> </w:t>
      </w:r>
      <w:hyperlink w:anchor="Figure1" w:tooltip="Discussions with job seekers" w:history="1">
        <w:r w:rsidR="004B036A" w:rsidRPr="004B036A">
          <w:rPr>
            <w:rStyle w:val="Hyperlink"/>
          </w:rPr>
          <w:t>(Figure 1)</w:t>
        </w:r>
      </w:hyperlink>
      <w:r w:rsidR="004B036A">
        <w:t>.</w:t>
      </w:r>
    </w:p>
    <w:p w:rsidR="00A744D7" w:rsidRDefault="00A744D7" w:rsidP="0099014C">
      <w:r>
        <w:br w:type="page"/>
      </w:r>
    </w:p>
    <w:p w:rsidR="007451AD" w:rsidRDefault="00DE2585" w:rsidP="0024454B">
      <w:pPr>
        <w:pStyle w:val="FigureHeading"/>
      </w:pPr>
      <w:bookmarkStart w:id="47" w:name="Appendix_A"/>
      <w:bookmarkStart w:id="48" w:name="Figure1"/>
      <w:bookmarkStart w:id="49" w:name="Discussionswithjobseekers"/>
      <w:bookmarkEnd w:id="47"/>
      <w:bookmarkEnd w:id="48"/>
      <w:bookmarkEnd w:id="49"/>
      <w:r>
        <w:t>Figure 1</w:t>
      </w:r>
      <w:r w:rsidR="00C17355">
        <w:t>: Discussions with job seekers (</w:t>
      </w:r>
      <w:r w:rsidR="00A74022">
        <w:t>per cent</w:t>
      </w:r>
      <w:r w:rsidR="00C17355">
        <w:t>)</w:t>
      </w:r>
      <w:r w:rsidR="00AB57EE">
        <w:t xml:space="preserve"> </w:t>
      </w:r>
    </w:p>
    <w:p w:rsidR="00BB5D6F" w:rsidRDefault="001D7451" w:rsidP="00BB5D6F">
      <w:r w:rsidRPr="001D7451">
        <w:rPr>
          <w:noProof/>
        </w:rPr>
        <w:drawing>
          <wp:inline distT="0" distB="0" distL="0" distR="0">
            <wp:extent cx="4610100" cy="2684909"/>
            <wp:effectExtent l="19050" t="0" r="0" b="0"/>
            <wp:docPr id="8" name="Picture 4" descr="Graph showing results of discussions with job see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610100" cy="2684909"/>
                    </a:xfrm>
                    <a:prstGeom prst="rect">
                      <a:avLst/>
                    </a:prstGeom>
                    <a:noFill/>
                    <a:ln w="9525">
                      <a:noFill/>
                      <a:miter lim="800000"/>
                      <a:headEnd/>
                      <a:tailEnd/>
                    </a:ln>
                  </pic:spPr>
                </pic:pic>
              </a:graphicData>
            </a:graphic>
          </wp:inline>
        </w:drawing>
      </w:r>
    </w:p>
    <w:p w:rsidR="007E2607" w:rsidRDefault="00BB5D6F" w:rsidP="00BB5D6F">
      <w:pPr>
        <w:pStyle w:val="Sourceandnotetext"/>
      </w:pPr>
      <w:r w:rsidRPr="00BB5D6F">
        <w:rPr>
          <w:b/>
          <w:bCs/>
        </w:rPr>
        <w:t>Source:</w:t>
      </w:r>
      <w:r>
        <w:t xml:space="preserve"> DEEWR Post Program Monitoring Survey</w:t>
      </w:r>
      <w:r w:rsidR="00A50577">
        <w:t>, 2009–2010</w:t>
      </w:r>
    </w:p>
    <w:p w:rsidR="00BB5D6F" w:rsidRPr="00601802" w:rsidRDefault="007E2607" w:rsidP="00601802">
      <w:pPr>
        <w:pStyle w:val="Sourceandnotetext"/>
      </w:pPr>
      <w:r w:rsidRPr="00601802">
        <w:t>Refer to Appendix</w:t>
      </w:r>
      <w:r w:rsidR="001E7248">
        <w:t xml:space="preserve"> </w:t>
      </w:r>
      <w:proofErr w:type="gramStart"/>
      <w:r w:rsidR="001E7248">
        <w:t>A</w:t>
      </w:r>
      <w:proofErr w:type="gramEnd"/>
      <w:r w:rsidR="001E7248">
        <w:t>, Table</w:t>
      </w:r>
      <w:r w:rsidRPr="00601802">
        <w:t xml:space="preserve"> </w:t>
      </w:r>
      <w:proofErr w:type="spellStart"/>
      <w:r w:rsidRPr="00601802">
        <w:t>A1.1</w:t>
      </w:r>
      <w:proofErr w:type="spellEnd"/>
      <w:r w:rsidRPr="00601802">
        <w:t xml:space="preserve"> to view the </w:t>
      </w:r>
      <w:hyperlink w:anchor="TableA1_1" w:tooltip="View text version of Figure 1: Discussions with job seekers" w:history="1">
        <w:r w:rsidRPr="006F4A06">
          <w:t>text version of Figure 1: Discussions with job seekers</w:t>
        </w:r>
      </w:hyperlink>
    </w:p>
    <w:p w:rsidR="00BB5D6F" w:rsidRDefault="007A3C92" w:rsidP="00BB5D6F">
      <w:pPr>
        <w:pStyle w:val="Heading30"/>
      </w:pPr>
      <w:r>
        <w:t>Service continuity</w:t>
      </w:r>
    </w:p>
    <w:p w:rsidR="00BB5D6F" w:rsidRDefault="008E4604" w:rsidP="00A349BC">
      <w:r>
        <w:t xml:space="preserve">Some staff turnover </w:t>
      </w:r>
      <w:r w:rsidR="007A3C92">
        <w:t xml:space="preserve">within provider sites </w:t>
      </w:r>
      <w:r>
        <w:t xml:space="preserve">is inevitable, </w:t>
      </w:r>
      <w:r w:rsidR="007A3C92">
        <w:t xml:space="preserve">meaning </w:t>
      </w:r>
      <w:r>
        <w:t>job seekers may need to be served by different employment consultants</w:t>
      </w:r>
      <w:r w:rsidR="00CE56E7">
        <w:t xml:space="preserve"> at different times</w:t>
      </w:r>
      <w:r>
        <w:t>. However</w:t>
      </w:r>
      <w:r w:rsidR="00BB5D6F">
        <w:t xml:space="preserve"> job seekers report that a change of employment consultant can be discouraging and can cause them to disengage from assistance. </w:t>
      </w:r>
      <w:r w:rsidR="007A3C92">
        <w:t>In particular t</w:t>
      </w:r>
      <w:r w:rsidR="00BB5D6F">
        <w:t xml:space="preserve">hey </w:t>
      </w:r>
      <w:r w:rsidR="009C0748">
        <w:t>report that they find</w:t>
      </w:r>
      <w:r w:rsidR="00BB5D6F">
        <w:t xml:space="preserve"> having to ‘tell their story</w:t>
      </w:r>
      <w:r w:rsidR="009C0748">
        <w:t xml:space="preserve"> </w:t>
      </w:r>
      <w:r w:rsidR="00BB5D6F">
        <w:t>again</w:t>
      </w:r>
      <w:r w:rsidR="009C0748">
        <w:t>’</w:t>
      </w:r>
      <w:r w:rsidR="00BB5D6F">
        <w:t xml:space="preserve"> both practically and emotionally difficul</w:t>
      </w:r>
      <w:r w:rsidR="009C0748">
        <w:t>t</w:t>
      </w:r>
      <w:r w:rsidR="00E437D0">
        <w:t>.</w:t>
      </w:r>
      <w:r w:rsidR="009B7C62">
        <w:br/>
      </w:r>
    </w:p>
    <w:p w:rsidR="0029166A" w:rsidRPr="00C46AA7" w:rsidRDefault="00E437D0" w:rsidP="00243BD4">
      <w:pPr>
        <w:pStyle w:val="StyleQuoteBlBoxSinglesolidlineAuto05ptLinewidth"/>
      </w:pPr>
      <w:r w:rsidRPr="00C46AA7">
        <w:t>I dislike that we see different people each time we go in. So you waste time telling them your situation and then all of a sudden the interview is over</w:t>
      </w:r>
      <w:r w:rsidR="00490E73" w:rsidRPr="00C46AA7">
        <w:t>.</w:t>
      </w:r>
    </w:p>
    <w:p w:rsidR="0029166A" w:rsidRPr="00220C44" w:rsidRDefault="00E437D0" w:rsidP="006F27DA">
      <w:pPr>
        <w:pStyle w:val="QuoteRef"/>
        <w:pBdr>
          <w:top w:val="single" w:sz="4" w:space="1" w:color="auto"/>
          <w:left w:val="single" w:sz="4" w:space="4" w:color="auto"/>
          <w:bottom w:val="single" w:sz="4" w:space="1" w:color="auto"/>
          <w:right w:val="single" w:sz="4" w:space="4" w:color="auto"/>
        </w:pBdr>
      </w:pPr>
      <w:r w:rsidRPr="00220C44">
        <w:t>Job seeker, metropolitan centre, Queensland</w:t>
      </w:r>
    </w:p>
    <w:p w:rsidR="006F27DA" w:rsidRDefault="006F27DA" w:rsidP="00243BD4"/>
    <w:p w:rsidR="0029166A" w:rsidRPr="00C46AA7" w:rsidRDefault="00C23440" w:rsidP="00243BD4">
      <w:pPr>
        <w:pStyle w:val="StyleQuoteBlBoxSinglesolidlineAuto05ptLinewidth"/>
      </w:pPr>
      <w:hyperlink r:id="rId22" w:history="1"/>
      <w:r w:rsidR="00E437D0" w:rsidRPr="00C46AA7">
        <w:t xml:space="preserve">I’ve seen </w:t>
      </w:r>
      <w:r w:rsidR="00490E73" w:rsidRPr="00C46AA7">
        <w:t>three</w:t>
      </w:r>
      <w:r w:rsidR="00E437D0" w:rsidRPr="00C46AA7">
        <w:t xml:space="preserve"> different people so far. You just get used to one and then they give you another one</w:t>
      </w:r>
      <w:r w:rsidR="00490E73" w:rsidRPr="00C46AA7">
        <w:t>.</w:t>
      </w:r>
    </w:p>
    <w:p w:rsidR="00E437D0" w:rsidRPr="00220C44" w:rsidRDefault="00E437D0" w:rsidP="00B25128">
      <w:pPr>
        <w:pStyle w:val="QuoteRef"/>
        <w:keepNext/>
        <w:keepLines/>
        <w:pBdr>
          <w:top w:val="single" w:sz="4" w:space="1" w:color="auto"/>
          <w:left w:val="single" w:sz="4" w:space="4" w:color="auto"/>
          <w:bottom w:val="single" w:sz="4" w:space="1" w:color="auto"/>
          <w:right w:val="single" w:sz="4" w:space="4" w:color="auto"/>
        </w:pBdr>
      </w:pPr>
      <w:r w:rsidRPr="00220C44">
        <w:t>Job seeker, metropolitan centre, Western Australia</w:t>
      </w:r>
    </w:p>
    <w:p w:rsidR="009C0748" w:rsidRPr="000D575C" w:rsidRDefault="009C0748" w:rsidP="000D575C">
      <w:r w:rsidRPr="000D575C">
        <w:t xml:space="preserve">Sites that </w:t>
      </w:r>
      <w:r w:rsidR="007A3C92" w:rsidRPr="000D575C">
        <w:t xml:space="preserve">are able to minimise disruptions to service continuity and which </w:t>
      </w:r>
      <w:r w:rsidRPr="000D575C">
        <w:t xml:space="preserve">have procedures in place for transferring job seeker information when employment consultants </w:t>
      </w:r>
      <w:r w:rsidR="007A3C92" w:rsidRPr="000D575C">
        <w:t xml:space="preserve">do </w:t>
      </w:r>
      <w:r w:rsidRPr="000D575C">
        <w:t xml:space="preserve">change are </w:t>
      </w:r>
      <w:r w:rsidR="007A3C92" w:rsidRPr="000D575C">
        <w:t>better able</w:t>
      </w:r>
      <w:r w:rsidRPr="000D575C">
        <w:t xml:space="preserve"> to maintain job seeker engagement. </w:t>
      </w:r>
    </w:p>
    <w:p w:rsidR="00BB5D6F" w:rsidRDefault="00BB5D6F" w:rsidP="00D02C29">
      <w:pPr>
        <w:pStyle w:val="Heading30"/>
      </w:pPr>
      <w:r>
        <w:t>Compliance measures</w:t>
      </w:r>
    </w:p>
    <w:p w:rsidR="00B002EF" w:rsidRDefault="00BB5D6F" w:rsidP="00B4074B">
      <w:r w:rsidRPr="00EF45B4">
        <w:t xml:space="preserve">Service providers report using differing approaches to </w:t>
      </w:r>
      <w:r w:rsidR="00074E16">
        <w:t>encourage</w:t>
      </w:r>
      <w:r w:rsidRPr="00EF45B4">
        <w:t xml:space="preserve"> job seeker compliance. </w:t>
      </w:r>
      <w:r w:rsidRPr="000D575C">
        <w:t xml:space="preserve">Some sites encourage compliance by </w:t>
      </w:r>
      <w:r w:rsidR="00EF45B4" w:rsidRPr="000D575C">
        <w:t>using multiple methods to attempt to contact</w:t>
      </w:r>
      <w:r w:rsidRPr="000D575C">
        <w:t xml:space="preserve"> job seekers </w:t>
      </w:r>
      <w:r w:rsidR="00EF45B4" w:rsidRPr="000D575C">
        <w:t>prior to commencing formal compliance action, for example</w:t>
      </w:r>
      <w:r w:rsidRPr="000D575C">
        <w:t xml:space="preserve"> SMS messaging, email or </w:t>
      </w:r>
      <w:r w:rsidR="00074E16" w:rsidRPr="000D575C">
        <w:t>personal</w:t>
      </w:r>
      <w:r w:rsidRPr="000D575C">
        <w:t xml:space="preserve"> visits.</w:t>
      </w:r>
      <w:r w:rsidR="00EF45B4">
        <w:t xml:space="preserve"> These providers</w:t>
      </w:r>
      <w:r w:rsidRPr="00EF45B4">
        <w:t xml:space="preserve"> report that </w:t>
      </w:r>
      <w:r w:rsidR="00EF45B4">
        <w:t>such</w:t>
      </w:r>
      <w:r w:rsidRPr="00EF45B4">
        <w:t xml:space="preserve"> strategies can demonstrate good customer service and help build and maintain rapport with job seekers. </w:t>
      </w:r>
      <w:r w:rsidR="00454D8A">
        <w:t>Higher performing sites were found to be less likely to undertake compliance action for job seekers who did not meet minimum contact requirements than lower performing sites, with compliance actions undertaken in around 15 per cent of cases compared to around 21 per cent of cases,</w:t>
      </w:r>
      <w:r w:rsidR="00B002EF">
        <w:t xml:space="preserve"> suggest</w:t>
      </w:r>
      <w:r w:rsidR="00454D8A">
        <w:t>ing</w:t>
      </w:r>
      <w:r w:rsidR="00B002EF">
        <w:t xml:space="preserve"> that high performing sites </w:t>
      </w:r>
      <w:r w:rsidR="00454D8A">
        <w:t xml:space="preserve">are more effective </w:t>
      </w:r>
      <w:r w:rsidR="002A62A6">
        <w:t>i</w:t>
      </w:r>
      <w:r w:rsidR="00B002EF">
        <w:t>n re-establishing and maintaining job seeker engagement</w:t>
      </w:r>
      <w:r w:rsidR="00454D8A">
        <w:t>.</w:t>
      </w:r>
      <w:r w:rsidR="00B002EF">
        <w:t xml:space="preserve"> </w:t>
      </w:r>
      <w:r w:rsidR="0011186B">
        <w:br/>
      </w:r>
    </w:p>
    <w:p w:rsidR="00B002EF" w:rsidRPr="005F433F" w:rsidRDefault="00B002EF" w:rsidP="00243BD4">
      <w:pPr>
        <w:pStyle w:val="StyleQuoteBlBoxSinglesolidlineAuto05ptLinewidth"/>
      </w:pPr>
      <w:r w:rsidRPr="005F433F">
        <w:t xml:space="preserve">I always give them the benefit of the doubt ... I do a Contact Request if I can’t get on to anyone. I find that they will turn up if they are given a Contact Request.... But I need to follow through if I said I would issue a PR. </w:t>
      </w:r>
    </w:p>
    <w:p w:rsidR="00B002EF" w:rsidRPr="00220C44" w:rsidRDefault="00B002EF" w:rsidP="00B002EF">
      <w:pPr>
        <w:pStyle w:val="QuoteRef"/>
        <w:pBdr>
          <w:top w:val="single" w:sz="4" w:space="1" w:color="auto"/>
          <w:left w:val="single" w:sz="4" w:space="4" w:color="auto"/>
          <w:bottom w:val="single" w:sz="4" w:space="1" w:color="auto"/>
          <w:right w:val="single" w:sz="4" w:space="4" w:color="auto"/>
        </w:pBdr>
      </w:pPr>
      <w:r w:rsidRPr="00220C44">
        <w:t xml:space="preserve">Employment consultant, metropolitan centre, Queensland </w:t>
      </w:r>
    </w:p>
    <w:p w:rsidR="00D02C29" w:rsidRDefault="00EB40E0" w:rsidP="00D02C29">
      <w:pPr>
        <w:pStyle w:val="Heading2"/>
      </w:pPr>
      <w:bookmarkStart w:id="50" w:name="_Toc326764333"/>
      <w:r>
        <w:t>3</w:t>
      </w:r>
      <w:r w:rsidR="00EF1D64">
        <w:t>.2</w:t>
      </w:r>
      <w:r w:rsidR="00EF1D64">
        <w:tab/>
      </w:r>
      <w:r w:rsidR="00A238F8">
        <w:t>Service planning</w:t>
      </w:r>
      <w:bookmarkEnd w:id="50"/>
    </w:p>
    <w:p w:rsidR="00243BD4" w:rsidRPr="0036083F" w:rsidRDefault="00243BD4" w:rsidP="003E54C6">
      <w:pPr>
        <w:pStyle w:val="NormalStyleBoxSinglesolidlineAuto05ptLinewidth"/>
      </w:pPr>
      <w:r w:rsidRPr="0036083F">
        <w:t>High performing sites are more likely than mid and low performing sites to:</w:t>
      </w:r>
    </w:p>
    <w:p w:rsidR="00243BD4" w:rsidRDefault="00243BD4" w:rsidP="00243BD4">
      <w:pPr>
        <w:pStyle w:val="ListBullet"/>
        <w:pBdr>
          <w:top w:val="single" w:sz="4" w:space="1" w:color="auto"/>
          <w:left w:val="single" w:sz="4" w:space="4" w:color="auto"/>
          <w:bottom w:val="single" w:sz="4" w:space="1" w:color="auto"/>
          <w:right w:val="single" w:sz="4" w:space="4" w:color="auto"/>
        </w:pBdr>
      </w:pPr>
      <w:r w:rsidRPr="0036083F">
        <w:t>Make better use of job seekers’ E</w:t>
      </w:r>
      <w:r>
        <w:t xml:space="preserve">mployment </w:t>
      </w:r>
      <w:r w:rsidRPr="0036083F">
        <w:t>P</w:t>
      </w:r>
      <w:r>
        <w:t xml:space="preserve">athway </w:t>
      </w:r>
      <w:r w:rsidRPr="0036083F">
        <w:t>P</w:t>
      </w:r>
      <w:r>
        <w:t>lans</w:t>
      </w:r>
      <w:r w:rsidRPr="0036083F">
        <w:t xml:space="preserve"> </w:t>
      </w:r>
      <w:r>
        <w:t xml:space="preserve">(EPPs) </w:t>
      </w:r>
      <w:r w:rsidRPr="0036083F">
        <w:t>by using them as a framework for discussion to motivate job seekers, and revisiting them frequently.</w:t>
      </w:r>
    </w:p>
    <w:p w:rsidR="005D62BC" w:rsidRDefault="0011186B">
      <w:pPr>
        <w:rPr>
          <w:highlight w:val="yellow"/>
        </w:rPr>
      </w:pPr>
      <w:r>
        <w:br/>
      </w:r>
      <w:r w:rsidR="00295015" w:rsidRPr="003C29C4">
        <w:t xml:space="preserve">Employment Pathway Plans (EPP) </w:t>
      </w:r>
      <w:proofErr w:type="gramStart"/>
      <w:r w:rsidR="00295015" w:rsidRPr="003C29C4">
        <w:t>underpin</w:t>
      </w:r>
      <w:proofErr w:type="gramEnd"/>
      <w:r w:rsidR="00295015" w:rsidRPr="003C29C4">
        <w:t xml:space="preserve"> the provision of services to job seekers</w:t>
      </w:r>
      <w:r w:rsidR="00A64271" w:rsidRPr="003C29C4">
        <w:t xml:space="preserve"> in JSA</w:t>
      </w:r>
      <w:r w:rsidR="00295015" w:rsidRPr="003C29C4">
        <w:t xml:space="preserve">. </w:t>
      </w:r>
      <w:r w:rsidR="00A05738" w:rsidRPr="003C29C4">
        <w:t>Under the Employment Services Deed 4 (</w:t>
      </w:r>
      <w:proofErr w:type="spellStart"/>
      <w:r w:rsidR="00A05738" w:rsidRPr="003C29C4">
        <w:t>ESD4</w:t>
      </w:r>
      <w:proofErr w:type="spellEnd"/>
      <w:r w:rsidR="00A05738" w:rsidRPr="003C29C4">
        <w:t>), j</w:t>
      </w:r>
      <w:r w:rsidR="00295015" w:rsidRPr="003C29C4">
        <w:t xml:space="preserve">ob seekers in Stream 1 </w:t>
      </w:r>
      <w:r w:rsidR="003C29C4">
        <w:t>are required to</w:t>
      </w:r>
      <w:r w:rsidR="003C29C4" w:rsidRPr="003C29C4">
        <w:t xml:space="preserve"> </w:t>
      </w:r>
      <w:r w:rsidR="00295015" w:rsidRPr="003C29C4">
        <w:t xml:space="preserve">have an EPP put in place by Centrelink during their first 13 weeks of </w:t>
      </w:r>
      <w:r w:rsidR="00A64271" w:rsidRPr="003C29C4">
        <w:t>service</w:t>
      </w:r>
      <w:r w:rsidR="00A05738" w:rsidRPr="003C29C4">
        <w:t>, and</w:t>
      </w:r>
      <w:r w:rsidR="00295015" w:rsidRPr="003C29C4">
        <w:t xml:space="preserve"> </w:t>
      </w:r>
      <w:r w:rsidR="00A05738" w:rsidRPr="003C29C4">
        <w:t>s</w:t>
      </w:r>
      <w:r w:rsidR="00295015" w:rsidRPr="003C29C4">
        <w:t xml:space="preserve">ervice providers are required </w:t>
      </w:r>
      <w:r w:rsidR="00A05738" w:rsidRPr="003C29C4">
        <w:t xml:space="preserve">to </w:t>
      </w:r>
      <w:r w:rsidR="00295015" w:rsidRPr="003C29C4">
        <w:t xml:space="preserve">enter into an </w:t>
      </w:r>
      <w:r w:rsidR="00A05738" w:rsidRPr="003C29C4">
        <w:t>EPP</w:t>
      </w:r>
      <w:r w:rsidR="00295015" w:rsidRPr="003C29C4">
        <w:t xml:space="preserve"> with jobseekers in Streams 2, 3 and </w:t>
      </w:r>
      <w:r w:rsidR="002A62A6">
        <w:t xml:space="preserve">4 </w:t>
      </w:r>
      <w:r w:rsidR="00295015" w:rsidRPr="003C29C4">
        <w:t>during their first appointment.</w:t>
      </w:r>
      <w:r w:rsidR="00A64271" w:rsidRPr="003C29C4">
        <w:t xml:space="preserve"> </w:t>
      </w:r>
    </w:p>
    <w:p w:rsidR="00D02C29" w:rsidRDefault="00D02C29" w:rsidP="00B4074B">
      <w:r w:rsidRPr="00A238F8">
        <w:t xml:space="preserve">High performing sites tend to make better use of job seekers’ </w:t>
      </w:r>
      <w:r w:rsidR="00A238F8">
        <w:t>Employment Pathway Plans (EPPs) as central documents for service planning and delivery</w:t>
      </w:r>
      <w:r w:rsidRPr="00A238F8">
        <w:t xml:space="preserve">. </w:t>
      </w:r>
      <w:r w:rsidR="0011186B">
        <w:br/>
      </w:r>
    </w:p>
    <w:p w:rsidR="00A238F8" w:rsidRPr="00C46AA7" w:rsidRDefault="00A238F8" w:rsidP="00243BD4">
      <w:pPr>
        <w:pStyle w:val="StyleQuoteBlBoxSinglesolidlineAuto05ptLinewidth"/>
      </w:pPr>
      <w:r w:rsidRPr="00C46AA7">
        <w:t xml:space="preserve">My current provider is very good. We had a discussion, we brainstormed and we filled out forms. I was very impressed with that aspect of it ... I can’t think of any negatives. The previous providers filled out forms but there wasn’t the same discussion about the </w:t>
      </w:r>
      <w:r w:rsidR="002F04DA">
        <w:t>P</w:t>
      </w:r>
      <w:r w:rsidRPr="00C46AA7">
        <w:t xml:space="preserve">athway </w:t>
      </w:r>
      <w:r w:rsidR="002F04DA">
        <w:t>P</w:t>
      </w:r>
      <w:r w:rsidR="002F04DA" w:rsidRPr="00C46AA7">
        <w:t xml:space="preserve">lan </w:t>
      </w:r>
      <w:r w:rsidRPr="00C46AA7">
        <w:t>... We need to remember it’s a relationship. It’s not totally up to them. It’s not totally up to me.</w:t>
      </w:r>
    </w:p>
    <w:p w:rsidR="00A238F8" w:rsidRPr="00220C44" w:rsidRDefault="00A238F8" w:rsidP="00A238F8">
      <w:pPr>
        <w:pStyle w:val="QuoteRef"/>
        <w:pBdr>
          <w:top w:val="single" w:sz="4" w:space="1" w:color="auto"/>
          <w:left w:val="single" w:sz="4" w:space="4" w:color="auto"/>
          <w:bottom w:val="single" w:sz="4" w:space="1" w:color="auto"/>
          <w:right w:val="single" w:sz="4" w:space="4" w:color="auto"/>
        </w:pBdr>
      </w:pPr>
      <w:r w:rsidRPr="00220C44">
        <w:t>Job seeker, metropolitan centre, Western Australia</w:t>
      </w:r>
    </w:p>
    <w:p w:rsidR="00026976" w:rsidRPr="00A22BC9" w:rsidRDefault="0011186B" w:rsidP="00026976">
      <w:r>
        <w:br/>
      </w:r>
      <w:r w:rsidR="00A22BC9">
        <w:t>M</w:t>
      </w:r>
      <w:r w:rsidR="00026976">
        <w:t xml:space="preserve">ost respondents </w:t>
      </w:r>
      <w:r w:rsidR="00A22BC9">
        <w:t xml:space="preserve">to </w:t>
      </w:r>
      <w:r w:rsidR="00FF06B5">
        <w:t xml:space="preserve">the </w:t>
      </w:r>
      <w:r w:rsidR="00026976">
        <w:t>Dynamics of Australian Income Support &amp; Employment Services (DAISES) survey who remembered their EPP reported</w:t>
      </w:r>
      <w:r w:rsidR="00C85601" w:rsidRPr="004940C5">
        <w:t xml:space="preserve"> they knew what they were required to do under </w:t>
      </w:r>
      <w:r w:rsidR="00026976">
        <w:t>it</w:t>
      </w:r>
      <w:r w:rsidR="00A22BC9">
        <w:t xml:space="preserve"> </w:t>
      </w:r>
      <w:r w:rsidR="00A22BC9" w:rsidRPr="004940C5">
        <w:t>(9</w:t>
      </w:r>
      <w:r w:rsidR="00026976">
        <w:t>7</w:t>
      </w:r>
      <w:r w:rsidR="00A22BC9">
        <w:t xml:space="preserve"> per cent),</w:t>
      </w:r>
      <w:r w:rsidR="00FF06B5">
        <w:t xml:space="preserve"> but only 8</w:t>
      </w:r>
      <w:r w:rsidR="00026976">
        <w:t>7</w:t>
      </w:r>
      <w:r w:rsidR="00A22BC9">
        <w:t xml:space="preserve"> per cent</w:t>
      </w:r>
      <w:r w:rsidR="00FF06B5">
        <w:t xml:space="preserve"> </w:t>
      </w:r>
      <w:r w:rsidR="00026976">
        <w:t>said</w:t>
      </w:r>
      <w:r w:rsidR="00FF06B5">
        <w:t xml:space="preserve"> that the</w:t>
      </w:r>
      <w:r w:rsidR="00026976">
        <w:t>ir</w:t>
      </w:r>
      <w:r w:rsidR="00FF06B5">
        <w:t xml:space="preserve"> </w:t>
      </w:r>
      <w:r w:rsidR="00026976">
        <w:t>EPP</w:t>
      </w:r>
      <w:r w:rsidR="00FF06B5">
        <w:t xml:space="preserve"> helped them understand what assistance they would get from their </w:t>
      </w:r>
      <w:r w:rsidR="00FF06B5" w:rsidRPr="002F04DA">
        <w:t>provider</w:t>
      </w:r>
      <w:r w:rsidR="00471DEE" w:rsidRPr="002F04DA">
        <w:t xml:space="preserve"> </w:t>
      </w:r>
      <w:r w:rsidR="00AA1DD9" w:rsidRPr="00243BD4">
        <w:rPr>
          <w:noProof/>
        </w:rPr>
        <w:t>(DAISES, 2011)</w:t>
      </w:r>
      <w:r w:rsidR="00471DEE" w:rsidRPr="002F04DA">
        <w:t xml:space="preserve">. </w:t>
      </w:r>
      <w:r w:rsidR="00A22BC9" w:rsidRPr="002F04DA">
        <w:t>The</w:t>
      </w:r>
      <w:r w:rsidR="00A22BC9">
        <w:t xml:space="preserve"> majority of </w:t>
      </w:r>
      <w:r w:rsidR="00026976">
        <w:t xml:space="preserve">respondents (65 per cent) </w:t>
      </w:r>
      <w:r w:rsidR="00A22BC9">
        <w:t>disagreed with the statement that they</w:t>
      </w:r>
      <w:r w:rsidR="00026976">
        <w:t xml:space="preserve"> </w:t>
      </w:r>
      <w:r w:rsidR="00A22BC9">
        <w:t xml:space="preserve">‘had </w:t>
      </w:r>
      <w:r w:rsidR="00A22BC9" w:rsidRPr="004940C5">
        <w:t>little or no say about what was in my plan’</w:t>
      </w:r>
      <w:r w:rsidR="00A22BC9">
        <w:t>.</w:t>
      </w:r>
      <w:r w:rsidR="00026976">
        <w:t xml:space="preserve"> </w:t>
      </w:r>
      <w:r w:rsidR="00A72B02">
        <w:t>In addition, m</w:t>
      </w:r>
      <w:r w:rsidR="00026976">
        <w:t>ost</w:t>
      </w:r>
      <w:r w:rsidR="00026976" w:rsidRPr="00A22BC9">
        <w:t xml:space="preserve"> </w:t>
      </w:r>
      <w:r w:rsidR="00026976">
        <w:t xml:space="preserve">respondents to </w:t>
      </w:r>
      <w:r w:rsidR="00026976" w:rsidRPr="00A22BC9">
        <w:t>the E</w:t>
      </w:r>
      <w:r w:rsidR="00026976">
        <w:t>mployment Assistance Survey (</w:t>
      </w:r>
      <w:proofErr w:type="spellStart"/>
      <w:r w:rsidR="00026976">
        <w:t>EAS</w:t>
      </w:r>
      <w:proofErr w:type="spellEnd"/>
      <w:r w:rsidR="00026976">
        <w:t>)</w:t>
      </w:r>
      <w:r w:rsidR="00026976" w:rsidRPr="00A22BC9">
        <w:t xml:space="preserve"> </w:t>
      </w:r>
      <w:r w:rsidR="00026976">
        <w:t xml:space="preserve">(72 per cent) </w:t>
      </w:r>
      <w:r w:rsidR="00026976" w:rsidRPr="00A22BC9">
        <w:t>agreed that their EPP had helped them identify the skills they needed to learn to get a job</w:t>
      </w:r>
      <w:r w:rsidR="007B7C36">
        <w:t xml:space="preserve"> </w:t>
      </w:r>
      <w:r w:rsidR="00AA1DD9" w:rsidRPr="00243BD4">
        <w:rPr>
          <w:noProof/>
        </w:rPr>
        <w:t>(EAS, 2011)</w:t>
      </w:r>
      <w:r w:rsidR="007B7C36" w:rsidRPr="00243BD4">
        <w:t>.</w:t>
      </w:r>
      <w:r w:rsidR="00026976">
        <w:t xml:space="preserve"> </w:t>
      </w:r>
    </w:p>
    <w:p w:rsidR="00B05322" w:rsidRDefault="00A22BC9" w:rsidP="00B05322">
      <w:r>
        <w:t>J</w:t>
      </w:r>
      <w:r w:rsidR="00B05322">
        <w:t>ob seekers who are dissatisfied with their EPP and the process that was used to create it are at risk of disengagement</w:t>
      </w:r>
      <w:r w:rsidR="002F04DA">
        <w:t xml:space="preserve"> </w:t>
      </w:r>
      <w:r w:rsidR="00AA1DD9" w:rsidRPr="00243BD4">
        <w:rPr>
          <w:noProof/>
        </w:rPr>
        <w:t>(JS focus groups, 2010)</w:t>
      </w:r>
      <w:r w:rsidR="00B05322">
        <w:t>.</w:t>
      </w:r>
      <w:r w:rsidR="0011186B">
        <w:br/>
      </w:r>
    </w:p>
    <w:p w:rsidR="00B05322" w:rsidRPr="00C46AA7" w:rsidRDefault="00B05322" w:rsidP="00243BD4">
      <w:pPr>
        <w:pStyle w:val="StyleQuoteBlBoxSinglesolidlineAuto05ptLinewidth"/>
      </w:pPr>
      <w:r w:rsidRPr="00C46AA7">
        <w:t>That EPP should go both ways, they seem to expect a lot out of you but you need to get something back from them like them informing you of what you’re entitled to.</w:t>
      </w:r>
    </w:p>
    <w:p w:rsidR="00B05322" w:rsidRPr="00C46AA7" w:rsidRDefault="00B05322" w:rsidP="00243BD4">
      <w:pPr>
        <w:pStyle w:val="StyleQuoteBlBoxSinglesolidlineAuto05ptLinewidth"/>
      </w:pPr>
      <w:r w:rsidRPr="00C46AA7">
        <w:t>Yeah, they need to sign a contract saying they will help you as well.</w:t>
      </w:r>
    </w:p>
    <w:p w:rsidR="00B05322" w:rsidRPr="00CE56E7" w:rsidRDefault="00B05322" w:rsidP="00B05322">
      <w:pPr>
        <w:pStyle w:val="QuoteRef"/>
        <w:pBdr>
          <w:top w:val="single" w:sz="4" w:space="1" w:color="auto"/>
          <w:left w:val="single" w:sz="4" w:space="4" w:color="auto"/>
          <w:bottom w:val="single" w:sz="4" w:space="1" w:color="auto"/>
          <w:right w:val="single" w:sz="4" w:space="4" w:color="auto"/>
        </w:pBdr>
      </w:pPr>
      <w:r w:rsidRPr="00CE56E7">
        <w:t>Job seekers, regional centre, Victoria</w:t>
      </w:r>
    </w:p>
    <w:p w:rsidR="00B05322" w:rsidRDefault="00B05322" w:rsidP="002E3A74"/>
    <w:p w:rsidR="00B05322" w:rsidRPr="00C46AA7" w:rsidRDefault="00B05322" w:rsidP="009B7C62">
      <w:pPr>
        <w:pStyle w:val="StyleQuoteBlBoxSinglesolidlineAuto05ptLinewidth"/>
        <w:spacing w:before="0"/>
      </w:pPr>
      <w:r w:rsidRPr="00C46AA7">
        <w:t xml:space="preserve">... </w:t>
      </w:r>
      <w:proofErr w:type="gramStart"/>
      <w:r w:rsidRPr="00C46AA7">
        <w:t>they</w:t>
      </w:r>
      <w:proofErr w:type="gramEnd"/>
      <w:r w:rsidRPr="00C46AA7">
        <w:t xml:space="preserve"> just handed it to me and told me to sign it without me having any say about what would be in it. </w:t>
      </w:r>
    </w:p>
    <w:p w:rsidR="00B05322" w:rsidRDefault="00B05322" w:rsidP="00B05322">
      <w:pPr>
        <w:pStyle w:val="QuoteRef"/>
        <w:pBdr>
          <w:top w:val="single" w:sz="4" w:space="1" w:color="auto"/>
          <w:left w:val="single" w:sz="4" w:space="4" w:color="auto"/>
          <w:bottom w:val="single" w:sz="4" w:space="1" w:color="auto"/>
          <w:right w:val="single" w:sz="4" w:space="4" w:color="auto"/>
        </w:pBdr>
      </w:pPr>
      <w:r>
        <w:t>Job seeker, metropolitan centre, New South Wales</w:t>
      </w:r>
    </w:p>
    <w:p w:rsidR="00A238F8" w:rsidRDefault="00C4424E" w:rsidP="00D02C29">
      <w:r>
        <w:br/>
      </w:r>
      <w:r w:rsidR="0068506E" w:rsidRPr="002F04DA">
        <w:t xml:space="preserve">A proportion of EPPs are assessed by the </w:t>
      </w:r>
      <w:r w:rsidR="00482238" w:rsidRPr="002F04DA">
        <w:t>Department</w:t>
      </w:r>
      <w:r w:rsidR="0068506E" w:rsidRPr="002F04DA">
        <w:t xml:space="preserve"> </w:t>
      </w:r>
      <w:r w:rsidR="004D3C42" w:rsidRPr="002F04DA">
        <w:t>on an ongoing basis to ensure they meet</w:t>
      </w:r>
      <w:r w:rsidR="0068506E" w:rsidRPr="002F04DA">
        <w:t xml:space="preserve"> quality assurance </w:t>
      </w:r>
      <w:r w:rsidR="004D3C42" w:rsidRPr="002F04DA">
        <w:t>standards</w:t>
      </w:r>
      <w:r w:rsidR="00A238F8" w:rsidRPr="002F04DA">
        <w:t>. EPPs are assessed</w:t>
      </w:r>
      <w:r w:rsidR="0068506E" w:rsidRPr="0068506E">
        <w:t xml:space="preserve"> </w:t>
      </w:r>
      <w:r w:rsidR="0068506E" w:rsidRPr="002E7151">
        <w:t xml:space="preserve">against three criteria: </w:t>
      </w:r>
    </w:p>
    <w:p w:rsidR="00A238F8" w:rsidRPr="00A238F8" w:rsidRDefault="00482238" w:rsidP="005845DE">
      <w:pPr>
        <w:pStyle w:val="Numberbullet"/>
      </w:pPr>
      <w:r>
        <w:t>c</w:t>
      </w:r>
      <w:r w:rsidR="0068506E" w:rsidRPr="00A238F8">
        <w:t>ontain</w:t>
      </w:r>
      <w:r w:rsidR="002F04DA">
        <w:t>s</w:t>
      </w:r>
      <w:r w:rsidR="0068506E" w:rsidRPr="00A238F8">
        <w:t xml:space="preserve"> details of each job seeker’s individual circumstances and obligations; </w:t>
      </w:r>
    </w:p>
    <w:p w:rsidR="00A238F8" w:rsidRPr="00A238F8" w:rsidRDefault="00482238" w:rsidP="005845DE">
      <w:pPr>
        <w:pStyle w:val="Numberbullet"/>
      </w:pPr>
      <w:r>
        <w:t>contains d</w:t>
      </w:r>
      <w:r w:rsidR="0068506E" w:rsidRPr="00A238F8">
        <w:t>etails of defined activities or assistance relating to the job seeker</w:t>
      </w:r>
      <w:r w:rsidR="00A238F8">
        <w:t>’</w:t>
      </w:r>
      <w:r w:rsidR="0068506E" w:rsidRPr="00A238F8">
        <w:t xml:space="preserve">s goals; and </w:t>
      </w:r>
    </w:p>
    <w:p w:rsidR="00A238F8" w:rsidRPr="00A238F8" w:rsidRDefault="00A238F8" w:rsidP="005845DE">
      <w:pPr>
        <w:pStyle w:val="Numberbullet"/>
      </w:pPr>
      <w:proofErr w:type="gramStart"/>
      <w:r>
        <w:t>contain</w:t>
      </w:r>
      <w:r w:rsidR="00482238">
        <w:t>s</w:t>
      </w:r>
      <w:proofErr w:type="gramEnd"/>
      <w:r w:rsidR="0068506E" w:rsidRPr="00A238F8">
        <w:t xml:space="preserve"> dates and milestones. </w:t>
      </w:r>
    </w:p>
    <w:p w:rsidR="00F373E7" w:rsidRPr="00B4074B" w:rsidRDefault="00F373E7" w:rsidP="00B4074B">
      <w:r w:rsidRPr="000D575C">
        <w:t>High performing si</w:t>
      </w:r>
      <w:r w:rsidR="0027242D">
        <w:t>tes are more likely to have EPPs</w:t>
      </w:r>
      <w:r w:rsidRPr="000D575C">
        <w:t xml:space="preserve"> that meet these standards than mid and low performing sites (76 per cent of EPPs compared with 72 and 62 per cent respectively)</w:t>
      </w:r>
      <w:r w:rsidR="00AA1DD9">
        <w:rPr>
          <w:noProof/>
        </w:rPr>
        <w:t xml:space="preserve"> </w:t>
      </w:r>
      <w:r w:rsidR="00AA1DD9" w:rsidRPr="003E54C6">
        <w:rPr>
          <w:noProof/>
        </w:rPr>
        <w:t>(DEEWR CDS, 2011)</w:t>
      </w:r>
      <w:r w:rsidRPr="00B4074B">
        <w:t xml:space="preserve">. </w:t>
      </w:r>
    </w:p>
    <w:p w:rsidR="00D02C29" w:rsidRDefault="00D02C29" w:rsidP="00D02C29">
      <w:r>
        <w:t xml:space="preserve">Some strategies that high performing providers use to engage the job seeker with their EPP include: </w:t>
      </w:r>
    </w:p>
    <w:p w:rsidR="00D02C29" w:rsidRDefault="00D02C29" w:rsidP="005845DE">
      <w:pPr>
        <w:pStyle w:val="ListBullet"/>
      </w:pPr>
      <w:r>
        <w:t>using the EPP as a f</w:t>
      </w:r>
      <w:r w:rsidR="00B05322">
        <w:t>ramework for discussions;</w:t>
      </w:r>
    </w:p>
    <w:p w:rsidR="00D02C29" w:rsidRDefault="00D02C29" w:rsidP="005845DE">
      <w:pPr>
        <w:pStyle w:val="ListBullet"/>
      </w:pPr>
      <w:r>
        <w:t>including a focus on a personal goal within a specified time-f</w:t>
      </w:r>
      <w:r w:rsidR="002A62A6">
        <w:t>r</w:t>
      </w:r>
      <w:r>
        <w:t>ame</w:t>
      </w:r>
      <w:r w:rsidR="00B05322">
        <w:t>;</w:t>
      </w:r>
    </w:p>
    <w:p w:rsidR="00D02C29" w:rsidRDefault="008F5D08" w:rsidP="005845DE">
      <w:pPr>
        <w:pStyle w:val="ListBullet"/>
      </w:pPr>
      <w:r>
        <w:t xml:space="preserve">encouraging </w:t>
      </w:r>
      <w:r w:rsidR="00AF30F2">
        <w:t>job seekers to take ownership of</w:t>
      </w:r>
      <w:r w:rsidR="00D02C29">
        <w:t xml:space="preserve"> </w:t>
      </w:r>
      <w:r w:rsidR="00B05322">
        <w:t>their EPP</w:t>
      </w:r>
      <w:r>
        <w:t>,</w:t>
      </w:r>
      <w:r w:rsidR="00B05322">
        <w:t xml:space="preserve"> so they are more likely to want to </w:t>
      </w:r>
      <w:r w:rsidR="00D02C29">
        <w:t>revisit it, and use it to track their own progress</w:t>
      </w:r>
      <w:r w:rsidR="00B05322">
        <w:t>; and</w:t>
      </w:r>
    </w:p>
    <w:p w:rsidR="00D02C29" w:rsidRDefault="00D02C29" w:rsidP="005845DE">
      <w:pPr>
        <w:pStyle w:val="ListBullet"/>
      </w:pPr>
      <w:proofErr w:type="gramStart"/>
      <w:r>
        <w:t>treating</w:t>
      </w:r>
      <w:proofErr w:type="gramEnd"/>
      <w:r>
        <w:t xml:space="preserve"> the EPP as a living document</w:t>
      </w:r>
      <w:r w:rsidR="008F5D08">
        <w:t>,</w:t>
      </w:r>
      <w:r w:rsidR="00B05322">
        <w:t xml:space="preserve"> by</w:t>
      </w:r>
      <w:r>
        <w:t xml:space="preserve"> frequently reviewing and updating it as circumstances change, such as a goal being achieved or a barrier </w:t>
      </w:r>
      <w:r w:rsidRPr="00E14A81">
        <w:t>addressed</w:t>
      </w:r>
      <w:r w:rsidR="00B05322">
        <w:t>.</w:t>
      </w:r>
      <w:r w:rsidR="0011186B">
        <w:br/>
      </w:r>
    </w:p>
    <w:p w:rsidR="00220C44" w:rsidRPr="00C46AA7" w:rsidRDefault="00D02C29" w:rsidP="00243BD4">
      <w:pPr>
        <w:pStyle w:val="StyleQuoteBlBoxSinglesolidlineAuto05ptLinewidth"/>
      </w:pPr>
      <w:r w:rsidRPr="00C46AA7">
        <w:t>We do it straight away and go back every appointment, [it is a] useful tool, can link up needs and barriers</w:t>
      </w:r>
      <w:r w:rsidR="000421F4" w:rsidRPr="00C46AA7">
        <w:t>,</w:t>
      </w:r>
      <w:r w:rsidRPr="00C46AA7">
        <w:t xml:space="preserve"> making sure interventions are in place</w:t>
      </w:r>
      <w:r w:rsidR="000421F4" w:rsidRPr="00C46AA7">
        <w:t>,</w:t>
      </w:r>
      <w:r w:rsidRPr="00C46AA7">
        <w:t xml:space="preserve"> and provides a good reminder to case managers. It is tailored to each job seeker, always being built on and updated with activities</w:t>
      </w:r>
      <w:r w:rsidR="00220C44" w:rsidRPr="00C46AA7">
        <w:t>.</w:t>
      </w:r>
      <w:r w:rsidR="00D314CF" w:rsidRPr="00C46AA7">
        <w:t xml:space="preserve"> </w:t>
      </w:r>
    </w:p>
    <w:p w:rsidR="00B05322" w:rsidRDefault="00D02C29" w:rsidP="00AD5385">
      <w:pPr>
        <w:pStyle w:val="QuoteRef"/>
        <w:pBdr>
          <w:top w:val="single" w:sz="4" w:space="1" w:color="auto"/>
          <w:left w:val="single" w:sz="4" w:space="4" w:color="auto"/>
          <w:bottom w:val="single" w:sz="4" w:space="1" w:color="auto"/>
          <w:right w:val="single" w:sz="4" w:space="4" w:color="auto"/>
        </w:pBdr>
      </w:pPr>
      <w:r w:rsidRPr="005F433F">
        <w:t xml:space="preserve">Employment consultant, </w:t>
      </w:r>
      <w:r w:rsidR="00984F3C" w:rsidRPr="005F433F">
        <w:t xml:space="preserve">metropolitan </w:t>
      </w:r>
      <w:r w:rsidR="00D314CF" w:rsidRPr="005F433F">
        <w:t xml:space="preserve">centre, </w:t>
      </w:r>
      <w:r w:rsidRPr="005F433F">
        <w:t>NSW</w:t>
      </w:r>
    </w:p>
    <w:p w:rsidR="00AD5385" w:rsidRDefault="00AD5385" w:rsidP="003E54C6">
      <w:pPr>
        <w:pStyle w:val="QuoteBl"/>
        <w:ind w:left="0"/>
      </w:pPr>
    </w:p>
    <w:p w:rsidR="00220C44" w:rsidRPr="00AC447A" w:rsidRDefault="00D02C29" w:rsidP="00243BD4">
      <w:pPr>
        <w:pStyle w:val="StyleQuoteBlBoxSinglesolidlineAuto05ptLinewidth"/>
      </w:pPr>
      <w:r w:rsidRPr="00AC447A">
        <w:t>We discuss it at each appointment with them. They know that we’re working as a team to get to that goal. The front tab is basically their goal, what are we going to do to get to that goal</w:t>
      </w:r>
      <w:r w:rsidR="00220C44" w:rsidRPr="00AC447A">
        <w:t>.</w:t>
      </w:r>
      <w:r w:rsidRPr="00AC447A">
        <w:t xml:space="preserve"> </w:t>
      </w:r>
    </w:p>
    <w:p w:rsidR="00C4424E" w:rsidRDefault="00D02C29" w:rsidP="00B25128">
      <w:pPr>
        <w:pStyle w:val="QuoteRef"/>
        <w:keepNext/>
        <w:pBdr>
          <w:top w:val="single" w:sz="4" w:space="1" w:color="auto"/>
          <w:left w:val="single" w:sz="4" w:space="4" w:color="auto"/>
          <w:bottom w:val="single" w:sz="4" w:space="1" w:color="auto"/>
          <w:right w:val="single" w:sz="4" w:space="4" w:color="auto"/>
        </w:pBdr>
      </w:pPr>
      <w:r w:rsidRPr="005F433F">
        <w:t xml:space="preserve">Employment consultant, </w:t>
      </w:r>
      <w:r w:rsidR="00D314CF" w:rsidRPr="005F433F">
        <w:t xml:space="preserve">metropolitan centre, </w:t>
      </w:r>
      <w:r w:rsidRPr="005F433F">
        <w:t>Queensland</w:t>
      </w:r>
    </w:p>
    <w:p w:rsidR="00D02C29" w:rsidRPr="0011186B" w:rsidRDefault="00EB40E0" w:rsidP="00D02C29">
      <w:pPr>
        <w:pStyle w:val="Heading2"/>
      </w:pPr>
      <w:bookmarkStart w:id="51" w:name="_Toc326764334"/>
      <w:r>
        <w:t>3</w:t>
      </w:r>
      <w:r w:rsidR="00EF1D64">
        <w:t>.3</w:t>
      </w:r>
      <w:r w:rsidR="00EF1D64">
        <w:tab/>
      </w:r>
      <w:r w:rsidR="00D02C29">
        <w:t>Addressing barriers to employment</w:t>
      </w:r>
      <w:bookmarkEnd w:id="51"/>
    </w:p>
    <w:p w:rsidR="003E54C6" w:rsidRPr="0036083F" w:rsidRDefault="003E54C6" w:rsidP="003E54C6">
      <w:pPr>
        <w:pStyle w:val="NormalStyleBoxSinglesolidlineAuto05ptLinewidth"/>
      </w:pPr>
      <w:r w:rsidRPr="0036083F">
        <w:t>High performing sites are more likely than mid and low performing sites to</w:t>
      </w:r>
      <w:r>
        <w:t xml:space="preserve"> use strategies such as</w:t>
      </w:r>
      <w:r w:rsidRPr="0036083F">
        <w:t>:</w:t>
      </w:r>
    </w:p>
    <w:p w:rsidR="003E54C6" w:rsidRPr="00201752" w:rsidRDefault="003E54C6" w:rsidP="003E54C6">
      <w:pPr>
        <w:pStyle w:val="ListBullet"/>
        <w:pBdr>
          <w:top w:val="single" w:sz="4" w:space="1" w:color="auto"/>
          <w:left w:val="single" w:sz="4" w:space="4" w:color="auto"/>
          <w:bottom w:val="single" w:sz="4" w:space="1" w:color="auto"/>
          <w:right w:val="single" w:sz="4" w:space="4" w:color="auto"/>
        </w:pBdr>
      </w:pPr>
      <w:r>
        <w:t>L</w:t>
      </w:r>
      <w:r w:rsidRPr="00201752">
        <w:t>ook</w:t>
      </w:r>
      <w:r>
        <w:t>ing</w:t>
      </w:r>
      <w:r w:rsidRPr="00201752">
        <w:t xml:space="preserve"> for ways to address non-vocational and vocational barriers at the same time</w:t>
      </w:r>
      <w:r>
        <w:t>.</w:t>
      </w:r>
    </w:p>
    <w:p w:rsidR="005D62BC" w:rsidRDefault="003E54C6" w:rsidP="003E54C6">
      <w:pPr>
        <w:pStyle w:val="NormalStyleBoxSinglesolidlineAuto05ptLinewidth"/>
      </w:pPr>
      <w:proofErr w:type="gramStart"/>
      <w:r>
        <w:t>H</w:t>
      </w:r>
      <w:r w:rsidRPr="00201752">
        <w:t>av</w:t>
      </w:r>
      <w:r>
        <w:t>ing</w:t>
      </w:r>
      <w:r w:rsidRPr="00201752">
        <w:t xml:space="preserve"> strong links with </w:t>
      </w:r>
      <w:r>
        <w:t xml:space="preserve">a range of resources such as external </w:t>
      </w:r>
      <w:r w:rsidRPr="00201752">
        <w:t>training and psychological services</w:t>
      </w:r>
      <w:r>
        <w:t>, in-house services such as life coaches,</w:t>
      </w:r>
      <w:r w:rsidRPr="00201752">
        <w:t xml:space="preserve"> </w:t>
      </w:r>
      <w:r>
        <w:t xml:space="preserve">and other </w:t>
      </w:r>
      <w:r w:rsidRPr="00201752">
        <w:t>resources such as accommodation for homeless yout</w:t>
      </w:r>
      <w:r>
        <w:t>h.</w:t>
      </w:r>
      <w:proofErr w:type="gramEnd"/>
    </w:p>
    <w:p w:rsidR="00D02C29" w:rsidRPr="00620F02" w:rsidRDefault="0011186B" w:rsidP="00D02C29">
      <w:r>
        <w:br/>
      </w:r>
      <w:r w:rsidR="00D02C29" w:rsidRPr="00620F02">
        <w:t>Many job seekers, and particularly those in Streams 3 and 4, have one or more barriers to employment. How these barriers are managed varies across service providers</w:t>
      </w:r>
      <w:r w:rsidR="00AA1DD9">
        <w:rPr>
          <w:noProof/>
        </w:rPr>
        <w:t xml:space="preserve"> </w:t>
      </w:r>
      <w:r w:rsidR="00AA1DD9" w:rsidRPr="003E54C6">
        <w:rPr>
          <w:noProof/>
        </w:rPr>
        <w:t>(Employment Service Provider Survey, 2010)</w:t>
      </w:r>
      <w:r w:rsidR="00D02C29" w:rsidRPr="00620F02">
        <w:t>. Common strategies include</w:t>
      </w:r>
      <w:r w:rsidR="002B2E16">
        <w:t>:</w:t>
      </w:r>
    </w:p>
    <w:p w:rsidR="00D02C29" w:rsidRPr="00620F02" w:rsidRDefault="006A3D31" w:rsidP="00C4424E">
      <w:pPr>
        <w:pStyle w:val="ListBullet"/>
      </w:pPr>
      <w:r>
        <w:t>l</w:t>
      </w:r>
      <w:r w:rsidR="00D02C29" w:rsidRPr="00620F02">
        <w:t>ooking for ways to address non-vocational and vocational barriers at the same time</w:t>
      </w:r>
      <w:r>
        <w:t>;</w:t>
      </w:r>
    </w:p>
    <w:p w:rsidR="00D02C29" w:rsidRPr="00620F02" w:rsidRDefault="006A3D31" w:rsidP="00C4424E">
      <w:pPr>
        <w:pStyle w:val="ListBullet"/>
      </w:pPr>
      <w:r>
        <w:t>e</w:t>
      </w:r>
      <w:r w:rsidR="00620F02">
        <w:t>ngaging job seekers in a</w:t>
      </w:r>
      <w:r w:rsidR="00D02C29" w:rsidRPr="00620F02">
        <w:t>ctivities that will improve employment opportunities</w:t>
      </w:r>
      <w:r>
        <w:t>;</w:t>
      </w:r>
    </w:p>
    <w:p w:rsidR="00D02C29" w:rsidRPr="00620F02" w:rsidRDefault="006A3D31" w:rsidP="00C4424E">
      <w:pPr>
        <w:pStyle w:val="ListBullet"/>
        <w:rPr>
          <w:rStyle w:val="SourceandnotetextChar"/>
        </w:rPr>
      </w:pPr>
      <w:proofErr w:type="gramStart"/>
      <w:r>
        <w:t>i</w:t>
      </w:r>
      <w:r w:rsidR="00D02C29" w:rsidRPr="00620F02">
        <w:t>nvesting</w:t>
      </w:r>
      <w:proofErr w:type="gramEnd"/>
      <w:r w:rsidR="00D02C29" w:rsidRPr="00620F02">
        <w:t xml:space="preserve"> </w:t>
      </w:r>
      <w:r w:rsidR="00176B4B" w:rsidRPr="00620F02">
        <w:t xml:space="preserve">more </w:t>
      </w:r>
      <w:r w:rsidR="00D02C29" w:rsidRPr="00620F02">
        <w:t>time and resources in building rapport with job seekers</w:t>
      </w:r>
      <w:r w:rsidR="00176B4B" w:rsidRPr="00620F02">
        <w:t xml:space="preserve"> with higher needs</w:t>
      </w:r>
      <w:r w:rsidR="00D02C29" w:rsidRPr="00620F02">
        <w:t>.</w:t>
      </w:r>
    </w:p>
    <w:p w:rsidR="00D02C29" w:rsidRPr="00620F02" w:rsidRDefault="00D02C29" w:rsidP="00B4074B">
      <w:r w:rsidRPr="00620F02">
        <w:t>High performing providers are more likely to have</w:t>
      </w:r>
      <w:r w:rsidR="00176B4B" w:rsidRPr="00620F02">
        <w:t xml:space="preserve"> access to a range of resources to help address vocational and non-vocational barriers, such as</w:t>
      </w:r>
      <w:r w:rsidRPr="00620F02">
        <w:t>:</w:t>
      </w:r>
    </w:p>
    <w:p w:rsidR="00D02C29" w:rsidRPr="00620F02" w:rsidRDefault="00D02C29" w:rsidP="00C4424E">
      <w:pPr>
        <w:pStyle w:val="ListBullet"/>
      </w:pPr>
      <w:r w:rsidRPr="00620F02">
        <w:t xml:space="preserve">strong links with </w:t>
      </w:r>
      <w:r w:rsidR="00620F02">
        <w:t xml:space="preserve">external </w:t>
      </w:r>
      <w:r w:rsidRPr="00620F02">
        <w:t>training</w:t>
      </w:r>
      <w:r w:rsidR="00620F02">
        <w:t xml:space="preserve"> providers</w:t>
      </w:r>
      <w:r w:rsidRPr="00620F02">
        <w:t xml:space="preserve"> and </w:t>
      </w:r>
      <w:r w:rsidR="00620F02">
        <w:t xml:space="preserve">professional services such as </w:t>
      </w:r>
      <w:r w:rsidRPr="00620F02">
        <w:t>psychologi</w:t>
      </w:r>
      <w:r w:rsidR="00620F02">
        <w:t>sts or counsellors</w:t>
      </w:r>
      <w:r w:rsidRPr="00620F02">
        <w:t>;</w:t>
      </w:r>
      <w:r w:rsidR="008F5D08">
        <w:t xml:space="preserve"> and/or</w:t>
      </w:r>
    </w:p>
    <w:p w:rsidR="00D02C29" w:rsidRPr="00620F02" w:rsidRDefault="00D02C29" w:rsidP="00C4424E">
      <w:pPr>
        <w:pStyle w:val="ListBullet"/>
      </w:pPr>
      <w:r w:rsidRPr="00620F02">
        <w:t xml:space="preserve">in-house </w:t>
      </w:r>
      <w:r w:rsidR="00620F02">
        <w:t xml:space="preserve">services such as </w:t>
      </w:r>
      <w:r w:rsidRPr="00620F02">
        <w:t xml:space="preserve">life coaches or counsellors; </w:t>
      </w:r>
      <w:r w:rsidR="00482238">
        <w:t>and</w:t>
      </w:r>
      <w:r w:rsidR="008F5D08">
        <w:t>/or</w:t>
      </w:r>
    </w:p>
    <w:p w:rsidR="00D02C29" w:rsidRPr="00620F02" w:rsidRDefault="00D02C29" w:rsidP="00C4424E">
      <w:pPr>
        <w:pStyle w:val="ListBullet"/>
      </w:pPr>
      <w:proofErr w:type="gramStart"/>
      <w:r w:rsidRPr="00620F02">
        <w:t>access</w:t>
      </w:r>
      <w:proofErr w:type="gramEnd"/>
      <w:r w:rsidRPr="00620F02">
        <w:t xml:space="preserve"> to other resources, such as </w:t>
      </w:r>
      <w:r w:rsidR="003D1C95">
        <w:t>emergency and short-term accommodation for those who need it</w:t>
      </w:r>
      <w:r w:rsidRPr="00620F02">
        <w:t xml:space="preserve">. </w:t>
      </w:r>
    </w:p>
    <w:p w:rsidR="003448C1" w:rsidRDefault="00D02C29" w:rsidP="00B4074B">
      <w:r w:rsidRPr="00620F02">
        <w:t xml:space="preserve">According to the 2010 Survey of Employment Service Providers, </w:t>
      </w:r>
      <w:r w:rsidR="00010CB8">
        <w:t xml:space="preserve">mid and </w:t>
      </w:r>
      <w:r w:rsidRPr="000D575C">
        <w:t xml:space="preserve">high performing sites are more likely to report that </w:t>
      </w:r>
      <w:r w:rsidR="00620F02" w:rsidRPr="000D575C">
        <w:t>“</w:t>
      </w:r>
      <w:r w:rsidRPr="000D575C">
        <w:t>non-vocational barriers often sort themselves out when a job seeker has employment</w:t>
      </w:r>
      <w:r w:rsidR="00620F02" w:rsidRPr="000D575C">
        <w:t>”</w:t>
      </w:r>
      <w:r w:rsidRPr="00620F02">
        <w:t xml:space="preserve"> (</w:t>
      </w:r>
      <w:hyperlink w:anchor="Table2" w:tooltip="Table 2: Attitudes of employment service providers" w:history="1">
        <w:r w:rsidRPr="003448C1">
          <w:rPr>
            <w:rStyle w:val="Hyperlink"/>
          </w:rPr>
          <w:t xml:space="preserve">Table </w:t>
        </w:r>
        <w:r w:rsidR="0091766A" w:rsidRPr="003448C1">
          <w:rPr>
            <w:rStyle w:val="Hyperlink"/>
          </w:rPr>
          <w:t>2</w:t>
        </w:r>
      </w:hyperlink>
      <w:r w:rsidRPr="00620F02">
        <w:t>).</w:t>
      </w:r>
      <w:r w:rsidR="00620F02">
        <w:t xml:space="preserve"> </w:t>
      </w:r>
    </w:p>
    <w:p w:rsidR="00D02C29" w:rsidRPr="00691935" w:rsidRDefault="00D02C29" w:rsidP="006F4A06">
      <w:pPr>
        <w:pStyle w:val="Captionbefore12"/>
      </w:pPr>
      <w:bookmarkStart w:id="52" w:name="Table2"/>
      <w:bookmarkEnd w:id="52"/>
      <w:r w:rsidRPr="00691935">
        <w:t xml:space="preserve">Table </w:t>
      </w:r>
      <w:r w:rsidR="0091766A" w:rsidRPr="00691935">
        <w:t>2</w:t>
      </w:r>
      <w:r w:rsidRPr="00691935">
        <w:t xml:space="preserve">: Attitudes of employment service providers to </w:t>
      </w:r>
      <w:r w:rsidR="00176B4B" w:rsidRPr="00691935">
        <w:t xml:space="preserve">addressing </w:t>
      </w:r>
      <w:r w:rsidRPr="00691935">
        <w:t>non-vocational barriers (</w:t>
      </w:r>
      <w:r w:rsidR="001D7451" w:rsidRPr="00691935">
        <w:t>per cent</w:t>
      </w:r>
      <w:r w:rsidRPr="00691935">
        <w:t>)</w:t>
      </w:r>
    </w:p>
    <w:tbl>
      <w:tblPr>
        <w:tblW w:w="8505" w:type="dxa"/>
        <w:tblInd w:w="80" w:type="dxa"/>
        <w:tblBorders>
          <w:top w:val="single" w:sz="4" w:space="0" w:color="auto"/>
          <w:bottom w:val="single" w:sz="4" w:space="0" w:color="auto"/>
          <w:insideH w:val="single" w:sz="4" w:space="0" w:color="auto"/>
        </w:tblBorders>
        <w:shd w:val="clear" w:color="auto" w:fill="002F63"/>
        <w:tblLayout w:type="fixed"/>
        <w:tblCellMar>
          <w:left w:w="0" w:type="dxa"/>
          <w:right w:w="0" w:type="dxa"/>
        </w:tblCellMar>
        <w:tblLook w:val="00A0"/>
      </w:tblPr>
      <w:tblGrid>
        <w:gridCol w:w="3864"/>
        <w:gridCol w:w="1547"/>
        <w:gridCol w:w="1547"/>
        <w:gridCol w:w="1547"/>
      </w:tblGrid>
      <w:tr w:rsidR="00BA694D" w:rsidRPr="00F33398" w:rsidTr="009C741D">
        <w:trPr>
          <w:cantSplit/>
          <w:tblHeader/>
        </w:trPr>
        <w:tc>
          <w:tcPr>
            <w:tcW w:w="3544" w:type="dxa"/>
            <w:tcBorders>
              <w:bottom w:val="single" w:sz="4" w:space="0" w:color="auto"/>
            </w:tcBorders>
            <w:shd w:val="clear" w:color="auto" w:fill="auto"/>
            <w:tcMar>
              <w:top w:w="80" w:type="dxa"/>
              <w:left w:w="80" w:type="dxa"/>
              <w:bottom w:w="80" w:type="dxa"/>
              <w:right w:w="80" w:type="dxa"/>
            </w:tcMar>
            <w:vAlign w:val="bottom"/>
          </w:tcPr>
          <w:p w:rsidR="00BA694D" w:rsidRPr="00BA694D" w:rsidRDefault="00BA694D" w:rsidP="003E54C6">
            <w:pPr>
              <w:pStyle w:val="TableHeadingtext"/>
              <w:spacing w:before="40" w:after="0"/>
            </w:pPr>
            <w:r>
              <w:rPr>
                <w:lang w:val="en-GB"/>
              </w:rPr>
              <w:t xml:space="preserve">Proportion of </w:t>
            </w:r>
            <w:r w:rsidRPr="00425039">
              <w:rPr>
                <w:lang w:val="en-GB"/>
              </w:rPr>
              <w:t>providers who agree</w:t>
            </w:r>
            <w:r w:rsidR="008C68DA">
              <w:rPr>
                <w:lang w:val="en-GB"/>
              </w:rPr>
              <w:t xml:space="preserve"> with the statement</w:t>
            </w:r>
            <w:r w:rsidRPr="00425039">
              <w:rPr>
                <w:lang w:val="en-GB"/>
              </w:rPr>
              <w:t>:</w:t>
            </w:r>
          </w:p>
        </w:tc>
        <w:tc>
          <w:tcPr>
            <w:tcW w:w="1418" w:type="dxa"/>
            <w:tcBorders>
              <w:bottom w:val="single" w:sz="4" w:space="0" w:color="auto"/>
            </w:tcBorders>
            <w:shd w:val="clear" w:color="auto" w:fill="auto"/>
            <w:tcMar>
              <w:top w:w="80" w:type="dxa"/>
              <w:left w:w="80" w:type="dxa"/>
              <w:bottom w:w="80" w:type="dxa"/>
              <w:right w:w="80" w:type="dxa"/>
            </w:tcMar>
            <w:vAlign w:val="bottom"/>
          </w:tcPr>
          <w:p w:rsidR="00BA694D" w:rsidRPr="00BA694D" w:rsidRDefault="00BA694D" w:rsidP="003E54C6">
            <w:pPr>
              <w:pStyle w:val="TableHeadingtext"/>
              <w:spacing w:before="40" w:after="0"/>
              <w:jc w:val="center"/>
              <w:rPr>
                <w:bCs/>
              </w:rPr>
            </w:pPr>
            <w:r w:rsidRPr="00BA694D">
              <w:rPr>
                <w:bCs/>
              </w:rPr>
              <w:t>Low</w:t>
            </w:r>
            <w:r w:rsidR="00741B93">
              <w:rPr>
                <w:bCs/>
              </w:rPr>
              <w:t xml:space="preserve"> Performance Level</w:t>
            </w:r>
          </w:p>
        </w:tc>
        <w:tc>
          <w:tcPr>
            <w:tcW w:w="1418" w:type="dxa"/>
            <w:tcBorders>
              <w:bottom w:val="single" w:sz="4" w:space="0" w:color="auto"/>
            </w:tcBorders>
            <w:shd w:val="clear" w:color="auto" w:fill="auto"/>
            <w:tcMar>
              <w:top w:w="80" w:type="dxa"/>
              <w:left w:w="80" w:type="dxa"/>
              <w:bottom w:w="80" w:type="dxa"/>
              <w:right w:w="80" w:type="dxa"/>
            </w:tcMar>
            <w:vAlign w:val="bottom"/>
          </w:tcPr>
          <w:p w:rsidR="00741B93" w:rsidRPr="00BA694D" w:rsidRDefault="00BA694D" w:rsidP="003E54C6">
            <w:pPr>
              <w:pStyle w:val="TableHeadingtext"/>
              <w:spacing w:before="40" w:after="0"/>
              <w:jc w:val="center"/>
              <w:rPr>
                <w:bCs/>
              </w:rPr>
            </w:pPr>
            <w:r w:rsidRPr="00BA694D">
              <w:rPr>
                <w:bCs/>
              </w:rPr>
              <w:t>Medium</w:t>
            </w:r>
            <w:r w:rsidR="004A1CC2">
              <w:rPr>
                <w:bCs/>
              </w:rPr>
              <w:br/>
            </w:r>
            <w:r w:rsidR="00741B93">
              <w:rPr>
                <w:bCs/>
              </w:rPr>
              <w:t>Performance Level</w:t>
            </w:r>
          </w:p>
        </w:tc>
        <w:tc>
          <w:tcPr>
            <w:tcW w:w="1418" w:type="dxa"/>
            <w:tcBorders>
              <w:bottom w:val="single" w:sz="4" w:space="0" w:color="auto"/>
            </w:tcBorders>
            <w:shd w:val="clear" w:color="auto" w:fill="auto"/>
            <w:tcMar>
              <w:top w:w="80" w:type="dxa"/>
              <w:left w:w="80" w:type="dxa"/>
              <w:bottom w:w="80" w:type="dxa"/>
              <w:right w:w="80" w:type="dxa"/>
            </w:tcMar>
            <w:vAlign w:val="bottom"/>
          </w:tcPr>
          <w:p w:rsidR="00741B93" w:rsidRPr="00BA694D" w:rsidRDefault="00BA694D" w:rsidP="003E54C6">
            <w:pPr>
              <w:pStyle w:val="TableHeadingtext"/>
              <w:spacing w:before="40" w:after="0"/>
              <w:jc w:val="center"/>
              <w:rPr>
                <w:bCs/>
              </w:rPr>
            </w:pPr>
            <w:r w:rsidRPr="00BA694D">
              <w:rPr>
                <w:bCs/>
              </w:rPr>
              <w:t>High</w:t>
            </w:r>
            <w:r w:rsidR="004A1CC2">
              <w:rPr>
                <w:bCs/>
              </w:rPr>
              <w:br/>
            </w:r>
            <w:r w:rsidR="00741B93">
              <w:rPr>
                <w:bCs/>
              </w:rPr>
              <w:t>Performance Level</w:t>
            </w:r>
          </w:p>
        </w:tc>
      </w:tr>
      <w:tr w:rsidR="00BA694D" w:rsidRPr="0086638D" w:rsidTr="009C741D">
        <w:trPr>
          <w:cantSplit/>
          <w:trHeight w:val="988"/>
          <w:tblHeader/>
        </w:trPr>
        <w:tc>
          <w:tcPr>
            <w:tcW w:w="3544" w:type="dxa"/>
            <w:tcBorders>
              <w:bottom w:val="nil"/>
            </w:tcBorders>
            <w:shd w:val="clear" w:color="auto" w:fill="auto"/>
            <w:tcMar>
              <w:top w:w="80" w:type="dxa"/>
              <w:left w:w="80" w:type="dxa"/>
              <w:bottom w:w="80" w:type="dxa"/>
              <w:right w:w="80" w:type="dxa"/>
            </w:tcMar>
          </w:tcPr>
          <w:p w:rsidR="00BA694D" w:rsidRPr="0079086F" w:rsidRDefault="00BA694D" w:rsidP="003E54C6">
            <w:pPr>
              <w:pStyle w:val="tabletext"/>
              <w:spacing w:before="40" w:after="0"/>
            </w:pPr>
            <w:r>
              <w:t xml:space="preserve">Non-vocational barriers often sort themselves out when a job seeker has employment </w:t>
            </w:r>
            <w:r w:rsidR="00335ACA">
              <w:t>(n=673)</w:t>
            </w:r>
          </w:p>
        </w:tc>
        <w:tc>
          <w:tcPr>
            <w:tcW w:w="1418" w:type="dxa"/>
            <w:tcBorders>
              <w:bottom w:val="nil"/>
            </w:tcBorders>
            <w:shd w:val="clear" w:color="auto" w:fill="auto"/>
            <w:tcMar>
              <w:top w:w="80" w:type="dxa"/>
              <w:left w:w="80" w:type="dxa"/>
              <w:bottom w:w="80" w:type="dxa"/>
              <w:right w:w="80" w:type="dxa"/>
            </w:tcMar>
            <w:vAlign w:val="bottom"/>
          </w:tcPr>
          <w:p w:rsidR="00A540C4" w:rsidRDefault="00BB753C" w:rsidP="003E54C6">
            <w:pPr>
              <w:pStyle w:val="tabletext"/>
              <w:spacing w:before="40" w:after="0"/>
              <w:jc w:val="center"/>
              <w:rPr>
                <w:rFonts w:cs="Calibri"/>
              </w:rPr>
            </w:pPr>
            <w:r>
              <w:rPr>
                <w:rFonts w:cs="Calibri"/>
              </w:rPr>
              <w:t>20</w:t>
            </w:r>
            <w:hyperlink w:anchor="a" w:tooltip="Significantly different at the 95 per cent confidence level" w:history="1">
              <w:r w:rsidR="007454C2" w:rsidRPr="007454C2">
                <w:rPr>
                  <w:rStyle w:val="Hyperlink"/>
                  <w:rFonts w:cs="Calibri"/>
                </w:rPr>
                <w:t>(a)</w:t>
              </w:r>
            </w:hyperlink>
          </w:p>
        </w:tc>
        <w:tc>
          <w:tcPr>
            <w:tcW w:w="1418" w:type="dxa"/>
            <w:tcBorders>
              <w:bottom w:val="nil"/>
            </w:tcBorders>
            <w:shd w:val="clear" w:color="auto" w:fill="auto"/>
            <w:tcMar>
              <w:top w:w="80" w:type="dxa"/>
              <w:left w:w="80" w:type="dxa"/>
              <w:bottom w:w="80" w:type="dxa"/>
              <w:right w:w="80" w:type="dxa"/>
            </w:tcMar>
            <w:vAlign w:val="bottom"/>
          </w:tcPr>
          <w:p w:rsidR="00A540C4" w:rsidRDefault="00BB753C" w:rsidP="003E54C6">
            <w:pPr>
              <w:pStyle w:val="tabletext"/>
              <w:spacing w:before="40" w:after="0"/>
              <w:jc w:val="center"/>
              <w:rPr>
                <w:rFonts w:cs="Calibri"/>
              </w:rPr>
            </w:pPr>
            <w:r>
              <w:rPr>
                <w:rFonts w:cs="Calibri"/>
              </w:rPr>
              <w:t>34</w:t>
            </w:r>
            <w:hyperlink w:anchor="b" w:tooltip="Not significantly different at the 95 per cent confidence level" w:history="1">
              <w:r w:rsidR="007454C2" w:rsidRPr="007454C2">
                <w:rPr>
                  <w:rStyle w:val="Hyperlink"/>
                  <w:rFonts w:cs="Calibri"/>
                </w:rPr>
                <w:t>(b)</w:t>
              </w:r>
            </w:hyperlink>
          </w:p>
        </w:tc>
        <w:tc>
          <w:tcPr>
            <w:tcW w:w="1418" w:type="dxa"/>
            <w:tcBorders>
              <w:bottom w:val="nil"/>
            </w:tcBorders>
            <w:shd w:val="clear" w:color="auto" w:fill="auto"/>
            <w:tcMar>
              <w:top w:w="80" w:type="dxa"/>
              <w:left w:w="80" w:type="dxa"/>
              <w:bottom w:w="80" w:type="dxa"/>
              <w:right w:w="80" w:type="dxa"/>
            </w:tcMar>
            <w:vAlign w:val="bottom"/>
          </w:tcPr>
          <w:p w:rsidR="00A540C4" w:rsidRDefault="00BA694D" w:rsidP="003E54C6">
            <w:pPr>
              <w:pStyle w:val="tabletext"/>
              <w:spacing w:before="40" w:after="0"/>
              <w:jc w:val="center"/>
              <w:rPr>
                <w:rFonts w:cs="Calibri"/>
              </w:rPr>
            </w:pPr>
            <w:r>
              <w:rPr>
                <w:rFonts w:cs="Calibri"/>
              </w:rPr>
              <w:t>34</w:t>
            </w:r>
            <w:hyperlink w:anchor="b" w:tooltip="Not significantly different at the 95 per cent confidence level" w:history="1">
              <w:r w:rsidR="007454C2" w:rsidRPr="007454C2">
                <w:rPr>
                  <w:rStyle w:val="Hyperlink"/>
                  <w:rFonts w:cs="Calibri"/>
                </w:rPr>
                <w:t>(b)</w:t>
              </w:r>
            </w:hyperlink>
          </w:p>
        </w:tc>
      </w:tr>
      <w:tr w:rsidR="00BA694D" w:rsidRPr="0086638D" w:rsidTr="009C741D">
        <w:trPr>
          <w:cantSplit/>
          <w:trHeight w:val="1047"/>
          <w:tblHeader/>
        </w:trPr>
        <w:tc>
          <w:tcPr>
            <w:tcW w:w="3544" w:type="dxa"/>
            <w:tcBorders>
              <w:top w:val="nil"/>
            </w:tcBorders>
            <w:shd w:val="clear" w:color="auto" w:fill="auto"/>
            <w:tcMar>
              <w:top w:w="80" w:type="dxa"/>
              <w:left w:w="80" w:type="dxa"/>
              <w:bottom w:w="80" w:type="dxa"/>
              <w:right w:w="80" w:type="dxa"/>
            </w:tcMar>
          </w:tcPr>
          <w:p w:rsidR="00BA694D" w:rsidRDefault="00BA694D" w:rsidP="003E54C6">
            <w:pPr>
              <w:pStyle w:val="tabletext"/>
              <w:spacing w:before="40" w:after="0"/>
              <w:rPr>
                <w:rFonts w:cs="Calibri"/>
              </w:rPr>
            </w:pPr>
            <w:r>
              <w:rPr>
                <w:rFonts w:cs="Calibri"/>
              </w:rPr>
              <w:t>Without addressing non-vocational barriers, job seekers never achieve a sustainable job outcome</w:t>
            </w:r>
            <w:r w:rsidR="00335ACA">
              <w:rPr>
                <w:rFonts w:cs="Calibri"/>
              </w:rPr>
              <w:t xml:space="preserve"> (n=675)</w:t>
            </w:r>
          </w:p>
        </w:tc>
        <w:tc>
          <w:tcPr>
            <w:tcW w:w="1418" w:type="dxa"/>
            <w:tcBorders>
              <w:top w:val="nil"/>
            </w:tcBorders>
            <w:shd w:val="clear" w:color="auto" w:fill="auto"/>
            <w:tcMar>
              <w:top w:w="80" w:type="dxa"/>
              <w:left w:w="80" w:type="dxa"/>
              <w:bottom w:w="80" w:type="dxa"/>
              <w:right w:w="80" w:type="dxa"/>
            </w:tcMar>
            <w:vAlign w:val="bottom"/>
          </w:tcPr>
          <w:p w:rsidR="00A540C4" w:rsidRDefault="00BB753C" w:rsidP="003E54C6">
            <w:pPr>
              <w:pStyle w:val="tabletext"/>
              <w:spacing w:before="40" w:after="0"/>
              <w:jc w:val="center"/>
              <w:rPr>
                <w:rFonts w:cs="Calibri"/>
              </w:rPr>
            </w:pPr>
            <w:r>
              <w:rPr>
                <w:rFonts w:cs="Calibri"/>
              </w:rPr>
              <w:t>54</w:t>
            </w:r>
          </w:p>
        </w:tc>
        <w:tc>
          <w:tcPr>
            <w:tcW w:w="1418" w:type="dxa"/>
            <w:tcBorders>
              <w:top w:val="nil"/>
            </w:tcBorders>
            <w:shd w:val="clear" w:color="auto" w:fill="auto"/>
            <w:tcMar>
              <w:top w:w="80" w:type="dxa"/>
              <w:left w:w="80" w:type="dxa"/>
              <w:bottom w:w="80" w:type="dxa"/>
              <w:right w:w="80" w:type="dxa"/>
            </w:tcMar>
            <w:vAlign w:val="bottom"/>
          </w:tcPr>
          <w:p w:rsidR="00A540C4" w:rsidRDefault="00BB753C" w:rsidP="003E54C6">
            <w:pPr>
              <w:pStyle w:val="tabletext"/>
              <w:spacing w:before="40" w:after="0"/>
              <w:jc w:val="center"/>
              <w:rPr>
                <w:rFonts w:cs="Calibri"/>
              </w:rPr>
            </w:pPr>
            <w:r>
              <w:rPr>
                <w:rFonts w:cs="Calibri"/>
              </w:rPr>
              <w:t>50</w:t>
            </w:r>
          </w:p>
        </w:tc>
        <w:tc>
          <w:tcPr>
            <w:tcW w:w="1418" w:type="dxa"/>
            <w:tcBorders>
              <w:top w:val="nil"/>
            </w:tcBorders>
            <w:shd w:val="clear" w:color="auto" w:fill="auto"/>
            <w:tcMar>
              <w:top w:w="80" w:type="dxa"/>
              <w:left w:w="80" w:type="dxa"/>
              <w:bottom w:w="80" w:type="dxa"/>
              <w:right w:w="80" w:type="dxa"/>
            </w:tcMar>
            <w:vAlign w:val="bottom"/>
          </w:tcPr>
          <w:p w:rsidR="00A540C4" w:rsidRDefault="00BB753C" w:rsidP="003E54C6">
            <w:pPr>
              <w:pStyle w:val="tabletext"/>
              <w:spacing w:before="40" w:after="0"/>
              <w:jc w:val="center"/>
              <w:rPr>
                <w:rFonts w:cs="Calibri"/>
              </w:rPr>
            </w:pPr>
            <w:r>
              <w:rPr>
                <w:rFonts w:cs="Calibri"/>
              </w:rPr>
              <w:t>43</w:t>
            </w:r>
          </w:p>
        </w:tc>
      </w:tr>
    </w:tbl>
    <w:p w:rsidR="007454C2" w:rsidRPr="00BC3292" w:rsidRDefault="00036849" w:rsidP="00036849">
      <w:pPr>
        <w:pStyle w:val="Sourceandnotetext"/>
      </w:pPr>
      <w:bookmarkStart w:id="53" w:name="a"/>
      <w:bookmarkEnd w:id="53"/>
      <w:r w:rsidRPr="00BC3292">
        <w:t xml:space="preserve"> </w:t>
      </w:r>
      <w:r w:rsidR="007454C2" w:rsidRPr="00BC3292">
        <w:t>(a) Significantly different at the 95 per cent confidence level.</w:t>
      </w:r>
    </w:p>
    <w:p w:rsidR="007454C2" w:rsidRPr="00BC3292" w:rsidRDefault="007454C2" w:rsidP="00036849">
      <w:pPr>
        <w:pStyle w:val="Sourceandnotetext"/>
      </w:pPr>
      <w:bookmarkStart w:id="54" w:name="b"/>
      <w:bookmarkEnd w:id="54"/>
      <w:r w:rsidRPr="00BC3292">
        <w:t>(b) Not significantly different at the 95 per cent confidence level.</w:t>
      </w:r>
    </w:p>
    <w:p w:rsidR="00036849" w:rsidRDefault="00036849" w:rsidP="00036849">
      <w:pPr>
        <w:pStyle w:val="Sourceandnotetext"/>
      </w:pPr>
      <w:r w:rsidRPr="00BA694D">
        <w:rPr>
          <w:b/>
          <w:bCs/>
        </w:rPr>
        <w:t>Source:</w:t>
      </w:r>
      <w:r>
        <w:t xml:space="preserve"> DEEWR Survey of Employment Service Providers 2010</w:t>
      </w:r>
    </w:p>
    <w:p w:rsidR="007D0773" w:rsidRDefault="002478E4">
      <w:r>
        <w:t>This suggests that</w:t>
      </w:r>
      <w:r w:rsidR="00B06D50">
        <w:t xml:space="preserve"> </w:t>
      </w:r>
      <w:r w:rsidR="00010CB8">
        <w:t xml:space="preserve">mid and </w:t>
      </w:r>
      <w:r w:rsidR="00B06D50">
        <w:t>h</w:t>
      </w:r>
      <w:r w:rsidR="00176B4B">
        <w:t xml:space="preserve">igh performing sites </w:t>
      </w:r>
      <w:r w:rsidR="008F5D08">
        <w:t>are more likely to</w:t>
      </w:r>
      <w:r w:rsidR="00B06D50">
        <w:t xml:space="preserve"> </w:t>
      </w:r>
      <w:r w:rsidR="008F5D08">
        <w:t>address both vocational and non-vocational barriers together where possible; h</w:t>
      </w:r>
      <w:r w:rsidR="007D0773">
        <w:t xml:space="preserve">owever the low percentages </w:t>
      </w:r>
      <w:r w:rsidR="008F5D08">
        <w:t xml:space="preserve">in </w:t>
      </w:r>
      <w:hyperlink w:anchor="Table2" w:tooltip="Table 2: Attitudes of employment service providers" w:history="1">
        <w:r w:rsidR="008F5D08" w:rsidRPr="00B25128">
          <w:rPr>
            <w:rStyle w:val="Hyperlink"/>
          </w:rPr>
          <w:t>T</w:t>
        </w:r>
        <w:r w:rsidR="007D0773" w:rsidRPr="00B25128">
          <w:rPr>
            <w:rStyle w:val="Hyperlink"/>
          </w:rPr>
          <w:t xml:space="preserve">able </w:t>
        </w:r>
        <w:r w:rsidR="008F5D08" w:rsidRPr="00B25128">
          <w:rPr>
            <w:rStyle w:val="Hyperlink"/>
          </w:rPr>
          <w:t>2</w:t>
        </w:r>
      </w:hyperlink>
      <w:r w:rsidR="008F5D08">
        <w:t xml:space="preserve"> </w:t>
      </w:r>
      <w:r w:rsidR="007D0773">
        <w:t xml:space="preserve">highlights the individualised </w:t>
      </w:r>
      <w:r w:rsidR="008A21A9">
        <w:t>nature of servicing job seekers</w:t>
      </w:r>
      <w:r w:rsidR="008F5D08">
        <w:t>,</w:t>
      </w:r>
      <w:r w:rsidR="008A21A9">
        <w:t xml:space="preserve"> as </w:t>
      </w:r>
      <w:r w:rsidR="00010CB8">
        <w:t>around half</w:t>
      </w:r>
      <w:r w:rsidR="008A21A9">
        <w:t xml:space="preserve"> of employment service providers still believe that non-vocational barriers to employment must be addressed for job seekers to achieve sustainable employment.</w:t>
      </w:r>
      <w:r w:rsidR="00671E0A">
        <w:br/>
      </w:r>
    </w:p>
    <w:p w:rsidR="00620F02" w:rsidRPr="00D63983" w:rsidRDefault="00620F02" w:rsidP="00243BD4">
      <w:pPr>
        <w:pStyle w:val="StyleQuoteBlBoxSinglesolidlineAuto05ptLinewidth"/>
      </w:pPr>
      <w:r w:rsidRPr="00D63983">
        <w:t>Yes, welfare is important and they need care and they need development but we also need to transition them into employment because in 12 to 18 months they will be doing work experience anywa</w:t>
      </w:r>
      <w:r>
        <w:t>y. ... A</w:t>
      </w:r>
      <w:r w:rsidRPr="00D63983">
        <w:t xml:space="preserve"> lot of them that are in a rehabilitation process, that employment is a big part of that rehabilitation, having too much spare time on their hands just </w:t>
      </w:r>
      <w:proofErr w:type="gramStart"/>
      <w:r w:rsidRPr="00D63983">
        <w:t>puts</w:t>
      </w:r>
      <w:proofErr w:type="gramEnd"/>
      <w:r w:rsidRPr="00D63983">
        <w:t xml:space="preserve"> them back perhaps to where they previously were. </w:t>
      </w:r>
    </w:p>
    <w:p w:rsidR="00620F02" w:rsidRPr="00D63983" w:rsidRDefault="00620F02" w:rsidP="00620F02">
      <w:pPr>
        <w:pStyle w:val="QuoteRef"/>
        <w:pBdr>
          <w:top w:val="single" w:sz="4" w:space="1" w:color="auto"/>
          <w:left w:val="single" w:sz="4" w:space="4" w:color="auto"/>
          <w:bottom w:val="single" w:sz="4" w:space="1" w:color="auto"/>
          <w:right w:val="single" w:sz="4" w:space="4" w:color="auto"/>
        </w:pBdr>
      </w:pPr>
      <w:r w:rsidRPr="00D63983">
        <w:t>Employment consultant, regional centre, Victoria</w:t>
      </w:r>
    </w:p>
    <w:p w:rsidR="009076A6" w:rsidRDefault="009076A6" w:rsidP="009076A6"/>
    <w:p w:rsidR="009076A6" w:rsidRPr="009076A6" w:rsidRDefault="009076A6" w:rsidP="009076A6">
      <w:r>
        <w:t>Respondents to the</w:t>
      </w:r>
      <w:r w:rsidRPr="009076A6">
        <w:t xml:space="preserve"> </w:t>
      </w:r>
      <w:proofErr w:type="spellStart"/>
      <w:r w:rsidRPr="009076A6">
        <w:t>EAS</w:t>
      </w:r>
      <w:proofErr w:type="spellEnd"/>
      <w:r w:rsidRPr="009076A6">
        <w:t xml:space="preserve"> </w:t>
      </w:r>
      <w:r>
        <w:t xml:space="preserve">reported that </w:t>
      </w:r>
      <w:r w:rsidRPr="009076A6">
        <w:t xml:space="preserve">the most </w:t>
      </w:r>
      <w:r>
        <w:t>common</w:t>
      </w:r>
      <w:r w:rsidRPr="009076A6">
        <w:t xml:space="preserve"> way in which providers helped overcome </w:t>
      </w:r>
      <w:r>
        <w:t>their</w:t>
      </w:r>
      <w:r w:rsidRPr="009076A6">
        <w:t xml:space="preserve"> barriers was by providing ‘general support/ encouragement/ understanding’. In total, 37</w:t>
      </w:r>
      <w:r>
        <w:t xml:space="preserve"> per cent</w:t>
      </w:r>
      <w:r w:rsidRPr="009076A6">
        <w:t xml:space="preserve"> of respondents who felt that their provider had assisted them in overcoming barriers reported receiving </w:t>
      </w:r>
      <w:r w:rsidR="00C57075" w:rsidRPr="00C57075">
        <w:t>this form of assistance</w:t>
      </w:r>
      <w:r w:rsidR="008F5D08">
        <w:rPr>
          <w:rStyle w:val="FootnoteReference"/>
        </w:rPr>
        <w:footnoteReference w:id="1"/>
      </w:r>
      <w:r w:rsidR="00C57075" w:rsidRPr="00C57075">
        <w:t xml:space="preserve"> </w:t>
      </w:r>
      <w:r w:rsidR="00AA1DD9" w:rsidRPr="00601802">
        <w:rPr>
          <w:noProof/>
        </w:rPr>
        <w:t>(EAS, 2011)</w:t>
      </w:r>
      <w:r w:rsidRPr="009076A6">
        <w:t>.</w:t>
      </w:r>
    </w:p>
    <w:p w:rsidR="007454C2" w:rsidRDefault="007454C2" w:rsidP="003771F8">
      <w:r>
        <w:br w:type="page"/>
      </w:r>
    </w:p>
    <w:p w:rsidR="00BE07FB" w:rsidRDefault="00EB40E0" w:rsidP="00AF4070">
      <w:pPr>
        <w:pStyle w:val="Heading2"/>
      </w:pPr>
      <w:bookmarkStart w:id="55" w:name="Section34"/>
      <w:bookmarkStart w:id="56" w:name="_Toc326764335"/>
      <w:bookmarkEnd w:id="55"/>
      <w:r>
        <w:t>3</w:t>
      </w:r>
      <w:r w:rsidR="00EF1D64">
        <w:t>.4</w:t>
      </w:r>
      <w:r w:rsidR="00EF1D64">
        <w:tab/>
      </w:r>
      <w:r w:rsidR="005C39D7">
        <w:t xml:space="preserve">Using the </w:t>
      </w:r>
      <w:r w:rsidR="00BE07FB">
        <w:t>Employment Pathway Fund (EPF)</w:t>
      </w:r>
      <w:bookmarkEnd w:id="56"/>
      <w:r w:rsidR="00BE07FB">
        <w:t xml:space="preserve"> </w:t>
      </w:r>
    </w:p>
    <w:p w:rsidR="00FF107E" w:rsidRPr="00C82566" w:rsidRDefault="00FF107E" w:rsidP="003E54C6">
      <w:pPr>
        <w:pStyle w:val="NormalStyleBoxSinglesolidlineAuto05ptLinewidth"/>
      </w:pPr>
      <w:r w:rsidRPr="00C82566">
        <w:t>High performing sites are more likely than mid and low performing sites to:</w:t>
      </w:r>
    </w:p>
    <w:p w:rsidR="00FF107E" w:rsidRPr="00C82566" w:rsidRDefault="00FF107E" w:rsidP="00FF107E">
      <w:pPr>
        <w:pStyle w:val="ListBullet"/>
        <w:pBdr>
          <w:top w:val="single" w:sz="4" w:space="1" w:color="auto"/>
          <w:left w:val="single" w:sz="4" w:space="4" w:color="auto"/>
          <w:bottom w:val="single" w:sz="4" w:space="1" w:color="auto"/>
          <w:right w:val="single" w:sz="4" w:space="4" w:color="auto"/>
        </w:pBdr>
      </w:pPr>
      <w:r w:rsidRPr="00C82566">
        <w:t>Spend a higher proportion of allocated EPF, while still maintaining a sustainable balance.</w:t>
      </w:r>
    </w:p>
    <w:p w:rsidR="00FF107E" w:rsidRPr="0036083F" w:rsidRDefault="00FF107E" w:rsidP="003E54C6">
      <w:pPr>
        <w:pStyle w:val="NormalStyleBoxSinglesolidlineAuto05ptLinewidth"/>
      </w:pPr>
      <w:r w:rsidRPr="00C82566">
        <w:t>Spend more of the EPF on items specific to placing job seekers in work, such as wage subsidies and reverse</w:t>
      </w:r>
      <w:r>
        <w:t xml:space="preserve"> marketing</w:t>
      </w:r>
      <w:r w:rsidRPr="00C82566">
        <w:t xml:space="preserve"> </w:t>
      </w:r>
      <w:r>
        <w:t>of job seekers to employers</w:t>
      </w:r>
      <w:r w:rsidRPr="00C82566">
        <w:t>.</w:t>
      </w:r>
    </w:p>
    <w:p w:rsidR="00B06D50" w:rsidRPr="00D87B70" w:rsidRDefault="00671E0A" w:rsidP="00B4074B">
      <w:r>
        <w:br/>
      </w:r>
      <w:r w:rsidR="00BE07FB" w:rsidRPr="000D575C">
        <w:t>High performing sites on average spend a higher proportion of allocated E</w:t>
      </w:r>
      <w:r w:rsidR="00D87B70" w:rsidRPr="000D575C">
        <w:t>mployment Pathway Fund</w:t>
      </w:r>
      <w:r w:rsidR="00BE07FB" w:rsidRPr="000D575C">
        <w:t xml:space="preserve"> </w:t>
      </w:r>
      <w:r w:rsidR="009009AB" w:rsidRPr="000D575C">
        <w:t xml:space="preserve">credits </w:t>
      </w:r>
      <w:r w:rsidR="00BE07FB" w:rsidRPr="000D575C">
        <w:t>than do low and mid performing sites.</w:t>
      </w:r>
      <w:r w:rsidR="00BE07FB" w:rsidRPr="00D87B70">
        <w:t xml:space="preserve"> In </w:t>
      </w:r>
      <w:r w:rsidR="00D87B70">
        <w:t xml:space="preserve">the </w:t>
      </w:r>
      <w:r w:rsidR="00BE07FB" w:rsidRPr="00D87B70">
        <w:t>2009–10</w:t>
      </w:r>
      <w:r w:rsidR="00D87B70">
        <w:t xml:space="preserve"> financial year</w:t>
      </w:r>
      <w:r w:rsidR="00BE07FB" w:rsidRPr="00D87B70">
        <w:t>, high performing sites spent on average 58</w:t>
      </w:r>
      <w:r w:rsidR="00D87B70">
        <w:t xml:space="preserve"> per cent of</w:t>
      </w:r>
      <w:r w:rsidR="00BE07FB" w:rsidRPr="00D87B70">
        <w:t xml:space="preserve"> </w:t>
      </w:r>
      <w:r w:rsidR="00D87B70">
        <w:t xml:space="preserve">their </w:t>
      </w:r>
      <w:r w:rsidR="00BE07FB" w:rsidRPr="00D87B70">
        <w:t xml:space="preserve">allocated EPF, more than </w:t>
      </w:r>
      <w:r w:rsidR="002C6198" w:rsidRPr="00D87B70">
        <w:t>ha</w:t>
      </w:r>
      <w:r w:rsidR="00127E0E" w:rsidRPr="00D87B70">
        <w:t>lf</w:t>
      </w:r>
      <w:r w:rsidR="002C6198" w:rsidRPr="00D87B70">
        <w:t xml:space="preserve"> as much again as</w:t>
      </w:r>
      <w:r w:rsidR="00BE07FB" w:rsidRPr="00D87B70">
        <w:t xml:space="preserve"> low performing sites</w:t>
      </w:r>
      <w:r w:rsidR="002E7151" w:rsidRPr="00D87B70">
        <w:rPr>
          <w:rStyle w:val="FootnoteReference"/>
        </w:rPr>
        <w:footnoteReference w:id="2"/>
      </w:r>
      <w:r w:rsidR="00AF48F4" w:rsidRPr="00D87B70">
        <w:t xml:space="preserve"> (</w:t>
      </w:r>
      <w:hyperlink w:anchor="Table3" w:tooltip="Table 3: Proportion of Employment Pathway Fund spent in financial year" w:history="1">
        <w:r w:rsidR="00AF48F4" w:rsidRPr="003448C1">
          <w:rPr>
            <w:rStyle w:val="Hyperlink"/>
          </w:rPr>
          <w:t xml:space="preserve">Table </w:t>
        </w:r>
        <w:r w:rsidR="0091766A" w:rsidRPr="003448C1">
          <w:rPr>
            <w:rStyle w:val="Hyperlink"/>
          </w:rPr>
          <w:t>3</w:t>
        </w:r>
      </w:hyperlink>
      <w:r w:rsidR="00AF48F4" w:rsidRPr="00D87B70">
        <w:t>)</w:t>
      </w:r>
      <w:r w:rsidR="00BE07FB" w:rsidRPr="00D87B70">
        <w:t>.</w:t>
      </w:r>
      <w:r w:rsidR="00B06D50" w:rsidRPr="00D87B70">
        <w:t xml:space="preserve"> </w:t>
      </w:r>
    </w:p>
    <w:p w:rsidR="00BE07FB" w:rsidRDefault="00BE07FB" w:rsidP="00910AB5">
      <w:pPr>
        <w:pStyle w:val="Caption"/>
        <w:spacing w:before="120" w:after="60"/>
      </w:pPr>
      <w:bookmarkStart w:id="57" w:name="Table3"/>
      <w:bookmarkEnd w:id="57"/>
      <w:r>
        <w:t xml:space="preserve">Table </w:t>
      </w:r>
      <w:r w:rsidR="0091766A">
        <w:t>3</w:t>
      </w:r>
      <w:r>
        <w:t xml:space="preserve">: Proportion of Employment Pathway Fund spent in </w:t>
      </w:r>
      <w:r w:rsidR="00F05EF0">
        <w:t xml:space="preserve">financial year </w:t>
      </w:r>
      <w:r>
        <w:t>2009–10 (</w:t>
      </w:r>
      <w:r w:rsidR="001D7451">
        <w:t>per cent</w:t>
      </w:r>
      <w:r>
        <w:t>)</w:t>
      </w:r>
    </w:p>
    <w:tbl>
      <w:tblPr>
        <w:tblW w:w="8505" w:type="dxa"/>
        <w:tblInd w:w="80" w:type="dxa"/>
        <w:shd w:val="clear" w:color="auto" w:fill="002F63"/>
        <w:tblLayout w:type="fixed"/>
        <w:tblCellMar>
          <w:left w:w="0" w:type="dxa"/>
          <w:right w:w="0" w:type="dxa"/>
        </w:tblCellMar>
        <w:tblLook w:val="00A0"/>
      </w:tblPr>
      <w:tblGrid>
        <w:gridCol w:w="3865"/>
        <w:gridCol w:w="1547"/>
        <w:gridCol w:w="1546"/>
        <w:gridCol w:w="1547"/>
      </w:tblGrid>
      <w:tr w:rsidR="00BE07FB" w:rsidRPr="00F33398" w:rsidTr="009C741D">
        <w:trPr>
          <w:cantSplit/>
          <w:tblHeader/>
        </w:trPr>
        <w:tc>
          <w:tcPr>
            <w:tcW w:w="3544" w:type="dxa"/>
            <w:tcBorders>
              <w:top w:val="single" w:sz="4" w:space="0" w:color="auto"/>
              <w:bottom w:val="single" w:sz="4" w:space="0" w:color="auto"/>
            </w:tcBorders>
            <w:shd w:val="clear" w:color="auto" w:fill="auto"/>
            <w:tcMar>
              <w:top w:w="80" w:type="dxa"/>
              <w:left w:w="80" w:type="dxa"/>
              <w:bottom w:w="80" w:type="dxa"/>
              <w:right w:w="80" w:type="dxa"/>
            </w:tcMar>
          </w:tcPr>
          <w:p w:rsidR="00BE07FB" w:rsidRPr="002D5346" w:rsidRDefault="00B5217D" w:rsidP="00BE07FB">
            <w:pPr>
              <w:pStyle w:val="TableHeadingtext"/>
              <w:rPr>
                <w:color w:val="FFFFFF" w:themeColor="background1"/>
              </w:rPr>
            </w:pPr>
            <w:r>
              <w:rPr>
                <w:color w:val="FFFFFF" w:themeColor="background1"/>
              </w:rPr>
              <w:t>-</w:t>
            </w: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BE07FB" w:rsidRPr="00BA694D" w:rsidRDefault="00BE07FB" w:rsidP="00BE07FB">
            <w:pPr>
              <w:pStyle w:val="TableHeadingtext"/>
              <w:jc w:val="center"/>
              <w:rPr>
                <w:bCs/>
              </w:rPr>
            </w:pPr>
            <w:r w:rsidRPr="00BA694D">
              <w:rPr>
                <w:bCs/>
              </w:rPr>
              <w:t>Low</w:t>
            </w:r>
            <w:r w:rsidR="00901B1F">
              <w:rPr>
                <w:bCs/>
              </w:rPr>
              <w:t xml:space="preserve"> </w:t>
            </w:r>
            <w:r w:rsidR="00901B1F" w:rsidRPr="0086638D">
              <w:rPr>
                <w:bCs/>
              </w:rPr>
              <w:t>Performance level</w:t>
            </w:r>
          </w:p>
        </w:tc>
        <w:tc>
          <w:tcPr>
            <w:tcW w:w="1417"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BE07FB" w:rsidRPr="00BA694D" w:rsidRDefault="00BE07FB" w:rsidP="00BE07FB">
            <w:pPr>
              <w:pStyle w:val="TableHeadingtext"/>
              <w:jc w:val="center"/>
              <w:rPr>
                <w:bCs/>
              </w:rPr>
            </w:pPr>
            <w:r w:rsidRPr="00BA694D">
              <w:rPr>
                <w:bCs/>
              </w:rPr>
              <w:t>Medium</w:t>
            </w:r>
            <w:r w:rsidR="00901B1F">
              <w:rPr>
                <w:bCs/>
              </w:rPr>
              <w:t xml:space="preserve"> </w:t>
            </w:r>
            <w:r w:rsidR="00901B1F" w:rsidRPr="0086638D">
              <w:rPr>
                <w:bCs/>
              </w:rPr>
              <w:t>Performance level</w:t>
            </w: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BE07FB" w:rsidRPr="00BA694D" w:rsidRDefault="00BE07FB" w:rsidP="00BE07FB">
            <w:pPr>
              <w:pStyle w:val="TableHeadingtext"/>
              <w:jc w:val="center"/>
              <w:rPr>
                <w:bCs/>
              </w:rPr>
            </w:pPr>
            <w:r w:rsidRPr="00BA694D">
              <w:rPr>
                <w:bCs/>
              </w:rPr>
              <w:t>High</w:t>
            </w:r>
            <w:r w:rsidR="00901B1F">
              <w:rPr>
                <w:bCs/>
              </w:rPr>
              <w:t xml:space="preserve"> </w:t>
            </w:r>
            <w:r w:rsidR="00901B1F" w:rsidRPr="0086638D">
              <w:rPr>
                <w:bCs/>
              </w:rPr>
              <w:t>Performance level</w:t>
            </w:r>
          </w:p>
        </w:tc>
      </w:tr>
      <w:tr w:rsidR="00BE07FB" w:rsidRPr="0086638D" w:rsidTr="009C741D">
        <w:trPr>
          <w:cantSplit/>
          <w:tblHeader/>
        </w:trPr>
        <w:tc>
          <w:tcPr>
            <w:tcW w:w="3544" w:type="dxa"/>
            <w:tcBorders>
              <w:top w:val="single" w:sz="4" w:space="0" w:color="auto"/>
              <w:bottom w:val="single" w:sz="4" w:space="0" w:color="auto"/>
            </w:tcBorders>
            <w:shd w:val="clear" w:color="auto" w:fill="auto"/>
            <w:tcMar>
              <w:top w:w="80" w:type="dxa"/>
              <w:left w:w="80" w:type="dxa"/>
              <w:bottom w:w="80" w:type="dxa"/>
              <w:right w:w="80" w:type="dxa"/>
            </w:tcMar>
          </w:tcPr>
          <w:p w:rsidR="00BE07FB" w:rsidRPr="0079086F" w:rsidRDefault="00BE07FB" w:rsidP="00BE07FB">
            <w:pPr>
              <w:pStyle w:val="tabletext"/>
            </w:pPr>
            <w:r>
              <w:t>Proportion of EPF allocated in 2009–10 that was spent in 2009–10</w:t>
            </w:r>
            <w:r w:rsidR="005479B9">
              <w:t xml:space="preserve"> </w:t>
            </w: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BE07FB" w:rsidRDefault="00BE07FB" w:rsidP="00FF107E">
            <w:pPr>
              <w:pStyle w:val="tabletext"/>
              <w:ind w:right="438"/>
              <w:jc w:val="right"/>
              <w:rPr>
                <w:rFonts w:cs="Calibri"/>
              </w:rPr>
            </w:pPr>
            <w:r>
              <w:rPr>
                <w:rFonts w:cs="Calibri"/>
              </w:rPr>
              <w:t>37.2</w:t>
            </w:r>
          </w:p>
        </w:tc>
        <w:tc>
          <w:tcPr>
            <w:tcW w:w="1417"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BE07FB" w:rsidRDefault="00BE07FB" w:rsidP="00FF107E">
            <w:pPr>
              <w:pStyle w:val="tabletext"/>
              <w:ind w:right="438"/>
              <w:jc w:val="right"/>
              <w:rPr>
                <w:rFonts w:cs="Calibri"/>
              </w:rPr>
            </w:pPr>
            <w:r>
              <w:rPr>
                <w:rFonts w:cs="Calibri"/>
              </w:rPr>
              <w:t>47.4</w:t>
            </w: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BE07FB" w:rsidRDefault="00BE07FB" w:rsidP="00FF107E">
            <w:pPr>
              <w:pStyle w:val="tabletext"/>
              <w:ind w:right="438"/>
              <w:jc w:val="right"/>
              <w:rPr>
                <w:rFonts w:cs="Calibri"/>
              </w:rPr>
            </w:pPr>
            <w:r>
              <w:rPr>
                <w:rFonts w:cs="Calibri"/>
              </w:rPr>
              <w:t>58.0</w:t>
            </w:r>
          </w:p>
        </w:tc>
      </w:tr>
    </w:tbl>
    <w:p w:rsidR="00BE07FB" w:rsidRDefault="00BE07FB" w:rsidP="00BE07FB">
      <w:pPr>
        <w:pStyle w:val="Sourceandnotetext"/>
      </w:pPr>
      <w:r w:rsidRPr="001D555C">
        <w:rPr>
          <w:b/>
          <w:bCs/>
        </w:rPr>
        <w:t xml:space="preserve">Source: </w:t>
      </w:r>
      <w:r>
        <w:t>DEEWR Corporate Data Set.</w:t>
      </w:r>
    </w:p>
    <w:p w:rsidR="00D87B70" w:rsidRDefault="00D87B70" w:rsidP="00D87B70">
      <w:r>
        <w:t>Discussions with staff at high performing sites reveal a focus on using the EPF in the most cost-effective way possible. This often results in a preference for using it on directly employment-related expenditure:</w:t>
      </w:r>
    </w:p>
    <w:p w:rsidR="00D87B70" w:rsidRPr="00D63983" w:rsidRDefault="00D87B70" w:rsidP="00243BD4">
      <w:pPr>
        <w:pStyle w:val="StyleQuoteBlBoxSinglesolidlineAuto05ptLinewidth"/>
      </w:pPr>
      <w:r w:rsidRPr="00D63983">
        <w:t>My philosophy with EPF is I want to see value for money. And my value for money is using wage subsidies to secure people into work and keep them into work. That’s my first priority... It’s about balancing up ... how we can use it most effectively to get that person into a job.</w:t>
      </w:r>
    </w:p>
    <w:p w:rsidR="00D87B70" w:rsidRDefault="00D87B70" w:rsidP="00D87B70">
      <w:pPr>
        <w:pStyle w:val="QuoteRef"/>
        <w:pBdr>
          <w:top w:val="single" w:sz="4" w:space="1" w:color="auto"/>
          <w:left w:val="single" w:sz="4" w:space="4" w:color="auto"/>
          <w:bottom w:val="single" w:sz="4" w:space="1" w:color="auto"/>
          <w:right w:val="single" w:sz="4" w:space="4" w:color="auto"/>
        </w:pBdr>
      </w:pPr>
      <w:r>
        <w:t>Employment consultant, regional centre, South Australia</w:t>
      </w:r>
    </w:p>
    <w:p w:rsidR="00185AF8" w:rsidRDefault="00BE07FB" w:rsidP="00B4074B">
      <w:r w:rsidRPr="000D575C">
        <w:t xml:space="preserve">High performing sites tend to spend a higher proportion of EPF </w:t>
      </w:r>
      <w:r w:rsidR="001D7451" w:rsidRPr="000D575C">
        <w:t xml:space="preserve">expenditure </w:t>
      </w:r>
      <w:r w:rsidRPr="000D575C">
        <w:t xml:space="preserve">on items such as wage subsidies and reverse </w:t>
      </w:r>
      <w:r w:rsidR="00F30B02" w:rsidRPr="000D575C">
        <w:t>marketing</w:t>
      </w:r>
      <w:r w:rsidR="009009AB" w:rsidRPr="000D575C">
        <w:t>, but less on outreach</w:t>
      </w:r>
      <w:r w:rsidRPr="000D575C">
        <w:t xml:space="preserve"> </w:t>
      </w:r>
      <w:r w:rsidR="00D87B70">
        <w:t>(</w:t>
      </w:r>
      <w:hyperlink w:anchor="Figure2" w:tooltip="Figure 2: Employment Pathway Fund expenditure 2009–10, average proportion of expenditure on major categories " w:history="1">
        <w:r w:rsidR="00D87B70" w:rsidRPr="003448C1">
          <w:rPr>
            <w:rStyle w:val="Hyperlink"/>
          </w:rPr>
          <w:t>Figure</w:t>
        </w:r>
        <w:r w:rsidRPr="003448C1">
          <w:rPr>
            <w:rStyle w:val="Hyperlink"/>
          </w:rPr>
          <w:t xml:space="preserve"> </w:t>
        </w:r>
        <w:r w:rsidR="00BE6C08" w:rsidRPr="003448C1">
          <w:rPr>
            <w:rStyle w:val="Hyperlink"/>
          </w:rPr>
          <w:t>2</w:t>
        </w:r>
      </w:hyperlink>
      <w:r w:rsidRPr="00D87B70">
        <w:t>)</w:t>
      </w:r>
      <w:r w:rsidR="00F05EF0" w:rsidRPr="00D87B70">
        <w:t>.</w:t>
      </w:r>
      <w:r w:rsidRPr="00D87B70">
        <w:t xml:space="preserve"> </w:t>
      </w:r>
    </w:p>
    <w:p w:rsidR="00185AF8" w:rsidRDefault="00185AF8" w:rsidP="00484740">
      <w:r>
        <w:br w:type="page"/>
      </w:r>
    </w:p>
    <w:p w:rsidR="00BE07FB" w:rsidRDefault="00D87B70" w:rsidP="0024454B">
      <w:pPr>
        <w:pStyle w:val="FigureHeading"/>
      </w:pPr>
      <w:bookmarkStart w:id="58" w:name="Figure2"/>
      <w:bookmarkEnd w:id="58"/>
      <w:r>
        <w:t xml:space="preserve">Figure </w:t>
      </w:r>
      <w:r w:rsidR="00BE6C08">
        <w:t>2</w:t>
      </w:r>
      <w:r w:rsidR="00BE07FB">
        <w:t xml:space="preserve">: Employment Pathway Fund expenditure 2009–10, </w:t>
      </w:r>
      <w:r w:rsidR="00292793">
        <w:t xml:space="preserve">average </w:t>
      </w:r>
      <w:r w:rsidR="00BE07FB">
        <w:t>proportion of expenditure on major categories (</w:t>
      </w:r>
      <w:r w:rsidR="001D7451">
        <w:t>per cent</w:t>
      </w:r>
      <w:r w:rsidR="00BE07FB">
        <w:t>)</w:t>
      </w:r>
    </w:p>
    <w:p w:rsidR="00BE07FB" w:rsidRDefault="00DC7489" w:rsidP="00BE07FB">
      <w:r w:rsidRPr="00DC7489">
        <w:rPr>
          <w:noProof/>
        </w:rPr>
        <w:drawing>
          <wp:inline distT="0" distB="0" distL="0" distR="0">
            <wp:extent cx="5400040" cy="3139124"/>
            <wp:effectExtent l="19050" t="0" r="0" b="0"/>
            <wp:docPr id="5" name="Picture 1" descr="Graph showing Employment Pathway Fund expenditure 2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400040" cy="3139124"/>
                    </a:xfrm>
                    <a:prstGeom prst="rect">
                      <a:avLst/>
                    </a:prstGeom>
                    <a:noFill/>
                    <a:ln w="9525">
                      <a:noFill/>
                      <a:miter lim="800000"/>
                      <a:headEnd/>
                      <a:tailEnd/>
                    </a:ln>
                  </pic:spPr>
                </pic:pic>
              </a:graphicData>
            </a:graphic>
          </wp:inline>
        </w:drawing>
      </w:r>
    </w:p>
    <w:p w:rsidR="00A5137B" w:rsidRPr="00CE56E7" w:rsidRDefault="00A5137B" w:rsidP="00BE07FB">
      <w:pPr>
        <w:pStyle w:val="Sourceandnotetext"/>
      </w:pPr>
      <w:r w:rsidRPr="00A5137B">
        <w:rPr>
          <w:b/>
          <w:bCs/>
        </w:rPr>
        <w:t>Note:</w:t>
      </w:r>
      <w:r w:rsidR="006B4F81" w:rsidRPr="005F433F">
        <w:t xml:space="preserve"> </w:t>
      </w:r>
      <w:r w:rsidR="006B4F81" w:rsidRPr="00CE56E7">
        <w:t>Major categories include those accounting for more than 6</w:t>
      </w:r>
      <w:r w:rsidR="00DC0F71">
        <w:t xml:space="preserve"> per cent</w:t>
      </w:r>
      <w:r w:rsidR="006B4F81" w:rsidRPr="00CE56E7">
        <w:t xml:space="preserve"> total </w:t>
      </w:r>
      <w:r w:rsidR="00CE56E7">
        <w:t xml:space="preserve">EPF </w:t>
      </w:r>
      <w:r w:rsidR="006B4F81" w:rsidRPr="00CE56E7">
        <w:t>allocation, excluding ‘Other’.</w:t>
      </w:r>
    </w:p>
    <w:p w:rsidR="00BE07FB" w:rsidRDefault="00BE07FB" w:rsidP="00BE07FB">
      <w:pPr>
        <w:pStyle w:val="Sourceandnotetext"/>
      </w:pPr>
      <w:r w:rsidRPr="001D555C">
        <w:rPr>
          <w:b/>
          <w:bCs/>
        </w:rPr>
        <w:t xml:space="preserve">Source: </w:t>
      </w:r>
      <w:r>
        <w:t>DEEWR Corporate Data Set.</w:t>
      </w:r>
    </w:p>
    <w:p w:rsidR="00FB6472" w:rsidRDefault="00FB6472" w:rsidP="0083197E">
      <w:pPr>
        <w:pStyle w:val="Sourceandnotetext"/>
      </w:pPr>
      <w:r>
        <w:t xml:space="preserve">Refer to Appendix </w:t>
      </w:r>
      <w:proofErr w:type="spellStart"/>
      <w:r>
        <w:t>A1.2</w:t>
      </w:r>
      <w:proofErr w:type="spellEnd"/>
      <w:r>
        <w:t xml:space="preserve"> to view the </w:t>
      </w:r>
      <w:hyperlink w:anchor="TableA1_2" w:tooltip="View the text version of Figure 2: Employment Pathway Fund expenditure 2009–10, average proportion of expenditure on major categories (per cent)" w:history="1">
        <w:r w:rsidRPr="006F4A06">
          <w:t>text version of Figure 2: Employment Pathway Fund expenditure 2009–10, average proportion of expenditure on major categories (per cent)</w:t>
        </w:r>
      </w:hyperlink>
    </w:p>
    <w:p w:rsidR="00BE07FB" w:rsidRDefault="00292793" w:rsidP="00292793">
      <w:r>
        <w:t>T</w:t>
      </w:r>
      <w:r w:rsidR="00BE07FB" w:rsidRPr="006A40CA">
        <w:t>raining accounts for the highest proportion of EPF expenditure</w:t>
      </w:r>
      <w:r w:rsidR="00BE07FB">
        <w:t xml:space="preserve"> </w:t>
      </w:r>
      <w:r>
        <w:t>for sites at all performance levels</w:t>
      </w:r>
      <w:r w:rsidR="00BE07FB" w:rsidRPr="006A40CA">
        <w:t>.</w:t>
      </w:r>
      <w:r w:rsidR="00BE07FB">
        <w:t xml:space="preserve"> </w:t>
      </w:r>
      <w:proofErr w:type="gramStart"/>
      <w:r w:rsidR="00BE07FB">
        <w:t>However</w:t>
      </w:r>
      <w:r w:rsidR="00BE07FB" w:rsidRPr="006A40CA">
        <w:t xml:space="preserve"> </w:t>
      </w:r>
      <w:r w:rsidR="00BE07FB">
        <w:t>h</w:t>
      </w:r>
      <w:r w:rsidR="00BE07FB" w:rsidRPr="006A40CA">
        <w:t xml:space="preserve">igh performing sites </w:t>
      </w:r>
      <w:r w:rsidR="00E52380">
        <w:t xml:space="preserve">on average </w:t>
      </w:r>
      <w:r w:rsidR="00BE07FB">
        <w:t>spend slightly less</w:t>
      </w:r>
      <w:r w:rsidR="00BE07FB" w:rsidRPr="006A40CA">
        <w:t xml:space="preserve"> on training</w:t>
      </w:r>
      <w:r w:rsidR="00BE07FB">
        <w:t xml:space="preserve"> activities than other sites, despite having more job seekers enrolled in training activities </w:t>
      </w:r>
      <w:r w:rsidR="00D5580B">
        <w:t xml:space="preserve">which is detailed in </w:t>
      </w:r>
      <w:hyperlink w:anchor="Section35" w:tooltip="Section 3.5 Connecting job seekers with training and work experience activities" w:history="1">
        <w:r w:rsidR="00BE6C08" w:rsidRPr="006F4A06">
          <w:t xml:space="preserve">Section </w:t>
        </w:r>
        <w:r w:rsidR="001D7451" w:rsidRPr="006F4A06">
          <w:t>3</w:t>
        </w:r>
        <w:r w:rsidR="003A0027" w:rsidRPr="006F4A06">
          <w:t>.5</w:t>
        </w:r>
      </w:hyperlink>
      <w:r w:rsidR="00BE07FB" w:rsidRPr="006F4A06">
        <w:t>.</w:t>
      </w:r>
      <w:proofErr w:type="gramEnd"/>
      <w:r w:rsidR="00BE07FB" w:rsidRPr="006A40CA">
        <w:t xml:space="preserve"> </w:t>
      </w:r>
      <w:r w:rsidR="00BE07FB">
        <w:t>T</w:t>
      </w:r>
      <w:r w:rsidR="00BE07FB" w:rsidRPr="006A40CA">
        <w:t>his indicate</w:t>
      </w:r>
      <w:r w:rsidR="000E1845">
        <w:t>s</w:t>
      </w:r>
      <w:r w:rsidR="00BE07FB" w:rsidRPr="006A40CA">
        <w:t xml:space="preserve"> that they are able to source training options that </w:t>
      </w:r>
      <w:r w:rsidR="000E1845">
        <w:t>cost less on average per job seeker</w:t>
      </w:r>
      <w:r w:rsidR="00712BBA">
        <w:t xml:space="preserve">, or </w:t>
      </w:r>
      <w:r w:rsidR="00AB7DD4">
        <w:t xml:space="preserve">perhaps </w:t>
      </w:r>
      <w:r w:rsidR="00712BBA">
        <w:t>require job seekers to pay a portion of their own training.</w:t>
      </w:r>
    </w:p>
    <w:p w:rsidR="00BE07FB" w:rsidRDefault="001D7451" w:rsidP="00BE07FB">
      <w:r>
        <w:t>EPF expenditure can also be examined</w:t>
      </w:r>
      <w:r w:rsidR="00BE07FB">
        <w:t xml:space="preserve"> by number of transactions in each category. In this view, training activities still account for the highest proportion of </w:t>
      </w:r>
      <w:r w:rsidR="003A0027">
        <w:t>total</w:t>
      </w:r>
      <w:r w:rsidR="00A53BCD">
        <w:t xml:space="preserve"> </w:t>
      </w:r>
      <w:r w:rsidR="00BE07FB">
        <w:t>transactions processed. Wage subsidies, on the other hand, represent less than 2</w:t>
      </w:r>
      <w:r w:rsidR="00E52380">
        <w:t xml:space="preserve"> per cent</w:t>
      </w:r>
      <w:r w:rsidR="00BE07FB">
        <w:t xml:space="preserve"> of all transactions, although they account for over 12</w:t>
      </w:r>
      <w:r w:rsidR="00E52380">
        <w:t xml:space="preserve"> per cent</w:t>
      </w:r>
      <w:r w:rsidR="00BE07FB">
        <w:t xml:space="preserve"> of EPF expenditure, as each transaction is on average for a much higher amount than other EPF categories.</w:t>
      </w:r>
    </w:p>
    <w:p w:rsidR="00BE07FB" w:rsidRDefault="001D7451" w:rsidP="00BE07FB">
      <w:r>
        <w:t>When looked at by number of transactions, h</w:t>
      </w:r>
      <w:r w:rsidR="00BE07FB">
        <w:t xml:space="preserve">igh performing sites </w:t>
      </w:r>
      <w:r w:rsidR="00127E0E">
        <w:t>use</w:t>
      </w:r>
      <w:r w:rsidR="00BE07FB">
        <w:t xml:space="preserve"> </w:t>
      </w:r>
      <w:r w:rsidR="00127E0E">
        <w:t xml:space="preserve">a higher proportion of their </w:t>
      </w:r>
      <w:r w:rsidR="00BE07FB">
        <w:t xml:space="preserve">EPF transactions </w:t>
      </w:r>
      <w:r w:rsidR="00127E0E">
        <w:t>for</w:t>
      </w:r>
      <w:r w:rsidR="00BE07FB">
        <w:t xml:space="preserve"> reverse</w:t>
      </w:r>
      <w:r w:rsidR="00B674ED">
        <w:t xml:space="preserve"> marketing</w:t>
      </w:r>
      <w:r w:rsidR="00865B38">
        <w:t xml:space="preserve"> </w:t>
      </w:r>
      <w:r w:rsidR="00BE07FB">
        <w:t xml:space="preserve"> and clothing and presentation </w:t>
      </w:r>
      <w:r w:rsidR="00127E0E">
        <w:t>than d</w:t>
      </w:r>
      <w:r w:rsidR="00F41A68">
        <w:t>o</w:t>
      </w:r>
      <w:r w:rsidR="00127E0E">
        <w:t xml:space="preserve"> other sites </w:t>
      </w:r>
      <w:r w:rsidR="00BE07FB">
        <w:t>(</w:t>
      </w:r>
      <w:hyperlink w:anchor="Figure3" w:tooltip="Figure 3: Employment Pathway Fund expenditure for financial year 2009–10" w:history="1">
        <w:r w:rsidR="00E52380" w:rsidRPr="006D2376">
          <w:rPr>
            <w:rStyle w:val="Hyperlink"/>
          </w:rPr>
          <w:t>Figure</w:t>
        </w:r>
        <w:r w:rsidR="00BE07FB" w:rsidRPr="006D2376">
          <w:rPr>
            <w:rStyle w:val="Hyperlink"/>
          </w:rPr>
          <w:t xml:space="preserve"> </w:t>
        </w:r>
        <w:r w:rsidR="00BE6C08" w:rsidRPr="006D2376">
          <w:rPr>
            <w:rStyle w:val="Hyperlink"/>
          </w:rPr>
          <w:t>3</w:t>
        </w:r>
      </w:hyperlink>
      <w:r w:rsidR="00BE07FB">
        <w:t>).</w:t>
      </w:r>
      <w:r w:rsidR="00712BBA">
        <w:t xml:space="preserve"> This may </w:t>
      </w:r>
      <w:r w:rsidR="00AB7DD4">
        <w:t xml:space="preserve">also </w:t>
      </w:r>
      <w:r w:rsidR="00712BBA">
        <w:t xml:space="preserve">indicate that high performing sites engage in reverse </w:t>
      </w:r>
      <w:r w:rsidR="00B674ED">
        <w:t xml:space="preserve">marketing </w:t>
      </w:r>
      <w:r w:rsidR="00712BBA">
        <w:t xml:space="preserve">more often than low performing sites, </w:t>
      </w:r>
      <w:r w:rsidR="00AB7DD4">
        <w:t>and include wage subsidies in their reverse marketing strategies</w:t>
      </w:r>
      <w:r w:rsidR="00712BBA">
        <w:t xml:space="preserve">.  </w:t>
      </w:r>
    </w:p>
    <w:p w:rsidR="005B4381" w:rsidRDefault="005B4381" w:rsidP="00484740">
      <w:pPr>
        <w:rPr>
          <w:szCs w:val="18"/>
        </w:rPr>
      </w:pPr>
      <w:bookmarkStart w:id="59" w:name="Figure3"/>
      <w:bookmarkEnd w:id="59"/>
      <w:r>
        <w:br w:type="page"/>
      </w:r>
    </w:p>
    <w:p w:rsidR="00BE07FB" w:rsidRDefault="00E52380" w:rsidP="0024454B">
      <w:pPr>
        <w:pStyle w:val="FigureHeading"/>
      </w:pPr>
      <w:r>
        <w:t>Figure</w:t>
      </w:r>
      <w:r w:rsidR="00BE07FB">
        <w:t xml:space="preserve"> </w:t>
      </w:r>
      <w:r w:rsidR="00BE6C08">
        <w:t>3</w:t>
      </w:r>
      <w:r w:rsidR="00BE07FB">
        <w:t xml:space="preserve">: Employment Pathway Fund expenditure </w:t>
      </w:r>
      <w:r w:rsidR="003A0027">
        <w:t xml:space="preserve">for financial year </w:t>
      </w:r>
      <w:r w:rsidR="00BE07FB">
        <w:t>2009–10, proportion of number of transactions by major categor</w:t>
      </w:r>
      <w:r w:rsidR="001D7451">
        <w:t>y</w:t>
      </w:r>
      <w:r w:rsidR="00BE07FB">
        <w:t xml:space="preserve"> (</w:t>
      </w:r>
      <w:r w:rsidR="001D7451">
        <w:t>per cent</w:t>
      </w:r>
      <w:r w:rsidR="00BE07FB">
        <w:t>)</w:t>
      </w:r>
    </w:p>
    <w:p w:rsidR="00A105AC" w:rsidRDefault="00A105AC" w:rsidP="00BE07FB">
      <w:pPr>
        <w:rPr>
          <w:noProof/>
        </w:rPr>
      </w:pPr>
      <w:r w:rsidRPr="00A105AC">
        <w:rPr>
          <w:noProof/>
        </w:rPr>
        <w:drawing>
          <wp:inline distT="0" distB="0" distL="0" distR="0">
            <wp:extent cx="5400040" cy="3099953"/>
            <wp:effectExtent l="19050" t="0" r="0" b="0"/>
            <wp:docPr id="7" name="Picture 1" descr="Graph shows Employment Pathway Fund expenditure for financial year 2009-10, percentage of number of transactions by major categ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400040" cy="3099953"/>
                    </a:xfrm>
                    <a:prstGeom prst="rect">
                      <a:avLst/>
                    </a:prstGeom>
                    <a:noFill/>
                    <a:ln w="9525">
                      <a:noFill/>
                      <a:miter lim="800000"/>
                      <a:headEnd/>
                      <a:tailEnd/>
                    </a:ln>
                  </pic:spPr>
                </pic:pic>
              </a:graphicData>
            </a:graphic>
          </wp:inline>
        </w:drawing>
      </w:r>
    </w:p>
    <w:p w:rsidR="004F47EE" w:rsidRPr="00CE56E7" w:rsidRDefault="004F47EE" w:rsidP="004F47EE">
      <w:pPr>
        <w:pStyle w:val="Sourceandnotetext"/>
      </w:pPr>
      <w:r w:rsidRPr="00A5137B">
        <w:rPr>
          <w:b/>
          <w:bCs/>
        </w:rPr>
        <w:t>Note:</w:t>
      </w:r>
      <w:r w:rsidRPr="005F433F">
        <w:t xml:space="preserve"> </w:t>
      </w:r>
      <w:r w:rsidRPr="00CE56E7">
        <w:t>Major categories include those accounting for more than 6</w:t>
      </w:r>
      <w:r w:rsidR="00DC0F71">
        <w:t xml:space="preserve"> per cent</w:t>
      </w:r>
      <w:r w:rsidRPr="00CE56E7">
        <w:t xml:space="preserve"> total </w:t>
      </w:r>
      <w:r w:rsidR="00CE56E7">
        <w:t xml:space="preserve">EPF </w:t>
      </w:r>
      <w:r w:rsidRPr="00CE56E7">
        <w:t>allocation, excluding ‘Other’.</w:t>
      </w:r>
    </w:p>
    <w:p w:rsidR="00E52380" w:rsidRDefault="00BE07FB" w:rsidP="00BE07FB">
      <w:pPr>
        <w:pStyle w:val="Sourceandnotetext"/>
      </w:pPr>
      <w:r w:rsidRPr="001D555C">
        <w:rPr>
          <w:b/>
          <w:bCs/>
        </w:rPr>
        <w:t xml:space="preserve">Source: </w:t>
      </w:r>
      <w:r>
        <w:t>DEEWR Corporate Data Set.</w:t>
      </w:r>
    </w:p>
    <w:p w:rsidR="003F6172" w:rsidRDefault="003F6172" w:rsidP="0083197E">
      <w:pPr>
        <w:pStyle w:val="Sourceandnotetext"/>
      </w:pPr>
      <w:r>
        <w:t xml:space="preserve">Refer to Appendix </w:t>
      </w:r>
      <w:r w:rsidR="008F5CEC">
        <w:t xml:space="preserve">A, Table </w:t>
      </w:r>
      <w:proofErr w:type="spellStart"/>
      <w:r>
        <w:t>A1</w:t>
      </w:r>
      <w:r w:rsidR="00D66B4A">
        <w:t>.</w:t>
      </w:r>
      <w:r>
        <w:t>3</w:t>
      </w:r>
      <w:proofErr w:type="spellEnd"/>
      <w:r>
        <w:t xml:space="preserve"> to view the </w:t>
      </w:r>
      <w:hyperlink w:anchor="TableA1_3" w:tooltip="View the text version of Figure 3: Employment Pathway Fund expenditure for financial year 2009–10, proportion of number of transactions by major category" w:history="1">
        <w:r w:rsidRPr="006F4A06">
          <w:t xml:space="preserve">text version of </w:t>
        </w:r>
        <w:r w:rsidR="00A1402D" w:rsidRPr="006F4A06">
          <w:t>Figure 3: Employment Pathway Fund expenditure for financial year 2009–10, proportion of number of transacti</w:t>
        </w:r>
        <w:r w:rsidR="00F12B2D" w:rsidRPr="006F4A06">
          <w:t>ons by major category</w:t>
        </w:r>
      </w:hyperlink>
      <w:r w:rsidR="008F5CEC">
        <w:t>.</w:t>
      </w:r>
    </w:p>
    <w:p w:rsidR="001D555C" w:rsidRDefault="00EB40E0" w:rsidP="00605597">
      <w:pPr>
        <w:pStyle w:val="Heading2"/>
      </w:pPr>
      <w:bookmarkStart w:id="60" w:name="Section35"/>
      <w:bookmarkStart w:id="61" w:name="_Toc326764336"/>
      <w:bookmarkEnd w:id="60"/>
      <w:r>
        <w:t>3</w:t>
      </w:r>
      <w:r w:rsidR="00EF1D64">
        <w:t>.5</w:t>
      </w:r>
      <w:r w:rsidR="00EF1D64">
        <w:tab/>
      </w:r>
      <w:r w:rsidR="00262265">
        <w:t>Connecting job seekers with t</w:t>
      </w:r>
      <w:r w:rsidR="001D555C">
        <w:t xml:space="preserve">raining and </w:t>
      </w:r>
      <w:r w:rsidR="008240FF">
        <w:t xml:space="preserve">work experience </w:t>
      </w:r>
      <w:r w:rsidR="001D555C">
        <w:t>activities</w:t>
      </w:r>
      <w:bookmarkEnd w:id="61"/>
      <w:r w:rsidR="001D555C">
        <w:t xml:space="preserve"> </w:t>
      </w:r>
    </w:p>
    <w:p w:rsidR="00605597" w:rsidRDefault="00605597" w:rsidP="003E54C6">
      <w:pPr>
        <w:pStyle w:val="NormalStyleBoxSinglesolidlineAuto05ptLinewidth"/>
      </w:pPr>
      <w:r w:rsidRPr="0036083F">
        <w:t>High performing sites are more likely than mid and low performing sites to</w:t>
      </w:r>
      <w:r>
        <w:t>:</w:t>
      </w:r>
    </w:p>
    <w:p w:rsidR="00605597" w:rsidRDefault="00605597" w:rsidP="00605597">
      <w:pPr>
        <w:pStyle w:val="ListBullet"/>
        <w:pBdr>
          <w:top w:val="single" w:sz="4" w:space="1" w:color="auto"/>
          <w:left w:val="single" w:sz="4" w:space="4" w:color="auto"/>
          <w:bottom w:val="single" w:sz="4" w:space="1" w:color="auto"/>
          <w:right w:val="single" w:sz="4" w:space="4" w:color="auto"/>
        </w:pBdr>
      </w:pPr>
      <w:r>
        <w:t>Have more job seekers engaged in activities and training.</w:t>
      </w:r>
    </w:p>
    <w:p w:rsidR="00605597" w:rsidRDefault="00605597" w:rsidP="00605597">
      <w:pPr>
        <w:pStyle w:val="ListBullet"/>
        <w:pBdr>
          <w:top w:val="single" w:sz="4" w:space="1" w:color="auto"/>
          <w:left w:val="single" w:sz="4" w:space="4" w:color="auto"/>
          <w:bottom w:val="single" w:sz="4" w:space="1" w:color="auto"/>
          <w:right w:val="single" w:sz="4" w:space="4" w:color="auto"/>
        </w:pBdr>
      </w:pPr>
      <w:r>
        <w:t xml:space="preserve">Choose training and work experience </w:t>
      </w:r>
      <w:r w:rsidRPr="006212E1">
        <w:t xml:space="preserve">activities that are suited to </w:t>
      </w:r>
      <w:r>
        <w:t xml:space="preserve">the interests and needs of </w:t>
      </w:r>
      <w:r w:rsidRPr="006212E1">
        <w:t>individual job seekers</w:t>
      </w:r>
      <w:r>
        <w:t xml:space="preserve"> and have </w:t>
      </w:r>
      <w:r w:rsidRPr="006212E1">
        <w:t>employment potential</w:t>
      </w:r>
      <w:r>
        <w:t>,</w:t>
      </w:r>
      <w:r w:rsidRPr="006212E1">
        <w:t xml:space="preserve"> </w:t>
      </w:r>
      <w:r>
        <w:t>such as courses</w:t>
      </w:r>
      <w:r w:rsidRPr="006212E1">
        <w:t xml:space="preserve"> </w:t>
      </w:r>
      <w:r>
        <w:t xml:space="preserve">that lead to </w:t>
      </w:r>
      <w:r w:rsidRPr="006212E1">
        <w:t>recognised</w:t>
      </w:r>
      <w:r>
        <w:t>, in-demand</w:t>
      </w:r>
      <w:r w:rsidRPr="006212E1">
        <w:t xml:space="preserve"> qualifications</w:t>
      </w:r>
      <w:r>
        <w:t>.</w:t>
      </w:r>
      <w:r w:rsidRPr="006212E1">
        <w:t xml:space="preserve"> </w:t>
      </w:r>
    </w:p>
    <w:p w:rsidR="00605597" w:rsidRPr="006212E1" w:rsidRDefault="00605597" w:rsidP="00605597">
      <w:pPr>
        <w:pStyle w:val="ListBullet"/>
        <w:pBdr>
          <w:top w:val="single" w:sz="4" w:space="1" w:color="auto"/>
          <w:left w:val="single" w:sz="4" w:space="4" w:color="auto"/>
          <w:bottom w:val="single" w:sz="4" w:space="1" w:color="auto"/>
          <w:right w:val="single" w:sz="4" w:space="4" w:color="auto"/>
        </w:pBdr>
      </w:pPr>
      <w:r>
        <w:t>P</w:t>
      </w:r>
      <w:r w:rsidRPr="006212E1">
        <w:t>repa</w:t>
      </w:r>
      <w:r>
        <w:t>re,</w:t>
      </w:r>
      <w:r w:rsidRPr="006212E1">
        <w:t xml:space="preserve"> or negotiat</w:t>
      </w:r>
      <w:r>
        <w:t>e</w:t>
      </w:r>
      <w:r w:rsidRPr="006212E1">
        <w:t xml:space="preserve"> with Registered Training Organisations (RTOs) or </w:t>
      </w:r>
      <w:r>
        <w:t>educational organisations</w:t>
      </w:r>
      <w:r w:rsidRPr="006212E1">
        <w:t xml:space="preserve"> to develop</w:t>
      </w:r>
      <w:r>
        <w:t>,</w:t>
      </w:r>
      <w:r w:rsidRPr="006212E1">
        <w:t xml:space="preserve"> training material to meet identified skills needs</w:t>
      </w:r>
      <w:r>
        <w:t>.</w:t>
      </w:r>
      <w:r w:rsidRPr="006212E1">
        <w:t xml:space="preserve"> </w:t>
      </w:r>
    </w:p>
    <w:p w:rsidR="00605597" w:rsidRDefault="00605597" w:rsidP="00605597">
      <w:pPr>
        <w:pStyle w:val="ListBullet"/>
        <w:pBdr>
          <w:top w:val="single" w:sz="4" w:space="1" w:color="auto"/>
          <w:left w:val="single" w:sz="4" w:space="4" w:color="auto"/>
          <w:bottom w:val="single" w:sz="4" w:space="1" w:color="auto"/>
          <w:right w:val="single" w:sz="4" w:space="4" w:color="auto"/>
        </w:pBdr>
      </w:pPr>
      <w:r>
        <w:t>Have</w:t>
      </w:r>
      <w:r w:rsidRPr="006212E1">
        <w:t xml:space="preserve"> a variety of contacts and sources </w:t>
      </w:r>
      <w:r>
        <w:t>to</w:t>
      </w:r>
      <w:r w:rsidRPr="006212E1">
        <w:t xml:space="preserve"> call on for training and work experience activities</w:t>
      </w:r>
      <w:r>
        <w:t>.</w:t>
      </w:r>
    </w:p>
    <w:p w:rsidR="00F6688E" w:rsidRPr="0036083F" w:rsidRDefault="00605597" w:rsidP="003E54C6">
      <w:pPr>
        <w:pStyle w:val="NormalStyleBoxSinglesolidlineAuto05ptLinewidth"/>
      </w:pPr>
      <w:r>
        <w:t>Take</w:t>
      </w:r>
      <w:r w:rsidRPr="006212E1">
        <w:t xml:space="preserve"> advantage of opportunities from other Government programs such as the Productivity Places Program (PPP</w:t>
      </w:r>
      <w:r>
        <w:t>).</w:t>
      </w:r>
    </w:p>
    <w:p w:rsidR="001D555C" w:rsidRPr="00E52380" w:rsidRDefault="00E52380" w:rsidP="00B4074B">
      <w:r>
        <w:t xml:space="preserve">Generally </w:t>
      </w:r>
      <w:r w:rsidRPr="00E52380">
        <w:t>speaking, h</w:t>
      </w:r>
      <w:r w:rsidR="001D555C" w:rsidRPr="00E52380">
        <w:t>igh performing sites have more job seekers engaged in activities</w:t>
      </w:r>
      <w:r w:rsidRPr="00E52380">
        <w:t xml:space="preserve"> across their caseloads</w:t>
      </w:r>
      <w:r w:rsidR="001D555C" w:rsidRPr="00E52380">
        <w:t>. In each of the four Streams, high performing sites ha</w:t>
      </w:r>
      <w:r w:rsidR="004F47EE" w:rsidRPr="00E52380">
        <w:t>d</w:t>
      </w:r>
      <w:r w:rsidR="001D555C" w:rsidRPr="00E52380">
        <w:t xml:space="preserve"> higher proportions of job seekers engaged in activities such as training or </w:t>
      </w:r>
      <w:r w:rsidR="00F41A68" w:rsidRPr="00E52380">
        <w:t>w</w:t>
      </w:r>
      <w:r w:rsidR="001D555C" w:rsidRPr="00E52380">
        <w:t xml:space="preserve">ork </w:t>
      </w:r>
      <w:r w:rsidR="00F41A68" w:rsidRPr="00E52380">
        <w:t>e</w:t>
      </w:r>
      <w:r w:rsidR="001D555C" w:rsidRPr="00E52380">
        <w:t>xperience</w:t>
      </w:r>
      <w:r w:rsidR="00F41A68" w:rsidRPr="00E52380">
        <w:t xml:space="preserve"> activities</w:t>
      </w:r>
      <w:r w:rsidR="004F47EE" w:rsidRPr="00E52380">
        <w:t xml:space="preserve"> in 2009–10</w:t>
      </w:r>
      <w:r w:rsidR="001D555C" w:rsidRPr="00E52380">
        <w:t xml:space="preserve"> </w:t>
      </w:r>
      <w:r w:rsidR="001D555C" w:rsidRPr="006F4A06">
        <w:t>(</w:t>
      </w:r>
      <w:hyperlink w:anchor="Figure4" w:tooltip="Figure 4: Proportion of job seekers participating in an activity" w:history="1">
        <w:r w:rsidRPr="006F4A06">
          <w:t>Figure</w:t>
        </w:r>
        <w:r w:rsidR="001D555C" w:rsidRPr="006F4A06">
          <w:t xml:space="preserve"> </w:t>
        </w:r>
        <w:r w:rsidR="00BE6C08" w:rsidRPr="006F4A06">
          <w:t>4</w:t>
        </w:r>
      </w:hyperlink>
      <w:r w:rsidR="001D555C" w:rsidRPr="006F4A06">
        <w:t>)</w:t>
      </w:r>
      <w:r w:rsidR="00F41A68" w:rsidRPr="006F4A06">
        <w:t>.</w:t>
      </w:r>
    </w:p>
    <w:p w:rsidR="005B4381" w:rsidRDefault="005B4381" w:rsidP="00484740">
      <w:pPr>
        <w:rPr>
          <w:szCs w:val="18"/>
        </w:rPr>
      </w:pPr>
      <w:r>
        <w:br w:type="page"/>
      </w:r>
    </w:p>
    <w:p w:rsidR="001D555C" w:rsidRPr="005F433F" w:rsidRDefault="006F27DA" w:rsidP="0024454B">
      <w:pPr>
        <w:pStyle w:val="FigureHeading"/>
      </w:pPr>
      <w:bookmarkStart w:id="62" w:name="Figure4"/>
      <w:bookmarkEnd w:id="62"/>
      <w:r>
        <w:t>Figure</w:t>
      </w:r>
      <w:r w:rsidR="001D555C" w:rsidRPr="005F433F">
        <w:t xml:space="preserve"> </w:t>
      </w:r>
      <w:r w:rsidR="00BE6C08">
        <w:t>4</w:t>
      </w:r>
      <w:r w:rsidR="001D555C" w:rsidRPr="005F433F">
        <w:t>: Proportion of job seekers participat</w:t>
      </w:r>
      <w:r w:rsidR="00916494" w:rsidRPr="005F433F">
        <w:t>ing</w:t>
      </w:r>
      <w:r w:rsidR="001D555C" w:rsidRPr="005F433F">
        <w:t xml:space="preserve"> in an activity</w:t>
      </w:r>
      <w:r w:rsidR="004F47EE" w:rsidRPr="005F433F">
        <w:t>, 2009-10 (</w:t>
      </w:r>
      <w:r w:rsidR="003804AD">
        <w:t>per cent</w:t>
      </w:r>
      <w:r w:rsidR="004F47EE" w:rsidRPr="005F433F">
        <w:t>)</w:t>
      </w:r>
    </w:p>
    <w:p w:rsidR="001D555C" w:rsidRDefault="00C23440" w:rsidP="001D555C">
      <w:r>
        <w:pict>
          <v:group id="_x0000_s1028" editas="canvas" style="width:405.75pt;height:239.25pt;mso-position-horizontal-relative:char;mso-position-vertical-relative:line" coordsize="8115,47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15;height:4785" o:preferrelative="f">
              <v:fill o:detectmouseclick="t"/>
              <v:path o:extrusionok="t" o:connecttype="none"/>
              <o:lock v:ext="edit" text="t"/>
            </v:shape>
            <v:rect id="_x0000_s1029" style="position:absolute;left:7;top:7;width:8100;height:4770" stroked="f"/>
            <v:rect id="_x0000_s1030" style="position:absolute;left:1207;top:232;width:6675;height:3585" stroked="f"/>
            <v:shape id="_x0000_s1031" style="position:absolute;left:1200;top:217;width:6675;height:3240" coordsize="6675,3240" path="m,3225r6675,l6675,3240,,3240r,-15xm,2865r6675,l6675,2880,,2880r,-15xm,2505r6675,l6675,2520,,2520r,-15xm,2145r6675,l6675,2160,,2160r,-15xm,1785r6675,l6675,1800,,1800r,-15xm,1440r6675,l6675,1455,,1455r,-15xm,1080r6675,l6675,1095,,1095r,-15xm,720r6675,l6675,735,,735,,720xm,360r6675,l6675,375,,375,,360xm,l6675,r,15l,15,,xe" fillcolor="#868686" strokecolor="#868686">
              <v:stroke joinstyle="bevel"/>
              <v:path arrowok="t"/>
              <o:lock v:ext="edit" verticies="t"/>
            </v:shape>
            <v:shape id="_x0000_s1032" style="position:absolute;left:1477;top:487;width:5370;height:3315" coordsize="5370,3315" path="m,630r375,l375,3315,,3315,,630xm1665,1545r375,l2040,3315r-375,l1665,1545xm3330,r375,l3705,3315r-375,l3330,xm5010,1440r360,l5370,3315r-360,l5010,1440xe" fillcolor="#10253f" stroked="f">
              <v:path arrowok="t"/>
              <o:lock v:ext="edit" verticies="t"/>
            </v:shape>
            <v:rect id="_x0000_s1033" style="position:absolute;left:1845;top:1275;width:375;height:2535" fillcolor="#4f81bd" stroked="f"/>
            <v:shape id="_x0000_s1034" style="position:absolute;left:1837;top:1267;width:390;height:2550" coordsize="416,2720" path="m,8hdc,4,4,,8,hal408,hdc413,,416,4,416,8hal416,2712hdc416,2717,413,2720,408,2720hal8,2720hdc4,2720,,2717,,2712hal,8hdxm16,2712hal8,2704r400,l400,2712,400,8r8,8l8,16,16,8r,2704hdxe" fillcolor="black">
              <v:stroke joinstyle="bevel"/>
              <v:path arrowok="t"/>
              <o:lock v:ext="edit" verticies="t"/>
            </v:shape>
            <v:rect id="_x0000_s1035" style="position:absolute;left:3510;top:2190;width:375;height:1620" fillcolor="#4f81bd" stroked="f"/>
            <v:shape id="_x0000_s1036" style="position:absolute;left:3502;top:2182;width:390;height:1635" coordsize="416,1744" path="m,8hdc,4,4,,8,hal408,hdc413,,416,4,416,8hal416,1736hdc416,1741,413,1744,408,1744hal8,1744hdc4,1744,,1741,,1736hal,8hdxm16,1736hal8,1728r400,l400,1736,400,8r8,8l8,16,16,8r,1728hdxe" fillcolor="black">
              <v:stroke joinstyle="bevel"/>
              <v:path arrowok="t"/>
              <o:lock v:ext="edit" verticies="t"/>
            </v:shape>
            <v:rect id="_x0000_s1037" style="position:absolute;left:5190;top:660;width:360;height:3150" fillcolor="#4f81bd" stroked="f"/>
            <v:shape id="_x0000_s1038" style="position:absolute;left:5182;top:652;width:375;height:3165" coordsize="400,3376" path="m,8hdc,4,4,,8,hal392,hdc397,,400,4,400,8hal400,3368hdc400,3373,397,3376,392,3376hal8,3376hdc4,3376,,3373,,3368hal,8hdxm16,3368hal8,3360r384,l384,3368,384,8r8,8l8,16,16,8r,3360hdxe" fillcolor="black">
              <v:stroke joinstyle="bevel"/>
              <v:path arrowok="t"/>
              <o:lock v:ext="edit" verticies="t"/>
            </v:shape>
            <v:rect id="_x0000_s1039" style="position:absolute;left:6855;top:2115;width:375;height:1695" fillcolor="#4f81bd" stroked="f"/>
            <v:shape id="_x0000_s1040" style="position:absolute;left:6847;top:2107;width:390;height:1710" coordsize="416,1824" path="m,8hdc,4,4,,8,hal408,hdc413,,416,4,416,8hal416,1816hdc416,1821,413,1824,408,1824hal8,1824hdc4,1824,,1821,,1816hal,8hdxm16,1816hal8,1808r400,l400,1816,400,8r8,8l8,16,16,8r,1808hdxe" fillcolor="black">
              <v:stroke joinstyle="bevel"/>
              <v:path arrowok="t"/>
              <o:lock v:ext="edit" verticies="t"/>
            </v:shape>
            <v:rect id="_x0000_s1041" style="position:absolute;left:2220;top:1800;width:375;height:2010" fillcolor="#dce6f2" stroked="f"/>
            <v:shape id="_x0000_s1042" style="position:absolute;left:2212;top:1792;width:390;height:2025" coordsize="416,2160" path="m,8hdc,4,4,,8,hal408,hdc413,,416,4,416,8hal416,2152hdc416,2157,413,2160,408,2160hal8,2160hdc4,2160,,2157,,2152hal,8hdxm16,2152hal8,2144r400,l400,2152,400,8r8,8l8,16,16,8r,2144hdxe" fillcolor="black">
              <v:stroke joinstyle="bevel"/>
              <v:path arrowok="t"/>
              <o:lock v:ext="edit" verticies="t"/>
            </v:shape>
            <v:rect id="_x0000_s1043" style="position:absolute;left:3885;top:2205;width:375;height:1605" fillcolor="#dce6f2" stroked="f"/>
            <v:shape id="_x0000_s1044" style="position:absolute;left:3877;top:2197;width:390;height:1620" coordsize="416,1728" path="m,8hdc,4,4,,8,hal408,hdc413,,416,4,416,8hal416,1720hdc416,1725,413,1728,408,1728hal8,1728hdc4,1728,,1725,,1720hal,8hdxm16,1720hal8,1712r400,l400,1720,400,8r8,8l8,16,16,8r,1712hdxe" fillcolor="black">
              <v:stroke joinstyle="bevel"/>
              <v:path arrowok="t"/>
              <o:lock v:ext="edit" verticies="t"/>
            </v:shape>
            <v:rect id="_x0000_s1045" style="position:absolute;left:5550;top:1185;width:375;height:2625" fillcolor="#dce6f2" stroked="f"/>
            <v:shape id="_x0000_s1046" style="position:absolute;left:5542;top:1177;width:390;height:2640" coordsize="416,2816" path="m,8hdc,4,4,,8,hal408,hdc413,,416,4,416,8hal416,2808hdc416,2813,413,2816,408,2816hal8,2816hdc4,2816,,2813,,2808hal,8hdxm16,2808hal8,2800r400,l400,2808,400,8r8,8l8,16,16,8r,2800hdxe" fillcolor="black">
              <v:stroke joinstyle="bevel"/>
              <v:path arrowok="t"/>
              <o:lock v:ext="edit" verticies="t"/>
            </v:shape>
            <v:rect id="_x0000_s1047" style="position:absolute;left:7230;top:2280;width:360;height:1530" fillcolor="#dce6f2" stroked="f"/>
            <v:shape id="_x0000_s1048" style="position:absolute;left:7222;top:2272;width:375;height:1545" coordsize="400,1648" path="m,8hdc,4,4,,8,hal392,hdc397,,400,4,400,8hal400,1640hdc400,1645,397,1648,392,1648hal8,1648hdc4,1648,,1645,,1640hal,8hdxm16,1640hal8,1632r384,l384,1640,384,8r8,8l8,16,16,8r,1632hdxe" fillcolor="black">
              <v:stroke joinstyle="bevel"/>
              <v:path arrowok="t"/>
              <o:lock v:ext="edit" verticies="t"/>
            </v:shape>
            <v:rect id="_x0000_s1049" style="position:absolute;left:1192;top:225;width:15;height:3585" fillcolor="#868686" strokecolor="#868686">
              <v:stroke joinstyle="bevel"/>
            </v:rect>
            <v:shape id="_x0000_s1050" style="position:absolute;left:1140;top:217;width:60;height:3600" coordsize="60,3600" path="m,3585r60,l60,3600r-60,l,3585xm,3225r60,l60,3240r-60,l,3225xm,2865r60,l60,2880r-60,l,2865xm,2505r60,l60,2520r-60,l,2505xm,2145r60,l60,2160r-60,l,2145xm,1785r60,l60,1800r-60,l,1785xm,1440r60,l60,1455r-60,l,1440xm,1080r60,l60,1095r-60,l,1080xm,720r60,l60,735,,735,,720xm,360r60,l60,375,,375,,360xm,l60,r,15l,15,,xe" fillcolor="#868686" strokecolor="#868686">
              <v:stroke joinstyle="bevel"/>
              <v:path arrowok="t"/>
              <o:lock v:ext="edit" verticies="t"/>
            </v:shape>
            <v:rect id="_x0000_s1051" style="position:absolute;left:1200;top:3802;width:6675;height:15" fillcolor="#868686" strokecolor="#868686">
              <v:stroke joinstyle="bevel"/>
            </v:rect>
            <v:rect id="_x0000_s1052" style="position:absolute;left:922;top:3693;width:102;height:404;mso-wrap-style:none;v-text-anchor:top" filled="f" stroked="f">
              <v:textbox style="mso-fit-shape-to-text:t" inset="0,0,0,0">
                <w:txbxContent>
                  <w:p w:rsidR="00732467" w:rsidRDefault="00732467">
                    <w:r>
                      <w:rPr>
                        <w:rFonts w:cs="Calibri"/>
                        <w:color w:val="000000"/>
                        <w:sz w:val="20"/>
                        <w:szCs w:val="20"/>
                        <w:lang w:val="en-US"/>
                      </w:rPr>
                      <w:t>0</w:t>
                    </w:r>
                  </w:p>
                </w:txbxContent>
              </v:textbox>
            </v:rect>
            <v:rect id="_x0000_s1053" style="position:absolute;left:922;top:3336;width:102;height:404;mso-wrap-style:none;v-text-anchor:top" filled="f" stroked="f">
              <v:textbox style="mso-fit-shape-to-text:t" inset="0,0,0,0">
                <w:txbxContent>
                  <w:p w:rsidR="00732467" w:rsidRDefault="00732467">
                    <w:r>
                      <w:rPr>
                        <w:rFonts w:cs="Calibri"/>
                        <w:color w:val="000000"/>
                        <w:sz w:val="20"/>
                        <w:szCs w:val="20"/>
                        <w:lang w:val="en-US"/>
                      </w:rPr>
                      <w:t>2</w:t>
                    </w:r>
                  </w:p>
                </w:txbxContent>
              </v:textbox>
            </v:rect>
            <v:rect id="_x0000_s1054" style="position:absolute;left:922;top:2978;width:102;height:404;mso-wrap-style:none;v-text-anchor:top" filled="f" stroked="f">
              <v:textbox style="mso-fit-shape-to-text:t" inset="0,0,0,0">
                <w:txbxContent>
                  <w:p w:rsidR="00732467" w:rsidRDefault="00732467">
                    <w:r>
                      <w:rPr>
                        <w:rFonts w:cs="Calibri"/>
                        <w:color w:val="000000"/>
                        <w:sz w:val="20"/>
                        <w:szCs w:val="20"/>
                        <w:lang w:val="en-US"/>
                      </w:rPr>
                      <w:t>4</w:t>
                    </w:r>
                  </w:p>
                </w:txbxContent>
              </v:textbox>
            </v:rect>
            <v:rect id="_x0000_s1055" style="position:absolute;left:922;top:2621;width:102;height:404;mso-wrap-style:none;v-text-anchor:top" filled="f" stroked="f">
              <v:textbox style="mso-fit-shape-to-text:t" inset="0,0,0,0">
                <w:txbxContent>
                  <w:p w:rsidR="00732467" w:rsidRDefault="00732467">
                    <w:r>
                      <w:rPr>
                        <w:rFonts w:cs="Calibri"/>
                        <w:color w:val="000000"/>
                        <w:sz w:val="20"/>
                        <w:szCs w:val="20"/>
                        <w:lang w:val="en-US"/>
                      </w:rPr>
                      <w:t>6</w:t>
                    </w:r>
                  </w:p>
                </w:txbxContent>
              </v:textbox>
            </v:rect>
            <v:rect id="_x0000_s1056" style="position:absolute;left:922;top:2264;width:102;height:404;mso-wrap-style:none;v-text-anchor:top" filled="f" stroked="f">
              <v:textbox style="mso-fit-shape-to-text:t" inset="0,0,0,0">
                <w:txbxContent>
                  <w:p w:rsidR="00732467" w:rsidRDefault="00732467">
                    <w:r>
                      <w:rPr>
                        <w:rFonts w:cs="Calibri"/>
                        <w:color w:val="000000"/>
                        <w:sz w:val="20"/>
                        <w:szCs w:val="20"/>
                        <w:lang w:val="en-US"/>
                      </w:rPr>
                      <w:t>8</w:t>
                    </w:r>
                  </w:p>
                </w:txbxContent>
              </v:textbox>
            </v:rect>
            <v:rect id="_x0000_s1057" style="position:absolute;left:811;top:1906;width:203;height:404;mso-wrap-style:none;v-text-anchor:top" filled="f" stroked="f">
              <v:textbox style="mso-fit-shape-to-text:t" inset="0,0,0,0">
                <w:txbxContent>
                  <w:p w:rsidR="00732467" w:rsidRDefault="00732467">
                    <w:r>
                      <w:rPr>
                        <w:rFonts w:cs="Calibri"/>
                        <w:color w:val="000000"/>
                        <w:sz w:val="20"/>
                        <w:szCs w:val="20"/>
                        <w:lang w:val="en-US"/>
                      </w:rPr>
                      <w:t>10</w:t>
                    </w:r>
                  </w:p>
                </w:txbxContent>
              </v:textbox>
            </v:rect>
            <v:rect id="_x0000_s1058" style="position:absolute;left:811;top:1549;width:203;height:404;mso-wrap-style:none;v-text-anchor:top" filled="f" stroked="f">
              <v:textbox style="mso-fit-shape-to-text:t" inset="0,0,0,0">
                <w:txbxContent>
                  <w:p w:rsidR="00732467" w:rsidRDefault="00732467">
                    <w:r>
                      <w:rPr>
                        <w:rFonts w:cs="Calibri"/>
                        <w:color w:val="000000"/>
                        <w:sz w:val="20"/>
                        <w:szCs w:val="20"/>
                        <w:lang w:val="en-US"/>
                      </w:rPr>
                      <w:t>12</w:t>
                    </w:r>
                  </w:p>
                </w:txbxContent>
              </v:textbox>
            </v:rect>
            <v:rect id="_x0000_s1059" style="position:absolute;left:811;top:1191;width:203;height:404;mso-wrap-style:none;v-text-anchor:top" filled="f" stroked="f">
              <v:textbox style="mso-fit-shape-to-text:t" inset="0,0,0,0">
                <w:txbxContent>
                  <w:p w:rsidR="00732467" w:rsidRDefault="00732467">
                    <w:r>
                      <w:rPr>
                        <w:rFonts w:cs="Calibri"/>
                        <w:color w:val="000000"/>
                        <w:sz w:val="20"/>
                        <w:szCs w:val="20"/>
                        <w:lang w:val="en-US"/>
                      </w:rPr>
                      <w:t>14</w:t>
                    </w:r>
                  </w:p>
                </w:txbxContent>
              </v:textbox>
            </v:rect>
            <v:rect id="_x0000_s1060" style="position:absolute;left:811;top:834;width:203;height:404;mso-wrap-style:none;v-text-anchor:top" filled="f" stroked="f">
              <v:textbox style="mso-fit-shape-to-text:t" inset="0,0,0,0">
                <w:txbxContent>
                  <w:p w:rsidR="00732467" w:rsidRDefault="00732467">
                    <w:r>
                      <w:rPr>
                        <w:rFonts w:cs="Calibri"/>
                        <w:color w:val="000000"/>
                        <w:sz w:val="20"/>
                        <w:szCs w:val="20"/>
                        <w:lang w:val="en-US"/>
                      </w:rPr>
                      <w:t>16</w:t>
                    </w:r>
                  </w:p>
                </w:txbxContent>
              </v:textbox>
            </v:rect>
            <v:rect id="_x0000_s1061" style="position:absolute;left:811;top:476;width:203;height:404;mso-wrap-style:none;v-text-anchor:top" filled="f" stroked="f">
              <v:textbox style="mso-fit-shape-to-text:t" inset="0,0,0,0">
                <w:txbxContent>
                  <w:p w:rsidR="00732467" w:rsidRDefault="00732467">
                    <w:r>
                      <w:rPr>
                        <w:rFonts w:cs="Calibri"/>
                        <w:color w:val="000000"/>
                        <w:sz w:val="20"/>
                        <w:szCs w:val="20"/>
                        <w:lang w:val="en-US"/>
                      </w:rPr>
                      <w:t>18</w:t>
                    </w:r>
                  </w:p>
                </w:txbxContent>
              </v:textbox>
            </v:rect>
            <v:rect id="_x0000_s1062" style="position:absolute;left:811;top:119;width:203;height:404;mso-wrap-style:none;v-text-anchor:top" filled="f" stroked="f">
              <v:textbox style="mso-fit-shape-to-text:t" inset="0,0,0,0">
                <w:txbxContent>
                  <w:p w:rsidR="00732467" w:rsidRDefault="00732467">
                    <w:r>
                      <w:rPr>
                        <w:rFonts w:cs="Calibri"/>
                        <w:color w:val="000000"/>
                        <w:sz w:val="20"/>
                        <w:szCs w:val="20"/>
                        <w:lang w:val="en-US"/>
                      </w:rPr>
                      <w:t>20</w:t>
                    </w:r>
                  </w:p>
                </w:txbxContent>
              </v:textbox>
            </v:rect>
            <v:rect id="_x0000_s1063" style="position:absolute;left:1673;top:3953;width:744;height:404;mso-wrap-style:none;v-text-anchor:top" filled="f" stroked="f">
              <v:textbox style="mso-fit-shape-to-text:t" inset="0,0,0,0">
                <w:txbxContent>
                  <w:p w:rsidR="00732467" w:rsidRDefault="00732467">
                    <w:r>
                      <w:rPr>
                        <w:rFonts w:cs="Calibri"/>
                        <w:b/>
                        <w:bCs/>
                        <w:color w:val="000000"/>
                        <w:sz w:val="20"/>
                        <w:szCs w:val="20"/>
                        <w:lang w:val="en-US"/>
                      </w:rPr>
                      <w:t>Stream 1</w:t>
                    </w:r>
                  </w:p>
                </w:txbxContent>
              </v:textbox>
            </v:rect>
            <v:rect id="_x0000_s1064" style="position:absolute;left:3341;top:3953;width:744;height:404;mso-wrap-style:none;v-text-anchor:top" filled="f" stroked="f">
              <v:textbox style="mso-fit-shape-to-text:t" inset="0,0,0,0">
                <w:txbxContent>
                  <w:p w:rsidR="00732467" w:rsidRDefault="00732467">
                    <w:r>
                      <w:rPr>
                        <w:rFonts w:cs="Calibri"/>
                        <w:b/>
                        <w:bCs/>
                        <w:color w:val="000000"/>
                        <w:sz w:val="20"/>
                        <w:szCs w:val="20"/>
                        <w:lang w:val="en-US"/>
                      </w:rPr>
                      <w:t>Stream 2</w:t>
                    </w:r>
                  </w:p>
                </w:txbxContent>
              </v:textbox>
            </v:rect>
            <v:rect id="_x0000_s1065" style="position:absolute;left:5009;top:3953;width:744;height:404;mso-wrap-style:none;v-text-anchor:top" filled="f" stroked="f">
              <v:textbox style="mso-fit-shape-to-text:t" inset="0,0,0,0">
                <w:txbxContent>
                  <w:p w:rsidR="00732467" w:rsidRDefault="00732467">
                    <w:r>
                      <w:rPr>
                        <w:rFonts w:cs="Calibri"/>
                        <w:b/>
                        <w:bCs/>
                        <w:color w:val="000000"/>
                        <w:sz w:val="20"/>
                        <w:szCs w:val="20"/>
                        <w:lang w:val="en-US"/>
                      </w:rPr>
                      <w:t>Stream 3</w:t>
                    </w:r>
                  </w:p>
                </w:txbxContent>
              </v:textbox>
            </v:rect>
            <v:rect id="_x0000_s1066" style="position:absolute;left:6654;top:3953;width:744;height:404;mso-wrap-style:none;v-text-anchor:top" filled="f" stroked="f">
              <v:textbox style="mso-fit-shape-to-text:t" inset="0,0,0,0">
                <w:txbxContent>
                  <w:p w:rsidR="00732467" w:rsidRDefault="00732467">
                    <w:r>
                      <w:rPr>
                        <w:rFonts w:cs="Calibri"/>
                        <w:b/>
                        <w:bCs/>
                        <w:color w:val="000000"/>
                        <w:sz w:val="20"/>
                        <w:szCs w:val="20"/>
                        <w:lang w:val="en-US"/>
                      </w:rPr>
                      <w:t xml:space="preserve">Stream 4 </w:t>
                    </w:r>
                  </w:p>
                </w:txbxContent>
              </v:textbox>
            </v:rect>
            <v:rect id="_x0000_s1067" style="position:absolute;left:466;top:3760;width:349;height:184;mso-wrap-style:none;v-text-anchor:top" filled="f" stroked="f">
              <v:textbox style="mso-fit-shape-to-text:t" inset="0,0,0,0">
                <w:txbxContent>
                  <w:p w:rsidR="00732467" w:rsidRDefault="00732467">
                    <w:r>
                      <w:rPr>
                        <w:rFonts w:cs="Calibri"/>
                        <w:b/>
                        <w:bCs/>
                        <w:color w:val="000000"/>
                        <w:sz w:val="2"/>
                        <w:szCs w:val="2"/>
                        <w:lang w:val="en-US"/>
                      </w:rPr>
                      <w:t xml:space="preserve">Jobseekers who participated in an activity </w:t>
                    </w:r>
                  </w:p>
                </w:txbxContent>
              </v:textbox>
            </v:rect>
            <v:rect id="_x0000_s1068" style="position:absolute;left:706;top:2515;width:98;height:184;mso-wrap-style:none;v-text-anchor:top" filled="f" stroked="f">
              <v:textbox style="mso-fit-shape-to-text:t" inset="0,0,0,0">
                <w:txbxContent>
                  <w:p w:rsidR="00732467" w:rsidRDefault="00732467">
                    <w:r>
                      <w:rPr>
                        <w:rFonts w:cs="Calibri"/>
                        <w:b/>
                        <w:bCs/>
                        <w:color w:val="000000"/>
                        <w:sz w:val="2"/>
                        <w:szCs w:val="2"/>
                        <w:lang w:val="en-US"/>
                      </w:rPr>
                      <w:t>(</w:t>
                    </w:r>
                    <w:proofErr w:type="gramStart"/>
                    <w:r>
                      <w:rPr>
                        <w:rFonts w:cs="Calibri"/>
                        <w:b/>
                        <w:bCs/>
                        <w:color w:val="000000"/>
                        <w:sz w:val="2"/>
                        <w:szCs w:val="2"/>
                        <w:lang w:val="en-US"/>
                      </w:rPr>
                      <w:t>average</w:t>
                    </w:r>
                    <w:proofErr w:type="gramEnd"/>
                    <w:r>
                      <w:rPr>
                        <w:rFonts w:cs="Calibri"/>
                        <w:b/>
                        <w:bCs/>
                        <w:color w:val="000000"/>
                        <w:sz w:val="2"/>
                        <w:szCs w:val="2"/>
                        <w:lang w:val="en-US"/>
                      </w:rPr>
                      <w:t xml:space="preserve"> %)</w:t>
                    </w:r>
                  </w:p>
                </w:txbxContent>
              </v:textbox>
            </v:rect>
            <v:rect id="_x0000_s1069" style="position:absolute;left:1237;top:4417;width:120;height:120" fillcolor="#10253f" stroked="f"/>
            <v:rect id="_x0000_s1070" style="position:absolute;left:1391;top:4361;width:1570;height:380;mso-wrap-style:none;v-text-anchor:top" filled="f" stroked="f">
              <v:textbox style="mso-fit-shape-to-text:t" inset="0,0,0,0">
                <w:txbxContent>
                  <w:p w:rsidR="00732467" w:rsidRDefault="00732467">
                    <w:r>
                      <w:rPr>
                        <w:rFonts w:cs="Calibri"/>
                        <w:color w:val="000000"/>
                        <w:sz w:val="18"/>
                        <w:szCs w:val="18"/>
                        <w:lang w:val="en-US"/>
                      </w:rPr>
                      <w:t>High performing sites</w:t>
                    </w:r>
                  </w:p>
                </w:txbxContent>
              </v:textbox>
            </v:rect>
            <v:rect id="_x0000_s1071" style="position:absolute;left:3270;top:4425;width:120;height:120" fillcolor="#4f81bd" stroked="f"/>
            <v:shape id="_x0000_s1072" style="position:absolute;left:3262;top:4417;width:120;height:120" coordsize="128,128" path="m,8hdc,4,4,,8,hal120,hdc125,,128,4,128,8hal128,120hdc128,125,125,128,120,128hal8,128hdc4,128,,125,,120hal,8hdxm16,120hal8,112r112,l112,120,112,8r8,8l8,16,16,8r,112hdxe" fillcolor="black">
              <v:stroke joinstyle="bevel"/>
              <v:path arrowok="t"/>
              <o:lock v:ext="edit" verticies="t"/>
            </v:shape>
            <v:rect id="_x0000_s1073" style="position:absolute;left:3420;top:4361;width:1528;height:380;mso-wrap-style:none;v-text-anchor:top" filled="f" stroked="f">
              <v:textbox style="mso-fit-shape-to-text:t" inset="0,0,0,0">
                <w:txbxContent>
                  <w:p w:rsidR="00732467" w:rsidRDefault="00732467">
                    <w:r>
                      <w:rPr>
                        <w:rFonts w:cs="Calibri"/>
                        <w:color w:val="000000"/>
                        <w:sz w:val="18"/>
                        <w:szCs w:val="18"/>
                        <w:lang w:val="en-US"/>
                      </w:rPr>
                      <w:t>Mid performing sites</w:t>
                    </w:r>
                  </w:p>
                </w:txbxContent>
              </v:textbox>
            </v:rect>
            <v:rect id="_x0000_s1074" style="position:absolute;left:5265;top:4425;width:105;height:120" fillcolor="#dce6f2" stroked="f"/>
            <v:shape id="_x0000_s1075" style="position:absolute;left:5257;top:4417;width:105;height:120" coordsize="112,128" path="m,8hdc,4,4,,8,hal104,hdc109,,112,4,112,8hal112,120hdc112,125,109,128,104,128hal8,128hdc4,128,,125,,120hal,8hdxm16,120hal8,112r96,l96,120,96,8r8,8l8,16,16,8r,112hdxe" fillcolor="black">
              <v:stroke joinstyle="bevel"/>
              <v:path arrowok="t"/>
              <o:lock v:ext="edit" verticies="t"/>
            </v:shape>
            <v:rect id="_x0000_s1076" style="position:absolute;left:5406;top:4361;width:1537;height:380;mso-wrap-style:none;v-text-anchor:top" filled="f" stroked="f">
              <v:textbox style="mso-fit-shape-to-text:t" inset="0,0,0,0">
                <w:txbxContent>
                  <w:p w:rsidR="00732467" w:rsidRDefault="00732467">
                    <w:r>
                      <w:rPr>
                        <w:rFonts w:cs="Calibri"/>
                        <w:color w:val="000000"/>
                        <w:sz w:val="18"/>
                        <w:szCs w:val="18"/>
                        <w:lang w:val="en-US"/>
                      </w:rPr>
                      <w:t>Low performing sites</w:t>
                    </w:r>
                  </w:p>
                </w:txbxContent>
              </v:textbox>
            </v:rect>
            <v:shape id="_x0000_s1077" style="position:absolute;left:7;top:7;width:8100;height:4770" coordsize="8640,5088" path="m,8hdc,4,4,,8,hal8632,hdc8637,,8640,4,8640,8hal8640,5080hdc8640,5085,8637,5088,8632,5088hal8,5088hdc4,5088,,5085,,5080hal,8hdxm16,5080hal8,5072r8624,l8624,5080,8624,8r8,8l8,16,16,8r,5072hdxe" fillcolor="#868686" strokecolor="#868686" strokeweight=".05pt">
              <v:path arrowok="t"/>
              <o:lock v:ext="edit" verticies="t"/>
            </v:shape>
            <w10:wrap type="none"/>
            <w10:anchorlock/>
          </v:group>
        </w:pict>
      </w:r>
    </w:p>
    <w:p w:rsidR="001D555C" w:rsidRDefault="001D555C" w:rsidP="001D555C">
      <w:pPr>
        <w:pStyle w:val="Sourceandnotetext"/>
      </w:pPr>
      <w:r w:rsidRPr="001D555C">
        <w:rPr>
          <w:b/>
          <w:bCs/>
        </w:rPr>
        <w:t xml:space="preserve">Source: </w:t>
      </w:r>
      <w:r>
        <w:t>DEEWR Corporate Data Set.</w:t>
      </w:r>
    </w:p>
    <w:p w:rsidR="007700E5" w:rsidRPr="006F4A06" w:rsidRDefault="007700E5" w:rsidP="0083197E">
      <w:pPr>
        <w:pStyle w:val="Sourceandnotetext"/>
      </w:pPr>
      <w:r>
        <w:t xml:space="preserve">Refer to </w:t>
      </w:r>
      <w:r w:rsidR="008F5CEC">
        <w:t xml:space="preserve">Appendix A, Table </w:t>
      </w:r>
      <w:proofErr w:type="spellStart"/>
      <w:r>
        <w:t>A1</w:t>
      </w:r>
      <w:r w:rsidR="00D66B4A">
        <w:t>.</w:t>
      </w:r>
      <w:r>
        <w:t>4</w:t>
      </w:r>
      <w:proofErr w:type="spellEnd"/>
      <w:r>
        <w:t xml:space="preserve"> to view </w:t>
      </w:r>
      <w:r w:rsidRPr="006F4A06">
        <w:t xml:space="preserve">the </w:t>
      </w:r>
      <w:hyperlink w:anchor="TableA1_4" w:tooltip="View the text version of Figure 4: Proportion of job seekers participating in an activity, 2009-10 " w:history="1">
        <w:r w:rsidRPr="006F4A06">
          <w:t>text version of Figure 4: Proportion of job seekers participating in an activity, 2009-10</w:t>
        </w:r>
      </w:hyperlink>
    </w:p>
    <w:p w:rsidR="00693DF8" w:rsidRPr="00E52380" w:rsidRDefault="00693DF8" w:rsidP="00B4074B">
      <w:r w:rsidRPr="000D575C">
        <w:t>High performing sites have more job seekers engaged in training</w:t>
      </w:r>
      <w:r w:rsidR="004E1D12" w:rsidRPr="000D575C">
        <w:t xml:space="preserve"> across all </w:t>
      </w:r>
      <w:r w:rsidR="004824BA" w:rsidRPr="000D575C">
        <w:t>S</w:t>
      </w:r>
      <w:r w:rsidR="004E1D12" w:rsidRPr="000D575C">
        <w:t>treams except Stream 1</w:t>
      </w:r>
      <w:r w:rsidRPr="00E52380">
        <w:t xml:space="preserve"> (</w:t>
      </w:r>
      <w:hyperlink w:anchor="Figure5" w:tooltip="Figure 5: Proportion of job seekers participating in training" w:history="1">
        <w:r w:rsidR="00E52380" w:rsidRPr="00622734">
          <w:rPr>
            <w:rStyle w:val="Hyperlink"/>
          </w:rPr>
          <w:t>Figure</w:t>
        </w:r>
        <w:r w:rsidRPr="00622734">
          <w:rPr>
            <w:rStyle w:val="Hyperlink"/>
          </w:rPr>
          <w:t xml:space="preserve"> </w:t>
        </w:r>
        <w:r w:rsidR="00BE6C08" w:rsidRPr="00622734">
          <w:rPr>
            <w:rStyle w:val="Hyperlink"/>
          </w:rPr>
          <w:t>5</w:t>
        </w:r>
      </w:hyperlink>
      <w:r w:rsidR="0005152B">
        <w:t>).</w:t>
      </w:r>
    </w:p>
    <w:p w:rsidR="00693DF8" w:rsidRPr="005F433F" w:rsidRDefault="004824BA" w:rsidP="0024454B">
      <w:pPr>
        <w:pStyle w:val="FigureHeading"/>
      </w:pPr>
      <w:bookmarkStart w:id="63" w:name="Figure5"/>
      <w:bookmarkEnd w:id="63"/>
      <w:r>
        <w:t>Figure</w:t>
      </w:r>
      <w:r w:rsidR="00693DF8" w:rsidRPr="005F433F">
        <w:t xml:space="preserve"> </w:t>
      </w:r>
      <w:r w:rsidR="00BE6C08">
        <w:t>5</w:t>
      </w:r>
      <w:r w:rsidR="00693DF8" w:rsidRPr="005F433F">
        <w:t>: Proportion of job seekers participating in training</w:t>
      </w:r>
      <w:r w:rsidR="004F47EE" w:rsidRPr="005F433F">
        <w:t>, 2009–10 (</w:t>
      </w:r>
      <w:r w:rsidR="003804AD">
        <w:t>per cent</w:t>
      </w:r>
      <w:r w:rsidR="004F47EE" w:rsidRPr="005F433F">
        <w:t>)</w:t>
      </w:r>
    </w:p>
    <w:p w:rsidR="00693DF8" w:rsidRDefault="003804AD" w:rsidP="00693DF8">
      <w:r w:rsidRPr="003804AD">
        <w:rPr>
          <w:noProof/>
        </w:rPr>
        <w:drawing>
          <wp:inline distT="0" distB="0" distL="0" distR="0">
            <wp:extent cx="5162550" cy="3009900"/>
            <wp:effectExtent l="19050" t="0" r="0" b="0"/>
            <wp:docPr id="12" name="Picture 8" descr="Graph showing percentage of job seekers participating in training in 2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5162550" cy="3009900"/>
                    </a:xfrm>
                    <a:prstGeom prst="rect">
                      <a:avLst/>
                    </a:prstGeom>
                    <a:noFill/>
                    <a:ln w="9525">
                      <a:noFill/>
                      <a:miter lim="800000"/>
                      <a:headEnd/>
                      <a:tailEnd/>
                    </a:ln>
                  </pic:spPr>
                </pic:pic>
              </a:graphicData>
            </a:graphic>
          </wp:inline>
        </w:drawing>
      </w:r>
    </w:p>
    <w:p w:rsidR="00693DF8" w:rsidRDefault="00693DF8" w:rsidP="00693DF8">
      <w:pPr>
        <w:pStyle w:val="Sourceandnotetext"/>
      </w:pPr>
      <w:r>
        <w:t xml:space="preserve"> </w:t>
      </w:r>
      <w:r w:rsidRPr="001D555C">
        <w:rPr>
          <w:b/>
          <w:bCs/>
        </w:rPr>
        <w:t xml:space="preserve">Source: </w:t>
      </w:r>
      <w:r>
        <w:t>DEEWR Corporate Data Set.</w:t>
      </w:r>
    </w:p>
    <w:p w:rsidR="00B105A7" w:rsidRDefault="00B105A7" w:rsidP="0083197E">
      <w:pPr>
        <w:pStyle w:val="Sourceandnotetext"/>
      </w:pPr>
      <w:r>
        <w:t xml:space="preserve">Refer to Appendix </w:t>
      </w:r>
      <w:proofErr w:type="gramStart"/>
      <w:r w:rsidR="006820F8">
        <w:t>A</w:t>
      </w:r>
      <w:proofErr w:type="gramEnd"/>
      <w:r w:rsidR="006820F8">
        <w:t xml:space="preserve">, Table </w:t>
      </w:r>
      <w:proofErr w:type="spellStart"/>
      <w:r>
        <w:t>A1.5</w:t>
      </w:r>
      <w:proofErr w:type="spellEnd"/>
      <w:r>
        <w:t xml:space="preserve"> to view the </w:t>
      </w:r>
      <w:hyperlink w:anchor="TableA1_5" w:tooltip="View the text version of Figure 5: Proportion of job seekers participating in training, 2009–10 " w:history="1">
        <w:r w:rsidRPr="00B105A7">
          <w:rPr>
            <w:rStyle w:val="Hyperlink"/>
          </w:rPr>
          <w:t>text version of Figure 5: Proportion of job seekers participating in training, 2009–10</w:t>
        </w:r>
      </w:hyperlink>
      <w:r w:rsidRPr="005F433F">
        <w:t xml:space="preserve"> </w:t>
      </w:r>
    </w:p>
    <w:p w:rsidR="00916494" w:rsidRPr="004824BA" w:rsidRDefault="006A3D31" w:rsidP="00B4074B">
      <w:r>
        <w:t>H</w:t>
      </w:r>
      <w:r w:rsidR="004824BA">
        <w:t xml:space="preserve">igh performing sites also </w:t>
      </w:r>
      <w:r w:rsidR="00F41A68" w:rsidRPr="004824BA">
        <w:t xml:space="preserve">report that they </w:t>
      </w:r>
      <w:r w:rsidR="00916494" w:rsidRPr="004824BA">
        <w:t>consider both the needs and interests of the job seeker as well as the needs of employers, local labour market conditions and the availability of training courses</w:t>
      </w:r>
      <w:r w:rsidR="00AB7DD4">
        <w:t>. Higher performing sites are more likely to report that they:</w:t>
      </w:r>
    </w:p>
    <w:p w:rsidR="006C633C" w:rsidRDefault="006C633C">
      <w:pPr>
        <w:spacing w:before="0" w:after="0"/>
      </w:pPr>
      <w:r>
        <w:br w:type="page"/>
      </w:r>
    </w:p>
    <w:p w:rsidR="004824BA" w:rsidRDefault="004824BA" w:rsidP="00622734">
      <w:pPr>
        <w:pStyle w:val="ListBullet"/>
      </w:pPr>
      <w:r w:rsidRPr="004824BA">
        <w:t>U</w:t>
      </w:r>
      <w:r w:rsidR="001D555C" w:rsidRPr="004824BA">
        <w:t>s</w:t>
      </w:r>
      <w:r w:rsidR="00F41A68" w:rsidRPr="004824BA">
        <w:t>e</w:t>
      </w:r>
      <w:r w:rsidR="001D555C" w:rsidRPr="004824BA">
        <w:t xml:space="preserve"> local labour market information to help choose relevant activities for job seekers</w:t>
      </w:r>
      <w:r>
        <w:t>.</w:t>
      </w:r>
    </w:p>
    <w:p w:rsidR="001D555C" w:rsidRPr="004824BA" w:rsidRDefault="004824BA" w:rsidP="00622734">
      <w:pPr>
        <w:pStyle w:val="ListBullet"/>
      </w:pPr>
      <w:r>
        <w:t>W</w:t>
      </w:r>
      <w:r w:rsidR="001D555C" w:rsidRPr="004824BA">
        <w:t xml:space="preserve">here necessary, prepare </w:t>
      </w:r>
      <w:r w:rsidR="002D1EDF" w:rsidRPr="004824BA">
        <w:t>or negotiate with R</w:t>
      </w:r>
      <w:r w:rsidR="00C25F30" w:rsidRPr="004824BA">
        <w:t>egistered</w:t>
      </w:r>
      <w:r w:rsidR="002D1EDF" w:rsidRPr="004824BA">
        <w:t xml:space="preserve"> Training Organisations (RTOs) or TAFEs </w:t>
      </w:r>
      <w:r w:rsidR="001D555C" w:rsidRPr="004824BA">
        <w:t xml:space="preserve">to </w:t>
      </w:r>
      <w:r w:rsidR="002D1EDF" w:rsidRPr="004824BA">
        <w:t xml:space="preserve">develop training </w:t>
      </w:r>
      <w:r w:rsidR="00693DF8" w:rsidRPr="004824BA">
        <w:t xml:space="preserve">material </w:t>
      </w:r>
      <w:r w:rsidR="002D1EDF" w:rsidRPr="004824BA">
        <w:t xml:space="preserve">to </w:t>
      </w:r>
      <w:r w:rsidR="001D555C" w:rsidRPr="004824BA">
        <w:t xml:space="preserve">meet </w:t>
      </w:r>
      <w:r w:rsidR="00F41A68" w:rsidRPr="004824BA">
        <w:t xml:space="preserve">identified </w:t>
      </w:r>
      <w:r w:rsidR="001D555C" w:rsidRPr="004824BA">
        <w:t>skills needs</w:t>
      </w:r>
      <w:r>
        <w:t>.</w:t>
      </w:r>
    </w:p>
    <w:p w:rsidR="00693DF8" w:rsidRPr="004824BA" w:rsidRDefault="00C34350" w:rsidP="00B4074B">
      <w:r>
        <w:t>Make use of other Government programs</w:t>
      </w:r>
      <w:r w:rsidR="001D555C" w:rsidRPr="000D575C">
        <w:t xml:space="preserve"> </w:t>
      </w:r>
      <w:r w:rsidR="001D555C" w:rsidRPr="004824BA">
        <w:t>such as Work for the Dole or Green Corps activities</w:t>
      </w:r>
      <w:r w:rsidR="004824BA">
        <w:t>.</w:t>
      </w:r>
    </w:p>
    <w:p w:rsidR="0067435A" w:rsidRPr="004824BA" w:rsidRDefault="004824BA" w:rsidP="00B4074B">
      <w:r>
        <w:t>C</w:t>
      </w:r>
      <w:r w:rsidR="00693DF8" w:rsidRPr="004824BA">
        <w:t xml:space="preserve">hoose well-targeted courses with employment potential </w:t>
      </w:r>
      <w:r w:rsidR="00693DF8" w:rsidRPr="000D575C">
        <w:t xml:space="preserve">or recognised qualifications </w:t>
      </w:r>
      <w:r w:rsidR="00693DF8" w:rsidRPr="004824BA">
        <w:t>that are effective in rapidly preparing and motivating job seekers for particular roles</w:t>
      </w:r>
      <w:r>
        <w:t>, for example</w:t>
      </w:r>
      <w:r w:rsidR="00693DF8" w:rsidRPr="004824BA">
        <w:t xml:space="preserve"> Forklift Licensing, National White Card and Responsible Service of Alcohol training</w:t>
      </w:r>
      <w:r>
        <w:t xml:space="preserve"> (where there is local demand for the specific skills).</w:t>
      </w:r>
      <w:r w:rsidR="00693DF8" w:rsidRPr="004824BA">
        <w:t xml:space="preserve"> </w:t>
      </w:r>
    </w:p>
    <w:p w:rsidR="00693DF8" w:rsidRPr="004824BA" w:rsidRDefault="004824BA" w:rsidP="00622734">
      <w:pPr>
        <w:pStyle w:val="ListBullet"/>
      </w:pPr>
      <w:r>
        <w:t>M</w:t>
      </w:r>
      <w:r w:rsidR="0067435A" w:rsidRPr="004824BA">
        <w:t>ak</w:t>
      </w:r>
      <w:r w:rsidR="00127E0E" w:rsidRPr="004824BA">
        <w:t>e</w:t>
      </w:r>
      <w:r w:rsidR="0067435A" w:rsidRPr="004824BA">
        <w:t xml:space="preserve"> follow-up contact with job seekers after training or employment activities</w:t>
      </w:r>
      <w:r w:rsidR="00127E0E" w:rsidRPr="004824BA">
        <w:t>,</w:t>
      </w:r>
      <w:r>
        <w:t xml:space="preserve"> to keep them motivated, </w:t>
      </w:r>
      <w:r w:rsidR="004E1D12" w:rsidRPr="004824BA">
        <w:t xml:space="preserve">maintain </w:t>
      </w:r>
      <w:r w:rsidR="0067435A" w:rsidRPr="004824BA">
        <w:t>rapport</w:t>
      </w:r>
      <w:r>
        <w:t xml:space="preserve"> and encourage active job search</w:t>
      </w:r>
      <w:r w:rsidR="00F41A68" w:rsidRPr="004824BA">
        <w:t>.</w:t>
      </w:r>
    </w:p>
    <w:p w:rsidR="00916494" w:rsidRDefault="001D555C" w:rsidP="00B4074B">
      <w:r w:rsidRPr="000D575C">
        <w:t xml:space="preserve">High performing sites are more likely to </w:t>
      </w:r>
      <w:r w:rsidR="002027EE" w:rsidRPr="000D575C">
        <w:t xml:space="preserve">have a </w:t>
      </w:r>
      <w:r w:rsidR="004E1D12" w:rsidRPr="000D575C">
        <w:t xml:space="preserve">broader network </w:t>
      </w:r>
      <w:r w:rsidR="002027EE" w:rsidRPr="000D575C">
        <w:t xml:space="preserve">of sources they can </w:t>
      </w:r>
      <w:r w:rsidR="00261F27" w:rsidRPr="000D575C">
        <w:t>call on</w:t>
      </w:r>
      <w:r w:rsidR="002027EE" w:rsidRPr="000D575C">
        <w:t xml:space="preserve"> for</w:t>
      </w:r>
      <w:r w:rsidR="00C25F30" w:rsidRPr="000D575C">
        <w:t xml:space="preserve"> training </w:t>
      </w:r>
      <w:r w:rsidR="002027EE" w:rsidRPr="000D575C">
        <w:t>and work experience activities</w:t>
      </w:r>
      <w:r w:rsidR="00127E0E" w:rsidRPr="000D575C">
        <w:t>, and</w:t>
      </w:r>
      <w:r w:rsidR="00261F27" w:rsidRPr="000D575C">
        <w:t xml:space="preserve"> </w:t>
      </w:r>
      <w:r w:rsidR="00F41A68" w:rsidRPr="000D575C">
        <w:t xml:space="preserve">to </w:t>
      </w:r>
      <w:r w:rsidRPr="000D575C">
        <w:t>take advanta</w:t>
      </w:r>
      <w:r w:rsidR="004824BA" w:rsidRPr="000D575C">
        <w:t>ge of opportunities from other g</w:t>
      </w:r>
      <w:r w:rsidRPr="000D575C">
        <w:t>overnment programs such as the Productivity Places Program (PPP</w:t>
      </w:r>
      <w:r w:rsidR="00261F27" w:rsidRPr="000D575C">
        <w:t>)</w:t>
      </w:r>
      <w:r w:rsidR="00474FF9" w:rsidRPr="000D575C">
        <w:t xml:space="preserve"> </w:t>
      </w:r>
      <w:r w:rsidR="004E1D12" w:rsidRPr="000D575C">
        <w:t xml:space="preserve">or </w:t>
      </w:r>
      <w:r w:rsidR="00104367" w:rsidRPr="000D575C">
        <w:t>the Innovation Fund</w:t>
      </w:r>
      <w:r w:rsidRPr="004824BA">
        <w:t xml:space="preserve">. </w:t>
      </w:r>
    </w:p>
    <w:p w:rsidR="00943988" w:rsidRDefault="00943988" w:rsidP="00C25F30"/>
    <w:p w:rsidR="00AA2A62" w:rsidRPr="00D63983" w:rsidRDefault="002027EE" w:rsidP="0005152B">
      <w:pPr>
        <w:pStyle w:val="QuoteBl"/>
        <w:pBdr>
          <w:top w:val="single" w:sz="4" w:space="0" w:color="auto"/>
          <w:left w:val="single" w:sz="4" w:space="4" w:color="auto"/>
          <w:bottom w:val="single" w:sz="4" w:space="1" w:color="auto"/>
          <w:right w:val="single" w:sz="4" w:space="4" w:color="auto"/>
        </w:pBdr>
      </w:pPr>
      <w:r w:rsidRPr="00D63983">
        <w:t>...</w:t>
      </w:r>
      <w:r w:rsidR="008F5CEC">
        <w:t xml:space="preserve"> </w:t>
      </w:r>
      <w:proofErr w:type="gramStart"/>
      <w:r w:rsidRPr="00D63983">
        <w:t>we</w:t>
      </w:r>
      <w:proofErr w:type="gramEnd"/>
      <w:r w:rsidRPr="00D63983">
        <w:t xml:space="preserve"> have a dedicated work experience coordinator and she has heaps of activities going ... She is linked up with a lot of different community organisations. So we have got </w:t>
      </w:r>
      <w:r w:rsidR="00AA2A62" w:rsidRPr="00D63983">
        <w:t>[a]</w:t>
      </w:r>
      <w:r w:rsidRPr="00D63983">
        <w:t xml:space="preserve"> ...  retailer ...  which is a community organisation, she has also got diversion therapy at an aged care facility, she’s got forklift operation and warehousing, she’s got a lot of different places</w:t>
      </w:r>
      <w:r w:rsidR="00AA2A62" w:rsidRPr="00D63983">
        <w:t>.</w:t>
      </w:r>
    </w:p>
    <w:p w:rsidR="002027EE" w:rsidRDefault="002027EE" w:rsidP="0005152B">
      <w:pPr>
        <w:pStyle w:val="QuoteRef"/>
        <w:pBdr>
          <w:top w:val="single" w:sz="4" w:space="0" w:color="auto"/>
          <w:left w:val="single" w:sz="4" w:space="4" w:color="auto"/>
          <w:bottom w:val="single" w:sz="4" w:space="1" w:color="auto"/>
          <w:right w:val="single" w:sz="4" w:space="4" w:color="auto"/>
        </w:pBdr>
      </w:pPr>
      <w:r>
        <w:t xml:space="preserve">Employment consultant, </w:t>
      </w:r>
      <w:r w:rsidR="00D314CF">
        <w:t xml:space="preserve">metropolitan centre, </w:t>
      </w:r>
      <w:r>
        <w:t>Queensland</w:t>
      </w:r>
    </w:p>
    <w:p w:rsidR="00C25F30" w:rsidRDefault="00C25F30" w:rsidP="00C25F30">
      <w:pPr>
        <w:pStyle w:val="Heading30"/>
      </w:pPr>
      <w:r>
        <w:t>Re</w:t>
      </w:r>
      <w:r w:rsidR="004824BA">
        <w:t>gistered Training Organisations</w:t>
      </w:r>
    </w:p>
    <w:p w:rsidR="009D3AE8" w:rsidRDefault="001D555C" w:rsidP="009D3AE8">
      <w:r>
        <w:t>Some providers had preferred Registered Training Organisations (RTOs)</w:t>
      </w:r>
      <w:r w:rsidR="009D3AE8">
        <w:t xml:space="preserve">. </w:t>
      </w:r>
      <w:r>
        <w:t xml:space="preserve">Others are themselves RTOs, and can offer training and activities to job seekers </w:t>
      </w:r>
      <w:r w:rsidR="00C25F30">
        <w:t>in-house</w:t>
      </w:r>
      <w:r w:rsidR="009D3AE8">
        <w:t xml:space="preserve">. </w:t>
      </w:r>
    </w:p>
    <w:p w:rsidR="001D555C" w:rsidRDefault="009D3AE8" w:rsidP="001D555C">
      <w:r>
        <w:t>A</w:t>
      </w:r>
      <w:r w:rsidR="001D555C">
        <w:t xml:space="preserve">ccording to </w:t>
      </w:r>
      <w:r w:rsidR="0067435A">
        <w:t>providers</w:t>
      </w:r>
      <w:r w:rsidR="001D555C">
        <w:t xml:space="preserve"> </w:t>
      </w:r>
      <w:r>
        <w:t xml:space="preserve">who are RTOs, </w:t>
      </w:r>
      <w:r w:rsidR="00C25F30">
        <w:t xml:space="preserve">the </w:t>
      </w:r>
      <w:r w:rsidR="001D555C">
        <w:t xml:space="preserve">major benefits </w:t>
      </w:r>
      <w:r>
        <w:t xml:space="preserve">of this arrangement </w:t>
      </w:r>
      <w:r w:rsidR="001D555C">
        <w:t>include:</w:t>
      </w:r>
    </w:p>
    <w:p w:rsidR="0067435A" w:rsidRDefault="00C25F30" w:rsidP="00622734">
      <w:pPr>
        <w:pStyle w:val="ListBullet"/>
      </w:pPr>
      <w:r>
        <w:t>t</w:t>
      </w:r>
      <w:r w:rsidR="001D555C">
        <w:t>ailoring o</w:t>
      </w:r>
      <w:r w:rsidR="004824BA">
        <w:t>f content and scope of training;</w:t>
      </w:r>
    </w:p>
    <w:p w:rsidR="00880AFA" w:rsidRDefault="00C60AD4" w:rsidP="00622734">
      <w:pPr>
        <w:pStyle w:val="ListBullet"/>
      </w:pPr>
      <w:r>
        <w:t>lower</w:t>
      </w:r>
      <w:r w:rsidR="00880AFA">
        <w:t xml:space="preserve"> administration costs</w:t>
      </w:r>
      <w:r w:rsidR="004824BA">
        <w:t>;</w:t>
      </w:r>
    </w:p>
    <w:p w:rsidR="001D555C" w:rsidRDefault="004824BA" w:rsidP="00622734">
      <w:pPr>
        <w:pStyle w:val="ListBullet"/>
      </w:pPr>
      <w:r>
        <w:t xml:space="preserve">improved convenience for job seekers by providing a </w:t>
      </w:r>
      <w:r w:rsidR="001D555C">
        <w:t>range of services in a familiar location</w:t>
      </w:r>
      <w:r>
        <w:t xml:space="preserve"> (this </w:t>
      </w:r>
      <w:r w:rsidR="001D555C">
        <w:t>can be</w:t>
      </w:r>
      <w:r>
        <w:t xml:space="preserve"> particularly</w:t>
      </w:r>
      <w:r w:rsidR="001D555C">
        <w:t xml:space="preserve"> important for job seekers with limited transport options</w:t>
      </w:r>
      <w:r>
        <w:t>);</w:t>
      </w:r>
      <w:r w:rsidR="001D555C">
        <w:t xml:space="preserve"> </w:t>
      </w:r>
      <w:r>
        <w:t>and</w:t>
      </w:r>
    </w:p>
    <w:p w:rsidR="00880AFA" w:rsidRDefault="00C25F30" w:rsidP="00622734">
      <w:pPr>
        <w:pStyle w:val="ListBullet"/>
      </w:pPr>
      <w:proofErr w:type="gramStart"/>
      <w:r>
        <w:t>m</w:t>
      </w:r>
      <w:r w:rsidR="001D555C">
        <w:t>ore</w:t>
      </w:r>
      <w:proofErr w:type="gramEnd"/>
      <w:r w:rsidR="001D555C">
        <w:t xml:space="preserve"> effective monitoring and encouragement of job seeker participation</w:t>
      </w:r>
      <w:r w:rsidR="0067435A">
        <w:t>, as</w:t>
      </w:r>
      <w:r w:rsidR="001D555C">
        <w:t xml:space="preserve"> employment consultants can track the progress of job seekers more closely and enforce training participation standards</w:t>
      </w:r>
      <w:r w:rsidR="009D3AE8">
        <w:t>.</w:t>
      </w:r>
    </w:p>
    <w:p w:rsidR="00992590" w:rsidRDefault="007D7CEE" w:rsidP="007D7CEE">
      <w:r w:rsidRPr="00104367">
        <w:t xml:space="preserve">However while training offered in-house can be convenient for some providers and job </w:t>
      </w:r>
      <w:r w:rsidRPr="00A6541E">
        <w:t>seekers,</w:t>
      </w:r>
      <w:r w:rsidR="00992590" w:rsidRPr="00A6541E">
        <w:t xml:space="preserve"> there is no evidence that having RTO status is in itself associated with better provider performance. </w:t>
      </w:r>
      <w:r w:rsidRPr="00A6541E">
        <w:t xml:space="preserve">Both </w:t>
      </w:r>
      <w:r w:rsidR="00104367" w:rsidRPr="00A6541E">
        <w:t>j</w:t>
      </w:r>
      <w:r w:rsidRPr="00A6541E">
        <w:t>ob seekers</w:t>
      </w:r>
      <w:r w:rsidRPr="00104367">
        <w:t xml:space="preserve"> and providers report that the content of any training and its relevance to employment opportunities are more important than the provider of the training course.</w:t>
      </w:r>
    </w:p>
    <w:p w:rsidR="007D7CEE" w:rsidRPr="004824BA" w:rsidRDefault="007D7CEE" w:rsidP="00B4074B">
      <w:r w:rsidRPr="000D575C">
        <w:t xml:space="preserve">The delivery mode and learning style of training courses can also be important in achieving results, particularly for foundation skills courses. </w:t>
      </w:r>
      <w:r w:rsidRPr="004824BA">
        <w:t>According to service providers, some strategies that have proved effective include:</w:t>
      </w:r>
    </w:p>
    <w:p w:rsidR="007D7CEE" w:rsidRDefault="007D7CEE" w:rsidP="00622734">
      <w:pPr>
        <w:pStyle w:val="ListBullet"/>
      </w:pPr>
      <w:r>
        <w:t>a hands-on approach focused on life skills for language, literacy and numeracy courses</w:t>
      </w:r>
      <w:r w:rsidR="0005152B">
        <w:t xml:space="preserve">; </w:t>
      </w:r>
      <w:r w:rsidR="00992590">
        <w:t>and</w:t>
      </w:r>
    </w:p>
    <w:p w:rsidR="00671E0A" w:rsidRDefault="007D7CEE" w:rsidP="00622734">
      <w:pPr>
        <w:pStyle w:val="ListBullet"/>
      </w:pPr>
      <w:proofErr w:type="gramStart"/>
      <w:r>
        <w:t>practical</w:t>
      </w:r>
      <w:proofErr w:type="gramEnd"/>
      <w:r>
        <w:t xml:space="preserve"> delivery methods and self-paced modules </w:t>
      </w:r>
      <w:r w:rsidR="00AF4070">
        <w:t xml:space="preserve">for job search training </w:t>
      </w:r>
      <w:r>
        <w:t>are preferred by many job seekers</w:t>
      </w:r>
      <w:r w:rsidR="00992590">
        <w:t>.</w:t>
      </w:r>
    </w:p>
    <w:p w:rsidR="00671E0A" w:rsidRDefault="00671E0A" w:rsidP="00484740">
      <w:r>
        <w:br w:type="page"/>
      </w:r>
    </w:p>
    <w:p w:rsidR="007D7CEE" w:rsidRDefault="007D7CEE" w:rsidP="00671E0A">
      <w:pPr>
        <w:pStyle w:val="ListBullet"/>
        <w:numPr>
          <w:ilvl w:val="0"/>
          <w:numId w:val="0"/>
        </w:numPr>
      </w:pPr>
    </w:p>
    <w:p w:rsidR="00AA2A62" w:rsidRPr="00D63983" w:rsidRDefault="007D7CEE" w:rsidP="00243BD4">
      <w:pPr>
        <w:pStyle w:val="StyleQuoteBlBoxSinglesolidlineAuto05ptLinewidth"/>
      </w:pPr>
      <w:r w:rsidRPr="00D63983">
        <w:t>Pre-vocational trainin</w:t>
      </w:r>
      <w:r w:rsidR="0005152B">
        <w:t>g, like literacy and numeracy..</w:t>
      </w:r>
      <w:r w:rsidRPr="00D63983">
        <w:t>. The lecturer meets with them one on one. Some go through pre-literacy/numeracy training if needed...The time needed in course and [in] one-on-one assistance is determined on a case-by-case basis. [It] results in a noticeable improvement in confidence and skills</w:t>
      </w:r>
      <w:r w:rsidR="00AA2A62" w:rsidRPr="00D63983">
        <w:t>.</w:t>
      </w:r>
    </w:p>
    <w:p w:rsidR="007D7CEE" w:rsidRDefault="007D7CEE" w:rsidP="00253C8B">
      <w:pPr>
        <w:pStyle w:val="QuoteRef"/>
        <w:keepNext/>
        <w:pBdr>
          <w:top w:val="single" w:sz="4" w:space="1" w:color="auto"/>
          <w:left w:val="single" w:sz="4" w:space="4" w:color="auto"/>
          <w:bottom w:val="single" w:sz="4" w:space="1" w:color="auto"/>
          <w:right w:val="single" w:sz="4" w:space="4" w:color="auto"/>
        </w:pBdr>
      </w:pPr>
      <w:r>
        <w:t xml:space="preserve">Site manager, </w:t>
      </w:r>
      <w:r w:rsidR="00AA2A62">
        <w:t>re</w:t>
      </w:r>
      <w:r w:rsidR="00992590">
        <w:t>mote</w:t>
      </w:r>
      <w:r w:rsidR="00AA2A62">
        <w:t xml:space="preserve"> area</w:t>
      </w:r>
      <w:r>
        <w:t>, South Australia</w:t>
      </w:r>
    </w:p>
    <w:p w:rsidR="00943988" w:rsidRDefault="00943988" w:rsidP="00943988"/>
    <w:p w:rsidR="00881C87" w:rsidRDefault="00EB40E0" w:rsidP="00B43EC6">
      <w:pPr>
        <w:pStyle w:val="Heading2"/>
      </w:pPr>
      <w:bookmarkStart w:id="64" w:name="_Toc326764337"/>
      <w:r>
        <w:t>3</w:t>
      </w:r>
      <w:r w:rsidR="00EF1D64">
        <w:t>.6</w:t>
      </w:r>
      <w:r w:rsidR="00EF1D64">
        <w:tab/>
      </w:r>
      <w:r w:rsidR="00B8549D">
        <w:t>Effective r</w:t>
      </w:r>
      <w:r w:rsidR="00881C87">
        <w:t xml:space="preserve">everse </w:t>
      </w:r>
      <w:r w:rsidR="00B674ED">
        <w:t xml:space="preserve">marketing </w:t>
      </w:r>
      <w:r w:rsidR="00F118BC">
        <w:t>and employer engagement</w:t>
      </w:r>
      <w:bookmarkEnd w:id="64"/>
    </w:p>
    <w:p w:rsidR="00F6688E" w:rsidRPr="0036083F" w:rsidRDefault="00F6688E" w:rsidP="00F6688E"/>
    <w:tbl>
      <w:tblPr>
        <w:tblStyle w:val="TableGrid"/>
        <w:tblW w:w="0" w:type="auto"/>
        <w:tblLook w:val="04A0"/>
      </w:tblPr>
      <w:tblGrid>
        <w:gridCol w:w="8720"/>
      </w:tblGrid>
      <w:tr w:rsidR="00F6688E" w:rsidTr="002C70DA">
        <w:tc>
          <w:tcPr>
            <w:tcW w:w="8720" w:type="dxa"/>
          </w:tcPr>
          <w:p w:rsidR="00F6688E" w:rsidRDefault="00F6688E" w:rsidP="002C70DA">
            <w:r w:rsidRPr="0036083F">
              <w:t>High performing sites are more likely than mid and low performing sites to</w:t>
            </w:r>
            <w:r>
              <w:t>:</w:t>
            </w:r>
          </w:p>
          <w:p w:rsidR="00F6688E" w:rsidRDefault="00F6688E" w:rsidP="00622734">
            <w:pPr>
              <w:pStyle w:val="ListBullet"/>
            </w:pPr>
            <w:r>
              <w:t>U</w:t>
            </w:r>
            <w:r w:rsidRPr="001A6BD0">
              <w:t>s</w:t>
            </w:r>
            <w:r>
              <w:t>e</w:t>
            </w:r>
            <w:r w:rsidRPr="001A6BD0">
              <w:t xml:space="preserve"> reverse </w:t>
            </w:r>
            <w:r w:rsidR="00B674ED">
              <w:t>marketing</w:t>
            </w:r>
            <w:r w:rsidRPr="001A6BD0">
              <w:t xml:space="preserve"> as part of a broader strategy </w:t>
            </w:r>
            <w:r>
              <w:t>of</w:t>
            </w:r>
            <w:r w:rsidRPr="001A6BD0">
              <w:t xml:space="preserve"> develop</w:t>
            </w:r>
            <w:r>
              <w:t>ing</w:t>
            </w:r>
            <w:r w:rsidRPr="001A6BD0">
              <w:t xml:space="preserve"> and maintain</w:t>
            </w:r>
            <w:r>
              <w:t>ing</w:t>
            </w:r>
            <w:r w:rsidRPr="001A6BD0">
              <w:t xml:space="preserve"> relationships with employers</w:t>
            </w:r>
            <w:r>
              <w:t>.</w:t>
            </w:r>
            <w:r w:rsidRPr="001A6BD0">
              <w:t xml:space="preserve"> </w:t>
            </w:r>
          </w:p>
          <w:p w:rsidR="00F6688E" w:rsidRDefault="00F6688E" w:rsidP="00622734">
            <w:pPr>
              <w:pStyle w:val="ListBullet"/>
            </w:pPr>
            <w:r>
              <w:t>F</w:t>
            </w:r>
            <w:r w:rsidRPr="001A6BD0">
              <w:t>ocus on the job seeker</w:t>
            </w:r>
            <w:r>
              <w:t>,</w:t>
            </w:r>
            <w:r w:rsidRPr="001A6BD0">
              <w:t xml:space="preserve"> and on finding employment that </w:t>
            </w:r>
            <w:r>
              <w:t>suits them.</w:t>
            </w:r>
          </w:p>
        </w:tc>
      </w:tr>
    </w:tbl>
    <w:p w:rsidR="00327DAB" w:rsidRPr="00B4074B" w:rsidRDefault="00671E0A" w:rsidP="00B4074B">
      <w:r>
        <w:br/>
      </w:r>
      <w:r w:rsidR="008F6949" w:rsidRPr="009714C7">
        <w:t xml:space="preserve">High performing sites are more likely to use reverse </w:t>
      </w:r>
      <w:r w:rsidR="00B674ED">
        <w:t>marketing</w:t>
      </w:r>
      <w:r w:rsidR="00AA1DD9">
        <w:rPr>
          <w:noProof/>
        </w:rPr>
        <w:t xml:space="preserve"> </w:t>
      </w:r>
      <w:r w:rsidR="00AA1DD9" w:rsidRPr="00671E0A">
        <w:rPr>
          <w:noProof/>
        </w:rPr>
        <w:t>(Employment Service Provider Survey, 2010)</w:t>
      </w:r>
      <w:r w:rsidR="00AA1DD9">
        <w:rPr>
          <w:noProof/>
        </w:rPr>
        <w:t xml:space="preserve"> </w:t>
      </w:r>
      <w:r w:rsidR="00AA1DD9" w:rsidRPr="00671E0A">
        <w:rPr>
          <w:noProof/>
        </w:rPr>
        <w:t>(DEEWR CDS, 2011; Employment Service Provider Survey, 2010)</w:t>
      </w:r>
      <w:r w:rsidR="008F6949" w:rsidRPr="00B4074B">
        <w:t xml:space="preserve"> —</w:t>
      </w:r>
      <w:r w:rsidR="00943988" w:rsidRPr="00B4074B">
        <w:t xml:space="preserve"> that is, seeking employers who have no current vacancies, and marketing individual job seekers to those employers. They are also more likely to</w:t>
      </w:r>
      <w:r w:rsidR="008F6949" w:rsidRPr="00B4074B">
        <w:t xml:space="preserve"> use it as part of a broader strategy to develop and maintain relationships with employers</w:t>
      </w:r>
      <w:r w:rsidR="009714C7" w:rsidRPr="00B4074B">
        <w:t xml:space="preserve"> </w:t>
      </w:r>
      <w:r w:rsidR="00AA1DD9" w:rsidRPr="00671E0A">
        <w:rPr>
          <w:noProof/>
        </w:rPr>
        <w:t>(discussions with service providers, 2010)</w:t>
      </w:r>
      <w:r w:rsidR="008F6949" w:rsidRPr="00B4074B">
        <w:t>.</w:t>
      </w:r>
    </w:p>
    <w:p w:rsidR="00F40883" w:rsidRPr="00AC447A" w:rsidRDefault="002E2633" w:rsidP="0099014C">
      <w:r>
        <w:t xml:space="preserve">Service </w:t>
      </w:r>
      <w:r w:rsidRPr="003D133A">
        <w:t xml:space="preserve">providers can be reimbursed through the EPF for </w:t>
      </w:r>
      <w:r w:rsidR="00B674ED" w:rsidRPr="003D133A">
        <w:t>r</w:t>
      </w:r>
      <w:r w:rsidRPr="003D133A">
        <w:t>everse</w:t>
      </w:r>
      <w:r w:rsidR="00B674ED" w:rsidRPr="003D133A">
        <w:t xml:space="preserve"> marketing</w:t>
      </w:r>
      <w:r w:rsidRPr="003D133A">
        <w:t xml:space="preserve">. </w:t>
      </w:r>
      <w:r w:rsidR="00881C87">
        <w:t xml:space="preserve">Most sites </w:t>
      </w:r>
      <w:r w:rsidR="00E36E69">
        <w:t xml:space="preserve">in the 2010 Employment Service Providers survey </w:t>
      </w:r>
      <w:r w:rsidR="00881C87">
        <w:t>report</w:t>
      </w:r>
      <w:r w:rsidR="00E36E69">
        <w:t>ed</w:t>
      </w:r>
      <w:r w:rsidR="00881C87">
        <w:t xml:space="preserve"> often or always using reverse</w:t>
      </w:r>
      <w:r w:rsidR="00B674ED">
        <w:t xml:space="preserve"> marketing</w:t>
      </w:r>
      <w:r>
        <w:t>, h</w:t>
      </w:r>
      <w:r w:rsidR="00881C87">
        <w:t xml:space="preserve">owever high performing sites are more likely to </w:t>
      </w:r>
      <w:r w:rsidR="001328C9">
        <w:t xml:space="preserve">report that they </w:t>
      </w:r>
      <w:r w:rsidR="00881C87">
        <w:t xml:space="preserve">use reverse </w:t>
      </w:r>
      <w:r w:rsidR="00B674ED">
        <w:t xml:space="preserve">marketing </w:t>
      </w:r>
      <w:r w:rsidR="00881C87">
        <w:t xml:space="preserve">than low performing sites </w:t>
      </w:r>
      <w:r w:rsidR="00E36E69">
        <w:t>(</w:t>
      </w:r>
      <w:hyperlink w:anchor="Table4" w:tooltip="Attitude of employment service providers to reverse marketing " w:history="1">
        <w:r w:rsidR="00E36E69" w:rsidRPr="00123603">
          <w:rPr>
            <w:rStyle w:val="Hyperlink"/>
          </w:rPr>
          <w:t>Table</w:t>
        </w:r>
        <w:r w:rsidR="00B8549D" w:rsidRPr="00123603">
          <w:rPr>
            <w:rStyle w:val="Hyperlink"/>
          </w:rPr>
          <w:t xml:space="preserve"> </w:t>
        </w:r>
        <w:r w:rsidR="0091766A" w:rsidRPr="00123603">
          <w:rPr>
            <w:rStyle w:val="Hyperlink"/>
          </w:rPr>
          <w:t>4</w:t>
        </w:r>
      </w:hyperlink>
      <w:r w:rsidR="00E36E69">
        <w:t>)</w:t>
      </w:r>
      <w:r w:rsidR="00881C87">
        <w:t xml:space="preserve">.  </w:t>
      </w:r>
    </w:p>
    <w:p w:rsidR="00E36E69" w:rsidRPr="00691935" w:rsidRDefault="00E36E69" w:rsidP="005B6497">
      <w:pPr>
        <w:pStyle w:val="Caption"/>
        <w:spacing w:before="120" w:after="120"/>
      </w:pPr>
      <w:bookmarkStart w:id="65" w:name="Table4"/>
      <w:bookmarkEnd w:id="65"/>
      <w:r w:rsidRPr="00691935">
        <w:t xml:space="preserve">Table </w:t>
      </w:r>
      <w:r w:rsidR="0091766A" w:rsidRPr="00691935">
        <w:t>4</w:t>
      </w:r>
      <w:r w:rsidRPr="00691935">
        <w:t>: Attitude of employment service providers to reverse marketing (</w:t>
      </w:r>
      <w:r w:rsidR="00C60AD4" w:rsidRPr="00691935">
        <w:t>per cent</w:t>
      </w:r>
      <w:r w:rsidRPr="00691935">
        <w:t>)</w:t>
      </w:r>
    </w:p>
    <w:tbl>
      <w:tblPr>
        <w:tblW w:w="0" w:type="auto"/>
        <w:tblInd w:w="80" w:type="dxa"/>
        <w:tblBorders>
          <w:top w:val="single" w:sz="4" w:space="0" w:color="auto"/>
          <w:bottom w:val="single" w:sz="4" w:space="0" w:color="auto"/>
        </w:tblBorders>
        <w:shd w:val="clear" w:color="auto" w:fill="002F63"/>
        <w:tblLayout w:type="fixed"/>
        <w:tblCellMar>
          <w:left w:w="0" w:type="dxa"/>
          <w:right w:w="0" w:type="dxa"/>
        </w:tblCellMar>
        <w:tblLook w:val="00A0"/>
      </w:tblPr>
      <w:tblGrid>
        <w:gridCol w:w="3969"/>
        <w:gridCol w:w="1361"/>
        <w:gridCol w:w="1361"/>
        <w:gridCol w:w="1361"/>
      </w:tblGrid>
      <w:tr w:rsidR="00E36E69" w:rsidRPr="00F33398" w:rsidTr="006820F8">
        <w:trPr>
          <w:cantSplit/>
          <w:tblHeader/>
        </w:trPr>
        <w:tc>
          <w:tcPr>
            <w:tcW w:w="3969" w:type="dxa"/>
            <w:shd w:val="clear" w:color="auto" w:fill="auto"/>
            <w:tcMar>
              <w:top w:w="80" w:type="dxa"/>
              <w:left w:w="80" w:type="dxa"/>
              <w:bottom w:w="80" w:type="dxa"/>
              <w:right w:w="80" w:type="dxa"/>
            </w:tcMar>
          </w:tcPr>
          <w:p w:rsidR="00E36E69" w:rsidRPr="00BA694D" w:rsidRDefault="00E36E69" w:rsidP="00123603">
            <w:pPr>
              <w:pStyle w:val="TableHeadingtext"/>
            </w:pPr>
          </w:p>
        </w:tc>
        <w:tc>
          <w:tcPr>
            <w:tcW w:w="1361" w:type="dxa"/>
            <w:shd w:val="clear" w:color="auto" w:fill="auto"/>
            <w:tcMar>
              <w:top w:w="80" w:type="dxa"/>
              <w:left w:w="80" w:type="dxa"/>
              <w:bottom w:w="80" w:type="dxa"/>
              <w:right w:w="80" w:type="dxa"/>
            </w:tcMar>
            <w:vAlign w:val="bottom"/>
          </w:tcPr>
          <w:p w:rsidR="00E36E69" w:rsidRPr="00BA694D" w:rsidRDefault="00E36E69" w:rsidP="00123603">
            <w:pPr>
              <w:pStyle w:val="TableHeadingtext"/>
              <w:jc w:val="center"/>
              <w:rPr>
                <w:bCs/>
              </w:rPr>
            </w:pPr>
            <w:r w:rsidRPr="00BA694D">
              <w:rPr>
                <w:bCs/>
              </w:rPr>
              <w:t>Low</w:t>
            </w:r>
            <w:r w:rsidR="00123603">
              <w:rPr>
                <w:bCs/>
              </w:rPr>
              <w:t xml:space="preserve"> Performance level</w:t>
            </w:r>
          </w:p>
        </w:tc>
        <w:tc>
          <w:tcPr>
            <w:tcW w:w="1361" w:type="dxa"/>
            <w:shd w:val="clear" w:color="auto" w:fill="auto"/>
            <w:tcMar>
              <w:top w:w="80" w:type="dxa"/>
              <w:left w:w="80" w:type="dxa"/>
              <w:bottom w:w="80" w:type="dxa"/>
              <w:right w:w="80" w:type="dxa"/>
            </w:tcMar>
            <w:vAlign w:val="bottom"/>
          </w:tcPr>
          <w:p w:rsidR="00123603" w:rsidRPr="00BA694D" w:rsidRDefault="00E36E69" w:rsidP="00123603">
            <w:pPr>
              <w:pStyle w:val="TableHeadingtext"/>
              <w:jc w:val="center"/>
              <w:rPr>
                <w:bCs/>
              </w:rPr>
            </w:pPr>
            <w:r w:rsidRPr="00BA694D">
              <w:rPr>
                <w:bCs/>
              </w:rPr>
              <w:t>Medium</w:t>
            </w:r>
            <w:r w:rsidR="00123603">
              <w:rPr>
                <w:bCs/>
              </w:rPr>
              <w:br/>
            </w:r>
            <w:r w:rsidR="00123603" w:rsidRPr="0086638D">
              <w:rPr>
                <w:bCs/>
              </w:rPr>
              <w:t>Performance level</w:t>
            </w:r>
          </w:p>
        </w:tc>
        <w:tc>
          <w:tcPr>
            <w:tcW w:w="1361" w:type="dxa"/>
            <w:shd w:val="clear" w:color="auto" w:fill="auto"/>
            <w:tcMar>
              <w:top w:w="80" w:type="dxa"/>
              <w:left w:w="80" w:type="dxa"/>
              <w:bottom w:w="80" w:type="dxa"/>
              <w:right w:w="80" w:type="dxa"/>
            </w:tcMar>
            <w:vAlign w:val="bottom"/>
          </w:tcPr>
          <w:p w:rsidR="00E36E69" w:rsidRPr="00BA694D" w:rsidRDefault="00E36E69" w:rsidP="00123603">
            <w:pPr>
              <w:pStyle w:val="TableHeadingtext"/>
              <w:jc w:val="center"/>
              <w:rPr>
                <w:bCs/>
              </w:rPr>
            </w:pPr>
            <w:r w:rsidRPr="00BA694D">
              <w:rPr>
                <w:bCs/>
              </w:rPr>
              <w:t>High</w:t>
            </w:r>
            <w:r w:rsidR="00123603">
              <w:rPr>
                <w:bCs/>
              </w:rPr>
              <w:br/>
            </w:r>
            <w:r w:rsidR="00123603" w:rsidRPr="0086638D">
              <w:rPr>
                <w:bCs/>
              </w:rPr>
              <w:t>Performance level</w:t>
            </w:r>
          </w:p>
        </w:tc>
      </w:tr>
      <w:tr w:rsidR="00E36E69" w:rsidRPr="0086638D" w:rsidTr="006820F8">
        <w:tblPrEx>
          <w:tblBorders>
            <w:top w:val="none" w:sz="0" w:space="0" w:color="auto"/>
            <w:bottom w:val="none" w:sz="0" w:space="0" w:color="auto"/>
          </w:tblBorders>
        </w:tblPrEx>
        <w:trPr>
          <w:cantSplit/>
          <w:tblHeader/>
        </w:trPr>
        <w:tc>
          <w:tcPr>
            <w:tcW w:w="3969" w:type="dxa"/>
            <w:tcBorders>
              <w:top w:val="single" w:sz="4" w:space="0" w:color="auto"/>
              <w:bottom w:val="single" w:sz="4" w:space="0" w:color="auto"/>
            </w:tcBorders>
            <w:shd w:val="clear" w:color="auto" w:fill="auto"/>
            <w:tcMar>
              <w:top w:w="80" w:type="dxa"/>
              <w:left w:w="80" w:type="dxa"/>
              <w:bottom w:w="80" w:type="dxa"/>
              <w:right w:w="80" w:type="dxa"/>
            </w:tcMar>
          </w:tcPr>
          <w:p w:rsidR="00E36E69" w:rsidRPr="0079086F" w:rsidRDefault="00E36E69" w:rsidP="00865B38">
            <w:pPr>
              <w:pStyle w:val="tabletext"/>
            </w:pPr>
            <w:r>
              <w:t xml:space="preserve">Proportion of </w:t>
            </w:r>
            <w:r w:rsidR="00E17417">
              <w:t xml:space="preserve">service </w:t>
            </w:r>
            <w:r w:rsidRPr="00425039">
              <w:t xml:space="preserve">providers </w:t>
            </w:r>
            <w:r>
              <w:t xml:space="preserve">often or always reverse </w:t>
            </w:r>
            <w:r w:rsidR="00B674ED">
              <w:t xml:space="preserve">marketing </w:t>
            </w:r>
            <w:r w:rsidR="00B8022B">
              <w:t>job seekers</w:t>
            </w:r>
            <w:r>
              <w:t xml:space="preserve"> </w:t>
            </w:r>
            <w:r w:rsidR="005479B9">
              <w:t>(n=674)</w:t>
            </w:r>
          </w:p>
        </w:tc>
        <w:tc>
          <w:tcPr>
            <w:tcW w:w="1361"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E36E69" w:rsidRDefault="00E36E69" w:rsidP="004A4F9F">
            <w:pPr>
              <w:pStyle w:val="tabletext"/>
              <w:jc w:val="center"/>
              <w:rPr>
                <w:rFonts w:cs="Calibri"/>
              </w:rPr>
            </w:pPr>
            <w:r w:rsidRPr="0005152B">
              <w:rPr>
                <w:rFonts w:cs="Calibri"/>
              </w:rPr>
              <w:t>67</w:t>
            </w:r>
            <w:hyperlink w:anchor="Significantly" w:tooltip="Significantly different at the 95 per cent confidence level" w:history="1">
              <w:r w:rsidR="0005152B" w:rsidRPr="0005152B">
                <w:rPr>
                  <w:rStyle w:val="Hyperlink"/>
                  <w:rFonts w:cs="Calibri"/>
                </w:rPr>
                <w:t>(a)</w:t>
              </w:r>
            </w:hyperlink>
          </w:p>
        </w:tc>
        <w:tc>
          <w:tcPr>
            <w:tcW w:w="1361"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E36E69" w:rsidRDefault="00E36E69" w:rsidP="004A4F9F">
            <w:pPr>
              <w:pStyle w:val="tabletext"/>
              <w:jc w:val="center"/>
              <w:rPr>
                <w:rFonts w:cs="Calibri"/>
              </w:rPr>
            </w:pPr>
            <w:r w:rsidRPr="0005152B">
              <w:rPr>
                <w:rFonts w:cs="Calibri"/>
              </w:rPr>
              <w:t>8</w:t>
            </w:r>
            <w:r w:rsidR="00C179B0">
              <w:rPr>
                <w:rFonts w:cs="Calibri"/>
              </w:rPr>
              <w:t>2</w:t>
            </w:r>
            <w:hyperlink w:anchor="Not_Significantly" w:tooltip="Not significantly different at the 95 per cent confidence level" w:history="1">
              <w:r w:rsidR="0005152B" w:rsidRPr="0005152B">
                <w:rPr>
                  <w:rStyle w:val="Hyperlink"/>
                  <w:rFonts w:cs="Calibri"/>
                </w:rPr>
                <w:t>(b)</w:t>
              </w:r>
            </w:hyperlink>
          </w:p>
        </w:tc>
        <w:tc>
          <w:tcPr>
            <w:tcW w:w="1361"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E36E69" w:rsidRDefault="00E36E69" w:rsidP="004A4F9F">
            <w:pPr>
              <w:pStyle w:val="tabletext"/>
              <w:jc w:val="center"/>
              <w:rPr>
                <w:rFonts w:cs="Calibri"/>
              </w:rPr>
            </w:pPr>
            <w:r w:rsidRPr="0005152B">
              <w:rPr>
                <w:rFonts w:cs="Calibri"/>
              </w:rPr>
              <w:t>88</w:t>
            </w:r>
            <w:hyperlink w:anchor="Not_Significantly" w:tooltip="Not significantly different at the 95 per cent confidence level" w:history="1">
              <w:r w:rsidR="0005152B" w:rsidRPr="0005152B">
                <w:rPr>
                  <w:rStyle w:val="Hyperlink"/>
                  <w:rFonts w:cs="Calibri"/>
                </w:rPr>
                <w:t>(b)</w:t>
              </w:r>
            </w:hyperlink>
          </w:p>
        </w:tc>
      </w:tr>
    </w:tbl>
    <w:p w:rsidR="00E36E69" w:rsidRDefault="00E36E69" w:rsidP="00E36E69">
      <w:pPr>
        <w:pStyle w:val="Sourceandnotetext"/>
      </w:pPr>
      <w:r w:rsidRPr="00BA694D">
        <w:rPr>
          <w:b/>
          <w:bCs/>
        </w:rPr>
        <w:t>Source:</w:t>
      </w:r>
      <w:r>
        <w:t xml:space="preserve"> DEEWR Survey of Employment Service Providers 2010</w:t>
      </w:r>
    </w:p>
    <w:p w:rsidR="00992590" w:rsidRDefault="0005152B" w:rsidP="00C179B0">
      <w:pPr>
        <w:pStyle w:val="Sourceandnotetext"/>
      </w:pPr>
      <w:bookmarkStart w:id="66" w:name="Significantly"/>
      <w:bookmarkEnd w:id="66"/>
      <w:r>
        <w:t xml:space="preserve">(a) </w:t>
      </w:r>
      <w:r w:rsidR="004A4F9F">
        <w:t>Significantly different at the 95 per cent confidence level.</w:t>
      </w:r>
    </w:p>
    <w:p w:rsidR="004A4F9F" w:rsidRPr="000D575C" w:rsidRDefault="0005152B" w:rsidP="00C179B0">
      <w:pPr>
        <w:pStyle w:val="Sourceandnotetext"/>
      </w:pPr>
      <w:bookmarkStart w:id="67" w:name="Not_Significantly"/>
      <w:bookmarkEnd w:id="67"/>
      <w:r>
        <w:t xml:space="preserve">(b) </w:t>
      </w:r>
      <w:r w:rsidR="004A4F9F">
        <w:t>Not significantly different at the 95 per cent confidence level.</w:t>
      </w:r>
    </w:p>
    <w:p w:rsidR="000C416A" w:rsidRPr="00992590" w:rsidRDefault="00E36E69" w:rsidP="00B4074B">
      <w:r w:rsidRPr="000D575C">
        <w:t xml:space="preserve">High performing sites spend a </w:t>
      </w:r>
      <w:r w:rsidR="00992590" w:rsidRPr="000D575C">
        <w:t>greater</w:t>
      </w:r>
      <w:r w:rsidRPr="000D575C">
        <w:t xml:space="preserve"> proportion of the </w:t>
      </w:r>
      <w:r w:rsidR="00992590" w:rsidRPr="000D575C">
        <w:t>EPF</w:t>
      </w:r>
      <w:r w:rsidRPr="000D575C">
        <w:t xml:space="preserve"> on reverse </w:t>
      </w:r>
      <w:r w:rsidR="00B674ED" w:rsidRPr="000D575C">
        <w:t>marketing</w:t>
      </w:r>
      <w:r w:rsidRPr="00992590">
        <w:t xml:space="preserve"> (</w:t>
      </w:r>
      <w:hyperlink w:anchor="Figure6" w:tooltip="Proportion of EPF expenditure spent on reverse marketing " w:history="1">
        <w:r w:rsidR="00992590" w:rsidRPr="007D2F13">
          <w:rPr>
            <w:rStyle w:val="Hyperlink"/>
          </w:rPr>
          <w:t>Figure</w:t>
        </w:r>
        <w:r w:rsidRPr="007D2F13">
          <w:rPr>
            <w:rStyle w:val="Hyperlink"/>
          </w:rPr>
          <w:t xml:space="preserve"> </w:t>
        </w:r>
        <w:r w:rsidR="00BE6C08" w:rsidRPr="007D2F13">
          <w:rPr>
            <w:rStyle w:val="Hyperlink"/>
          </w:rPr>
          <w:t>6</w:t>
        </w:r>
      </w:hyperlink>
      <w:r w:rsidRPr="00992590">
        <w:t>).</w:t>
      </w:r>
    </w:p>
    <w:p w:rsidR="0018179B" w:rsidRDefault="0018179B">
      <w:pPr>
        <w:spacing w:before="0" w:after="0"/>
        <w:rPr>
          <w:rStyle w:val="TableandFigureheadingChar"/>
          <w:bCs/>
        </w:rPr>
      </w:pPr>
      <w:bookmarkStart w:id="68" w:name="Figure6"/>
      <w:bookmarkEnd w:id="68"/>
      <w:r>
        <w:rPr>
          <w:rStyle w:val="TableandFigureheadingChar"/>
          <w:b w:val="0"/>
        </w:rPr>
        <w:br w:type="page"/>
      </w:r>
    </w:p>
    <w:p w:rsidR="00E36E69" w:rsidRPr="00C318C5" w:rsidRDefault="00992590" w:rsidP="0024454B">
      <w:pPr>
        <w:pStyle w:val="FigureHeading"/>
      </w:pPr>
      <w:r w:rsidRPr="00C318C5">
        <w:rPr>
          <w:rStyle w:val="TableandFigureheadingChar"/>
          <w:b/>
        </w:rPr>
        <w:t>Figure</w:t>
      </w:r>
      <w:r w:rsidR="000C416A" w:rsidRPr="00C318C5">
        <w:rPr>
          <w:rStyle w:val="TableandFigureheadingChar"/>
          <w:b/>
        </w:rPr>
        <w:t xml:space="preserve"> </w:t>
      </w:r>
      <w:r w:rsidR="00BE6C08" w:rsidRPr="00C318C5">
        <w:rPr>
          <w:rStyle w:val="TableandFigureheadingChar"/>
          <w:b/>
        </w:rPr>
        <w:t>6</w:t>
      </w:r>
      <w:r w:rsidR="00E36E69" w:rsidRPr="00C318C5">
        <w:rPr>
          <w:rStyle w:val="TableandFigureheadingChar"/>
          <w:b/>
        </w:rPr>
        <w:t xml:space="preserve">: Proportion of EPF </w:t>
      </w:r>
      <w:r w:rsidR="007F3349" w:rsidRPr="00C318C5">
        <w:rPr>
          <w:rStyle w:val="TableandFigureheadingChar"/>
          <w:b/>
        </w:rPr>
        <w:t xml:space="preserve">expenditure spent </w:t>
      </w:r>
      <w:r w:rsidR="00E36E69" w:rsidRPr="00C318C5">
        <w:rPr>
          <w:rStyle w:val="TableandFigureheadingChar"/>
          <w:b/>
        </w:rPr>
        <w:t xml:space="preserve">on reverse </w:t>
      </w:r>
      <w:r w:rsidR="00B674ED" w:rsidRPr="00C318C5">
        <w:rPr>
          <w:rStyle w:val="TableandFigureheadingChar"/>
          <w:b/>
        </w:rPr>
        <w:t>marketing</w:t>
      </w:r>
      <w:r w:rsidR="00EF7B22" w:rsidRPr="00C318C5">
        <w:rPr>
          <w:rStyle w:val="TableandFigureheadingChar"/>
          <w:b/>
        </w:rPr>
        <w:t xml:space="preserve"> (per cent)</w:t>
      </w:r>
    </w:p>
    <w:p w:rsidR="00EF7B22" w:rsidRDefault="00EF7B22" w:rsidP="00EF7B22">
      <w:r w:rsidRPr="00EF7B22">
        <w:rPr>
          <w:noProof/>
        </w:rPr>
        <w:drawing>
          <wp:inline distT="0" distB="0" distL="0" distR="0">
            <wp:extent cx="5343525" cy="3238500"/>
            <wp:effectExtent l="19050" t="0" r="9525" b="0"/>
            <wp:docPr id="14" name="Picture 9" descr="Graph showing percentage of EDF expenditure spent on reverse marketing by performance level of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5343525" cy="3238500"/>
                    </a:xfrm>
                    <a:prstGeom prst="rect">
                      <a:avLst/>
                    </a:prstGeom>
                    <a:noFill/>
                    <a:ln w="9525">
                      <a:noFill/>
                      <a:miter lim="800000"/>
                      <a:headEnd/>
                      <a:tailEnd/>
                    </a:ln>
                  </pic:spPr>
                </pic:pic>
              </a:graphicData>
            </a:graphic>
          </wp:inline>
        </w:drawing>
      </w:r>
    </w:p>
    <w:p w:rsidR="00E36E69" w:rsidRDefault="00E36E69" w:rsidP="00E36E69">
      <w:pPr>
        <w:pStyle w:val="Sourceandnotetext"/>
      </w:pPr>
      <w:r w:rsidRPr="001D555C">
        <w:rPr>
          <w:b/>
          <w:bCs/>
        </w:rPr>
        <w:t xml:space="preserve">Source: </w:t>
      </w:r>
      <w:r>
        <w:t>DEEWR Corporate Data Set.</w:t>
      </w:r>
    </w:p>
    <w:p w:rsidR="00197915" w:rsidRPr="006F4A06" w:rsidRDefault="00197915" w:rsidP="0083197E">
      <w:pPr>
        <w:pStyle w:val="Sourceandnotetext"/>
      </w:pPr>
      <w:r>
        <w:t xml:space="preserve">Refer to Appendix </w:t>
      </w:r>
      <w:proofErr w:type="gramStart"/>
      <w:r w:rsidR="006820F8">
        <w:t>A</w:t>
      </w:r>
      <w:proofErr w:type="gramEnd"/>
      <w:r w:rsidR="006820F8">
        <w:t xml:space="preserve">, Table </w:t>
      </w:r>
      <w:proofErr w:type="spellStart"/>
      <w:r>
        <w:t>A1.6</w:t>
      </w:r>
      <w:proofErr w:type="spellEnd"/>
      <w:r>
        <w:t xml:space="preserve"> to view the </w:t>
      </w:r>
      <w:hyperlink w:anchor="TableA1_6" w:tooltip="View text version of Figure 6: Proportion of EPF expenditure spent on reverse marketing" w:history="1">
        <w:r w:rsidRPr="006F4A06">
          <w:t>text version of Figure 6: Proportion of EPF expenditure spent on reverse marketing</w:t>
        </w:r>
      </w:hyperlink>
    </w:p>
    <w:p w:rsidR="00327DAB" w:rsidRPr="00992590" w:rsidRDefault="00327DAB" w:rsidP="00D63983">
      <w:r w:rsidRPr="00992590">
        <w:t xml:space="preserve">Although reverse </w:t>
      </w:r>
      <w:r w:rsidR="00B674ED">
        <w:t xml:space="preserve">marketing </w:t>
      </w:r>
      <w:r w:rsidRPr="00992590">
        <w:t xml:space="preserve">is used by most </w:t>
      </w:r>
      <w:r w:rsidR="00E17417" w:rsidRPr="00992590">
        <w:t xml:space="preserve">service </w:t>
      </w:r>
      <w:r w:rsidRPr="00992590">
        <w:t xml:space="preserve">providers, sites </w:t>
      </w:r>
      <w:r w:rsidR="004B1E23" w:rsidRPr="00992590">
        <w:t xml:space="preserve">tend to </w:t>
      </w:r>
      <w:r w:rsidRPr="00992590">
        <w:t xml:space="preserve">differ in </w:t>
      </w:r>
      <w:r w:rsidR="006B4F81" w:rsidRPr="00D95A50">
        <w:rPr>
          <w:rStyle w:val="Emphasis"/>
        </w:rPr>
        <w:t>how</w:t>
      </w:r>
      <w:r w:rsidRPr="00992590">
        <w:t xml:space="preserve"> they use it. Discussions with </w:t>
      </w:r>
      <w:r w:rsidR="00E36E69" w:rsidRPr="00992590">
        <w:t xml:space="preserve">staff at </w:t>
      </w:r>
      <w:r w:rsidRPr="00992590">
        <w:t>high performing sites reveal:</w:t>
      </w:r>
    </w:p>
    <w:p w:rsidR="00327DAB" w:rsidRPr="00992590" w:rsidRDefault="00992590" w:rsidP="00B4074B">
      <w:r>
        <w:t>M</w:t>
      </w:r>
      <w:r w:rsidR="00327DAB" w:rsidRPr="00992590">
        <w:t xml:space="preserve">any </w:t>
      </w:r>
      <w:proofErr w:type="gramStart"/>
      <w:r w:rsidR="00327DAB" w:rsidRPr="00992590">
        <w:t>use</w:t>
      </w:r>
      <w:proofErr w:type="gramEnd"/>
      <w:r w:rsidR="00327DAB" w:rsidRPr="00992590">
        <w:t xml:space="preserve"> reverse </w:t>
      </w:r>
      <w:r w:rsidR="00B674ED">
        <w:t xml:space="preserve">marketing </w:t>
      </w:r>
      <w:r w:rsidR="00327DAB" w:rsidRPr="00992590">
        <w:t>as part of their overall relationship</w:t>
      </w:r>
      <w:r w:rsidR="000C416A" w:rsidRPr="00992590">
        <w:t>-</w:t>
      </w:r>
      <w:r w:rsidR="00327DAB" w:rsidRPr="00992590">
        <w:t xml:space="preserve">building with </w:t>
      </w:r>
      <w:r w:rsidR="00327DAB" w:rsidRPr="000D575C">
        <w:t>employers,</w:t>
      </w:r>
      <w:r w:rsidR="00327DAB" w:rsidRPr="00992590">
        <w:t xml:space="preserve"> </w:t>
      </w:r>
      <w:r w:rsidR="001230D5" w:rsidRPr="00992590">
        <w:t xml:space="preserve">and </w:t>
      </w:r>
      <w:r w:rsidR="001328C9" w:rsidRPr="00992590">
        <w:t xml:space="preserve">can therefore </w:t>
      </w:r>
      <w:r w:rsidR="00700153" w:rsidRPr="00992590">
        <w:t xml:space="preserve">make effective </w:t>
      </w:r>
      <w:r w:rsidR="001230D5" w:rsidRPr="00992590">
        <w:t xml:space="preserve">use </w:t>
      </w:r>
      <w:r w:rsidR="00700153" w:rsidRPr="00992590">
        <w:t xml:space="preserve">of </w:t>
      </w:r>
      <w:r w:rsidR="001230D5" w:rsidRPr="00992590">
        <w:t xml:space="preserve">their knowledge of the employer, industry, local labour market and other external factors </w:t>
      </w:r>
      <w:r w:rsidR="004B1E23" w:rsidRPr="00992590">
        <w:t>in their reverse</w:t>
      </w:r>
      <w:r w:rsidR="00B674ED">
        <w:t xml:space="preserve"> marketing</w:t>
      </w:r>
      <w:r>
        <w:t>.</w:t>
      </w:r>
    </w:p>
    <w:p w:rsidR="00444103" w:rsidRPr="00992590" w:rsidRDefault="00992590" w:rsidP="00577ADE">
      <w:pPr>
        <w:pStyle w:val="ListBullet"/>
      </w:pPr>
      <w:r>
        <w:t>M</w:t>
      </w:r>
      <w:r w:rsidR="004B1E23" w:rsidRPr="00992590">
        <w:t>any</w:t>
      </w:r>
      <w:r w:rsidR="001230D5" w:rsidRPr="00992590">
        <w:t xml:space="preserve"> report </w:t>
      </w:r>
      <w:r w:rsidR="004B1E23" w:rsidRPr="00992590">
        <w:t xml:space="preserve">that they </w:t>
      </w:r>
      <w:r w:rsidR="001230D5" w:rsidRPr="00992590">
        <w:t xml:space="preserve">focus on the </w:t>
      </w:r>
      <w:r w:rsidR="0007488A" w:rsidRPr="00992590">
        <w:t>job seeker</w:t>
      </w:r>
      <w:r w:rsidR="001230D5" w:rsidRPr="00992590">
        <w:t xml:space="preserve"> and </w:t>
      </w:r>
      <w:r w:rsidR="004B1E23" w:rsidRPr="00992590">
        <w:t xml:space="preserve">on </w:t>
      </w:r>
      <w:r w:rsidR="001230D5" w:rsidRPr="00992590">
        <w:t>finding employment that is suitable to them</w:t>
      </w:r>
      <w:r>
        <w:t>,</w:t>
      </w:r>
      <w:r w:rsidR="00444103" w:rsidRPr="00992590">
        <w:t xml:space="preserve"> </w:t>
      </w:r>
      <w:r>
        <w:t>rather than ‘over selling’ the job seeker into positions that do not suit them.</w:t>
      </w:r>
    </w:p>
    <w:p w:rsidR="00992590" w:rsidRPr="00992590" w:rsidRDefault="00992590" w:rsidP="00577ADE">
      <w:pPr>
        <w:pStyle w:val="ListBullet"/>
      </w:pPr>
      <w:r>
        <w:t>S</w:t>
      </w:r>
      <w:r w:rsidR="00327DAB" w:rsidRPr="00992590">
        <w:t xml:space="preserve">ome </w:t>
      </w:r>
      <w:r>
        <w:t xml:space="preserve">sites </w:t>
      </w:r>
      <w:r w:rsidR="00327DAB" w:rsidRPr="00992590">
        <w:t>dedicate a set time each week for employment consultant</w:t>
      </w:r>
      <w:r w:rsidR="00444103" w:rsidRPr="00992590">
        <w:t>s</w:t>
      </w:r>
      <w:r w:rsidR="00327DAB" w:rsidRPr="00992590">
        <w:t xml:space="preserve"> to reverse</w:t>
      </w:r>
      <w:r w:rsidR="00AC73D5">
        <w:t xml:space="preserve"> marketing</w:t>
      </w:r>
      <w:r w:rsidR="00327DAB" w:rsidRPr="00992590">
        <w:t>, while others have specialist staff dedicated to building relationships with employers</w:t>
      </w:r>
      <w:r w:rsidR="001328C9" w:rsidRPr="00992590">
        <w:t xml:space="preserve">, who engage in reverse </w:t>
      </w:r>
      <w:r w:rsidR="00AC73D5">
        <w:t xml:space="preserve">marketing </w:t>
      </w:r>
      <w:r w:rsidR="001328C9" w:rsidRPr="00992590">
        <w:t>as part of a broader employer engagement strategy</w:t>
      </w:r>
      <w:r>
        <w:t>.</w:t>
      </w:r>
      <w:r w:rsidR="00FD1C2C">
        <w:br/>
      </w:r>
    </w:p>
    <w:p w:rsidR="00992590" w:rsidRDefault="009531BD" w:rsidP="00992590">
      <w:pPr>
        <w:pStyle w:val="QuoteRef"/>
        <w:pBdr>
          <w:top w:val="single" w:sz="4" w:space="1" w:color="auto"/>
          <w:left w:val="single" w:sz="4" w:space="4" w:color="auto"/>
          <w:bottom w:val="single" w:sz="4" w:space="1" w:color="auto"/>
          <w:right w:val="single" w:sz="4" w:space="4" w:color="auto"/>
        </w:pBdr>
      </w:pPr>
      <w:r w:rsidRPr="00992590">
        <w:rPr>
          <w:sz w:val="20"/>
        </w:rPr>
        <w:t xml:space="preserve">We have a reverse marketer who </w:t>
      </w:r>
      <w:r w:rsidR="00B43EC6" w:rsidRPr="00992590">
        <w:rPr>
          <w:sz w:val="20"/>
        </w:rPr>
        <w:t>...</w:t>
      </w:r>
      <w:r w:rsidRPr="00992590">
        <w:rPr>
          <w:sz w:val="20"/>
        </w:rPr>
        <w:t xml:space="preserve"> has a core group of about 50 employers that she uses on a regular basis... we have many in aged care, warehouses, manufacturing, retail, child care and factories. We belong to the Chamber of Commerce and attend meetings. We are members of a few other smaller groups. We attend jobs and business expos and seminars</w:t>
      </w:r>
      <w:r w:rsidR="00AA2A62" w:rsidRPr="00992590">
        <w:rPr>
          <w:sz w:val="20"/>
        </w:rPr>
        <w:t>.</w:t>
      </w:r>
      <w:r w:rsidR="00992590" w:rsidRPr="00992590">
        <w:t xml:space="preserve"> </w:t>
      </w:r>
    </w:p>
    <w:p w:rsidR="00992590" w:rsidRDefault="00992590" w:rsidP="00992590">
      <w:pPr>
        <w:pStyle w:val="QuoteRef"/>
        <w:pBdr>
          <w:top w:val="single" w:sz="4" w:space="1" w:color="auto"/>
          <w:left w:val="single" w:sz="4" w:space="4" w:color="auto"/>
          <w:bottom w:val="single" w:sz="4" w:space="1" w:color="auto"/>
          <w:right w:val="single" w:sz="4" w:space="4" w:color="auto"/>
        </w:pBdr>
      </w:pPr>
      <w:r>
        <w:t>Site manager, metropolitan centre, Queensland</w:t>
      </w:r>
    </w:p>
    <w:p w:rsidR="006F4A06" w:rsidRDefault="006F4A06" w:rsidP="00484740">
      <w:r>
        <w:br w:type="page"/>
      </w:r>
    </w:p>
    <w:p w:rsidR="00B43EC6" w:rsidRDefault="00EB40E0" w:rsidP="00B43EC6">
      <w:pPr>
        <w:pStyle w:val="Heading2"/>
      </w:pPr>
      <w:bookmarkStart w:id="69" w:name="_Toc326764338"/>
      <w:r>
        <w:t>3</w:t>
      </w:r>
      <w:r w:rsidR="00EF1D64">
        <w:t>.7</w:t>
      </w:r>
      <w:r w:rsidR="00EF1D64">
        <w:tab/>
      </w:r>
      <w:r w:rsidR="00262265">
        <w:t xml:space="preserve">Helping job seekers </w:t>
      </w:r>
      <w:r w:rsidR="00F118BC">
        <w:t>look for work</w:t>
      </w:r>
      <w:bookmarkEnd w:id="69"/>
    </w:p>
    <w:p w:rsidR="007B3CFC" w:rsidRDefault="007B3CFC" w:rsidP="003E54C6">
      <w:pPr>
        <w:pStyle w:val="NormalStyleBoxSinglesolidlineAuto05ptLinewidth"/>
      </w:pPr>
      <w:r w:rsidRPr="0036083F">
        <w:t>High performing sites are more likely than mid and low performing sites to</w:t>
      </w:r>
      <w:r>
        <w:t>:</w:t>
      </w:r>
    </w:p>
    <w:p w:rsidR="00F6688E" w:rsidRPr="0036083F" w:rsidRDefault="007B3CFC" w:rsidP="007B3CFC">
      <w:pPr>
        <w:pStyle w:val="ListBullet"/>
        <w:pBdr>
          <w:top w:val="single" w:sz="4" w:space="1" w:color="auto"/>
          <w:left w:val="single" w:sz="4" w:space="4" w:color="auto"/>
          <w:bottom w:val="single" w:sz="4" w:space="1" w:color="auto"/>
          <w:right w:val="single" w:sz="4" w:space="4" w:color="auto"/>
        </w:pBdr>
      </w:pPr>
      <w:r w:rsidRPr="009714C7">
        <w:t>More effectively assist job seekers</w:t>
      </w:r>
      <w:r w:rsidRPr="00557E6A">
        <w:t xml:space="preserve"> </w:t>
      </w:r>
      <w:r>
        <w:t xml:space="preserve">with </w:t>
      </w:r>
      <w:r w:rsidRPr="00557E6A">
        <w:t>their resumes</w:t>
      </w:r>
      <w:r>
        <w:t xml:space="preserve"> and</w:t>
      </w:r>
      <w:r w:rsidRPr="00557E6A">
        <w:t xml:space="preserve"> </w:t>
      </w:r>
      <w:r>
        <w:t>information about the local labour market and positions available</w:t>
      </w:r>
      <w:r w:rsidRPr="00557E6A">
        <w:t>, access to computer facilities and advice on how to look for work</w:t>
      </w:r>
      <w:r>
        <w:t>.</w:t>
      </w:r>
    </w:p>
    <w:p w:rsidR="00B43EC6" w:rsidRDefault="00B43EC6" w:rsidP="00B43EC6">
      <w:r>
        <w:t xml:space="preserve">There are many ways in which </w:t>
      </w:r>
      <w:r w:rsidR="00BE07FB">
        <w:t>employment service</w:t>
      </w:r>
      <w:r w:rsidR="00A53BCD">
        <w:t xml:space="preserve"> </w:t>
      </w:r>
      <w:r>
        <w:t xml:space="preserve">providers help job seekers </w:t>
      </w:r>
      <w:r w:rsidR="00F118BC">
        <w:t>look for work</w:t>
      </w:r>
      <w:r>
        <w:t>, including helping them prepare their resume, providing information about local job vacancies, providing access to resources such as computers and internet access, and providing general advice and assistance.</w:t>
      </w:r>
    </w:p>
    <w:p w:rsidR="00B43EC6" w:rsidRPr="00992590" w:rsidRDefault="00B43EC6" w:rsidP="00B4074B">
      <w:r w:rsidRPr="000D575C">
        <w:t xml:space="preserve">High performing sites have higher proportions of job seekers who </w:t>
      </w:r>
      <w:r w:rsidR="006A714D" w:rsidRPr="000D575C">
        <w:t>remember</w:t>
      </w:r>
      <w:r w:rsidRPr="000D575C">
        <w:t xml:space="preserve"> receiving help with </w:t>
      </w:r>
      <w:r w:rsidR="009714C7" w:rsidRPr="000D575C">
        <w:t xml:space="preserve">these </w:t>
      </w:r>
      <w:r w:rsidR="00734259" w:rsidRPr="000D575C">
        <w:t>various aspec</w:t>
      </w:r>
      <w:r w:rsidRPr="000D575C">
        <w:t>t</w:t>
      </w:r>
      <w:r w:rsidR="00734259" w:rsidRPr="000D575C">
        <w:t xml:space="preserve">s of job search </w:t>
      </w:r>
      <w:r w:rsidRPr="00992590">
        <w:t>(</w:t>
      </w:r>
      <w:hyperlink w:anchor="Figure7" w:tooltip="Employment search assistance provided " w:history="1">
        <w:r w:rsidR="006F27DA" w:rsidRPr="00D95A50">
          <w:rPr>
            <w:rStyle w:val="Hyperlink"/>
          </w:rPr>
          <w:t>Figure</w:t>
        </w:r>
        <w:r w:rsidRPr="00D95A50">
          <w:rPr>
            <w:rStyle w:val="Hyperlink"/>
          </w:rPr>
          <w:t xml:space="preserve"> </w:t>
        </w:r>
        <w:r w:rsidR="00BE6C08" w:rsidRPr="00D95A50">
          <w:rPr>
            <w:rStyle w:val="Hyperlink"/>
          </w:rPr>
          <w:t>7</w:t>
        </w:r>
      </w:hyperlink>
      <w:r w:rsidRPr="00992590">
        <w:t xml:space="preserve">). </w:t>
      </w:r>
    </w:p>
    <w:p w:rsidR="000C416A" w:rsidRPr="00C318C5" w:rsidRDefault="006F27DA" w:rsidP="0024454B">
      <w:pPr>
        <w:pStyle w:val="FigureHeading"/>
      </w:pPr>
      <w:bookmarkStart w:id="70" w:name="Figure7"/>
      <w:bookmarkEnd w:id="70"/>
      <w:r w:rsidRPr="00C318C5">
        <w:t>Figure</w:t>
      </w:r>
      <w:r w:rsidR="00B43EC6" w:rsidRPr="00C318C5">
        <w:t xml:space="preserve"> </w:t>
      </w:r>
      <w:r w:rsidR="00BE6C08" w:rsidRPr="00C318C5">
        <w:t>7</w:t>
      </w:r>
      <w:r w:rsidR="00B43EC6" w:rsidRPr="00C318C5">
        <w:t xml:space="preserve">: </w:t>
      </w:r>
      <w:r w:rsidR="00734259" w:rsidRPr="00C318C5">
        <w:t xml:space="preserve">Employment search assistance provided </w:t>
      </w:r>
      <w:r w:rsidR="001D5EC5" w:rsidRPr="00C318C5">
        <w:t>(per cent)</w:t>
      </w:r>
    </w:p>
    <w:p w:rsidR="00B43EC6" w:rsidRDefault="00264AB7" w:rsidP="00B43EC6">
      <w:r w:rsidRPr="00264AB7">
        <w:rPr>
          <w:noProof/>
        </w:rPr>
        <w:drawing>
          <wp:inline distT="0" distB="0" distL="0" distR="0">
            <wp:extent cx="5229225" cy="3048000"/>
            <wp:effectExtent l="19050" t="0" r="9525" b="0"/>
            <wp:docPr id="19" name="Picture 10" descr="Graph showing percentage of employment search assistance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5229225" cy="3048000"/>
                    </a:xfrm>
                    <a:prstGeom prst="rect">
                      <a:avLst/>
                    </a:prstGeom>
                    <a:noFill/>
                    <a:ln w="9525">
                      <a:noFill/>
                      <a:miter lim="800000"/>
                      <a:headEnd/>
                      <a:tailEnd/>
                    </a:ln>
                  </pic:spPr>
                </pic:pic>
              </a:graphicData>
            </a:graphic>
          </wp:inline>
        </w:drawing>
      </w:r>
    </w:p>
    <w:p w:rsidR="00B43EC6" w:rsidRDefault="00B43EC6" w:rsidP="00734259">
      <w:pPr>
        <w:pStyle w:val="Sourceandnotetext"/>
      </w:pPr>
      <w:r w:rsidRPr="00734259">
        <w:rPr>
          <w:b/>
          <w:bCs/>
        </w:rPr>
        <w:t>Source:</w:t>
      </w:r>
      <w:r>
        <w:t xml:space="preserve"> DEEWR Post Program Monitoring Survey</w:t>
      </w:r>
      <w:r w:rsidR="00A50577">
        <w:t>, 2009–2010</w:t>
      </w:r>
    </w:p>
    <w:p w:rsidR="001B425F" w:rsidRDefault="001B425F" w:rsidP="0083197E">
      <w:pPr>
        <w:pStyle w:val="Sourceandnotetext"/>
      </w:pPr>
      <w:r>
        <w:t xml:space="preserve">Refer to Appendix </w:t>
      </w:r>
      <w:proofErr w:type="gramStart"/>
      <w:r w:rsidR="006820F8">
        <w:t>A</w:t>
      </w:r>
      <w:proofErr w:type="gramEnd"/>
      <w:r w:rsidR="006820F8">
        <w:t xml:space="preserve">, Table </w:t>
      </w:r>
      <w:proofErr w:type="spellStart"/>
      <w:r>
        <w:t>A1.7</w:t>
      </w:r>
      <w:proofErr w:type="spellEnd"/>
      <w:r>
        <w:t xml:space="preserve"> to view the </w:t>
      </w:r>
      <w:hyperlink w:anchor="TableA1_7" w:tooltip="View the View text version of Figure 7: Employment search assistance provided " w:history="1">
        <w:r w:rsidRPr="001C6F44">
          <w:rPr>
            <w:rStyle w:val="Hyperlink"/>
          </w:rPr>
          <w:t>text version of Figure 7: Employment search assistance provided</w:t>
        </w:r>
      </w:hyperlink>
      <w:r w:rsidR="0083197E">
        <w:t>.</w:t>
      </w:r>
    </w:p>
    <w:p w:rsidR="00BF24AD" w:rsidRDefault="00BF24AD" w:rsidP="00B43EC6">
      <w:r>
        <w:t xml:space="preserve">According to the </w:t>
      </w:r>
      <w:proofErr w:type="spellStart"/>
      <w:r>
        <w:t>EAS</w:t>
      </w:r>
      <w:proofErr w:type="spellEnd"/>
      <w:r>
        <w:t xml:space="preserve"> Survey, the main reason</w:t>
      </w:r>
      <w:r w:rsidRPr="004940C5">
        <w:t xml:space="preserve"> </w:t>
      </w:r>
      <w:r>
        <w:t>that</w:t>
      </w:r>
      <w:r w:rsidRPr="004940C5">
        <w:t xml:space="preserve"> job seekers </w:t>
      </w:r>
      <w:r>
        <w:t>gave for why</w:t>
      </w:r>
      <w:r w:rsidRPr="004940C5">
        <w:t xml:space="preserve"> their provider wasn’t helpful in creating or teaching them how to write a resume was that the job seeker didn’t need training</w:t>
      </w:r>
      <w:r>
        <w:t xml:space="preserve"> or </w:t>
      </w:r>
      <w:r w:rsidRPr="004940C5">
        <w:t>assistance</w:t>
      </w:r>
      <w:r>
        <w:t xml:space="preserve"> (71</w:t>
      </w:r>
      <w:r w:rsidRPr="004940C5">
        <w:t xml:space="preserve"> per cent of respondents rating their provider as not </w:t>
      </w:r>
      <w:r w:rsidRPr="00C82566">
        <w:t>helpful). Another 13 per cent said that the resume style offered did not suit them</w:t>
      </w:r>
      <w:r w:rsidR="00A92585" w:rsidRPr="00C82566">
        <w:t xml:space="preserve"> and</w:t>
      </w:r>
      <w:r w:rsidRPr="00C82566">
        <w:t xml:space="preserve"> 6 per</w:t>
      </w:r>
      <w:r>
        <w:t xml:space="preserve"> cent that the provider did not devote enough time </w:t>
      </w:r>
      <w:r w:rsidR="004C19E6" w:rsidRPr="0083197E">
        <w:rPr>
          <w:noProof/>
        </w:rPr>
        <w:t>(EAS, 2011)</w:t>
      </w:r>
      <w:r w:rsidR="004C19E6">
        <w:t>.</w:t>
      </w:r>
    </w:p>
    <w:p w:rsidR="00734259" w:rsidRDefault="00734259" w:rsidP="00B43EC6">
      <w:r>
        <w:t>For job seekers who have found employment, many employment service p</w:t>
      </w:r>
      <w:r w:rsidR="00B43EC6">
        <w:t xml:space="preserve">roviders also assist </w:t>
      </w:r>
      <w:r>
        <w:t xml:space="preserve">them </w:t>
      </w:r>
      <w:r w:rsidR="00B43EC6">
        <w:t xml:space="preserve">before </w:t>
      </w:r>
      <w:r w:rsidR="00F118BC">
        <w:t>the job placement start</w:t>
      </w:r>
      <w:r w:rsidR="00EC34B4">
        <w:t xml:space="preserve">s. Employment consultants stress that seemingly minor assistance can help ensure the job seeker starts work on time and </w:t>
      </w:r>
      <w:r w:rsidR="006D0990">
        <w:t xml:space="preserve">is </w:t>
      </w:r>
      <w:r w:rsidR="00EC34B4">
        <w:t>properly prepared, for example:</w:t>
      </w:r>
    </w:p>
    <w:p w:rsidR="00734259" w:rsidRDefault="00EC34B4" w:rsidP="00D95A50">
      <w:pPr>
        <w:pStyle w:val="ListBullet"/>
      </w:pPr>
      <w:r>
        <w:t>discussing</w:t>
      </w:r>
      <w:r w:rsidR="00B43EC6">
        <w:t xml:space="preserve"> appropriate workplace behaviours</w:t>
      </w:r>
      <w:r>
        <w:t>;</w:t>
      </w:r>
    </w:p>
    <w:p w:rsidR="00734259" w:rsidRDefault="00B43EC6" w:rsidP="00D95A50">
      <w:pPr>
        <w:pStyle w:val="ListBullet"/>
      </w:pPr>
      <w:r>
        <w:t>us</w:t>
      </w:r>
      <w:r w:rsidR="00EC34B4">
        <w:t>ing</w:t>
      </w:r>
      <w:r>
        <w:t xml:space="preserve"> the EPF to buy personal protective equipment or uniforms</w:t>
      </w:r>
      <w:r w:rsidR="00EC34B4">
        <w:t xml:space="preserve">; or </w:t>
      </w:r>
    </w:p>
    <w:p w:rsidR="009C1C12" w:rsidRDefault="00EC34B4" w:rsidP="00D95A50">
      <w:pPr>
        <w:pStyle w:val="ListBullet"/>
      </w:pPr>
      <w:r>
        <w:t xml:space="preserve">providing </w:t>
      </w:r>
      <w:r w:rsidR="00A92585">
        <w:t xml:space="preserve">job seekers </w:t>
      </w:r>
      <w:r w:rsidR="00734259">
        <w:t>with</w:t>
      </w:r>
      <w:r w:rsidR="00B43EC6">
        <w:t xml:space="preserve"> bus or train timetable</w:t>
      </w:r>
      <w:r w:rsidR="00734259">
        <w:t xml:space="preserve">s, </w:t>
      </w:r>
      <w:r w:rsidR="00A92585">
        <w:t>and even</w:t>
      </w:r>
      <w:r w:rsidR="00734259">
        <w:t xml:space="preserve"> </w:t>
      </w:r>
      <w:r w:rsidR="00B43EC6">
        <w:t>working out the best route and stop for</w:t>
      </w:r>
      <w:r w:rsidR="00A92585">
        <w:t xml:space="preserve"> them if necessary</w:t>
      </w:r>
      <w:r w:rsidR="00B26FC6">
        <w:t>.</w:t>
      </w:r>
    </w:p>
    <w:p w:rsidR="009C1C12" w:rsidRDefault="009C1C12" w:rsidP="00484740">
      <w:r>
        <w:br w:type="page"/>
      </w:r>
    </w:p>
    <w:p w:rsidR="00153407" w:rsidRDefault="00EB40E0" w:rsidP="00EB1BA7">
      <w:pPr>
        <w:pStyle w:val="Heading2"/>
        <w:spacing w:after="120"/>
      </w:pPr>
      <w:bookmarkStart w:id="71" w:name="_Toc326764339"/>
      <w:bookmarkEnd w:id="30"/>
      <w:r>
        <w:t>3</w:t>
      </w:r>
      <w:r w:rsidR="00EF1D64">
        <w:t>.8</w:t>
      </w:r>
      <w:r w:rsidR="00EF1D64">
        <w:tab/>
      </w:r>
      <w:r w:rsidR="00262265">
        <w:t>Placing job seekers in jobs</w:t>
      </w:r>
      <w:bookmarkEnd w:id="71"/>
    </w:p>
    <w:p w:rsidR="00EC0DC9" w:rsidRDefault="00EC0DC9" w:rsidP="003E54C6">
      <w:pPr>
        <w:pStyle w:val="NormalStyleBoxSinglesolidlineAuto05ptLinewidth"/>
      </w:pPr>
      <w:r w:rsidRPr="0036083F">
        <w:t>High performing sites are more likely than mid and low performing sites to</w:t>
      </w:r>
      <w:r>
        <w:t xml:space="preserve"> take a goal- oriented, individually tailored attitude to job placements. They:</w:t>
      </w:r>
    </w:p>
    <w:p w:rsidR="00EC0DC9" w:rsidRPr="00557E6A" w:rsidRDefault="00EC0DC9" w:rsidP="00EC0DC9">
      <w:pPr>
        <w:pStyle w:val="ListBullet"/>
        <w:pBdr>
          <w:top w:val="single" w:sz="4" w:space="1" w:color="auto"/>
          <w:left w:val="single" w:sz="4" w:space="4" w:color="auto"/>
          <w:bottom w:val="single" w:sz="4" w:space="1" w:color="auto"/>
          <w:right w:val="single" w:sz="4" w:space="4" w:color="auto"/>
        </w:pBdr>
      </w:pPr>
      <w:r>
        <w:t>A</w:t>
      </w:r>
      <w:r w:rsidRPr="00557E6A">
        <w:t xml:space="preserve">ttempt to find </w:t>
      </w:r>
      <w:r>
        <w:t>the best match between a job and the job seeker’s interests and goals.</w:t>
      </w:r>
    </w:p>
    <w:p w:rsidR="00EC0DC9" w:rsidRPr="00557E6A" w:rsidRDefault="00EC0DC9" w:rsidP="00EC0DC9">
      <w:pPr>
        <w:pStyle w:val="ListBullet"/>
        <w:pBdr>
          <w:top w:val="single" w:sz="4" w:space="1" w:color="auto"/>
          <w:left w:val="single" w:sz="4" w:space="4" w:color="auto"/>
          <w:bottom w:val="single" w:sz="4" w:space="1" w:color="auto"/>
          <w:right w:val="single" w:sz="4" w:space="4" w:color="auto"/>
        </w:pBdr>
      </w:pPr>
      <w:r>
        <w:t>W</w:t>
      </w:r>
      <w:r w:rsidRPr="00557E6A">
        <w:t xml:space="preserve">ork with employers to tailor the job to suit both </w:t>
      </w:r>
      <w:r>
        <w:t xml:space="preserve">the </w:t>
      </w:r>
      <w:r w:rsidRPr="00557E6A">
        <w:t xml:space="preserve">job seeker and </w:t>
      </w:r>
      <w:r>
        <w:t xml:space="preserve">the </w:t>
      </w:r>
      <w:r w:rsidRPr="00557E6A">
        <w:t>employer</w:t>
      </w:r>
      <w:r>
        <w:t>.</w:t>
      </w:r>
    </w:p>
    <w:p w:rsidR="00EC0DC9" w:rsidRPr="00EC0DC9" w:rsidRDefault="00EC0DC9" w:rsidP="009C1C12">
      <w:pPr>
        <w:pStyle w:val="ListBullet"/>
        <w:pBdr>
          <w:top w:val="single" w:sz="4" w:space="1" w:color="auto"/>
          <w:left w:val="single" w:sz="4" w:space="4" w:color="auto"/>
          <w:bottom w:val="single" w:sz="4" w:space="1" w:color="auto"/>
          <w:right w:val="single" w:sz="4" w:space="4" w:color="auto"/>
        </w:pBdr>
      </w:pPr>
      <w:r>
        <w:t>E</w:t>
      </w:r>
      <w:r w:rsidRPr="00557E6A">
        <w:t>nsur</w:t>
      </w:r>
      <w:r>
        <w:t>e</w:t>
      </w:r>
      <w:r w:rsidRPr="00557E6A">
        <w:t xml:space="preserve"> that job seekers are job-ready and will meet the expectations of employers they are placed with</w:t>
      </w:r>
      <w:r>
        <w:t>.</w:t>
      </w:r>
    </w:p>
    <w:p w:rsidR="005C4F1E" w:rsidRPr="00EC34B4" w:rsidRDefault="009C1C12" w:rsidP="00B4074B">
      <w:r>
        <w:br/>
      </w:r>
      <w:r w:rsidR="005C4F1E" w:rsidRPr="00EC34B4">
        <w:t>High performing sites often spend time and resources preparing a job seeker for employment, and ensuring they are work-ready before trying to place them in a job</w:t>
      </w:r>
      <w:r w:rsidR="00EC34B4">
        <w:t>.</w:t>
      </w:r>
      <w:r w:rsidR="00773D24" w:rsidRPr="00EC34B4">
        <w:t xml:space="preserve"> </w:t>
      </w:r>
      <w:r>
        <w:br/>
      </w:r>
    </w:p>
    <w:p w:rsidR="007C54F6" w:rsidRPr="00D63983" w:rsidRDefault="00444103" w:rsidP="00243BD4">
      <w:pPr>
        <w:pStyle w:val="StyleQuoteBlBoxSinglesolidlineAuto05ptLinewidth"/>
      </w:pPr>
      <w:r w:rsidRPr="00D63983">
        <w:t>Getting somebody who is work ready and putting them into a job, not the other way around... So you’re starting with a good product rather trying to jam somebody who is half ready into a job</w:t>
      </w:r>
      <w:r w:rsidR="006D0990">
        <w:t xml:space="preserve"> —</w:t>
      </w:r>
      <w:r w:rsidRPr="00D63983">
        <w:t xml:space="preserve"> that's not going to work</w:t>
      </w:r>
      <w:r w:rsidR="00AA2A62" w:rsidRPr="00D63983">
        <w:t>.</w:t>
      </w:r>
    </w:p>
    <w:p w:rsidR="007C54F6" w:rsidRDefault="00444103" w:rsidP="00EC34B4">
      <w:pPr>
        <w:pStyle w:val="QuoteRef"/>
        <w:pBdr>
          <w:top w:val="single" w:sz="4" w:space="1" w:color="auto"/>
          <w:left w:val="single" w:sz="4" w:space="4" w:color="auto"/>
          <w:bottom w:val="single" w:sz="4" w:space="1" w:color="auto"/>
          <w:right w:val="single" w:sz="4" w:space="4" w:color="auto"/>
        </w:pBdr>
      </w:pPr>
      <w:r w:rsidRPr="007C54F6">
        <w:t xml:space="preserve">Employment consultant, </w:t>
      </w:r>
      <w:r w:rsidR="00D314CF" w:rsidRPr="007C54F6">
        <w:t xml:space="preserve">metropolitan centre, </w:t>
      </w:r>
      <w:r w:rsidRPr="007C54F6">
        <w:t>Queensland</w:t>
      </w:r>
      <w:r w:rsidR="007C54F6" w:rsidRPr="008D223A">
        <w:t xml:space="preserve"> </w:t>
      </w:r>
    </w:p>
    <w:p w:rsidR="00EC34B4" w:rsidRDefault="009C1C12" w:rsidP="0099014C">
      <w:r>
        <w:br/>
      </w:r>
      <w:r w:rsidR="00EC7CFC" w:rsidRPr="00EC34B4">
        <w:t xml:space="preserve">This accords with </w:t>
      </w:r>
      <w:r w:rsidR="00EC34B4">
        <w:t xml:space="preserve">what employers say </w:t>
      </w:r>
      <w:r w:rsidR="000E1C3C">
        <w:t>are</w:t>
      </w:r>
      <w:r w:rsidR="00EC34B4">
        <w:t xml:space="preserve"> </w:t>
      </w:r>
      <w:r w:rsidR="000E1C3C">
        <w:t xml:space="preserve">the three </w:t>
      </w:r>
      <w:r w:rsidR="00EC34B4">
        <w:t xml:space="preserve">most important </w:t>
      </w:r>
      <w:r w:rsidR="000E1C3C">
        <w:t xml:space="preserve">qualities </w:t>
      </w:r>
      <w:r w:rsidR="00EC34B4">
        <w:t xml:space="preserve">in a </w:t>
      </w:r>
      <w:r w:rsidR="00EC7CFC" w:rsidRPr="00EC34B4">
        <w:t>job applicant</w:t>
      </w:r>
      <w:r w:rsidR="00EC34B4">
        <w:t>:</w:t>
      </w:r>
    </w:p>
    <w:p w:rsidR="00EC34B4" w:rsidRPr="00EC34B4" w:rsidRDefault="00EC34B4" w:rsidP="00D95A50">
      <w:pPr>
        <w:pStyle w:val="ListBullet"/>
      </w:pPr>
      <w:r>
        <w:t xml:space="preserve">reliability </w:t>
      </w:r>
    </w:p>
    <w:p w:rsidR="00EC34B4" w:rsidRDefault="000E1C3C" w:rsidP="00D95A50">
      <w:pPr>
        <w:pStyle w:val="ListBullet"/>
      </w:pPr>
      <w:r>
        <w:t xml:space="preserve">willingness to work </w:t>
      </w:r>
    </w:p>
    <w:p w:rsidR="00EC34B4" w:rsidRDefault="00EC34B4" w:rsidP="00D95A50">
      <w:pPr>
        <w:pStyle w:val="ListBullet"/>
      </w:pPr>
      <w:proofErr w:type="gramStart"/>
      <w:r>
        <w:t>relevant</w:t>
      </w:r>
      <w:proofErr w:type="gramEnd"/>
      <w:r>
        <w:t xml:space="preserve"> work skills</w:t>
      </w:r>
      <w:r w:rsidR="000E1C3C">
        <w:t xml:space="preserve"> </w:t>
      </w:r>
      <w:sdt>
        <w:sdtPr>
          <w:id w:val="453555751"/>
          <w:citation/>
        </w:sdtPr>
        <w:sdtContent>
          <w:fldSimple w:instr=" CITATION Emp10 \l 3081  ">
            <w:r w:rsidR="00F77425">
              <w:rPr>
                <w:noProof/>
              </w:rPr>
              <w:t>(Employer survey, 2010)</w:t>
            </w:r>
          </w:fldSimple>
        </w:sdtContent>
      </w:sdt>
      <w:r w:rsidR="00A6541E">
        <w:t>.</w:t>
      </w:r>
    </w:p>
    <w:p w:rsidR="00EB1BA7" w:rsidRDefault="00BE07FB" w:rsidP="00EB1BA7">
      <w:r w:rsidRPr="000D575C">
        <w:t>High per</w:t>
      </w:r>
      <w:r w:rsidR="008D223A" w:rsidRPr="000D575C">
        <w:t>for</w:t>
      </w:r>
      <w:r w:rsidRPr="000D575C">
        <w:t xml:space="preserve">ming sites are more likely to attempt to find the best </w:t>
      </w:r>
      <w:r w:rsidR="005C4F1E" w:rsidRPr="000D575C">
        <w:t xml:space="preserve">match between </w:t>
      </w:r>
      <w:r w:rsidR="00A450A8" w:rsidRPr="000D575C">
        <w:t>a</w:t>
      </w:r>
      <w:r w:rsidR="005C4F1E" w:rsidRPr="000D575C">
        <w:t xml:space="preserve"> job </w:t>
      </w:r>
      <w:r w:rsidR="00A450A8" w:rsidRPr="000D575C">
        <w:t>and the job seeker’s interests and goals</w:t>
      </w:r>
      <w:r w:rsidR="00EC34B4" w:rsidRPr="000D575C">
        <w:t xml:space="preserve">, and work hard to ensure </w:t>
      </w:r>
      <w:r w:rsidR="00EC34B4" w:rsidRPr="00EC34B4">
        <w:t>job seekers meet the expectations of their employers</w:t>
      </w:r>
      <w:r w:rsidRPr="00B4074B">
        <w:t>.</w:t>
      </w:r>
      <w:r w:rsidR="005C4F1E" w:rsidRPr="00EC34B4">
        <w:t xml:space="preserve"> </w:t>
      </w:r>
      <w:r w:rsidR="00B26FC6" w:rsidRPr="00EC34B4">
        <w:t>E</w:t>
      </w:r>
      <w:r w:rsidR="005C4F1E" w:rsidRPr="00EC34B4">
        <w:t xml:space="preserve">mployment consultants </w:t>
      </w:r>
      <w:r w:rsidR="00B26FC6" w:rsidRPr="00EC34B4">
        <w:t>from these sites claim</w:t>
      </w:r>
      <w:r w:rsidRPr="00EC34B4">
        <w:t xml:space="preserve"> that job seekers whose skills</w:t>
      </w:r>
      <w:r w:rsidRPr="007C54F6">
        <w:t xml:space="preserve"> and motivation are aligned with the job </w:t>
      </w:r>
      <w:r w:rsidR="0090519A" w:rsidRPr="007C54F6">
        <w:t xml:space="preserve">they are placed in </w:t>
      </w:r>
      <w:r w:rsidRPr="007C54F6">
        <w:t>are more likely to stay and perform well in it, while those placed in a job that they do not enjoy are less likely to achieve a sustained employment outcome</w:t>
      </w:r>
      <w:r w:rsidR="00E47009" w:rsidRPr="007C54F6">
        <w:t>.</w:t>
      </w:r>
      <w:r w:rsidR="009C1C12">
        <w:br/>
      </w:r>
    </w:p>
    <w:p w:rsidR="00EB1BA7" w:rsidRPr="007C54F6" w:rsidRDefault="008D223A" w:rsidP="00EB1BA7">
      <w:pPr>
        <w:pStyle w:val="QuoteRef"/>
        <w:keepNext/>
        <w:keepLines/>
        <w:pBdr>
          <w:top w:val="single" w:sz="4" w:space="1" w:color="auto"/>
          <w:left w:val="single" w:sz="4" w:space="1" w:color="auto"/>
          <w:bottom w:val="single" w:sz="4" w:space="1" w:color="auto"/>
          <w:right w:val="single" w:sz="4" w:space="1" w:color="auto"/>
        </w:pBdr>
      </w:pPr>
      <w:r w:rsidRPr="00D63983">
        <w:t>...we actually go and meet [employers] first ...go through a site tour and discuss the needs of [their] business.  So we get an understanding of their culture ...  We can find anybody with the right skills but at the end of the day we need the person who is going to fit into that culture and have the right attitude</w:t>
      </w:r>
      <w:r w:rsidR="00AA2A62" w:rsidRPr="00D63983">
        <w:t>.</w:t>
      </w:r>
      <w:r w:rsidR="00EB1BA7">
        <w:br/>
        <w:t>Employment consultant, regional centre, Victoria</w:t>
      </w:r>
    </w:p>
    <w:p w:rsidR="0090519A" w:rsidRDefault="009C1C12" w:rsidP="00B4074B">
      <w:r>
        <w:br/>
      </w:r>
      <w:r w:rsidR="00826996" w:rsidRPr="000D575C">
        <w:t>H</w:t>
      </w:r>
      <w:r w:rsidR="00BE07FB" w:rsidRPr="000D575C">
        <w:t xml:space="preserve">igh performing sites </w:t>
      </w:r>
      <w:r w:rsidR="008E6966" w:rsidRPr="000D575C">
        <w:t>work with employers to get the best match between job seeker and job.</w:t>
      </w:r>
      <w:r w:rsidR="00BE07FB" w:rsidRPr="00EC34B4">
        <w:t xml:space="preserve"> </w:t>
      </w:r>
      <w:r w:rsidR="008E6966" w:rsidRPr="00EC34B4">
        <w:t>According to the 2010 Employment Service Providers survey, many high performing sites</w:t>
      </w:r>
      <w:r w:rsidR="008E6966">
        <w:t xml:space="preserve"> </w:t>
      </w:r>
      <w:r w:rsidR="0090519A" w:rsidRPr="008E6966">
        <w:t>educate employers about available incentives and support</w:t>
      </w:r>
      <w:r w:rsidR="008E6966" w:rsidRPr="008E6966">
        <w:t>s</w:t>
      </w:r>
      <w:r w:rsidR="0090519A" w:rsidRPr="008E6966">
        <w:t xml:space="preserve"> such as wage subsidies, JobAccess and Workplace</w:t>
      </w:r>
      <w:r w:rsidR="00F4543B">
        <w:t xml:space="preserve"> Modifications</w:t>
      </w:r>
      <w:r w:rsidR="00773D24">
        <w:t xml:space="preserve">. They are also more likely than low performing sites to </w:t>
      </w:r>
      <w:r w:rsidR="00773D24" w:rsidRPr="008E6966">
        <w:t xml:space="preserve">encourage </w:t>
      </w:r>
      <w:r w:rsidR="00773D24">
        <w:t>employers</w:t>
      </w:r>
      <w:r w:rsidR="00773D24" w:rsidRPr="008E6966">
        <w:t xml:space="preserve"> to tailor the role to </w:t>
      </w:r>
      <w:r w:rsidR="000E1C3C">
        <w:t>the</w:t>
      </w:r>
      <w:r w:rsidR="00773D24" w:rsidRPr="008E6966">
        <w:t xml:space="preserve"> job seeker</w:t>
      </w:r>
      <w:r w:rsidR="00FB4F35">
        <w:t xml:space="preserve">. Low performing sites, on the other hand, are </w:t>
      </w:r>
      <w:r w:rsidR="00D54EFF">
        <w:t xml:space="preserve">likely to be </w:t>
      </w:r>
      <w:r w:rsidR="00FB4F35">
        <w:t xml:space="preserve">less proactive, and </w:t>
      </w:r>
      <w:r w:rsidR="00D54EFF">
        <w:t xml:space="preserve">slightly </w:t>
      </w:r>
      <w:r w:rsidR="00FB4F35">
        <w:t xml:space="preserve">more likely to </w:t>
      </w:r>
      <w:r w:rsidR="00773D24">
        <w:t>focus on the role as described by the employer</w:t>
      </w:r>
      <w:r w:rsidR="0090519A" w:rsidRPr="008E6966">
        <w:t xml:space="preserve"> (</w:t>
      </w:r>
      <w:hyperlink w:anchor="Figure8" w:tooltip="Employment service providers’ approaches to job placements " w:history="1">
        <w:r w:rsidR="00EC34B4" w:rsidRPr="00D95A50">
          <w:rPr>
            <w:rStyle w:val="Hyperlink"/>
          </w:rPr>
          <w:t>Figure</w:t>
        </w:r>
        <w:r w:rsidR="0090519A" w:rsidRPr="00D95A50">
          <w:rPr>
            <w:rStyle w:val="Hyperlink"/>
          </w:rPr>
          <w:t xml:space="preserve"> </w:t>
        </w:r>
        <w:r w:rsidR="00BE6C08" w:rsidRPr="00D95A50">
          <w:rPr>
            <w:rStyle w:val="Hyperlink"/>
          </w:rPr>
          <w:t>8</w:t>
        </w:r>
      </w:hyperlink>
      <w:r w:rsidR="0090519A" w:rsidRPr="008E6966">
        <w:t>)</w:t>
      </w:r>
      <w:r w:rsidR="00BE07FB" w:rsidRPr="008E6966">
        <w:t>.</w:t>
      </w:r>
      <w:r w:rsidR="008E6966">
        <w:t xml:space="preserve"> </w:t>
      </w:r>
    </w:p>
    <w:p w:rsidR="009C1C12" w:rsidRDefault="009C1C12" w:rsidP="00484740">
      <w:pPr>
        <w:rPr>
          <w:szCs w:val="18"/>
        </w:rPr>
      </w:pPr>
      <w:r>
        <w:br w:type="page"/>
      </w:r>
    </w:p>
    <w:p w:rsidR="0090519A" w:rsidRDefault="00EC34B4" w:rsidP="0024454B">
      <w:pPr>
        <w:pStyle w:val="FigureHeading"/>
      </w:pPr>
      <w:bookmarkStart w:id="72" w:name="Figure8"/>
      <w:bookmarkEnd w:id="72"/>
      <w:r>
        <w:t>Figure</w:t>
      </w:r>
      <w:r w:rsidR="00826996">
        <w:t xml:space="preserve"> </w:t>
      </w:r>
      <w:r w:rsidR="00BE6C08">
        <w:t>8</w:t>
      </w:r>
      <w:r w:rsidR="00826996">
        <w:t xml:space="preserve">: </w:t>
      </w:r>
      <w:r w:rsidR="00B26FC6">
        <w:t>E</w:t>
      </w:r>
      <w:r w:rsidR="00826996">
        <w:t>mployment service providers</w:t>
      </w:r>
      <w:r w:rsidR="00B26FC6">
        <w:t>’ approaches</w:t>
      </w:r>
      <w:r w:rsidR="00826996">
        <w:t xml:space="preserve"> to </w:t>
      </w:r>
      <w:r w:rsidR="00444103">
        <w:t>job placements</w:t>
      </w:r>
      <w:r w:rsidR="00826996">
        <w:t xml:space="preserve"> (</w:t>
      </w:r>
      <w:r w:rsidR="000E1C3C">
        <w:t>per cent</w:t>
      </w:r>
      <w:r w:rsidR="00826996">
        <w:t>)</w:t>
      </w:r>
    </w:p>
    <w:p w:rsidR="0090519A" w:rsidRDefault="00FB4F35" w:rsidP="00826996">
      <w:pPr>
        <w:pStyle w:val="Sourceandnotetext"/>
        <w:rPr>
          <w:b/>
          <w:bCs/>
        </w:rPr>
      </w:pPr>
      <w:r w:rsidRPr="00FB4F35">
        <w:rPr>
          <w:noProof/>
        </w:rPr>
        <w:drawing>
          <wp:inline distT="0" distB="0" distL="0" distR="0">
            <wp:extent cx="5362575" cy="3524250"/>
            <wp:effectExtent l="19050" t="0" r="9525" b="0"/>
            <wp:docPr id="20" name="Picture 11" descr="Graph showing employment service providers' approaches to job pla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5362575" cy="3524250"/>
                    </a:xfrm>
                    <a:prstGeom prst="rect">
                      <a:avLst/>
                    </a:prstGeom>
                    <a:noFill/>
                    <a:ln w="9525">
                      <a:noFill/>
                      <a:miter lim="800000"/>
                      <a:headEnd/>
                      <a:tailEnd/>
                    </a:ln>
                  </pic:spPr>
                </pic:pic>
              </a:graphicData>
            </a:graphic>
          </wp:inline>
        </w:drawing>
      </w:r>
    </w:p>
    <w:p w:rsidR="00894B9D" w:rsidRDefault="00826996" w:rsidP="00826996">
      <w:pPr>
        <w:pStyle w:val="Sourceandnotetext"/>
      </w:pPr>
      <w:r w:rsidRPr="00BA694D">
        <w:rPr>
          <w:b/>
          <w:bCs/>
        </w:rPr>
        <w:t>Source:</w:t>
      </w:r>
      <w:r>
        <w:t xml:space="preserve"> DEEWR Survey of Employment Service Providers 2010</w:t>
      </w:r>
      <w:r w:rsidR="00EB1BA7">
        <w:br/>
      </w:r>
      <w:r w:rsidR="00894B9D">
        <w:t xml:space="preserve">Refer to Appendix </w:t>
      </w:r>
      <w:proofErr w:type="gramStart"/>
      <w:r w:rsidR="00894B9D">
        <w:t>A</w:t>
      </w:r>
      <w:proofErr w:type="gramEnd"/>
      <w:r w:rsidR="00894B9D">
        <w:t xml:space="preserve">, Table </w:t>
      </w:r>
      <w:proofErr w:type="spellStart"/>
      <w:r w:rsidR="00894B9D">
        <w:t>A1.8</w:t>
      </w:r>
      <w:proofErr w:type="spellEnd"/>
      <w:r w:rsidR="00894B9D">
        <w:t xml:space="preserve"> to view </w:t>
      </w:r>
      <w:hyperlink w:anchor="TableA1_8" w:history="1">
        <w:r w:rsidR="00894B9D" w:rsidRPr="002E26ED">
          <w:rPr>
            <w:rStyle w:val="Hyperlink"/>
          </w:rPr>
          <w:t>the text version of Figure 8: Employment service providers</w:t>
        </w:r>
        <w:r w:rsidR="00D519E1">
          <w:rPr>
            <w:rStyle w:val="Hyperlink"/>
          </w:rPr>
          <w:t>’</w:t>
        </w:r>
        <w:r w:rsidR="00894B9D" w:rsidRPr="002E26ED">
          <w:rPr>
            <w:rStyle w:val="Hyperlink"/>
          </w:rPr>
          <w:t xml:space="preserve"> approaches to job placements.</w:t>
        </w:r>
      </w:hyperlink>
    </w:p>
    <w:p w:rsidR="00444103" w:rsidRDefault="00EB40E0" w:rsidP="00444103">
      <w:pPr>
        <w:pStyle w:val="Heading2"/>
      </w:pPr>
      <w:bookmarkStart w:id="73" w:name="_Toc326764340"/>
      <w:r>
        <w:t>3</w:t>
      </w:r>
      <w:r w:rsidR="00EF1D64">
        <w:t>.9</w:t>
      </w:r>
      <w:r w:rsidR="00EF1D64">
        <w:tab/>
      </w:r>
      <w:r w:rsidR="00A450A8">
        <w:t>W</w:t>
      </w:r>
      <w:r w:rsidR="00444103">
        <w:t xml:space="preserve">age </w:t>
      </w:r>
      <w:r w:rsidR="00262265">
        <w:t>s</w:t>
      </w:r>
      <w:r w:rsidR="00444103">
        <w:t>ubsidies</w:t>
      </w:r>
      <w:bookmarkEnd w:id="73"/>
    </w:p>
    <w:p w:rsidR="00F6688E" w:rsidRPr="0036083F" w:rsidRDefault="00F6688E" w:rsidP="00F6688E"/>
    <w:tbl>
      <w:tblPr>
        <w:tblStyle w:val="TableGrid"/>
        <w:tblW w:w="0" w:type="auto"/>
        <w:tblLook w:val="04A0"/>
      </w:tblPr>
      <w:tblGrid>
        <w:gridCol w:w="8720"/>
      </w:tblGrid>
      <w:tr w:rsidR="00F6688E" w:rsidTr="002C70DA">
        <w:tc>
          <w:tcPr>
            <w:tcW w:w="8720" w:type="dxa"/>
          </w:tcPr>
          <w:p w:rsidR="00F6688E" w:rsidRDefault="00F6688E" w:rsidP="002C70DA">
            <w:r w:rsidRPr="0036083F">
              <w:t>High performing sites are more likely than mid and low performing sites to</w:t>
            </w:r>
            <w:r>
              <w:t>:</w:t>
            </w:r>
          </w:p>
          <w:p w:rsidR="00F6688E" w:rsidRDefault="00F6688E" w:rsidP="00E56CEE">
            <w:pPr>
              <w:pStyle w:val="ListBullet"/>
            </w:pPr>
            <w:r>
              <w:t>Fo</w:t>
            </w:r>
            <w:r w:rsidRPr="00557E6A">
              <w:t>cus on selling the job seeker</w:t>
            </w:r>
            <w:r>
              <w:t xml:space="preserve"> and use the wage subsidy to improve the deal rather than as the deal.</w:t>
            </w:r>
          </w:p>
          <w:p w:rsidR="00F6688E" w:rsidRDefault="00F6688E" w:rsidP="00E56CEE">
            <w:pPr>
              <w:pStyle w:val="ListBullet"/>
            </w:pPr>
            <w:r>
              <w:t>U</w:t>
            </w:r>
            <w:r w:rsidRPr="00557E6A">
              <w:t>s</w:t>
            </w:r>
            <w:r>
              <w:t>e</w:t>
            </w:r>
            <w:r w:rsidRPr="00557E6A">
              <w:t xml:space="preserve"> wage subs</w:t>
            </w:r>
            <w:r w:rsidR="007F43CB">
              <w:t xml:space="preserve">idies to customise the job </w:t>
            </w:r>
            <w:r w:rsidRPr="00557E6A">
              <w:t>for the job seeker, for instance by negotiating for longer hours or employment duration</w:t>
            </w:r>
            <w:r>
              <w:t>.</w:t>
            </w:r>
            <w:r w:rsidRPr="00557E6A">
              <w:t xml:space="preserve"> </w:t>
            </w:r>
          </w:p>
        </w:tc>
      </w:tr>
    </w:tbl>
    <w:p w:rsidR="00EC34B4" w:rsidRPr="000D575C" w:rsidRDefault="009C1C12" w:rsidP="00B4074B">
      <w:r>
        <w:br/>
      </w:r>
      <w:r w:rsidR="00F4543B" w:rsidRPr="000D575C">
        <w:t>While h</w:t>
      </w:r>
      <w:r w:rsidR="00444103" w:rsidRPr="000D575C">
        <w:t>igh performing sites use a higher proportion of EPF on wage subsidies than mid and low performing sites</w:t>
      </w:r>
      <w:r w:rsidR="00EC34B4" w:rsidRPr="000D575C">
        <w:t xml:space="preserve"> (</w:t>
      </w:r>
      <w:hyperlink w:anchor="Section34" w:tooltip="Using the Employment Pathway Fund" w:history="1">
        <w:r w:rsidR="00EC34B4" w:rsidRPr="00491C4C">
          <w:rPr>
            <w:rStyle w:val="Hyperlink"/>
          </w:rPr>
          <w:t xml:space="preserve">see </w:t>
        </w:r>
        <w:r w:rsidR="00D54EFF" w:rsidRPr="00491C4C">
          <w:rPr>
            <w:rStyle w:val="Hyperlink"/>
          </w:rPr>
          <w:t>S</w:t>
        </w:r>
        <w:r w:rsidR="00EC34B4" w:rsidRPr="00491C4C">
          <w:rPr>
            <w:rStyle w:val="Hyperlink"/>
          </w:rPr>
          <w:t>ection</w:t>
        </w:r>
        <w:r w:rsidR="00A6541E" w:rsidRPr="00491C4C">
          <w:rPr>
            <w:rStyle w:val="Hyperlink"/>
          </w:rPr>
          <w:t xml:space="preserve"> 3.4</w:t>
        </w:r>
      </w:hyperlink>
      <w:r w:rsidR="00A6541E" w:rsidRPr="000D575C">
        <w:t>)</w:t>
      </w:r>
      <w:r w:rsidR="00F4543B" w:rsidRPr="000D575C">
        <w:t>, the</w:t>
      </w:r>
      <w:r w:rsidR="00BA144C" w:rsidRPr="000D575C">
        <w:t>ir</w:t>
      </w:r>
      <w:r w:rsidR="00F4543B" w:rsidRPr="000D575C">
        <w:t xml:space="preserve"> focus </w:t>
      </w:r>
      <w:r w:rsidR="00BA144C" w:rsidRPr="000D575C">
        <w:t>is</w:t>
      </w:r>
      <w:r w:rsidR="00F4543B" w:rsidRPr="000D575C">
        <w:t xml:space="preserve"> </w:t>
      </w:r>
      <w:r w:rsidR="00BA144C" w:rsidRPr="000D575C">
        <w:t xml:space="preserve">often </w:t>
      </w:r>
      <w:r w:rsidR="00F4543B" w:rsidRPr="000D575C">
        <w:t xml:space="preserve">on selling the job seeker </w:t>
      </w:r>
      <w:r w:rsidR="00EC34B4" w:rsidRPr="000D575C">
        <w:t xml:space="preserve">into the role </w:t>
      </w:r>
      <w:r w:rsidR="00F4543B" w:rsidRPr="000D575C">
        <w:t xml:space="preserve">rather than </w:t>
      </w:r>
      <w:r w:rsidR="00D54EFF" w:rsidRPr="000D575C">
        <w:t xml:space="preserve">on </w:t>
      </w:r>
      <w:r w:rsidR="00F4543B" w:rsidRPr="000D575C">
        <w:t>the wage subsidy</w:t>
      </w:r>
      <w:r w:rsidR="00EC34B4" w:rsidRPr="000D575C">
        <w:t xml:space="preserve">. </w:t>
      </w:r>
      <w:r w:rsidR="00EC34B4" w:rsidRPr="00EC34B4">
        <w:t xml:space="preserve">Many high performing sites prefer to focus </w:t>
      </w:r>
      <w:r w:rsidR="00D54EFF" w:rsidRPr="00EC34B4">
        <w:t xml:space="preserve">in conversations with employers </w:t>
      </w:r>
      <w:r w:rsidR="00EC34B4" w:rsidRPr="00EC34B4">
        <w:t xml:space="preserve">on the suitability of a job seeker for a position, </w:t>
      </w:r>
      <w:r w:rsidR="00EC34B4">
        <w:t xml:space="preserve">and </w:t>
      </w:r>
      <w:r w:rsidR="00EC34B4" w:rsidRPr="00B4074B">
        <w:t xml:space="preserve">use incentives such as wage </w:t>
      </w:r>
      <w:r w:rsidR="00BA144C" w:rsidRPr="00B4074B">
        <w:t>subsid</w:t>
      </w:r>
      <w:r w:rsidR="00EC34B4" w:rsidRPr="00B4074B">
        <w:t>ies</w:t>
      </w:r>
      <w:r w:rsidR="00BA144C" w:rsidRPr="00B4074B">
        <w:t xml:space="preserve"> only as a final selling point</w:t>
      </w:r>
      <w:r w:rsidR="00F04E6F" w:rsidRPr="00B4074B">
        <w:t xml:space="preserve"> to secure the placement</w:t>
      </w:r>
      <w:r w:rsidR="00F4543B" w:rsidRPr="00EC34B4">
        <w:t>.</w:t>
      </w:r>
    </w:p>
    <w:p w:rsidR="00F4543B" w:rsidRPr="00EC34B4" w:rsidRDefault="00EC34B4" w:rsidP="00B4074B">
      <w:r w:rsidRPr="000D575C">
        <w:t>High performing sites also</w:t>
      </w:r>
      <w:r w:rsidR="00BA144C" w:rsidRPr="000D575C">
        <w:t xml:space="preserve"> </w:t>
      </w:r>
      <w:r w:rsidR="00F4543B" w:rsidRPr="000D575C">
        <w:t>use</w:t>
      </w:r>
      <w:r w:rsidR="00444103" w:rsidRPr="000D575C">
        <w:t xml:space="preserve"> wage subsid</w:t>
      </w:r>
      <w:r w:rsidR="00F4543B" w:rsidRPr="000D575C">
        <w:t>ies</w:t>
      </w:r>
      <w:r w:rsidR="00444103" w:rsidRPr="000D575C">
        <w:t xml:space="preserve"> to improve </w:t>
      </w:r>
      <w:r w:rsidR="00BA144C" w:rsidRPr="000D575C">
        <w:t>the suitability of the</w:t>
      </w:r>
      <w:r w:rsidR="00444103" w:rsidRPr="000D575C">
        <w:t xml:space="preserve"> job</w:t>
      </w:r>
      <w:r w:rsidR="00BA144C" w:rsidRPr="000D575C">
        <w:t xml:space="preserve"> for the job seeker</w:t>
      </w:r>
      <w:r w:rsidR="00444103" w:rsidRPr="000D575C">
        <w:t xml:space="preserve">, </w:t>
      </w:r>
      <w:r w:rsidR="00F4543B" w:rsidRPr="000D575C">
        <w:t>for instance</w:t>
      </w:r>
      <w:r w:rsidR="00444103" w:rsidRPr="000D575C">
        <w:t xml:space="preserve"> </w:t>
      </w:r>
      <w:r w:rsidR="00BA144C" w:rsidRPr="000D575C">
        <w:t>by negotiating for</w:t>
      </w:r>
      <w:r w:rsidR="00444103" w:rsidRPr="000D575C">
        <w:t xml:space="preserve"> longer hours</w:t>
      </w:r>
      <w:r w:rsidR="00F04E6F" w:rsidRPr="000D575C">
        <w:t xml:space="preserve"> and on</w:t>
      </w:r>
      <w:r w:rsidR="00D54EFF" w:rsidRPr="000D575C">
        <w:t>-</w:t>
      </w:r>
      <w:r w:rsidR="00F04E6F" w:rsidRPr="000D575C">
        <w:t>the</w:t>
      </w:r>
      <w:r w:rsidR="00D54EFF" w:rsidRPr="000D575C">
        <w:t>-</w:t>
      </w:r>
      <w:r w:rsidR="00F04E6F" w:rsidRPr="000D575C">
        <w:t>job</w:t>
      </w:r>
      <w:r w:rsidR="00D54EFF" w:rsidRPr="000D575C">
        <w:t xml:space="preserve"> </w:t>
      </w:r>
      <w:r w:rsidR="00F04E6F" w:rsidRPr="000D575C">
        <w:t>training</w:t>
      </w:r>
      <w:r w:rsidR="00444103" w:rsidRPr="000D575C">
        <w:t>.</w:t>
      </w:r>
      <w:r w:rsidR="00444103" w:rsidRPr="00EC34B4">
        <w:t xml:space="preserve"> </w:t>
      </w:r>
      <w:r>
        <w:t xml:space="preserve">They </w:t>
      </w:r>
      <w:r w:rsidR="00444103" w:rsidRPr="00EC34B4">
        <w:t xml:space="preserve">report that </w:t>
      </w:r>
      <w:r w:rsidR="00F4543B" w:rsidRPr="00EC34B4">
        <w:t xml:space="preserve">many </w:t>
      </w:r>
      <w:r w:rsidR="00444103" w:rsidRPr="00EC34B4">
        <w:t xml:space="preserve">employers </w:t>
      </w:r>
      <w:r w:rsidR="00A450A8" w:rsidRPr="00EC34B4">
        <w:t xml:space="preserve">are </w:t>
      </w:r>
      <w:r w:rsidR="00F04E6F">
        <w:t>primarily</w:t>
      </w:r>
      <w:r w:rsidR="00F04E6F" w:rsidRPr="00EC34B4">
        <w:t xml:space="preserve"> </w:t>
      </w:r>
      <w:r w:rsidR="00A450A8" w:rsidRPr="00EC34B4">
        <w:t>interested in</w:t>
      </w:r>
      <w:r w:rsidR="00444103" w:rsidRPr="00EC34B4">
        <w:t xml:space="preserve"> </w:t>
      </w:r>
      <w:r>
        <w:t>having the opportunity to find out more about</w:t>
      </w:r>
      <w:r w:rsidR="00444103" w:rsidRPr="00EC34B4">
        <w:t xml:space="preserve"> the job seeker</w:t>
      </w:r>
      <w:r>
        <w:t>,</w:t>
      </w:r>
      <w:r w:rsidR="00444103" w:rsidRPr="00EC34B4">
        <w:t xml:space="preserve"> rather than the wage subsidy</w:t>
      </w:r>
      <w:r>
        <w:t xml:space="preserve"> itself</w:t>
      </w:r>
      <w:r w:rsidR="00444103" w:rsidRPr="00EC34B4">
        <w:t xml:space="preserve">. </w:t>
      </w:r>
      <w:r w:rsidR="009C1C12">
        <w:br/>
      </w:r>
    </w:p>
    <w:p w:rsidR="00AA2A62" w:rsidRPr="00D63983" w:rsidRDefault="002C6198" w:rsidP="00243BD4">
      <w:pPr>
        <w:pStyle w:val="StyleQuoteBlBoxSinglesolidlineAuto05ptLinewidth"/>
      </w:pPr>
      <w:r w:rsidRPr="00D63983">
        <w:t>Especially with our parents or our restricted work capacity clients, we’re sort of selling this to an employer, whereas an employer’s point of view [is]</w:t>
      </w:r>
      <w:r w:rsidR="00AA2A62" w:rsidRPr="00D63983">
        <w:t>,</w:t>
      </w:r>
      <w:r w:rsidRPr="00D63983">
        <w:t xml:space="preserve"> maybe</w:t>
      </w:r>
      <w:r w:rsidR="00EC34B4">
        <w:t xml:space="preserve"> </w:t>
      </w:r>
      <w:r w:rsidRPr="00D63983">
        <w:t>[they] don’t necessarily want to hire someone school hours, 15 hours a week...</w:t>
      </w:r>
    </w:p>
    <w:p w:rsidR="002C6198" w:rsidRDefault="002C6198" w:rsidP="00EC34B4">
      <w:pPr>
        <w:pStyle w:val="QuoteRef"/>
        <w:pBdr>
          <w:top w:val="single" w:sz="4" w:space="1" w:color="auto"/>
          <w:left w:val="single" w:sz="4" w:space="4" w:color="auto"/>
          <w:bottom w:val="single" w:sz="4" w:space="1" w:color="auto"/>
          <w:right w:val="single" w:sz="4" w:space="4" w:color="auto"/>
        </w:pBdr>
      </w:pPr>
      <w:r>
        <w:t xml:space="preserve">Employment consultant, </w:t>
      </w:r>
      <w:r w:rsidR="00984F3C">
        <w:t xml:space="preserve">metropolitan </w:t>
      </w:r>
      <w:r w:rsidR="00D314CF">
        <w:t xml:space="preserve">centre, </w:t>
      </w:r>
      <w:r>
        <w:t>New South Wales</w:t>
      </w:r>
    </w:p>
    <w:p w:rsidR="00826996" w:rsidRDefault="00EB40E0" w:rsidP="00826996">
      <w:pPr>
        <w:pStyle w:val="Heading2"/>
      </w:pPr>
      <w:bookmarkStart w:id="74" w:name="_Toc326764341"/>
      <w:r>
        <w:t>3</w:t>
      </w:r>
      <w:r w:rsidR="00EF1D64">
        <w:t>.10</w:t>
      </w:r>
      <w:r w:rsidR="00EF1D64">
        <w:tab/>
      </w:r>
      <w:r w:rsidR="00262265">
        <w:t>Supporting job seekers after job</w:t>
      </w:r>
      <w:r w:rsidR="00826996">
        <w:t xml:space="preserve"> placement</w:t>
      </w:r>
      <w:r w:rsidR="005410AF">
        <w:rPr>
          <w:rStyle w:val="FootnoteReference"/>
        </w:rPr>
        <w:footnoteReference w:id="3"/>
      </w:r>
      <w:bookmarkEnd w:id="74"/>
      <w:r w:rsidR="005410AF">
        <w:t xml:space="preserve"> </w:t>
      </w:r>
    </w:p>
    <w:p w:rsidR="00F6688E" w:rsidRPr="0036083F" w:rsidRDefault="00F6688E" w:rsidP="00F6688E"/>
    <w:tbl>
      <w:tblPr>
        <w:tblStyle w:val="TableGrid"/>
        <w:tblW w:w="0" w:type="auto"/>
        <w:tblLook w:val="04A0"/>
      </w:tblPr>
      <w:tblGrid>
        <w:gridCol w:w="8720"/>
      </w:tblGrid>
      <w:tr w:rsidR="00F6688E" w:rsidTr="002C70DA">
        <w:tc>
          <w:tcPr>
            <w:tcW w:w="8720" w:type="dxa"/>
          </w:tcPr>
          <w:p w:rsidR="00F6688E" w:rsidRDefault="00F6688E" w:rsidP="002C70DA">
            <w:r w:rsidRPr="0036083F">
              <w:t>High performing sites are more likely than mid and low performing sites to</w:t>
            </w:r>
            <w:r>
              <w:t>:</w:t>
            </w:r>
          </w:p>
          <w:p w:rsidR="00F6688E" w:rsidRPr="008E49F5" w:rsidRDefault="00C57075" w:rsidP="00E56CEE">
            <w:pPr>
              <w:pStyle w:val="ListBullet"/>
            </w:pPr>
            <w:r w:rsidRPr="00C57075">
              <w:t>Provide effective support for job seekers, by providing support that is tailored to the job seeker both before a</w:t>
            </w:r>
            <w:r w:rsidR="0056447E">
              <w:t>nd after they start employment.</w:t>
            </w:r>
          </w:p>
          <w:p w:rsidR="00B922D9" w:rsidRDefault="00C57075" w:rsidP="00E56CEE">
            <w:pPr>
              <w:pStyle w:val="ListBullet"/>
            </w:pPr>
            <w:r w:rsidRPr="00C57075">
              <w:t>Provide good support for employers who h</w:t>
            </w:r>
            <w:r w:rsidR="0056447E">
              <w:t xml:space="preserve">ave employed a job seeker, by: </w:t>
            </w:r>
            <w:r w:rsidRPr="00C57075">
              <w:t>clearly explaining what support is available; ensuring contacts with employers are sensitively handed and appropriate; and monitoring the placement for problems.</w:t>
            </w:r>
          </w:p>
        </w:tc>
      </w:tr>
    </w:tbl>
    <w:p w:rsidR="00E650F7" w:rsidRDefault="009C1C12" w:rsidP="00B4074B">
      <w:r>
        <w:br/>
      </w:r>
      <w:r w:rsidR="00ED4360" w:rsidRPr="00EC34B4">
        <w:t xml:space="preserve">High performing sites </w:t>
      </w:r>
      <w:r w:rsidR="00FE4605" w:rsidRPr="00EC34B4">
        <w:t xml:space="preserve">are </w:t>
      </w:r>
      <w:r w:rsidR="00A450A8" w:rsidRPr="00EC34B4">
        <w:t xml:space="preserve">slightly </w:t>
      </w:r>
      <w:r w:rsidR="00FE4605" w:rsidRPr="00EC34B4">
        <w:t xml:space="preserve">more likely to </w:t>
      </w:r>
      <w:r w:rsidR="00ED4360" w:rsidRPr="00EC34B4">
        <w:t xml:space="preserve">provide support for both employers and job </w:t>
      </w:r>
      <w:r w:rsidR="008F4F71" w:rsidRPr="00EC34B4">
        <w:t>seekers,</w:t>
      </w:r>
      <w:r w:rsidR="00D61F93" w:rsidRPr="00EC34B4">
        <w:t xml:space="preserve"> and to monitor the placement for problems </w:t>
      </w:r>
      <w:r w:rsidR="00FE4605" w:rsidRPr="006F4A06">
        <w:t>(</w:t>
      </w:r>
      <w:hyperlink w:anchor="Figure9" w:tooltip="Service providers’ approach to post placement support" w:history="1">
        <w:r w:rsidR="00EC34B4" w:rsidRPr="006F4A06">
          <w:t xml:space="preserve">Figure </w:t>
        </w:r>
        <w:r w:rsidR="00BE6C08" w:rsidRPr="006F4A06">
          <w:t>9</w:t>
        </w:r>
      </w:hyperlink>
      <w:r w:rsidR="00FE4605" w:rsidRPr="006F4A06">
        <w:t>)</w:t>
      </w:r>
      <w:r w:rsidR="00ED4360" w:rsidRPr="006F4A06">
        <w:t>.</w:t>
      </w:r>
    </w:p>
    <w:p w:rsidR="0048519A" w:rsidRPr="0083197E" w:rsidRDefault="00EC34B4" w:rsidP="0024454B">
      <w:pPr>
        <w:pStyle w:val="FigureHeading"/>
      </w:pPr>
      <w:bookmarkStart w:id="75" w:name="Figure9"/>
      <w:bookmarkEnd w:id="75"/>
      <w:r w:rsidRPr="0083197E">
        <w:t>Figure</w:t>
      </w:r>
      <w:r w:rsidR="0048519A" w:rsidRPr="0083197E">
        <w:t xml:space="preserve"> </w:t>
      </w:r>
      <w:r w:rsidR="00BE6C08" w:rsidRPr="0083197E">
        <w:t>9</w:t>
      </w:r>
      <w:r w:rsidR="00AF48F4" w:rsidRPr="0083197E">
        <w:t>:</w:t>
      </w:r>
      <w:r w:rsidR="0048519A" w:rsidRPr="0083197E">
        <w:t xml:space="preserve"> </w:t>
      </w:r>
      <w:r w:rsidR="00D61F93" w:rsidRPr="0083197E">
        <w:t>Service providers’ approach to p</w:t>
      </w:r>
      <w:r w:rsidR="001F2D72" w:rsidRPr="0083197E">
        <w:t>ost placement support</w:t>
      </w:r>
      <w:r w:rsidR="0048519A" w:rsidRPr="0083197E">
        <w:t xml:space="preserve"> (</w:t>
      </w:r>
      <w:r w:rsidR="00176F5B" w:rsidRPr="0083197E">
        <w:t>per cent</w:t>
      </w:r>
      <w:r w:rsidR="0048519A" w:rsidRPr="0083197E">
        <w:t>)</w:t>
      </w:r>
    </w:p>
    <w:p w:rsidR="00ED4360" w:rsidRDefault="004E41D1" w:rsidP="00ED4360">
      <w:r w:rsidRPr="004E41D1">
        <w:rPr>
          <w:noProof/>
        </w:rPr>
        <w:drawing>
          <wp:inline distT="0" distB="0" distL="0" distR="0">
            <wp:extent cx="5353050" cy="3048000"/>
            <wp:effectExtent l="19050" t="0" r="0" b="0"/>
            <wp:docPr id="24" name="Picture 13" descr="Graph showing service proviers' approach to post placement support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5353050" cy="3048000"/>
                    </a:xfrm>
                    <a:prstGeom prst="rect">
                      <a:avLst/>
                    </a:prstGeom>
                    <a:noFill/>
                    <a:ln w="9525">
                      <a:noFill/>
                      <a:miter lim="800000"/>
                      <a:headEnd/>
                      <a:tailEnd/>
                    </a:ln>
                  </pic:spPr>
                </pic:pic>
              </a:graphicData>
            </a:graphic>
          </wp:inline>
        </w:drawing>
      </w:r>
    </w:p>
    <w:p w:rsidR="0048519A" w:rsidRDefault="0048519A" w:rsidP="0048519A">
      <w:pPr>
        <w:pStyle w:val="Sourceandnotetext"/>
      </w:pPr>
      <w:r w:rsidRPr="00BA694D">
        <w:rPr>
          <w:b/>
          <w:bCs/>
        </w:rPr>
        <w:t>Source:</w:t>
      </w:r>
      <w:r>
        <w:t xml:space="preserve"> DEEWR Survey of Employment Service Providers 2010</w:t>
      </w:r>
    </w:p>
    <w:p w:rsidR="00447ED7" w:rsidRDefault="00447ED7" w:rsidP="0083197E">
      <w:pPr>
        <w:pStyle w:val="Sourceandnotetext"/>
      </w:pPr>
      <w:r>
        <w:t xml:space="preserve">Refer to Appendix </w:t>
      </w:r>
      <w:proofErr w:type="spellStart"/>
      <w:r>
        <w:t>A1.9</w:t>
      </w:r>
      <w:proofErr w:type="spellEnd"/>
      <w:r>
        <w:t xml:space="preserve"> to view the </w:t>
      </w:r>
      <w:hyperlink w:anchor="TableA1_9" w:tooltip="View the text version of Figure 9: Service providers’ approach to post placement support" w:history="1">
        <w:r w:rsidRPr="00EE0F1E">
          <w:rPr>
            <w:rStyle w:val="Hyperlink"/>
          </w:rPr>
          <w:t>text version of Figure 9: Service providers’ approach to post placement support</w:t>
        </w:r>
      </w:hyperlink>
    </w:p>
    <w:p w:rsidR="00923472" w:rsidRDefault="00923472" w:rsidP="00923472">
      <w:r>
        <w:t>Many different forms of</w:t>
      </w:r>
      <w:r w:rsidR="007F3240">
        <w:t xml:space="preserve"> general </w:t>
      </w:r>
      <w:r>
        <w:t xml:space="preserve">support </w:t>
      </w:r>
      <w:r w:rsidR="00FE4605">
        <w:t>can be</w:t>
      </w:r>
      <w:r>
        <w:t xml:space="preserve"> </w:t>
      </w:r>
      <w:r w:rsidR="007F3240">
        <w:t>provided</w:t>
      </w:r>
      <w:r>
        <w:t xml:space="preserve">. Some examples include: </w:t>
      </w:r>
    </w:p>
    <w:p w:rsidR="00923472" w:rsidRDefault="00923472" w:rsidP="00E56CEE">
      <w:pPr>
        <w:pStyle w:val="ListBullet"/>
      </w:pPr>
      <w:r>
        <w:t>practical assistance</w:t>
      </w:r>
      <w:r w:rsidR="00FE4605">
        <w:t>,</w:t>
      </w:r>
      <w:r>
        <w:t xml:space="preserve"> such as</w:t>
      </w:r>
      <w:r w:rsidR="00FE4605">
        <w:t xml:space="preserve"> providing</w:t>
      </w:r>
      <w:r>
        <w:t xml:space="preserve"> work </w:t>
      </w:r>
      <w:r w:rsidR="0085654C">
        <w:t>clothing</w:t>
      </w:r>
      <w:r>
        <w:t xml:space="preserve"> or personal protective equipment</w:t>
      </w:r>
      <w:r w:rsidR="0085654C">
        <w:t>;</w:t>
      </w:r>
    </w:p>
    <w:p w:rsidR="00923472" w:rsidRDefault="00923472" w:rsidP="00E56CEE">
      <w:pPr>
        <w:pStyle w:val="ListBullet"/>
      </w:pPr>
      <w:r>
        <w:t>personal support, including counselling</w:t>
      </w:r>
      <w:r w:rsidR="00FE4605">
        <w:t xml:space="preserve"> or</w:t>
      </w:r>
      <w:r>
        <w:t xml:space="preserve"> </w:t>
      </w:r>
      <w:r w:rsidR="00A450A8">
        <w:t xml:space="preserve">employee training </w:t>
      </w:r>
      <w:r w:rsidR="00FE4605">
        <w:t>where</w:t>
      </w:r>
      <w:r>
        <w:t xml:space="preserve"> needed</w:t>
      </w:r>
      <w:r w:rsidR="00A450A8">
        <w:t xml:space="preserve"> (usually negotiated prior to placement as part of the deal)</w:t>
      </w:r>
      <w:r w:rsidR="0085654C">
        <w:t>; or</w:t>
      </w:r>
    </w:p>
    <w:p w:rsidR="00923472" w:rsidRDefault="00923472" w:rsidP="00E56CEE">
      <w:pPr>
        <w:pStyle w:val="ListBullet"/>
      </w:pPr>
      <w:proofErr w:type="gramStart"/>
      <w:r>
        <w:t>support</w:t>
      </w:r>
      <w:proofErr w:type="gramEnd"/>
      <w:r>
        <w:t xml:space="preserve"> or training for employers and managers</w:t>
      </w:r>
      <w:r w:rsidR="00FE4605">
        <w:t>,</w:t>
      </w:r>
      <w:r>
        <w:t xml:space="preserve"> where needed.</w:t>
      </w:r>
    </w:p>
    <w:p w:rsidR="00923472" w:rsidRDefault="00FE4605" w:rsidP="00923472">
      <w:r>
        <w:t>According to employment consultants at high performing sites, m</w:t>
      </w:r>
      <w:r w:rsidR="00923472">
        <w:t xml:space="preserve">any job seekers value post placement support, and feel it to be </w:t>
      </w:r>
      <w:r w:rsidR="00A22B77">
        <w:t xml:space="preserve">an important </w:t>
      </w:r>
      <w:r w:rsidR="00923472">
        <w:t>part of the service</w:t>
      </w:r>
      <w:r w:rsidR="008E49F5">
        <w:t>,</w:t>
      </w:r>
      <w:r w:rsidR="0085654C">
        <w:t xml:space="preserve"> </w:t>
      </w:r>
      <w:r w:rsidR="008E49F5">
        <w:t>and</w:t>
      </w:r>
      <w:r w:rsidR="0085654C">
        <w:t xml:space="preserve"> can be crucial in maintaining job seekers in employment</w:t>
      </w:r>
      <w:r w:rsidR="00923472">
        <w:t>.</w:t>
      </w:r>
      <w:r w:rsidR="008E49F5">
        <w:t xml:space="preserve"> </w:t>
      </w:r>
      <w:r w:rsidR="009C1C12">
        <w:br/>
      </w:r>
    </w:p>
    <w:p w:rsidR="00AA2A62" w:rsidRPr="00D63983" w:rsidRDefault="00A450A8" w:rsidP="00243BD4">
      <w:pPr>
        <w:pStyle w:val="StyleQuoteBlBoxSinglesolidlineAuto05ptLinewidth"/>
      </w:pPr>
      <w:r w:rsidRPr="00D63983">
        <w:t xml:space="preserve">I still hold a fortnightly appointment by phone ... </w:t>
      </w:r>
      <w:r w:rsidR="00923472" w:rsidRPr="00D63983">
        <w:t>People see us as part of their network, people to motivate them along. There are a lot of them out there who need to</w:t>
      </w:r>
      <w:r w:rsidR="0056447E">
        <w:t xml:space="preserve"> know that someone’s out there.</w:t>
      </w:r>
      <w:r w:rsidR="00923472" w:rsidRPr="00D63983">
        <w:t xml:space="preserve">.. We also help them with other things to help them get on their feet, counselling, family issues, </w:t>
      </w:r>
      <w:proofErr w:type="gramStart"/>
      <w:r w:rsidR="00923472" w:rsidRPr="00D63983">
        <w:t>transport</w:t>
      </w:r>
      <w:proofErr w:type="gramEnd"/>
      <w:r w:rsidR="00923472" w:rsidRPr="00D63983">
        <w:t xml:space="preserve"> costs</w:t>
      </w:r>
      <w:r w:rsidR="00984F3C" w:rsidRPr="00D63983">
        <w:t>.</w:t>
      </w:r>
    </w:p>
    <w:p w:rsidR="00923472" w:rsidRDefault="00923472" w:rsidP="0085654C">
      <w:pPr>
        <w:pStyle w:val="QuoteRef"/>
        <w:pBdr>
          <w:top w:val="single" w:sz="4" w:space="1" w:color="auto"/>
          <w:left w:val="single" w:sz="4" w:space="4" w:color="auto"/>
          <w:bottom w:val="single" w:sz="4" w:space="1" w:color="auto"/>
          <w:right w:val="single" w:sz="4" w:space="4" w:color="auto"/>
        </w:pBdr>
      </w:pPr>
      <w:r>
        <w:t xml:space="preserve">Employment consultant, </w:t>
      </w:r>
      <w:r w:rsidR="00D314CF">
        <w:t xml:space="preserve">metropolitan centre, </w:t>
      </w:r>
      <w:r>
        <w:t>Queensland</w:t>
      </w:r>
    </w:p>
    <w:p w:rsidR="0085654C" w:rsidRDefault="0085654C" w:rsidP="00A22B77"/>
    <w:p w:rsidR="007C54F6" w:rsidRPr="00D63983" w:rsidRDefault="00AA2A62" w:rsidP="00243BD4">
      <w:pPr>
        <w:pStyle w:val="StyleQuoteBlBoxSinglesolidlineAuto05ptLinewidth"/>
      </w:pPr>
      <w:r w:rsidRPr="00D63983">
        <w:t>I</w:t>
      </w:r>
      <w:r w:rsidR="00A22B77" w:rsidRPr="00D63983">
        <w:t>t is important to ring the clients at about the 6</w:t>
      </w:r>
      <w:r w:rsidR="00E01703" w:rsidRPr="00D63983">
        <w:t>–</w:t>
      </w:r>
      <w:r w:rsidR="00A22B77" w:rsidRPr="00D63983">
        <w:t>7 week mark</w:t>
      </w:r>
      <w:r w:rsidR="00B2617E" w:rsidRPr="00D63983">
        <w:t>,</w:t>
      </w:r>
      <w:r w:rsidR="00A22B77" w:rsidRPr="00D63983">
        <w:t xml:space="preserve"> </w:t>
      </w:r>
      <w:r w:rsidR="00B2617E" w:rsidRPr="00D63983">
        <w:t>j</w:t>
      </w:r>
      <w:r w:rsidR="00A22B77" w:rsidRPr="00D63983">
        <w:t>ust when they are finding their new routine hard</w:t>
      </w:r>
      <w:r w:rsidR="00E01703" w:rsidRPr="00D63983">
        <w:t>,</w:t>
      </w:r>
      <w:r w:rsidR="00A22B77" w:rsidRPr="00D63983">
        <w:t xml:space="preserve"> esp</w:t>
      </w:r>
      <w:r w:rsidR="00E01703" w:rsidRPr="00D63983">
        <w:t>ecially the long term unemployed</w:t>
      </w:r>
      <w:r w:rsidR="00A22B77" w:rsidRPr="00D63983">
        <w:t>. If we catch them at this time they will usually keep their jobs</w:t>
      </w:r>
      <w:r w:rsidR="00984F3C" w:rsidRPr="00D63983">
        <w:t>.</w:t>
      </w:r>
    </w:p>
    <w:p w:rsidR="00A22B77" w:rsidRPr="00826996" w:rsidRDefault="00A22B77" w:rsidP="0085654C">
      <w:pPr>
        <w:pStyle w:val="QuoteRef"/>
        <w:pBdr>
          <w:top w:val="single" w:sz="4" w:space="1" w:color="auto"/>
          <w:left w:val="single" w:sz="4" w:space="4" w:color="auto"/>
          <w:bottom w:val="single" w:sz="4" w:space="1" w:color="auto"/>
          <w:right w:val="single" w:sz="4" w:space="4" w:color="auto"/>
        </w:pBdr>
      </w:pPr>
      <w:r w:rsidRPr="00826996">
        <w:t xml:space="preserve">Employment consultant, </w:t>
      </w:r>
      <w:r w:rsidR="00D314CF">
        <w:t xml:space="preserve">regional centre, </w:t>
      </w:r>
      <w:r w:rsidRPr="00826996">
        <w:t>Victoria</w:t>
      </w:r>
    </w:p>
    <w:p w:rsidR="00FE4605" w:rsidRPr="00FE4605" w:rsidRDefault="009C1C12" w:rsidP="00FE4605">
      <w:r>
        <w:br/>
      </w:r>
      <w:r w:rsidR="00FE4605" w:rsidRPr="00FE4605">
        <w:t xml:space="preserve">High performing sites are </w:t>
      </w:r>
      <w:r w:rsidR="00FE4605">
        <w:t xml:space="preserve">also </w:t>
      </w:r>
      <w:r w:rsidR="00FE4605" w:rsidRPr="00FE4605">
        <w:t xml:space="preserve">more likely to monitor the placement for emerging problems </w:t>
      </w:r>
      <w:r w:rsidR="00FE4605" w:rsidRPr="006F4A06">
        <w:t>(</w:t>
      </w:r>
      <w:hyperlink w:anchor="Figure9" w:tooltip="Service providers’ approach to post placement support" w:history="1">
        <w:r w:rsidR="0085654C" w:rsidRPr="006F4A06">
          <w:t>Figure</w:t>
        </w:r>
        <w:r w:rsidR="00FE4605" w:rsidRPr="006F4A06">
          <w:t xml:space="preserve"> </w:t>
        </w:r>
        <w:r w:rsidR="008E49F5" w:rsidRPr="006F4A06">
          <w:t>9</w:t>
        </w:r>
      </w:hyperlink>
      <w:r w:rsidR="00FE4605" w:rsidRPr="006F4A06">
        <w:t>).</w:t>
      </w:r>
      <w:r>
        <w:br/>
      </w:r>
    </w:p>
    <w:p w:rsidR="007C54F6" w:rsidRPr="00F85549" w:rsidRDefault="00FE4605" w:rsidP="00243BD4">
      <w:pPr>
        <w:pStyle w:val="StyleQuoteBlBoxSinglesolidlineAuto05ptLinewidth"/>
      </w:pPr>
      <w:r w:rsidRPr="00F85549">
        <w:t xml:space="preserve">We ... do a risk assessment ... once we find them </w:t>
      </w:r>
      <w:r w:rsidR="00E01703" w:rsidRPr="00F85549">
        <w:t xml:space="preserve">[a] </w:t>
      </w:r>
      <w:r w:rsidRPr="00F85549">
        <w:t>placement, we assess the likelihood of them dropping out for various reasons, there’s a check list on that and the probability of something occurring there, which gives us a good idea on what areas we need to particularly monitor</w:t>
      </w:r>
      <w:r w:rsidR="00984F3C" w:rsidRPr="00F85549">
        <w:t>.</w:t>
      </w:r>
    </w:p>
    <w:p w:rsidR="00FE4605" w:rsidRPr="00984F3C" w:rsidRDefault="00FE4605" w:rsidP="0085654C">
      <w:pPr>
        <w:pStyle w:val="QuoteRef"/>
        <w:pBdr>
          <w:top w:val="single" w:sz="4" w:space="1" w:color="auto"/>
          <w:left w:val="single" w:sz="4" w:space="4" w:color="auto"/>
          <w:bottom w:val="single" w:sz="4" w:space="1" w:color="auto"/>
          <w:right w:val="single" w:sz="4" w:space="4" w:color="auto"/>
        </w:pBdr>
      </w:pPr>
      <w:r w:rsidRPr="00984F3C">
        <w:t>Employment consultant,</w:t>
      </w:r>
      <w:r w:rsidR="00E01703" w:rsidRPr="00984F3C">
        <w:t xml:space="preserve"> </w:t>
      </w:r>
      <w:r w:rsidR="00984F3C" w:rsidRPr="00984F3C">
        <w:t xml:space="preserve">metropolitan </w:t>
      </w:r>
      <w:r w:rsidR="008C2829" w:rsidRPr="00984F3C">
        <w:t>centre,</w:t>
      </w:r>
      <w:r w:rsidRPr="00984F3C">
        <w:t xml:space="preserve"> New South Wales</w:t>
      </w:r>
    </w:p>
    <w:p w:rsidR="007C54F6" w:rsidRDefault="009C1C12" w:rsidP="007C54F6">
      <w:r>
        <w:br/>
      </w:r>
      <w:r w:rsidR="0085654C">
        <w:t xml:space="preserve">Clarifying expectations with both the job seeker and the employer prior to placement is important. </w:t>
      </w:r>
      <w:r w:rsidR="00B2617E" w:rsidRPr="008F4F71">
        <w:t xml:space="preserve">High performing sites provide </w:t>
      </w:r>
      <w:r w:rsidR="00A62BA7">
        <w:t>effective</w:t>
      </w:r>
      <w:r w:rsidR="00B2617E" w:rsidRPr="008F4F71">
        <w:t xml:space="preserve"> support to employers as well as job seekers</w:t>
      </w:r>
      <w:r w:rsidR="00B2617E">
        <w:t xml:space="preserve">, and explain </w:t>
      </w:r>
      <w:r w:rsidR="009718DF">
        <w:t xml:space="preserve">clearly </w:t>
      </w:r>
      <w:r w:rsidR="0085654C">
        <w:t xml:space="preserve">in advance what support will be available </w:t>
      </w:r>
      <w:r w:rsidR="00923472">
        <w:t xml:space="preserve">to </w:t>
      </w:r>
      <w:r w:rsidR="00E01703">
        <w:t xml:space="preserve">both </w:t>
      </w:r>
      <w:r w:rsidR="00923472">
        <w:t>the employer and job seeker.</w:t>
      </w:r>
      <w:r>
        <w:br/>
      </w:r>
    </w:p>
    <w:p w:rsidR="007C54F6" w:rsidRPr="00F85549" w:rsidRDefault="00FE4605" w:rsidP="00243BD4">
      <w:pPr>
        <w:pStyle w:val="StyleQuoteBlBoxSinglesolidlineAuto05ptLinewidth"/>
      </w:pPr>
      <w:r w:rsidRPr="00F85549">
        <w:t>If I notify the employer prior to an arrangement, let them know the benefits, that type of thing, I get good feedback from them...and they feel more comfortable talking to me because I’ve got that previously formed relationship, and also with the job seeker, and I’m able to hear both sides of the story</w:t>
      </w:r>
      <w:r w:rsidR="00984F3C" w:rsidRPr="00F85549">
        <w:t>.</w:t>
      </w:r>
    </w:p>
    <w:p w:rsidR="00FE4605" w:rsidRPr="00D63983" w:rsidRDefault="00FE4605" w:rsidP="0085654C">
      <w:pPr>
        <w:pStyle w:val="QuoteRef"/>
        <w:pBdr>
          <w:top w:val="single" w:sz="4" w:space="1" w:color="auto"/>
          <w:left w:val="single" w:sz="4" w:space="4" w:color="auto"/>
          <w:bottom w:val="single" w:sz="4" w:space="1" w:color="auto"/>
          <w:right w:val="single" w:sz="4" w:space="4" w:color="auto"/>
        </w:pBdr>
      </w:pPr>
      <w:r w:rsidRPr="00D63983">
        <w:t xml:space="preserve">Employment consultant, </w:t>
      </w:r>
      <w:r w:rsidR="00D314CF" w:rsidRPr="00D63983">
        <w:t xml:space="preserve">regional centre, </w:t>
      </w:r>
      <w:r w:rsidRPr="00D63983">
        <w:t>New South Wales</w:t>
      </w:r>
    </w:p>
    <w:p w:rsidR="0099685C" w:rsidRDefault="0099685C" w:rsidP="0099014C"/>
    <w:p w:rsidR="0099685C" w:rsidRDefault="001246E1" w:rsidP="00243BD4">
      <w:pPr>
        <w:pStyle w:val="StyleQuoteBlBoxSinglesolidlineAuto05ptLinewidth"/>
      </w:pPr>
      <w:r w:rsidRPr="00F85549">
        <w:t>Some job seekers don’t want the employer to know that they were with Centrelink. We need to explain that we are doing this for a compliance point of view, for Centrelink and DEEWR. If the job seeker requests less phone calls then we can do that...If they report and have proof then we sometimes don’t have to contact [the] employer.</w:t>
      </w:r>
      <w:r w:rsidR="0099685C">
        <w:br/>
      </w:r>
      <w:r w:rsidR="0099685C">
        <w:br/>
      </w:r>
      <w:r w:rsidR="0099685C" w:rsidRPr="0099685C">
        <w:rPr>
          <w:rStyle w:val="QuoteRefChar"/>
        </w:rPr>
        <w:t>Employment consultant, regional centre, New South Wales</w:t>
      </w:r>
    </w:p>
    <w:p w:rsidR="006E4629" w:rsidRDefault="009C1C12" w:rsidP="006E4629">
      <w:r>
        <w:br/>
      </w:r>
      <w:r w:rsidR="006E4629">
        <w:t>There are various approaches to providing post placement support, such as specialist staff that focus on post placement support, or employment consultants dedicating time each week to post placement support. Both strategies can be effective – what many service providers say is important is to have a planned, systematic approach and consistent applicati</w:t>
      </w:r>
      <w:r w:rsidR="0003036A">
        <w:t>on of effort at the site level.</w:t>
      </w:r>
    </w:p>
    <w:p w:rsidR="00D83C00" w:rsidRDefault="0085654C" w:rsidP="006D2376">
      <w:r>
        <w:t xml:space="preserve">It is also important for providers to understand job seekers’ and employers’ perspectives on post-placement contact. Post-placement contact which is focused solely on substantiating outcomes does not constitute ‘support’ from the point of view of the job seeker or employer, and can be burdensome. In some extreme cases job seekers have reported that they have lost their jobs because </w:t>
      </w:r>
      <w:r w:rsidR="006E4629">
        <w:t>their employer tire</w:t>
      </w:r>
      <w:r w:rsidR="009718DF">
        <w:t>d</w:t>
      </w:r>
      <w:r w:rsidR="006E4629">
        <w:t xml:space="preserve"> of repeated </w:t>
      </w:r>
      <w:r w:rsidR="0003036A">
        <w:t>contact from service providers.</w:t>
      </w:r>
      <w:r w:rsidR="009C1C12">
        <w:br/>
      </w:r>
    </w:p>
    <w:p w:rsidR="007C54F6" w:rsidRPr="00F85549" w:rsidRDefault="00D83C00" w:rsidP="00243BD4">
      <w:pPr>
        <w:pStyle w:val="StyleQuoteBlBoxSinglesolidlineAuto05ptLinewidth"/>
      </w:pPr>
      <w:r w:rsidRPr="00F85549">
        <w:t>Leave my employers alone. It makes it look like I’m a bum off the street, a dole bludging fruit loop that doesn’t know what I’m doing</w:t>
      </w:r>
      <w:r w:rsidR="00984F3C" w:rsidRPr="00F85549">
        <w:t>.</w:t>
      </w:r>
    </w:p>
    <w:p w:rsidR="00D83C00" w:rsidRPr="00984F3C" w:rsidRDefault="00D83C00" w:rsidP="0003036A">
      <w:pPr>
        <w:pStyle w:val="QuoteRef"/>
        <w:keepNext/>
        <w:keepLines/>
        <w:pBdr>
          <w:top w:val="single" w:sz="4" w:space="1" w:color="auto"/>
          <w:left w:val="single" w:sz="4" w:space="4" w:color="auto"/>
          <w:bottom w:val="single" w:sz="4" w:space="1" w:color="auto"/>
          <w:right w:val="single" w:sz="4" w:space="4" w:color="auto"/>
        </w:pBdr>
      </w:pPr>
      <w:r w:rsidRPr="00984F3C">
        <w:t>Job seeker,</w:t>
      </w:r>
      <w:r w:rsidR="00984F3C">
        <w:t xml:space="preserve"> </w:t>
      </w:r>
      <w:r w:rsidR="00984F3C" w:rsidRPr="00984F3C">
        <w:t>metropolitan</w:t>
      </w:r>
      <w:r w:rsidR="00984F3C">
        <w:t xml:space="preserve"> </w:t>
      </w:r>
      <w:r w:rsidRPr="00984F3C">
        <w:t>centre, New South Wales</w:t>
      </w:r>
    </w:p>
    <w:p w:rsidR="006E4629" w:rsidRDefault="009C1C12" w:rsidP="006D2376">
      <w:r>
        <w:br/>
      </w:r>
      <w:r w:rsidR="006E4629">
        <w:t xml:space="preserve">This highlights the importance of striking a balance between the preferences of job seekers and employers, and providers’ need to substantiate outcomes. </w:t>
      </w:r>
      <w:r w:rsidR="00984F3C" w:rsidRPr="006E4629">
        <w:t xml:space="preserve">Ensuring that post placement contacts are appropriate and </w:t>
      </w:r>
      <w:r w:rsidR="00F37CDB" w:rsidRPr="006E4629">
        <w:t xml:space="preserve">sensitive </w:t>
      </w:r>
      <w:r w:rsidR="003A44A9" w:rsidRPr="006E4629">
        <w:t xml:space="preserve">is </w:t>
      </w:r>
      <w:r w:rsidR="006E4629">
        <w:t>a vital aspect of safeguarding job placements and encouraging repeat business from employers</w:t>
      </w:r>
      <w:r w:rsidR="00F37CDB" w:rsidRPr="006E4629">
        <w:t>.</w:t>
      </w:r>
    </w:p>
    <w:p w:rsidR="00A53BCD" w:rsidRDefault="00EB40E0" w:rsidP="00EF1D64">
      <w:pPr>
        <w:pStyle w:val="Heading1"/>
      </w:pPr>
      <w:bookmarkStart w:id="76" w:name="_Toc326764342"/>
      <w:r>
        <w:t>4</w:t>
      </w:r>
      <w:r w:rsidR="00EF1D64" w:rsidRPr="000421A0">
        <w:t>.</w:t>
      </w:r>
      <w:r w:rsidR="00EF1D64">
        <w:tab/>
      </w:r>
      <w:r w:rsidR="00A53BCD">
        <w:t>Assisting employers</w:t>
      </w:r>
      <w:bookmarkEnd w:id="76"/>
    </w:p>
    <w:tbl>
      <w:tblPr>
        <w:tblStyle w:val="TableGrid"/>
        <w:tblW w:w="0" w:type="auto"/>
        <w:tblLook w:val="04A0"/>
      </w:tblPr>
      <w:tblGrid>
        <w:gridCol w:w="8720"/>
      </w:tblGrid>
      <w:tr w:rsidR="00F6688E" w:rsidTr="00B922D9">
        <w:trPr>
          <w:trHeight w:val="4313"/>
        </w:trPr>
        <w:tc>
          <w:tcPr>
            <w:tcW w:w="8720" w:type="dxa"/>
          </w:tcPr>
          <w:p w:rsidR="00F6688E" w:rsidRDefault="00F6688E" w:rsidP="002C70DA">
            <w:r w:rsidRPr="0036083F">
              <w:t>High performing sites are more likely than mid and low performing sites to</w:t>
            </w:r>
            <w:r>
              <w:t>:</w:t>
            </w:r>
          </w:p>
          <w:p w:rsidR="00F6688E" w:rsidRDefault="00F6688E" w:rsidP="006D2376">
            <w:pPr>
              <w:pStyle w:val="ListBullet"/>
            </w:pPr>
            <w:r>
              <w:t>Use a wide range of strategies to identify employers’ skills needs.</w:t>
            </w:r>
          </w:p>
          <w:p w:rsidR="00F6688E" w:rsidRDefault="00F6688E" w:rsidP="006D2376">
            <w:pPr>
              <w:pStyle w:val="ListBullet"/>
            </w:pPr>
            <w:r>
              <w:t xml:space="preserve">Use knowledge of the local employment market and employers’ skills needs to </w:t>
            </w:r>
            <w:r w:rsidR="00E03ADE">
              <w:t>customise</w:t>
            </w:r>
            <w:r>
              <w:t xml:space="preserve"> training and activities or promote relevant apprenticeships and traineeships.</w:t>
            </w:r>
          </w:p>
          <w:p w:rsidR="00F6688E" w:rsidRDefault="00F6688E" w:rsidP="006D2376">
            <w:pPr>
              <w:pStyle w:val="ListBullet"/>
            </w:pPr>
            <w:r>
              <w:t>Maintain good relationships with employers by:</w:t>
            </w:r>
          </w:p>
          <w:p w:rsidR="00F6688E" w:rsidRDefault="00F6688E" w:rsidP="006D2376">
            <w:pPr>
              <w:pStyle w:val="ListBullet2"/>
            </w:pPr>
            <w:r>
              <w:t>providing consistently high quality service</w:t>
            </w:r>
          </w:p>
          <w:p w:rsidR="00F6688E" w:rsidRDefault="00F6688E" w:rsidP="006D2376">
            <w:pPr>
              <w:pStyle w:val="ListBullet2"/>
            </w:pPr>
            <w:r>
              <w:t>clearly explaining the services they provide</w:t>
            </w:r>
          </w:p>
          <w:p w:rsidR="00F6688E" w:rsidRDefault="00F6688E" w:rsidP="006D2376">
            <w:pPr>
              <w:pStyle w:val="ListBullet2"/>
            </w:pPr>
            <w:r>
              <w:t>appreciating the value of the employers’ time</w:t>
            </w:r>
          </w:p>
          <w:p w:rsidR="00F6688E" w:rsidRDefault="00F6688E" w:rsidP="006D2376">
            <w:pPr>
              <w:pStyle w:val="ListBullet2"/>
            </w:pPr>
            <w:r>
              <w:t>developing an understanding of the employers’ business</w:t>
            </w:r>
          </w:p>
          <w:p w:rsidR="00F6688E" w:rsidRDefault="00F6688E" w:rsidP="006D2376">
            <w:pPr>
              <w:pStyle w:val="ListBullet2"/>
            </w:pPr>
            <w:proofErr w:type="gramStart"/>
            <w:r>
              <w:t>placing</w:t>
            </w:r>
            <w:proofErr w:type="gramEnd"/>
            <w:r>
              <w:t xml:space="preserve"> job seekers that are job-ready and appropriate for the job.</w:t>
            </w:r>
          </w:p>
          <w:p w:rsidR="00F6688E" w:rsidRPr="006D2376" w:rsidRDefault="00F6688E" w:rsidP="006D2376">
            <w:pPr>
              <w:pStyle w:val="ListBullet"/>
            </w:pPr>
            <w:r w:rsidRPr="006D2376">
              <w:t>Provide effective post placement support to employers.</w:t>
            </w:r>
          </w:p>
          <w:p w:rsidR="00B922D9" w:rsidRDefault="00B922D9" w:rsidP="00B922D9">
            <w:r w:rsidRPr="00C82566">
              <w:t xml:space="preserve">More detail on employer serving in Job Services Australia will be presented in the forthcoming publication </w:t>
            </w:r>
            <w:r w:rsidRPr="006D2376">
              <w:rPr>
                <w:rStyle w:val="Emphasis"/>
              </w:rPr>
              <w:t>Employer Servicing: Evaluation of Job Services Australia 2009–2-12</w:t>
            </w:r>
            <w:r w:rsidRPr="0099014C">
              <w:t>.</w:t>
            </w:r>
          </w:p>
        </w:tc>
      </w:tr>
    </w:tbl>
    <w:p w:rsidR="00ED16E0" w:rsidRPr="00ED16E0" w:rsidRDefault="00EB40E0" w:rsidP="00ED16E0">
      <w:pPr>
        <w:pStyle w:val="Heading2"/>
      </w:pPr>
      <w:bookmarkStart w:id="77" w:name="_Toc326764343"/>
      <w:r>
        <w:t>4</w:t>
      </w:r>
      <w:r w:rsidR="00EF1D64">
        <w:t>.1</w:t>
      </w:r>
      <w:r w:rsidR="00EF1D64">
        <w:tab/>
      </w:r>
      <w:r w:rsidR="00ED16E0" w:rsidRPr="00ED16E0">
        <w:t>Identifying skills needs</w:t>
      </w:r>
      <w:bookmarkEnd w:id="77"/>
    </w:p>
    <w:p w:rsidR="00595335" w:rsidRDefault="007D013A" w:rsidP="00595335">
      <w:r>
        <w:t xml:space="preserve">Understanding where the local employment opportunities </w:t>
      </w:r>
      <w:r w:rsidR="007604B4">
        <w:t>lie</w:t>
      </w:r>
      <w:r>
        <w:t xml:space="preserve"> is critical for providers to maximise job placements and outcomes.</w:t>
      </w:r>
      <w:r w:rsidR="00595335" w:rsidRPr="00595335">
        <w:t xml:space="preserve"> </w:t>
      </w:r>
      <w:r w:rsidR="00595335">
        <w:t xml:space="preserve">Additionally, providers who are able to demonstrate their knowledge of the local labour market </w:t>
      </w:r>
      <w:r w:rsidR="007604B4">
        <w:t xml:space="preserve">are </w:t>
      </w:r>
      <w:r w:rsidR="00595335">
        <w:t xml:space="preserve">able to add value to </w:t>
      </w:r>
      <w:r w:rsidR="007604B4">
        <w:t xml:space="preserve">job seekers’ </w:t>
      </w:r>
      <w:r w:rsidR="00595335">
        <w:t>job search</w:t>
      </w:r>
      <w:r w:rsidR="007604B4">
        <w:t>, with flow-on benefits for</w:t>
      </w:r>
      <w:r w:rsidR="00595335">
        <w:t xml:space="preserve"> job seeker engagement.</w:t>
      </w:r>
    </w:p>
    <w:p w:rsidR="007D013A" w:rsidRDefault="00626681" w:rsidP="007D013A">
      <w:r w:rsidRPr="007D013A">
        <w:t xml:space="preserve">High performing sites report using </w:t>
      </w:r>
      <w:r w:rsidR="009718DF">
        <w:t xml:space="preserve">a </w:t>
      </w:r>
      <w:r w:rsidR="00960C2D" w:rsidRPr="007D013A">
        <w:t>wide range</w:t>
      </w:r>
      <w:r w:rsidRPr="007D013A">
        <w:t xml:space="preserve"> of strategies to identify employer skills needs, including scanning job notices and internet job sites, and networking with employers and other providers</w:t>
      </w:r>
      <w:r w:rsidR="003D1E31" w:rsidRPr="007D013A">
        <w:t xml:space="preserve"> (</w:t>
      </w:r>
      <w:hyperlink w:anchor="Figure10" w:tooltip="How employment service providers determine employers’ skills needs" w:history="1">
        <w:r w:rsidR="007D013A" w:rsidRPr="006D2376">
          <w:rPr>
            <w:rStyle w:val="Hyperlink"/>
          </w:rPr>
          <w:t>Figure</w:t>
        </w:r>
        <w:r w:rsidR="003D1E31" w:rsidRPr="006D2376">
          <w:rPr>
            <w:rStyle w:val="Hyperlink"/>
          </w:rPr>
          <w:t xml:space="preserve"> </w:t>
        </w:r>
        <w:r w:rsidR="00AF48F4" w:rsidRPr="006D2376">
          <w:rPr>
            <w:rStyle w:val="Hyperlink"/>
          </w:rPr>
          <w:t>1</w:t>
        </w:r>
        <w:r w:rsidR="00BE6C08" w:rsidRPr="006D2376">
          <w:rPr>
            <w:rStyle w:val="Hyperlink"/>
          </w:rPr>
          <w:t>0</w:t>
        </w:r>
      </w:hyperlink>
      <w:r w:rsidR="003D1E31" w:rsidRPr="007D013A">
        <w:t xml:space="preserve"> ).</w:t>
      </w:r>
      <w:r w:rsidR="007D013A" w:rsidRPr="007D013A">
        <w:t xml:space="preserve"> </w:t>
      </w:r>
      <w:r w:rsidR="007D013A">
        <w:t>However service providers at all performance levels could be doing more in almost all of these categories.</w:t>
      </w:r>
    </w:p>
    <w:p w:rsidR="003D1E31" w:rsidRPr="00C318C5" w:rsidRDefault="007D013A" w:rsidP="0024454B">
      <w:pPr>
        <w:pStyle w:val="FigureHeading"/>
      </w:pPr>
      <w:bookmarkStart w:id="78" w:name="Figure10"/>
      <w:bookmarkEnd w:id="78"/>
      <w:r w:rsidRPr="00C318C5">
        <w:t>Figure</w:t>
      </w:r>
      <w:r w:rsidR="003D1E31" w:rsidRPr="00C318C5">
        <w:t xml:space="preserve"> </w:t>
      </w:r>
      <w:r w:rsidR="00AF48F4" w:rsidRPr="00C318C5">
        <w:t>1</w:t>
      </w:r>
      <w:r w:rsidR="00BE6C08" w:rsidRPr="00C318C5">
        <w:t>0</w:t>
      </w:r>
      <w:r w:rsidR="003D1E31" w:rsidRPr="00C318C5">
        <w:t>: How employment service providers determine employers’ skills needs (</w:t>
      </w:r>
      <w:r w:rsidR="007604B4" w:rsidRPr="00C318C5">
        <w:t>per cent</w:t>
      </w:r>
      <w:r w:rsidR="003D1E31" w:rsidRPr="00C318C5">
        <w:t>)</w:t>
      </w:r>
    </w:p>
    <w:p w:rsidR="00626681" w:rsidRDefault="008C68DA" w:rsidP="00626681">
      <w:r w:rsidRPr="008C68DA">
        <w:rPr>
          <w:noProof/>
        </w:rPr>
        <w:drawing>
          <wp:inline distT="0" distB="0" distL="0" distR="0">
            <wp:extent cx="4175354" cy="2806262"/>
            <wp:effectExtent l="19050" t="0" r="0" b="0"/>
            <wp:docPr id="4" name="Picture 4" descr="Graph showing percentage of how employment service providers determine employers' skills per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4184895" cy="2812674"/>
                    </a:xfrm>
                    <a:prstGeom prst="rect">
                      <a:avLst/>
                    </a:prstGeom>
                    <a:noFill/>
                    <a:ln w="9525">
                      <a:noFill/>
                      <a:miter lim="800000"/>
                      <a:headEnd/>
                      <a:tailEnd/>
                    </a:ln>
                  </pic:spPr>
                </pic:pic>
              </a:graphicData>
            </a:graphic>
          </wp:inline>
        </w:drawing>
      </w:r>
    </w:p>
    <w:p w:rsidR="003D1E31" w:rsidRDefault="003D1E31" w:rsidP="003D1E31">
      <w:pPr>
        <w:pStyle w:val="Sourceandnotetext"/>
      </w:pPr>
      <w:r w:rsidRPr="00BA694D">
        <w:rPr>
          <w:b/>
          <w:bCs/>
        </w:rPr>
        <w:t>Source:</w:t>
      </w:r>
      <w:r>
        <w:t xml:space="preserve"> DEEWR Survey of Employment Service Providers 2010</w:t>
      </w:r>
    </w:p>
    <w:p w:rsidR="004A55EB" w:rsidRPr="001F70F1" w:rsidRDefault="004A55EB" w:rsidP="0083197E">
      <w:pPr>
        <w:pStyle w:val="Sourceandnotetext"/>
      </w:pPr>
      <w:r>
        <w:t xml:space="preserve">Refer to Appendix </w:t>
      </w:r>
      <w:proofErr w:type="spellStart"/>
      <w:r>
        <w:t>A1.10</w:t>
      </w:r>
      <w:proofErr w:type="spellEnd"/>
      <w:r>
        <w:t xml:space="preserve"> to view </w:t>
      </w:r>
      <w:r w:rsidRPr="001F70F1">
        <w:t xml:space="preserve">the </w:t>
      </w:r>
      <w:hyperlink w:anchor="TableA1_10" w:tooltip="View the text version of Figure 10: How employment service providers determine employers’ skills needs" w:history="1">
        <w:r w:rsidRPr="001F70F1">
          <w:t>text version of Figure 10: How employment service providers determine employers’ skills needs</w:t>
        </w:r>
      </w:hyperlink>
    </w:p>
    <w:p w:rsidR="006F63D3" w:rsidRDefault="00EB40E0" w:rsidP="006F63D3">
      <w:pPr>
        <w:pStyle w:val="Heading2"/>
      </w:pPr>
      <w:bookmarkStart w:id="79" w:name="_Toc326764344"/>
      <w:r>
        <w:t>4</w:t>
      </w:r>
      <w:r w:rsidR="006F63D3">
        <w:t>.2</w:t>
      </w:r>
      <w:r w:rsidR="006F63D3">
        <w:tab/>
        <w:t>Meeting employers’ needs</w:t>
      </w:r>
      <w:bookmarkEnd w:id="79"/>
    </w:p>
    <w:p w:rsidR="006F63D3" w:rsidRPr="00595335" w:rsidRDefault="006F63D3" w:rsidP="00B4074B">
      <w:r w:rsidRPr="00595335">
        <w:t xml:space="preserve">High performing sites report that they use their knowledge of the local employment market and employers’ skills needs to tailor training and activities </w:t>
      </w:r>
      <w:r w:rsidR="002D0408" w:rsidRPr="00595335">
        <w:t>and</w:t>
      </w:r>
      <w:r w:rsidRPr="00595335">
        <w:t xml:space="preserve"> promote relevant apprenticeships and traineeships</w:t>
      </w:r>
      <w:r w:rsidR="00595335" w:rsidRPr="00595335">
        <w:t>, including</w:t>
      </w:r>
      <w:r w:rsidRPr="00595335">
        <w:t>:</w:t>
      </w:r>
    </w:p>
    <w:p w:rsidR="006F63D3" w:rsidRDefault="00595335" w:rsidP="00D12A47">
      <w:pPr>
        <w:pStyle w:val="ListBullet"/>
      </w:pPr>
      <w:r>
        <w:t>A</w:t>
      </w:r>
      <w:r w:rsidR="006F63D3">
        <w:t xml:space="preserve">rrange or tailor training courses to </w:t>
      </w:r>
      <w:r>
        <w:t>address identified skills needs.</w:t>
      </w:r>
    </w:p>
    <w:p w:rsidR="006F63D3" w:rsidRDefault="00595335" w:rsidP="00D12A47">
      <w:pPr>
        <w:pStyle w:val="ListBullet"/>
      </w:pPr>
      <w:r>
        <w:t>I</w:t>
      </w:r>
      <w:r w:rsidR="006F63D3">
        <w:t>nform job seekers of needed skills and vacancies</w:t>
      </w:r>
      <w:r>
        <w:t>.</w:t>
      </w:r>
    </w:p>
    <w:p w:rsidR="006F63D3" w:rsidRDefault="00595335" w:rsidP="00D12A47">
      <w:pPr>
        <w:pStyle w:val="ListBullet"/>
      </w:pPr>
      <w:r>
        <w:t>M</w:t>
      </w:r>
      <w:r w:rsidR="006F63D3">
        <w:t>atch job seekers to vaca</w:t>
      </w:r>
      <w:r>
        <w:t>ncies that suit their interests.</w:t>
      </w:r>
    </w:p>
    <w:p w:rsidR="006F63D3" w:rsidRDefault="00595335" w:rsidP="00D12A47">
      <w:pPr>
        <w:pStyle w:val="ListBullet"/>
      </w:pPr>
      <w:r>
        <w:t>P</w:t>
      </w:r>
      <w:r w:rsidR="006F63D3">
        <w:t>romote apprenticeships or traineeships th</w:t>
      </w:r>
      <w:r>
        <w:t>at meet employers’ requirements.</w:t>
      </w:r>
    </w:p>
    <w:p w:rsidR="006F63D3" w:rsidRPr="00595335" w:rsidRDefault="006F63D3" w:rsidP="00B4074B">
      <w:r w:rsidRPr="00595335">
        <w:t>Employers report that they value service providers who</w:t>
      </w:r>
      <w:r w:rsidR="00393040">
        <w:t>:</w:t>
      </w:r>
    </w:p>
    <w:p w:rsidR="006F63D3" w:rsidRPr="00595335" w:rsidRDefault="006F63D3" w:rsidP="00D12A47">
      <w:pPr>
        <w:pStyle w:val="ListBullet"/>
      </w:pPr>
      <w:r w:rsidRPr="00595335">
        <w:t>provide suitable applicants</w:t>
      </w:r>
      <w:r w:rsidR="00595335">
        <w:t>;</w:t>
      </w:r>
    </w:p>
    <w:p w:rsidR="006F63D3" w:rsidRPr="00595335" w:rsidRDefault="006F63D3" w:rsidP="00D12A47">
      <w:pPr>
        <w:pStyle w:val="ListBullet"/>
      </w:pPr>
      <w:r w:rsidRPr="00595335">
        <w:t>provide a fast service and save them time</w:t>
      </w:r>
      <w:r w:rsidR="00595335">
        <w:t>;</w:t>
      </w:r>
    </w:p>
    <w:p w:rsidR="006F63D3" w:rsidRPr="00595335" w:rsidRDefault="006F63D3" w:rsidP="00D12A47">
      <w:pPr>
        <w:pStyle w:val="ListBullet"/>
      </w:pPr>
      <w:r w:rsidRPr="00595335">
        <w:t>provide an easy and convenience service</w:t>
      </w:r>
      <w:r w:rsidR="00595335">
        <w:t>;</w:t>
      </w:r>
    </w:p>
    <w:p w:rsidR="006F63D3" w:rsidRPr="00595335" w:rsidRDefault="006F63D3" w:rsidP="00D12A47">
      <w:pPr>
        <w:pStyle w:val="ListBullet"/>
      </w:pPr>
      <w:r w:rsidRPr="00595335">
        <w:t>provide a</w:t>
      </w:r>
      <w:r w:rsidR="00AD1ED8" w:rsidRPr="00595335">
        <w:t>n effective</w:t>
      </w:r>
      <w:r w:rsidRPr="00595335">
        <w:t xml:space="preserve"> screening process</w:t>
      </w:r>
      <w:r w:rsidR="00595335">
        <w:t>; and</w:t>
      </w:r>
    </w:p>
    <w:p w:rsidR="006F63D3" w:rsidRPr="00595335" w:rsidRDefault="006F63D3" w:rsidP="00D12A47">
      <w:pPr>
        <w:pStyle w:val="ListBullet"/>
      </w:pPr>
      <w:proofErr w:type="gramStart"/>
      <w:r w:rsidRPr="00595335">
        <w:t>listen</w:t>
      </w:r>
      <w:proofErr w:type="gramEnd"/>
      <w:r w:rsidRPr="00595335">
        <w:t xml:space="preserve"> to their need</w:t>
      </w:r>
      <w:r w:rsidRPr="00276E15">
        <w:t>s</w:t>
      </w:r>
      <w:r w:rsidR="00393040" w:rsidRPr="00276E15">
        <w:t xml:space="preserve"> </w:t>
      </w:r>
      <w:r w:rsidR="00AA1DD9" w:rsidRPr="00276E15">
        <w:t>(Employer survey, 2010)</w:t>
      </w:r>
      <w:r w:rsidRPr="00595335">
        <w:t>.</w:t>
      </w:r>
    </w:p>
    <w:p w:rsidR="006F63D3" w:rsidRPr="00595335" w:rsidRDefault="006F63D3" w:rsidP="006F63D3">
      <w:r w:rsidRPr="00595335">
        <w:t xml:space="preserve">Strategies that service providers use for dealing with employers vary. Some sites have dedicated staff focusing on employer relationships, while others allocate dedicated time for employment consultants to contact employers. </w:t>
      </w:r>
      <w:r w:rsidR="00D8734E" w:rsidRPr="00595335">
        <w:t>Either strategy can be effective, provided there is a consistently applied plan</w:t>
      </w:r>
      <w:r w:rsidR="001E3A43">
        <w:t xml:space="preserve"> at the site level</w:t>
      </w:r>
      <w:r w:rsidR="00D8734E" w:rsidRPr="00595335">
        <w:t>.</w:t>
      </w:r>
    </w:p>
    <w:p w:rsidR="009E183D" w:rsidRDefault="00EB40E0" w:rsidP="006F63D3">
      <w:pPr>
        <w:pStyle w:val="Heading2"/>
      </w:pPr>
      <w:bookmarkStart w:id="80" w:name="_Toc326764345"/>
      <w:r>
        <w:t>4</w:t>
      </w:r>
      <w:r w:rsidR="00EF1D64">
        <w:t>.</w:t>
      </w:r>
      <w:r w:rsidR="006F63D3">
        <w:t>3</w:t>
      </w:r>
      <w:r w:rsidR="00EF1D64">
        <w:tab/>
      </w:r>
      <w:r w:rsidR="009E183D">
        <w:t>Providing good service</w:t>
      </w:r>
      <w:bookmarkEnd w:id="80"/>
    </w:p>
    <w:p w:rsidR="006F63D3" w:rsidRDefault="006F63D3" w:rsidP="006F63D3">
      <w:r>
        <w:t>High performing sites report that they use many means to stay in touch with employers</w:t>
      </w:r>
      <w:r w:rsidR="001E3A43">
        <w:t>, including attending</w:t>
      </w:r>
      <w:r>
        <w:t xml:space="preserve"> </w:t>
      </w:r>
      <w:r w:rsidR="001E3A43">
        <w:t>J</w:t>
      </w:r>
      <w:r>
        <w:t xml:space="preserve">obs </w:t>
      </w:r>
      <w:r w:rsidR="001E3A43">
        <w:t>E</w:t>
      </w:r>
      <w:r>
        <w:t>xpos</w:t>
      </w:r>
      <w:r w:rsidR="00D8734E">
        <w:t xml:space="preserve"> (fairs bringing together job seekers and employers with jobs on offer)</w:t>
      </w:r>
      <w:r>
        <w:t xml:space="preserve">, meetings of local employers’ associations and of the </w:t>
      </w:r>
      <w:r w:rsidR="009718DF">
        <w:t xml:space="preserve">local </w:t>
      </w:r>
      <w:r>
        <w:t xml:space="preserve">Chamber of Commerce. Some </w:t>
      </w:r>
      <w:r w:rsidR="001E3A43">
        <w:t>providers cold-</w:t>
      </w:r>
      <w:r>
        <w:t>call employers, or call about advertised positions and then use the opportunity to discuss other upcoming employment needs</w:t>
      </w:r>
      <w:r w:rsidR="001E3A43">
        <w:t xml:space="preserve"> or </w:t>
      </w:r>
      <w:r>
        <w:t>to gain information about the employer and their industry.</w:t>
      </w:r>
    </w:p>
    <w:p w:rsidR="003D1E31" w:rsidRPr="001E3A43" w:rsidRDefault="00626681" w:rsidP="00B4074B">
      <w:r w:rsidRPr="001E3A43">
        <w:t>High performing sites work to maintain good relationships with employers</w:t>
      </w:r>
      <w:r w:rsidR="003D1E31" w:rsidRPr="001E3A43">
        <w:t xml:space="preserve"> by:</w:t>
      </w:r>
    </w:p>
    <w:p w:rsidR="00960C2D" w:rsidRDefault="001E3A43" w:rsidP="00D12A47">
      <w:pPr>
        <w:pStyle w:val="ListBullet"/>
      </w:pPr>
      <w:r>
        <w:t>P</w:t>
      </w:r>
      <w:r w:rsidR="003D1E31">
        <w:t xml:space="preserve">roviding </w:t>
      </w:r>
      <w:r w:rsidR="00960C2D">
        <w:t xml:space="preserve">consistently high </w:t>
      </w:r>
      <w:r w:rsidR="003D1E31">
        <w:t>quality</w:t>
      </w:r>
      <w:r>
        <w:t xml:space="preserve"> customer </w:t>
      </w:r>
      <w:r w:rsidR="003D1E31">
        <w:t>service</w:t>
      </w:r>
      <w:r>
        <w:t>.</w:t>
      </w:r>
    </w:p>
    <w:p w:rsidR="003D1E31" w:rsidRDefault="001E3A43" w:rsidP="00D12A47">
      <w:pPr>
        <w:pStyle w:val="ListBullet"/>
      </w:pPr>
      <w:r>
        <w:t>C</w:t>
      </w:r>
      <w:r w:rsidR="003D1E31">
        <w:t>learly explai</w:t>
      </w:r>
      <w:r>
        <w:t>ning what services they provide.</w:t>
      </w:r>
    </w:p>
    <w:p w:rsidR="00A20871" w:rsidRDefault="001E3A43" w:rsidP="00D12A47">
      <w:pPr>
        <w:pStyle w:val="ListBullet"/>
      </w:pPr>
      <w:r>
        <w:t>Demonstrating that they u</w:t>
      </w:r>
      <w:r w:rsidR="00A20871">
        <w:t>nderstand the value of the employers’ time</w:t>
      </w:r>
    </w:p>
    <w:p w:rsidR="00A20871" w:rsidRDefault="001E3A43" w:rsidP="00D12A47">
      <w:pPr>
        <w:pStyle w:val="ListBullet"/>
      </w:pPr>
      <w:r>
        <w:t>D</w:t>
      </w:r>
      <w:r w:rsidR="00A20871">
        <w:t>eveloping an understanding the employers’ business</w:t>
      </w:r>
      <w:r>
        <w:t>.</w:t>
      </w:r>
    </w:p>
    <w:p w:rsidR="003D1E31" w:rsidRDefault="001E3A43" w:rsidP="00D12A47">
      <w:pPr>
        <w:pStyle w:val="ListBullet"/>
      </w:pPr>
      <w:r>
        <w:t>M</w:t>
      </w:r>
      <w:r w:rsidR="003D1E31">
        <w:t>inimising ‘red tape’ as much as possible</w:t>
      </w:r>
      <w:r w:rsidR="009F62FE">
        <w:t>,</w:t>
      </w:r>
      <w:r w:rsidR="003D1E31">
        <w:t xml:space="preserve"> or </w:t>
      </w:r>
      <w:r w:rsidR="009F62FE">
        <w:t xml:space="preserve">even </w:t>
      </w:r>
      <w:r w:rsidR="003D1E31">
        <w:t>doing it for the employer when appropriate</w:t>
      </w:r>
      <w:r>
        <w:t>.</w:t>
      </w:r>
    </w:p>
    <w:p w:rsidR="003D1E31" w:rsidRDefault="001E3A43" w:rsidP="00D12A47">
      <w:pPr>
        <w:pStyle w:val="ListBullet"/>
      </w:pPr>
      <w:r>
        <w:t>E</w:t>
      </w:r>
      <w:r w:rsidR="003D1E31">
        <w:t>nsuring that employers do not have to repeat information</w:t>
      </w:r>
      <w:r w:rsidR="00960C2D">
        <w:t xml:space="preserve">, by either </w:t>
      </w:r>
      <w:r w:rsidR="00A20871">
        <w:t>using</w:t>
      </w:r>
      <w:r w:rsidR="009F62FE">
        <w:t xml:space="preserve"> </w:t>
      </w:r>
      <w:r w:rsidR="00A20871">
        <w:t xml:space="preserve">the same </w:t>
      </w:r>
      <w:r w:rsidR="009F62FE">
        <w:t>staff</w:t>
      </w:r>
      <w:r w:rsidR="00A20871">
        <w:t xml:space="preserve"> member</w:t>
      </w:r>
      <w:r w:rsidR="009F62FE">
        <w:t xml:space="preserve"> </w:t>
      </w:r>
      <w:r w:rsidR="00A20871">
        <w:t xml:space="preserve">to </w:t>
      </w:r>
      <w:r w:rsidR="003D1E31">
        <w:t>contact</w:t>
      </w:r>
      <w:r w:rsidR="00A20871">
        <w:t xml:space="preserve"> </w:t>
      </w:r>
      <w:r>
        <w:t xml:space="preserve">the </w:t>
      </w:r>
      <w:r w:rsidR="00A20871">
        <w:t>employer</w:t>
      </w:r>
      <w:r>
        <w:t xml:space="preserve"> each time</w:t>
      </w:r>
      <w:r w:rsidR="00A20871">
        <w:t>,</w:t>
      </w:r>
      <w:r w:rsidR="003D1E31">
        <w:t xml:space="preserve"> or ensuring </w:t>
      </w:r>
      <w:r w:rsidR="009F62FE">
        <w:t xml:space="preserve">that all relevant </w:t>
      </w:r>
      <w:r w:rsidR="003D1E31">
        <w:t xml:space="preserve">information is passed between </w:t>
      </w:r>
      <w:r>
        <w:t>staff members.</w:t>
      </w:r>
      <w:r w:rsidR="003D1E31">
        <w:t xml:space="preserve"> </w:t>
      </w:r>
    </w:p>
    <w:p w:rsidR="00626681" w:rsidRDefault="001E3A43" w:rsidP="00D12A47">
      <w:pPr>
        <w:pStyle w:val="ListBullet"/>
      </w:pPr>
      <w:r>
        <w:t>P</w:t>
      </w:r>
      <w:r w:rsidR="003D1E31">
        <w:t xml:space="preserve">roviding </w:t>
      </w:r>
      <w:r w:rsidR="00A20871">
        <w:t>good</w:t>
      </w:r>
      <w:r w:rsidR="009F62FE">
        <w:t xml:space="preserve"> </w:t>
      </w:r>
      <w:r w:rsidR="003D1E31">
        <w:t xml:space="preserve">post placement support </w:t>
      </w:r>
      <w:r w:rsidR="00D8734E">
        <w:t>that is appropriate to the needs of the job seeker and employer</w:t>
      </w:r>
      <w:r w:rsidR="00EB56B3">
        <w:t>.</w:t>
      </w:r>
    </w:p>
    <w:p w:rsidR="007C54F6" w:rsidRPr="00D63983" w:rsidRDefault="007C54F6" w:rsidP="00243BD4">
      <w:pPr>
        <w:pStyle w:val="StyleQuoteBlBoxSinglesolidlineAuto05ptLinewidth"/>
      </w:pPr>
      <w:r w:rsidRPr="00D63983">
        <w:t>...</w:t>
      </w:r>
      <w:r w:rsidR="00D83C00" w:rsidRPr="00D63983">
        <w:t>I think sometimes we have made it hard for employers when we go back to them and sign this form and tick this box and answer this question. We make it more difficult than it has to be and I think some employers go —‘this is too hard</w:t>
      </w:r>
      <w:r w:rsidR="00984F3C" w:rsidRPr="00D63983">
        <w:t xml:space="preserve">, </w:t>
      </w:r>
      <w:r w:rsidR="00D83C00" w:rsidRPr="00D63983">
        <w:t>I’ll put an ad it the paper and spend a day rather than have you harass me all the time</w:t>
      </w:r>
      <w:r w:rsidRPr="00D63983">
        <w:t>.</w:t>
      </w:r>
      <w:r w:rsidR="009718DF">
        <w:t>’</w:t>
      </w:r>
    </w:p>
    <w:p w:rsidR="00D83C00" w:rsidRPr="007C54F6" w:rsidRDefault="007C54F6" w:rsidP="001E3A43">
      <w:pPr>
        <w:pStyle w:val="QuoteRef"/>
        <w:pBdr>
          <w:top w:val="single" w:sz="4" w:space="1" w:color="auto"/>
          <w:left w:val="single" w:sz="4" w:space="4" w:color="auto"/>
          <w:bottom w:val="single" w:sz="4" w:space="1" w:color="auto"/>
          <w:right w:val="single" w:sz="4" w:space="4" w:color="auto"/>
        </w:pBdr>
      </w:pPr>
      <w:r w:rsidRPr="007C54F6">
        <w:t>S</w:t>
      </w:r>
      <w:r w:rsidR="00984F3C">
        <w:t>ite manager, metropolitan centre, Queensland</w:t>
      </w:r>
    </w:p>
    <w:p w:rsidR="00A540C4" w:rsidRDefault="00D8734E">
      <w:r>
        <w:t xml:space="preserve">Providing good service and maintaining good relationships with employers </w:t>
      </w:r>
      <w:r w:rsidR="001E3A43">
        <w:t>maximises the opportunity for</w:t>
      </w:r>
      <w:r>
        <w:t xml:space="preserve"> repeat </w:t>
      </w:r>
      <w:r w:rsidR="001E3A43">
        <w:t>business</w:t>
      </w:r>
      <w:r>
        <w:t>, and encourage</w:t>
      </w:r>
      <w:r w:rsidR="001E3A43">
        <w:t>s</w:t>
      </w:r>
      <w:r>
        <w:t xml:space="preserve"> other employers to use the </w:t>
      </w:r>
      <w:r w:rsidR="001E3A43">
        <w:t>provider</w:t>
      </w:r>
      <w:r>
        <w:t>.</w:t>
      </w:r>
    </w:p>
    <w:p w:rsidR="00880AFA" w:rsidRDefault="00393040" w:rsidP="00880AFA">
      <w:pPr>
        <w:pStyle w:val="Heading1"/>
      </w:pPr>
      <w:bookmarkStart w:id="81" w:name="_Toc326764346"/>
      <w:r>
        <w:t>5</w:t>
      </w:r>
      <w:r w:rsidR="00EF1D64">
        <w:t>.</w:t>
      </w:r>
      <w:r w:rsidR="00EF1D64">
        <w:tab/>
      </w:r>
      <w:r w:rsidR="00880AFA">
        <w:t>Overall business approach</w:t>
      </w:r>
      <w:bookmarkEnd w:id="81"/>
    </w:p>
    <w:p w:rsidR="005918C2" w:rsidRDefault="005918C2" w:rsidP="003E54C6">
      <w:pPr>
        <w:pStyle w:val="NormalStyleBoxSinglesolidlineAuto05ptLinewidth"/>
      </w:pPr>
      <w:r w:rsidRPr="0036083F">
        <w:t xml:space="preserve">High performing sites are more likely than mid and low performing sites </w:t>
      </w:r>
      <w:proofErr w:type="gramStart"/>
      <w:r w:rsidRPr="0036083F">
        <w:t>to</w:t>
      </w:r>
      <w:r>
        <w:t xml:space="preserve"> :</w:t>
      </w:r>
      <w:proofErr w:type="gramEnd"/>
    </w:p>
    <w:p w:rsidR="005918C2" w:rsidRDefault="005918C2" w:rsidP="005918C2">
      <w:pPr>
        <w:pStyle w:val="ListBullet"/>
        <w:pBdr>
          <w:top w:val="single" w:sz="4" w:space="1" w:color="auto"/>
          <w:left w:val="single" w:sz="4" w:space="4" w:color="auto"/>
          <w:bottom w:val="single" w:sz="4" w:space="1" w:color="auto"/>
          <w:right w:val="single" w:sz="4" w:space="4" w:color="auto"/>
        </w:pBdr>
      </w:pPr>
      <w:r>
        <w:t>Build connections within their community, with community organisations, employer organisations, and with other Government programs with other employment service providers when needed to meet employer needs or organise training courses or activities.</w:t>
      </w:r>
    </w:p>
    <w:p w:rsidR="005918C2" w:rsidRDefault="005918C2" w:rsidP="005918C2">
      <w:pPr>
        <w:pStyle w:val="ListBullet"/>
        <w:pBdr>
          <w:top w:val="single" w:sz="4" w:space="1" w:color="auto"/>
          <w:left w:val="single" w:sz="4" w:space="4" w:color="auto"/>
          <w:bottom w:val="single" w:sz="4" w:space="1" w:color="auto"/>
          <w:right w:val="single" w:sz="4" w:space="4" w:color="auto"/>
        </w:pBdr>
      </w:pPr>
      <w:r>
        <w:t>B</w:t>
      </w:r>
      <w:r w:rsidRPr="000421A0">
        <w:t>uild trust within their community.</w:t>
      </w:r>
    </w:p>
    <w:p w:rsidR="009F60A2" w:rsidRDefault="00393040" w:rsidP="00D31970">
      <w:pPr>
        <w:pStyle w:val="Heading2"/>
      </w:pPr>
      <w:bookmarkStart w:id="82" w:name="_Toc326764347"/>
      <w:r>
        <w:t>5</w:t>
      </w:r>
      <w:r w:rsidR="00EF1D64">
        <w:t>.1</w:t>
      </w:r>
      <w:r w:rsidR="00EF1D64">
        <w:tab/>
      </w:r>
      <w:r w:rsidR="00262265">
        <w:t>Connecting with the community</w:t>
      </w:r>
      <w:bookmarkEnd w:id="82"/>
    </w:p>
    <w:p w:rsidR="009F60A2" w:rsidRPr="000D575C" w:rsidRDefault="009F60A2" w:rsidP="00B4074B">
      <w:r>
        <w:t xml:space="preserve">How JSA service providers present themselves </w:t>
      </w:r>
      <w:r w:rsidR="006323D0">
        <w:t>in</w:t>
      </w:r>
      <w:r>
        <w:t xml:space="preserve"> their community</w:t>
      </w:r>
      <w:r w:rsidR="006323D0">
        <w:t xml:space="preserve"> and to</w:t>
      </w:r>
      <w:r>
        <w:t xml:space="preserve"> job seekers and </w:t>
      </w:r>
      <w:r w:rsidRPr="001E3A43">
        <w:t xml:space="preserve">employers varies between sites, organisations and locations. </w:t>
      </w:r>
      <w:r w:rsidRPr="000D575C">
        <w:t xml:space="preserve">Sites that are not well recognised within their community often invest resources in promoting what they do and, where </w:t>
      </w:r>
      <w:r w:rsidR="00D8734E" w:rsidRPr="000D575C">
        <w:t>applicable</w:t>
      </w:r>
      <w:r w:rsidRPr="000D575C">
        <w:t xml:space="preserve">, what </w:t>
      </w:r>
      <w:r w:rsidR="001E3A43" w:rsidRPr="000D575C">
        <w:t xml:space="preserve">services </w:t>
      </w:r>
      <w:r w:rsidRPr="000D575C">
        <w:t>they specialise in</w:t>
      </w:r>
      <w:r w:rsidR="0058461A" w:rsidRPr="000D575C">
        <w:t>,</w:t>
      </w:r>
      <w:r w:rsidRPr="000D575C">
        <w:t xml:space="preserve"> supported in some cases by formal marketing and advertis</w:t>
      </w:r>
      <w:r w:rsidR="006323D0" w:rsidRPr="000D575C">
        <w:t>ing campaigns</w:t>
      </w:r>
      <w:r w:rsidR="00590C62" w:rsidRPr="000D575C">
        <w:t xml:space="preserve">, as part of their </w:t>
      </w:r>
      <w:proofErr w:type="spellStart"/>
      <w:r w:rsidR="00590C62" w:rsidRPr="000D575C">
        <w:t>ESD4</w:t>
      </w:r>
      <w:proofErr w:type="spellEnd"/>
      <w:r w:rsidR="00590C62" w:rsidRPr="000D575C">
        <w:t xml:space="preserve"> requirements</w:t>
      </w:r>
      <w:r w:rsidR="004C0EB4">
        <w:t>.</w:t>
      </w:r>
    </w:p>
    <w:p w:rsidR="002A5E6C" w:rsidRPr="002A5E6C" w:rsidRDefault="002A5E6C" w:rsidP="00B4074B">
      <w:r w:rsidRPr="000D575C">
        <w:t xml:space="preserve">High performing sites </w:t>
      </w:r>
      <w:r w:rsidR="00C40E57" w:rsidRPr="000D575C">
        <w:t xml:space="preserve">successfully </w:t>
      </w:r>
      <w:r w:rsidRPr="000D575C">
        <w:t>work to build trust within the community.</w:t>
      </w:r>
      <w:r w:rsidR="00F34AA0" w:rsidRPr="001E3A43">
        <w:t xml:space="preserve"> They endeavour to always provide a professional and reliable service to job seekers and employers, and try hard to avoid </w:t>
      </w:r>
      <w:r w:rsidR="006323D0" w:rsidRPr="001E3A43">
        <w:t xml:space="preserve">creating </w:t>
      </w:r>
      <w:r w:rsidR="00F34AA0" w:rsidRPr="001E3A43">
        <w:t>bad experiences for their clients</w:t>
      </w:r>
      <w:r w:rsidR="001E3A43">
        <w:t xml:space="preserve">, </w:t>
      </w:r>
      <w:r w:rsidR="00F34AA0" w:rsidRPr="001E3A43">
        <w:t xml:space="preserve">such as </w:t>
      </w:r>
      <w:r w:rsidR="006323D0" w:rsidRPr="001E3A43">
        <w:t xml:space="preserve">by </w:t>
      </w:r>
      <w:r w:rsidR="00F34AA0" w:rsidRPr="001E3A43">
        <w:t>placing unprepared or unsuitable job seekers with employers, or failing to explain and help with administrative requirements</w:t>
      </w:r>
      <w:r w:rsidR="00F34AA0">
        <w:t>.</w:t>
      </w:r>
    </w:p>
    <w:p w:rsidR="00D31970" w:rsidRDefault="00393040" w:rsidP="00D31970">
      <w:pPr>
        <w:pStyle w:val="Heading2"/>
      </w:pPr>
      <w:bookmarkStart w:id="83" w:name="_Toc326764348"/>
      <w:r>
        <w:t>5</w:t>
      </w:r>
      <w:r w:rsidR="00EF1D64">
        <w:t>.2</w:t>
      </w:r>
      <w:r w:rsidR="00EF1D64">
        <w:tab/>
      </w:r>
      <w:r w:rsidR="00262265">
        <w:t xml:space="preserve">Making use of </w:t>
      </w:r>
      <w:r w:rsidR="00D31970">
        <w:t>Government programs</w:t>
      </w:r>
      <w:bookmarkEnd w:id="83"/>
    </w:p>
    <w:p w:rsidR="00D31970" w:rsidRPr="000D575C" w:rsidRDefault="00E64A78" w:rsidP="00B4074B">
      <w:r w:rsidRPr="000D575C">
        <w:t>Mid and h</w:t>
      </w:r>
      <w:r w:rsidR="00D31970" w:rsidRPr="000D575C">
        <w:t xml:space="preserve">igh performing sites </w:t>
      </w:r>
      <w:r w:rsidR="00590C62" w:rsidRPr="000D575C">
        <w:t xml:space="preserve">generally </w:t>
      </w:r>
      <w:r w:rsidR="00D31970" w:rsidRPr="000D575C">
        <w:t xml:space="preserve">are more aware of, and </w:t>
      </w:r>
      <w:r w:rsidR="006323D0" w:rsidRPr="000D575C">
        <w:t xml:space="preserve">make more </w:t>
      </w:r>
      <w:r w:rsidR="00D31970" w:rsidRPr="000D575C">
        <w:t xml:space="preserve">use </w:t>
      </w:r>
      <w:r w:rsidR="006323D0" w:rsidRPr="000D575C">
        <w:t>of</w:t>
      </w:r>
      <w:r w:rsidR="001E3A43" w:rsidRPr="000D575C">
        <w:t xml:space="preserve">, the employment-related </w:t>
      </w:r>
      <w:r w:rsidR="009718DF" w:rsidRPr="000D575C">
        <w:t xml:space="preserve">Government </w:t>
      </w:r>
      <w:r w:rsidR="001E3A43" w:rsidRPr="000D575C">
        <w:t xml:space="preserve">initiatives in their area, </w:t>
      </w:r>
      <w:r w:rsidR="00D31970" w:rsidRPr="000D575C">
        <w:t>such as</w:t>
      </w:r>
      <w:r w:rsidR="006323D0" w:rsidRPr="000D575C">
        <w:t xml:space="preserve"> the</w:t>
      </w:r>
      <w:r w:rsidR="00D31970" w:rsidRPr="000D575C">
        <w:t xml:space="preserve"> </w:t>
      </w:r>
      <w:r w:rsidR="001E3A43" w:rsidRPr="000D575C">
        <w:t xml:space="preserve">Indigenous Employment Program, the </w:t>
      </w:r>
      <w:r w:rsidR="00D31970" w:rsidRPr="000D575C">
        <w:t>Productivity Places Program (PPP)</w:t>
      </w:r>
      <w:r w:rsidR="001E3A43" w:rsidRPr="000D575C">
        <w:t>, or Jobs Expos (</w:t>
      </w:r>
      <w:hyperlink w:anchor="Figure11" w:tooltip="Average number of Government programs aware of" w:history="1">
        <w:r w:rsidR="001E3A43" w:rsidRPr="004F6A70">
          <w:rPr>
            <w:rStyle w:val="Hyperlink"/>
          </w:rPr>
          <w:t>Figure 1</w:t>
        </w:r>
        <w:r w:rsidR="00BE6C08" w:rsidRPr="004F6A70">
          <w:rPr>
            <w:rStyle w:val="Hyperlink"/>
          </w:rPr>
          <w:t>1</w:t>
        </w:r>
      </w:hyperlink>
      <w:r w:rsidR="001E3A43" w:rsidRPr="000D575C">
        <w:t>).</w:t>
      </w:r>
      <w:r w:rsidR="00D31970" w:rsidRPr="000D575C">
        <w:t xml:space="preserve"> </w:t>
      </w:r>
    </w:p>
    <w:p w:rsidR="00D31970" w:rsidRPr="00C318C5" w:rsidRDefault="001E3A43" w:rsidP="0024454B">
      <w:pPr>
        <w:pStyle w:val="FigureHeading"/>
      </w:pPr>
      <w:bookmarkStart w:id="84" w:name="Figure11"/>
      <w:bookmarkEnd w:id="84"/>
      <w:r w:rsidRPr="00C318C5">
        <w:t>Figures</w:t>
      </w:r>
      <w:r w:rsidR="00D31970" w:rsidRPr="00C318C5">
        <w:t xml:space="preserve"> </w:t>
      </w:r>
      <w:r w:rsidR="00AF48F4" w:rsidRPr="00C318C5">
        <w:t>1</w:t>
      </w:r>
      <w:r w:rsidR="00BE6C08" w:rsidRPr="00C318C5">
        <w:t>1</w:t>
      </w:r>
      <w:r w:rsidR="00D31970" w:rsidRPr="00C318C5">
        <w:t xml:space="preserve">: </w:t>
      </w:r>
      <w:r w:rsidR="00FD7F99" w:rsidRPr="00C318C5">
        <w:t xml:space="preserve">Average </w:t>
      </w:r>
      <w:r w:rsidR="009718DF" w:rsidRPr="00C318C5">
        <w:t>number of</w:t>
      </w:r>
      <w:r w:rsidR="00FD7F99" w:rsidRPr="00C318C5">
        <w:t xml:space="preserve"> Government programs </w:t>
      </w:r>
      <w:r w:rsidR="009718DF" w:rsidRPr="00C318C5">
        <w:t>aware of</w:t>
      </w:r>
    </w:p>
    <w:p w:rsidR="00D31970" w:rsidRDefault="00E64A78" w:rsidP="00D31970">
      <w:r w:rsidRPr="00E64A78">
        <w:rPr>
          <w:noProof/>
        </w:rPr>
        <w:drawing>
          <wp:inline distT="0" distB="0" distL="0" distR="0">
            <wp:extent cx="4591050" cy="2762250"/>
            <wp:effectExtent l="19050" t="0" r="0" b="0"/>
            <wp:docPr id="2" name="Picture 2" descr="Graph showing average number of Government programs aware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4591050" cy="2762250"/>
                    </a:xfrm>
                    <a:prstGeom prst="rect">
                      <a:avLst/>
                    </a:prstGeom>
                    <a:noFill/>
                    <a:ln w="9525">
                      <a:noFill/>
                      <a:miter lim="800000"/>
                      <a:headEnd/>
                      <a:tailEnd/>
                    </a:ln>
                  </pic:spPr>
                </pic:pic>
              </a:graphicData>
            </a:graphic>
          </wp:inline>
        </w:drawing>
      </w:r>
    </w:p>
    <w:p w:rsidR="004F6A70" w:rsidRDefault="00D31970" w:rsidP="00D31970">
      <w:pPr>
        <w:pStyle w:val="Sourceandnotetext"/>
      </w:pPr>
      <w:r w:rsidRPr="00BA694D">
        <w:rPr>
          <w:b/>
          <w:bCs/>
        </w:rPr>
        <w:t>Source:</w:t>
      </w:r>
      <w:r>
        <w:t xml:space="preserve"> DEEWR Survey of Employment Service Providers 2010</w:t>
      </w:r>
    </w:p>
    <w:p w:rsidR="00823F36" w:rsidRPr="001F70F1" w:rsidRDefault="00823F36" w:rsidP="00252165">
      <w:pPr>
        <w:pStyle w:val="Sourceandnotetext"/>
      </w:pPr>
      <w:r>
        <w:t xml:space="preserve">Refer to Appendix </w:t>
      </w:r>
      <w:proofErr w:type="spellStart"/>
      <w:r>
        <w:t>A1.11</w:t>
      </w:r>
      <w:proofErr w:type="spellEnd"/>
      <w:r>
        <w:t xml:space="preserve"> to view the </w:t>
      </w:r>
      <w:hyperlink w:anchor="TableA1_11" w:tooltip="View the View Figure 11: Average number of Government programs aware of" w:history="1">
        <w:r w:rsidRPr="001F70F1">
          <w:t>text version of Figure 11: Average number of Government programs aware of</w:t>
        </w:r>
      </w:hyperlink>
      <w:r w:rsidR="00593A05">
        <w:t>.</w:t>
      </w:r>
      <w:r w:rsidRPr="001F70F1">
        <w:t xml:space="preserve"> </w:t>
      </w:r>
    </w:p>
    <w:p w:rsidR="009C1C12" w:rsidRDefault="009C1C12" w:rsidP="00484740">
      <w:r>
        <w:br w:type="page"/>
      </w:r>
    </w:p>
    <w:p w:rsidR="001E3A43" w:rsidRPr="00E4348F" w:rsidRDefault="001E3A43" w:rsidP="00E4348F">
      <w:r w:rsidRPr="00E4348F">
        <w:t xml:space="preserve">Awareness and understanding of local opportunities presented by </w:t>
      </w:r>
      <w:r w:rsidR="00162B12">
        <w:t>G</w:t>
      </w:r>
      <w:r w:rsidR="00162B12" w:rsidRPr="00E4348F">
        <w:t xml:space="preserve">overnment </w:t>
      </w:r>
      <w:r w:rsidRPr="00E4348F">
        <w:t>initiatives allows providers to take advantage of cost-effective methods of accessing tra</w:t>
      </w:r>
      <w:r w:rsidR="00916733" w:rsidRPr="00E4348F">
        <w:t xml:space="preserve">ining and activities for their caseload, </w:t>
      </w:r>
      <w:r w:rsidRPr="00E4348F">
        <w:t xml:space="preserve">increases </w:t>
      </w:r>
      <w:r w:rsidR="00916733" w:rsidRPr="00E4348F">
        <w:t>their credibility with job seekers, and improves their ability to network with employers and other providers in the area.</w:t>
      </w:r>
    </w:p>
    <w:p w:rsidR="00262265" w:rsidRDefault="00393040" w:rsidP="00262265">
      <w:pPr>
        <w:pStyle w:val="Heading2"/>
      </w:pPr>
      <w:bookmarkStart w:id="85" w:name="_Toc326764349"/>
      <w:r>
        <w:t>5</w:t>
      </w:r>
      <w:r w:rsidR="00262265">
        <w:t>.3</w:t>
      </w:r>
      <w:r w:rsidR="00262265">
        <w:tab/>
        <w:t>Management and staffing</w:t>
      </w:r>
      <w:bookmarkEnd w:id="85"/>
    </w:p>
    <w:p w:rsidR="00916733" w:rsidRPr="00916733" w:rsidRDefault="00916733" w:rsidP="004F6A70">
      <w:r w:rsidRPr="00916733">
        <w:t>Appropriate management and staffing are vital for provider sites to operate effectively. There is no one structure or approach to staffing which is associated with high performance, however there are some principles which can inform performance improvement.</w:t>
      </w:r>
    </w:p>
    <w:p w:rsidR="00A553CC" w:rsidRDefault="00916733" w:rsidP="00A553CC">
      <w:pPr>
        <w:pStyle w:val="Heading30"/>
      </w:pPr>
      <w:r>
        <w:t>Site management</w:t>
      </w:r>
    </w:p>
    <w:p w:rsidR="00D31970" w:rsidRPr="001E3A43" w:rsidRDefault="00A553CC" w:rsidP="00B4074B">
      <w:r>
        <w:t xml:space="preserve">Many employment consultants stress the importance of the site manager in setting the </w:t>
      </w:r>
      <w:r w:rsidR="00F57446" w:rsidRPr="001E3A43">
        <w:t>‘</w:t>
      </w:r>
      <w:r w:rsidRPr="001E3A43">
        <w:t>tone</w:t>
      </w:r>
      <w:r w:rsidR="00F57446" w:rsidRPr="001E3A43">
        <w:t>’</w:t>
      </w:r>
      <w:r w:rsidRPr="001E3A43">
        <w:t xml:space="preserve"> of the</w:t>
      </w:r>
      <w:r w:rsidR="00916733">
        <w:t>ir</w:t>
      </w:r>
      <w:r w:rsidRPr="001E3A43">
        <w:t xml:space="preserve"> site and ensuring that </w:t>
      </w:r>
      <w:r w:rsidR="00F57446" w:rsidRPr="001E3A43">
        <w:t>it</w:t>
      </w:r>
      <w:r w:rsidRPr="001E3A43">
        <w:t xml:space="preserve"> r</w:t>
      </w:r>
      <w:r w:rsidR="00F57446" w:rsidRPr="001E3A43">
        <w:t>u</w:t>
      </w:r>
      <w:r w:rsidRPr="001E3A43">
        <w:t>n</w:t>
      </w:r>
      <w:r w:rsidR="00F57446" w:rsidRPr="001E3A43">
        <w:t>s</w:t>
      </w:r>
      <w:r w:rsidRPr="001E3A43">
        <w:t xml:space="preserve"> efficiently.</w:t>
      </w:r>
      <w:r w:rsidR="00916733">
        <w:t xml:space="preserve"> </w:t>
      </w:r>
      <w:r w:rsidR="00D31970" w:rsidRPr="000D575C">
        <w:t xml:space="preserve">High performing sites are more likely to have </w:t>
      </w:r>
      <w:r w:rsidRPr="000D575C">
        <w:t>at least one</w:t>
      </w:r>
      <w:r w:rsidR="00D31970" w:rsidRPr="000D575C">
        <w:t xml:space="preserve"> full-time equivalent (FTE) manager per site than mid and low performing sites</w:t>
      </w:r>
      <w:r w:rsidR="00D31970" w:rsidRPr="00F578FF">
        <w:t xml:space="preserve"> </w:t>
      </w:r>
      <w:r w:rsidR="00AA1DD9" w:rsidRPr="00F578FF">
        <w:rPr>
          <w:noProof/>
        </w:rPr>
        <w:t>(Employment Service Provider Survey, 2010)</w:t>
      </w:r>
      <w:r w:rsidR="00D31970" w:rsidRPr="001E3A43">
        <w:t xml:space="preserve">. </w:t>
      </w:r>
      <w:r w:rsidR="00916733">
        <w:t>Organisations with smaller sites without an on-site manager may need to work hard to ensure that staff are supported and have appropriate leadership on a day to day basis.</w:t>
      </w:r>
    </w:p>
    <w:p w:rsidR="00A553CC" w:rsidRDefault="00A553CC" w:rsidP="00A553CC">
      <w:pPr>
        <w:pStyle w:val="Heading30"/>
      </w:pPr>
      <w:r>
        <w:t>Staffing</w:t>
      </w:r>
    </w:p>
    <w:p w:rsidR="00775BB1" w:rsidRPr="00916733" w:rsidRDefault="00A553CC" w:rsidP="00B4074B">
      <w:r>
        <w:t>Th</w:t>
      </w:r>
      <w:r w:rsidR="00D31970">
        <w:t xml:space="preserve">ere </w:t>
      </w:r>
      <w:r w:rsidR="00775BB1">
        <w:t>are</w:t>
      </w:r>
      <w:r w:rsidR="00D31970">
        <w:t xml:space="preserve"> advantage</w:t>
      </w:r>
      <w:r w:rsidR="00775BB1">
        <w:t>s</w:t>
      </w:r>
      <w:r w:rsidR="00D31970">
        <w:t xml:space="preserve"> </w:t>
      </w:r>
      <w:r w:rsidR="00775BB1">
        <w:t xml:space="preserve">in having a mix </w:t>
      </w:r>
      <w:r w:rsidR="00D31970">
        <w:t>of both experienced staff and new staff, according to discussions with service providers. Ne</w:t>
      </w:r>
      <w:r w:rsidR="00F57446">
        <w:t>w</w:t>
      </w:r>
      <w:r w:rsidR="00D31970">
        <w:t xml:space="preserve"> staff may have different ways of thinking </w:t>
      </w:r>
      <w:r w:rsidR="00F57446">
        <w:t>and</w:t>
      </w:r>
      <w:r w:rsidR="00D31970">
        <w:t xml:space="preserve"> innovative solutions to problems. More experienced staff </w:t>
      </w:r>
      <w:r w:rsidR="00916733">
        <w:t>can contribute</w:t>
      </w:r>
      <w:r w:rsidR="00D31970">
        <w:t xml:space="preserve"> </w:t>
      </w:r>
      <w:r w:rsidR="00F57446">
        <w:t xml:space="preserve">knowledge of </w:t>
      </w:r>
      <w:r w:rsidR="00D31970">
        <w:t xml:space="preserve">the sector </w:t>
      </w:r>
      <w:r w:rsidR="00D31970" w:rsidRPr="00916733">
        <w:t xml:space="preserve">and </w:t>
      </w:r>
      <w:r w:rsidR="00F57446" w:rsidRPr="00916733">
        <w:t>relationships</w:t>
      </w:r>
      <w:r w:rsidR="00D31970" w:rsidRPr="00916733">
        <w:t xml:space="preserve"> with employers and other stakeholders. </w:t>
      </w:r>
      <w:r w:rsidR="00FD7F99">
        <w:t>High</w:t>
      </w:r>
      <w:r w:rsidR="00916733">
        <w:t xml:space="preserve"> s</w:t>
      </w:r>
      <w:r w:rsidR="00775BB1" w:rsidRPr="00916733">
        <w:t>taff turnover</w:t>
      </w:r>
      <w:r w:rsidR="00932025" w:rsidRPr="00916733">
        <w:t>, while often unavoidable,</w:t>
      </w:r>
      <w:r w:rsidR="00883E0E" w:rsidRPr="00916733">
        <w:t xml:space="preserve"> </w:t>
      </w:r>
      <w:r w:rsidR="00775BB1" w:rsidRPr="00916733">
        <w:t>can be highly disruptive to job seekers and employers</w:t>
      </w:r>
      <w:r w:rsidR="00F57446" w:rsidRPr="00916733">
        <w:t>,</w:t>
      </w:r>
      <w:r w:rsidR="00775BB1" w:rsidRPr="00916733">
        <w:t xml:space="preserve"> and impact on the smooth operation of the site. </w:t>
      </w:r>
      <w:r w:rsidR="00775BB1" w:rsidRPr="000D575C">
        <w:t xml:space="preserve">High performing sites work hard to reduce staff turnover, by motivating their staff and fostering a supportive work environment. When staff turnover does occur, high performing sites have in place strategies to manage information transfer and to avoid disrupting their clients </w:t>
      </w:r>
      <w:r w:rsidR="00F57446" w:rsidRPr="000D575C">
        <w:t>as much as</w:t>
      </w:r>
      <w:r w:rsidR="00775BB1" w:rsidRPr="000D575C">
        <w:t xml:space="preserve"> possible</w:t>
      </w:r>
      <w:r w:rsidR="00775BB1" w:rsidRPr="00916733">
        <w:t>.</w:t>
      </w:r>
    </w:p>
    <w:p w:rsidR="00880AFA" w:rsidRDefault="00EF1D64" w:rsidP="00EF1D64">
      <w:pPr>
        <w:pStyle w:val="Heading30"/>
      </w:pPr>
      <w:r>
        <w:t>Staff r</w:t>
      </w:r>
      <w:r w:rsidR="00880AFA">
        <w:t>oles and specialisations</w:t>
      </w:r>
    </w:p>
    <w:p w:rsidR="00265936" w:rsidRPr="00B4074B" w:rsidRDefault="00880AFA" w:rsidP="00B4074B">
      <w:r w:rsidRPr="000D575C">
        <w:t xml:space="preserve">Many different approaches to staff </w:t>
      </w:r>
      <w:r w:rsidR="00F57446" w:rsidRPr="000D575C">
        <w:t xml:space="preserve">roles and </w:t>
      </w:r>
      <w:r w:rsidRPr="000D575C">
        <w:t>specialisation</w:t>
      </w:r>
      <w:r w:rsidR="00265936" w:rsidRPr="000D575C">
        <w:t xml:space="preserve"> are used. They vary according to the needs and characteristics of each site’s caseload and local employment market</w:t>
      </w:r>
      <w:r w:rsidR="00B847A0" w:rsidRPr="000D575C">
        <w:t>, or to make best use of the skills of their staff</w:t>
      </w:r>
      <w:r w:rsidR="00265936" w:rsidRPr="000D575C">
        <w:t>.</w:t>
      </w:r>
      <w:r w:rsidR="005B3936" w:rsidRPr="005B3936">
        <w:t xml:space="preserve"> </w:t>
      </w:r>
      <w:r w:rsidR="005B3936">
        <w:t>Sites that do not have a systematic approach to allocating work and making the most of the skills and abilities of their staff may operate less effectively.</w:t>
      </w:r>
    </w:p>
    <w:p w:rsidR="00880AFA" w:rsidRDefault="00B847A0" w:rsidP="00880AFA">
      <w:r>
        <w:t>Some models</w:t>
      </w:r>
      <w:r w:rsidR="00916733">
        <w:t xml:space="preserve"> which are being used effectively</w:t>
      </w:r>
      <w:r w:rsidR="003B11E7">
        <w:t xml:space="preserve"> include:</w:t>
      </w:r>
      <w:r w:rsidR="00880AFA">
        <w:t xml:space="preserve"> </w:t>
      </w:r>
    </w:p>
    <w:p w:rsidR="00880AFA" w:rsidRDefault="00880AFA" w:rsidP="004F6A70">
      <w:pPr>
        <w:pStyle w:val="ListBullet"/>
      </w:pPr>
      <w:r>
        <w:t>Stream specialist</w:t>
      </w:r>
      <w:r w:rsidR="003B11E7">
        <w:t>s</w:t>
      </w:r>
      <w:r>
        <w:t xml:space="preserve"> – staff dedicated to</w:t>
      </w:r>
      <w:r w:rsidR="00F57446">
        <w:t xml:space="preserve"> job seekers in</w:t>
      </w:r>
      <w:r>
        <w:t xml:space="preserve"> a particular Stream</w:t>
      </w:r>
      <w:r w:rsidR="00916733">
        <w:t>.</w:t>
      </w:r>
    </w:p>
    <w:p w:rsidR="00880AFA" w:rsidRDefault="00916733" w:rsidP="004F6A70">
      <w:pPr>
        <w:pStyle w:val="ListBullet"/>
      </w:pPr>
      <w:r>
        <w:t>F</w:t>
      </w:r>
      <w:r w:rsidR="00880AFA">
        <w:t>unction specialist</w:t>
      </w:r>
      <w:r w:rsidR="003B11E7">
        <w:t>s</w:t>
      </w:r>
      <w:r w:rsidR="00880AFA">
        <w:t xml:space="preserve"> – staff dedicated to a function or co-ordination role within the site</w:t>
      </w:r>
      <w:r w:rsidR="003B11E7">
        <w:t>,</w:t>
      </w:r>
      <w:r w:rsidR="00880AFA">
        <w:t xml:space="preserve"> such as work experience coordinator, activities coordinator, job placement specialist or post placement support specialist</w:t>
      </w:r>
      <w:r>
        <w:t>.</w:t>
      </w:r>
    </w:p>
    <w:p w:rsidR="00880AFA" w:rsidRDefault="00916733" w:rsidP="004F6A70">
      <w:pPr>
        <w:pStyle w:val="ListBullet"/>
      </w:pPr>
      <w:r>
        <w:t>J</w:t>
      </w:r>
      <w:r w:rsidR="00880AFA">
        <w:t>ob seeker or employer specialist –</w:t>
      </w:r>
      <w:r w:rsidR="003B11E7">
        <w:t xml:space="preserve"> </w:t>
      </w:r>
      <w:r w:rsidR="00B847A0">
        <w:t>staff who deal only</w:t>
      </w:r>
      <w:r w:rsidR="00880AFA">
        <w:t xml:space="preserve"> with job seekers </w:t>
      </w:r>
      <w:r w:rsidR="00B847A0">
        <w:t>and staff who</w:t>
      </w:r>
      <w:r w:rsidR="00880AFA">
        <w:t xml:space="preserve"> build relationships with employers</w:t>
      </w:r>
      <w:r w:rsidR="003B11E7">
        <w:t>, including</w:t>
      </w:r>
      <w:r w:rsidR="00880AFA">
        <w:t xml:space="preserve"> reverse </w:t>
      </w:r>
      <w:r w:rsidR="00AC73D5">
        <w:t xml:space="preserve">marketing </w:t>
      </w:r>
      <w:r w:rsidR="00880AFA">
        <w:t>sp</w:t>
      </w:r>
      <w:r>
        <w:t>ecialists.</w:t>
      </w:r>
    </w:p>
    <w:p w:rsidR="00880AFA" w:rsidRDefault="00916733" w:rsidP="004F6A70">
      <w:pPr>
        <w:pStyle w:val="ListBullet"/>
      </w:pPr>
      <w:r>
        <w:t>A</w:t>
      </w:r>
      <w:r w:rsidR="00880AFA">
        <w:t>dministration specialist</w:t>
      </w:r>
      <w:r w:rsidR="003B11E7">
        <w:t>s</w:t>
      </w:r>
      <w:r w:rsidR="00FD7F99">
        <w:t>.</w:t>
      </w:r>
    </w:p>
    <w:p w:rsidR="00880AFA" w:rsidRDefault="00916733" w:rsidP="004F6A70">
      <w:pPr>
        <w:pStyle w:val="ListBullet"/>
      </w:pPr>
      <w:r>
        <w:t>S</w:t>
      </w:r>
      <w:r w:rsidR="00880AFA">
        <w:t>pecialis</w:t>
      </w:r>
      <w:r w:rsidR="003B11E7">
        <w:t>ts</w:t>
      </w:r>
      <w:r w:rsidR="00880AFA">
        <w:t xml:space="preserve"> in certa</w:t>
      </w:r>
      <w:r w:rsidR="003B11E7">
        <w:t>in</w:t>
      </w:r>
      <w:r w:rsidR="00880AFA">
        <w:t xml:space="preserve"> groups of job seekers, such as mature age </w:t>
      </w:r>
      <w:r>
        <w:t>job seekers</w:t>
      </w:r>
      <w:r w:rsidR="00880AFA">
        <w:t xml:space="preserve"> or youth</w:t>
      </w:r>
      <w:r>
        <w:t>.</w:t>
      </w:r>
    </w:p>
    <w:p w:rsidR="003B11E7" w:rsidRDefault="00916733" w:rsidP="004F6A70">
      <w:pPr>
        <w:pStyle w:val="ListBullet"/>
      </w:pPr>
      <w:r>
        <w:t>S</w:t>
      </w:r>
      <w:r w:rsidR="00880AFA">
        <w:t>pecialist professional staff</w:t>
      </w:r>
      <w:r>
        <w:t>,</w:t>
      </w:r>
      <w:r w:rsidR="00880AFA">
        <w:t xml:space="preserve"> </w:t>
      </w:r>
      <w:r w:rsidR="003B11E7">
        <w:t>such as</w:t>
      </w:r>
      <w:r w:rsidR="00880AFA">
        <w:t xml:space="preserve"> counsellors</w:t>
      </w:r>
      <w:r w:rsidR="003B11E7">
        <w:t xml:space="preserve"> and</w:t>
      </w:r>
      <w:r w:rsidR="00880AFA">
        <w:t xml:space="preserve"> social workers</w:t>
      </w:r>
      <w:r w:rsidR="00B847A0">
        <w:t>.</w:t>
      </w:r>
    </w:p>
    <w:p w:rsidR="00932025" w:rsidRDefault="00883E0E" w:rsidP="00EF1D64">
      <w:r>
        <w:t>No one model is always the best, and each model has advantages and disadvantages, depending on the caseload, locality and organisation.</w:t>
      </w:r>
      <w:r w:rsidR="00916733">
        <w:t xml:space="preserve"> </w:t>
      </w:r>
      <w:r w:rsidR="005B3936">
        <w:t>It may also be necessary to adjust the model at the site level as the staff or caseload profile changes, to support staff developm</w:t>
      </w:r>
      <w:r w:rsidR="004C0EB4">
        <w:t>ent, or to avoid staff burnout.</w:t>
      </w:r>
    </w:p>
    <w:p w:rsidR="00EF1D64" w:rsidRDefault="00EF1D64" w:rsidP="00EF1D64">
      <w:r>
        <w:t xml:space="preserve">Sites </w:t>
      </w:r>
      <w:r w:rsidR="005B3936">
        <w:t xml:space="preserve">benefit from having </w:t>
      </w:r>
      <w:r>
        <w:t xml:space="preserve">access to </w:t>
      </w:r>
      <w:r w:rsidR="00916733">
        <w:t xml:space="preserve">specialist </w:t>
      </w:r>
      <w:r>
        <w:t xml:space="preserve">resources </w:t>
      </w:r>
      <w:r w:rsidR="00B847A0">
        <w:t>such as</w:t>
      </w:r>
      <w:r>
        <w:t xml:space="preserve"> counsellors, Occupational Health and Safety specialists and youth workers, </w:t>
      </w:r>
      <w:r w:rsidR="005B3936">
        <w:t xml:space="preserve">whether through in-house resources or linkages with external organisations. </w:t>
      </w:r>
      <w:r w:rsidR="00916733">
        <w:t>S</w:t>
      </w:r>
      <w:r>
        <w:t xml:space="preserve">ites </w:t>
      </w:r>
      <w:r w:rsidR="00775BB1">
        <w:t>that</w:t>
      </w:r>
      <w:r>
        <w:t xml:space="preserve"> do not have sufficient workload to employ their own specialist services </w:t>
      </w:r>
      <w:r w:rsidR="00916733">
        <w:t xml:space="preserve">may </w:t>
      </w:r>
      <w:r>
        <w:t>make arrangements to share the</w:t>
      </w:r>
      <w:r w:rsidR="00B847A0">
        <w:t xml:space="preserve">se resources </w:t>
      </w:r>
      <w:r>
        <w:t>with other sites</w:t>
      </w:r>
      <w:r w:rsidR="00B847A0">
        <w:t xml:space="preserve">, either within or </w:t>
      </w:r>
      <w:r w:rsidR="00916733">
        <w:t>outside</w:t>
      </w:r>
      <w:r w:rsidR="00B847A0">
        <w:t xml:space="preserve"> their organisation</w:t>
      </w:r>
      <w:r w:rsidR="004C0EB4">
        <w:t>.</w:t>
      </w:r>
    </w:p>
    <w:p w:rsidR="00D31970" w:rsidRDefault="00393040" w:rsidP="00D31970">
      <w:pPr>
        <w:pStyle w:val="Heading2"/>
      </w:pPr>
      <w:bookmarkStart w:id="86" w:name="_Toc326764350"/>
      <w:r>
        <w:t>5</w:t>
      </w:r>
      <w:r w:rsidR="00EF1D64">
        <w:t>.</w:t>
      </w:r>
      <w:r w:rsidR="00262265">
        <w:t>4</w:t>
      </w:r>
      <w:r w:rsidR="00EF1D64">
        <w:tab/>
      </w:r>
      <w:r w:rsidR="00262265">
        <w:t>Networking with other service providers</w:t>
      </w:r>
      <w:bookmarkEnd w:id="86"/>
    </w:p>
    <w:p w:rsidR="00700153" w:rsidRDefault="005B3936" w:rsidP="00B4074B">
      <w:r>
        <w:t>Hi</w:t>
      </w:r>
      <w:r w:rsidR="00D31970" w:rsidRPr="005B3936">
        <w:t xml:space="preserve">gh performing sites </w:t>
      </w:r>
      <w:r w:rsidR="001C0BEF" w:rsidRPr="005B3936">
        <w:t>report</w:t>
      </w:r>
      <w:r w:rsidR="00D31970" w:rsidRPr="005B3936">
        <w:t xml:space="preserve"> that they network with other providers if they do not have sufficient caseload to meet employer needs, or to meet the minimum number of participants for training courses or activities.</w:t>
      </w:r>
      <w:r w:rsidR="00883E0E" w:rsidRPr="005B3936">
        <w:t xml:space="preserve"> </w:t>
      </w:r>
      <w:r w:rsidR="00700153" w:rsidRPr="00590C62">
        <w:t xml:space="preserve">For example, a service provider from a </w:t>
      </w:r>
      <w:r w:rsidR="001C0BEF" w:rsidRPr="00590C62">
        <w:t xml:space="preserve">small </w:t>
      </w:r>
      <w:r w:rsidR="00700153" w:rsidRPr="00590C62">
        <w:t xml:space="preserve">regional centre related how they were able to join with another provider in their region in </w:t>
      </w:r>
      <w:r w:rsidR="001C0BEF" w:rsidRPr="00590C62">
        <w:t>an</w:t>
      </w:r>
      <w:r w:rsidR="00700153" w:rsidRPr="00590C62">
        <w:t xml:space="preserve"> application for an Innovation Fund project to rebuild a community facility. The project involved recruiting job seekers to do much of the construction work, and providing them with apprenticeship support in order to do so. No one service provider in the town had sufficient job seekers on their books to meet the </w:t>
      </w:r>
      <w:r w:rsidR="001C0BEF" w:rsidRPr="00590C62">
        <w:t>labour needs</w:t>
      </w:r>
      <w:r w:rsidR="00700153" w:rsidRPr="00590C62">
        <w:t xml:space="preserve"> of this project; it was only by banding together that they were able to apply for funding</w:t>
      </w:r>
      <w:r w:rsidR="004C0EB4">
        <w:t xml:space="preserve"> and go ahead with the project.</w:t>
      </w:r>
    </w:p>
    <w:p w:rsidR="0011186B" w:rsidRPr="001F70F1" w:rsidRDefault="0011186B" w:rsidP="001F70F1">
      <w:bookmarkStart w:id="87" w:name="_Appendix_A:_Research"/>
      <w:bookmarkEnd w:id="87"/>
      <w:r w:rsidRPr="001F70F1">
        <w:br w:type="page"/>
      </w:r>
    </w:p>
    <w:p w:rsidR="0011186B" w:rsidRDefault="0011186B" w:rsidP="0011186B">
      <w:pPr>
        <w:pStyle w:val="Heading1"/>
      </w:pPr>
      <w:bookmarkStart w:id="88" w:name="_Toc326764351"/>
      <w:r>
        <w:t>Appendix A</w:t>
      </w:r>
      <w:bookmarkEnd w:id="88"/>
    </w:p>
    <w:p w:rsidR="0011186B" w:rsidRDefault="0011186B" w:rsidP="0011186B">
      <w:pPr>
        <w:pStyle w:val="Heading2"/>
      </w:pPr>
      <w:bookmarkStart w:id="89" w:name="_Toc326764352"/>
      <w:r>
        <w:t>Additional Tables</w:t>
      </w:r>
      <w:bookmarkEnd w:id="89"/>
    </w:p>
    <w:p w:rsidR="0011186B" w:rsidRPr="00691935" w:rsidRDefault="0011186B" w:rsidP="0011186B">
      <w:pPr>
        <w:pStyle w:val="Caption"/>
        <w:spacing w:before="120" w:after="60"/>
      </w:pPr>
      <w:bookmarkStart w:id="90" w:name="TableA1_1"/>
      <w:bookmarkEnd w:id="90"/>
      <w:r>
        <w:t xml:space="preserve">Table </w:t>
      </w:r>
      <w:proofErr w:type="spellStart"/>
      <w:r>
        <w:t>A1.1</w:t>
      </w:r>
      <w:proofErr w:type="spellEnd"/>
      <w:r w:rsidRPr="00691935">
        <w:t xml:space="preserve"> – Discuss</w:t>
      </w:r>
      <w:r w:rsidR="0051655B">
        <w:t>ions with job seekers</w:t>
      </w:r>
      <w:r w:rsidRPr="00691935">
        <w:t xml:space="preserve"> showing average proportion of job seekers who report having discussion</w:t>
      </w:r>
      <w:r>
        <w:t>, by topic category (per cent)</w:t>
      </w:r>
    </w:p>
    <w:tbl>
      <w:tblPr>
        <w:tblStyle w:val="TableGrid"/>
        <w:tblW w:w="8505" w:type="dxa"/>
        <w:tblBorders>
          <w:left w:val="none" w:sz="0" w:space="0" w:color="auto"/>
          <w:right w:val="none" w:sz="0" w:space="0" w:color="auto"/>
          <w:insideH w:val="none" w:sz="0" w:space="0" w:color="auto"/>
          <w:insideV w:val="none" w:sz="0" w:space="0" w:color="auto"/>
        </w:tblBorders>
        <w:tblLook w:val="04A0"/>
      </w:tblPr>
      <w:tblGrid>
        <w:gridCol w:w="2763"/>
        <w:gridCol w:w="1914"/>
        <w:gridCol w:w="1914"/>
        <w:gridCol w:w="1914"/>
      </w:tblGrid>
      <w:tr w:rsidR="0011186B" w:rsidRPr="00E12C88" w:rsidTr="0024454B">
        <w:trPr>
          <w:cantSplit/>
          <w:tblHeader/>
        </w:trPr>
        <w:tc>
          <w:tcPr>
            <w:tcW w:w="2660" w:type="dxa"/>
            <w:tcBorders>
              <w:top w:val="single" w:sz="4" w:space="0" w:color="auto"/>
              <w:bottom w:val="single" w:sz="4" w:space="0" w:color="auto"/>
            </w:tcBorders>
          </w:tcPr>
          <w:p w:rsidR="0011186B" w:rsidRPr="00E12C88" w:rsidRDefault="0011186B" w:rsidP="006F4A06">
            <w:pPr>
              <w:pStyle w:val="TableofFigures"/>
              <w:rPr>
                <w:b/>
              </w:rPr>
            </w:pPr>
            <w:r w:rsidRPr="00E12C88">
              <w:rPr>
                <w:b/>
              </w:rPr>
              <w:t xml:space="preserve">Discussions with </w:t>
            </w:r>
            <w:r>
              <w:rPr>
                <w:b/>
              </w:rPr>
              <w:br/>
            </w:r>
            <w:r w:rsidRPr="00E12C88">
              <w:rPr>
                <w:b/>
              </w:rPr>
              <w:t>Job Seekers</w:t>
            </w:r>
          </w:p>
        </w:tc>
        <w:tc>
          <w:tcPr>
            <w:tcW w:w="1843" w:type="dxa"/>
            <w:tcBorders>
              <w:top w:val="single" w:sz="4" w:space="0" w:color="auto"/>
              <w:bottom w:val="single" w:sz="4" w:space="0" w:color="auto"/>
            </w:tcBorders>
          </w:tcPr>
          <w:p w:rsidR="0011186B" w:rsidRPr="00E12C88" w:rsidRDefault="0011186B" w:rsidP="006F4A06">
            <w:pPr>
              <w:pStyle w:val="TableofFigures"/>
              <w:jc w:val="center"/>
              <w:rPr>
                <w:b/>
              </w:rPr>
            </w:pPr>
            <w:r w:rsidRPr="00E12C88">
              <w:rPr>
                <w:b/>
              </w:rPr>
              <w:t>High Performing Sites</w:t>
            </w:r>
          </w:p>
        </w:tc>
        <w:tc>
          <w:tcPr>
            <w:tcW w:w="1843" w:type="dxa"/>
            <w:tcBorders>
              <w:top w:val="single" w:sz="4" w:space="0" w:color="auto"/>
              <w:bottom w:val="single" w:sz="4" w:space="0" w:color="auto"/>
            </w:tcBorders>
          </w:tcPr>
          <w:p w:rsidR="0011186B" w:rsidRPr="00E12C88" w:rsidRDefault="0011186B" w:rsidP="006F4A06">
            <w:pPr>
              <w:pStyle w:val="TableofFigures"/>
              <w:jc w:val="center"/>
              <w:rPr>
                <w:b/>
              </w:rPr>
            </w:pPr>
            <w:r w:rsidRPr="00E12C88">
              <w:rPr>
                <w:b/>
              </w:rPr>
              <w:t>Mid Performing Sites</w:t>
            </w:r>
          </w:p>
        </w:tc>
        <w:tc>
          <w:tcPr>
            <w:tcW w:w="1843" w:type="dxa"/>
            <w:tcBorders>
              <w:top w:val="single" w:sz="4" w:space="0" w:color="auto"/>
              <w:bottom w:val="single" w:sz="4" w:space="0" w:color="auto"/>
            </w:tcBorders>
          </w:tcPr>
          <w:p w:rsidR="0011186B" w:rsidRPr="00E12C88" w:rsidRDefault="0011186B" w:rsidP="006F4A06">
            <w:pPr>
              <w:pStyle w:val="TableofFigures"/>
              <w:jc w:val="center"/>
              <w:rPr>
                <w:b/>
              </w:rPr>
            </w:pPr>
            <w:r w:rsidRPr="00E12C88">
              <w:rPr>
                <w:b/>
              </w:rPr>
              <w:t>Low Performing Sites</w:t>
            </w:r>
          </w:p>
        </w:tc>
      </w:tr>
      <w:tr w:rsidR="0011186B" w:rsidTr="0024454B">
        <w:trPr>
          <w:cantSplit/>
          <w:tblHeader/>
        </w:trPr>
        <w:tc>
          <w:tcPr>
            <w:tcW w:w="2660" w:type="dxa"/>
            <w:tcBorders>
              <w:top w:val="single" w:sz="4" w:space="0" w:color="auto"/>
            </w:tcBorders>
          </w:tcPr>
          <w:p w:rsidR="0011186B" w:rsidRDefault="0011186B" w:rsidP="006F4A06">
            <w:pPr>
              <w:pStyle w:val="TableofFigures"/>
              <w:spacing w:before="40"/>
            </w:pPr>
            <w:r>
              <w:t>Skills and education to help get work</w:t>
            </w:r>
          </w:p>
        </w:tc>
        <w:tc>
          <w:tcPr>
            <w:tcW w:w="1843" w:type="dxa"/>
            <w:tcBorders>
              <w:top w:val="single" w:sz="4" w:space="0" w:color="auto"/>
            </w:tcBorders>
            <w:vAlign w:val="bottom"/>
          </w:tcPr>
          <w:p w:rsidR="0011186B" w:rsidRDefault="0011186B" w:rsidP="006F4A06">
            <w:pPr>
              <w:pStyle w:val="TableofFigures"/>
              <w:spacing w:before="40"/>
              <w:jc w:val="center"/>
            </w:pPr>
            <w:r>
              <w:t>62</w:t>
            </w:r>
          </w:p>
        </w:tc>
        <w:tc>
          <w:tcPr>
            <w:tcW w:w="1843" w:type="dxa"/>
            <w:tcBorders>
              <w:top w:val="single" w:sz="4" w:space="0" w:color="auto"/>
            </w:tcBorders>
            <w:vAlign w:val="bottom"/>
          </w:tcPr>
          <w:p w:rsidR="0011186B" w:rsidRDefault="0011186B" w:rsidP="006F4A06">
            <w:pPr>
              <w:pStyle w:val="TableofFigures"/>
              <w:spacing w:before="40"/>
              <w:jc w:val="center"/>
            </w:pPr>
            <w:r>
              <w:t>58</w:t>
            </w:r>
          </w:p>
        </w:tc>
        <w:tc>
          <w:tcPr>
            <w:tcW w:w="1843" w:type="dxa"/>
            <w:tcBorders>
              <w:top w:val="single" w:sz="4" w:space="0" w:color="auto"/>
            </w:tcBorders>
            <w:vAlign w:val="bottom"/>
          </w:tcPr>
          <w:p w:rsidR="0011186B" w:rsidRDefault="0011186B" w:rsidP="006F4A06">
            <w:pPr>
              <w:pStyle w:val="TableofFigures"/>
              <w:spacing w:before="40"/>
              <w:jc w:val="center"/>
            </w:pPr>
            <w:r>
              <w:t>51</w:t>
            </w:r>
          </w:p>
        </w:tc>
      </w:tr>
      <w:tr w:rsidR="0011186B" w:rsidTr="0024454B">
        <w:trPr>
          <w:cantSplit/>
          <w:tblHeader/>
        </w:trPr>
        <w:tc>
          <w:tcPr>
            <w:tcW w:w="2660" w:type="dxa"/>
          </w:tcPr>
          <w:p w:rsidR="0011186B" w:rsidRDefault="0011186B" w:rsidP="006F4A06">
            <w:pPr>
              <w:pStyle w:val="TableofFigures"/>
              <w:spacing w:before="40"/>
            </w:pPr>
            <w:r>
              <w:t>Current skills and education</w:t>
            </w:r>
          </w:p>
        </w:tc>
        <w:tc>
          <w:tcPr>
            <w:tcW w:w="1843" w:type="dxa"/>
            <w:vAlign w:val="bottom"/>
          </w:tcPr>
          <w:p w:rsidR="0011186B" w:rsidRDefault="0011186B" w:rsidP="006F4A06">
            <w:pPr>
              <w:pStyle w:val="TableofFigures"/>
              <w:spacing w:before="40"/>
              <w:jc w:val="center"/>
            </w:pPr>
            <w:r>
              <w:t>72</w:t>
            </w:r>
          </w:p>
        </w:tc>
        <w:tc>
          <w:tcPr>
            <w:tcW w:w="1843" w:type="dxa"/>
            <w:vAlign w:val="bottom"/>
          </w:tcPr>
          <w:p w:rsidR="0011186B" w:rsidRDefault="0011186B" w:rsidP="006F4A06">
            <w:pPr>
              <w:pStyle w:val="TableofFigures"/>
              <w:spacing w:before="40"/>
              <w:jc w:val="center"/>
            </w:pPr>
            <w:r>
              <w:t>69</w:t>
            </w:r>
          </w:p>
        </w:tc>
        <w:tc>
          <w:tcPr>
            <w:tcW w:w="1843" w:type="dxa"/>
            <w:vAlign w:val="bottom"/>
          </w:tcPr>
          <w:p w:rsidR="0011186B" w:rsidRDefault="0011186B" w:rsidP="006F4A06">
            <w:pPr>
              <w:pStyle w:val="TableofFigures"/>
              <w:spacing w:before="40"/>
              <w:jc w:val="center"/>
            </w:pPr>
            <w:r>
              <w:t>61</w:t>
            </w:r>
          </w:p>
        </w:tc>
      </w:tr>
      <w:tr w:rsidR="0011186B" w:rsidTr="0024454B">
        <w:trPr>
          <w:cantSplit/>
          <w:tblHeader/>
        </w:trPr>
        <w:tc>
          <w:tcPr>
            <w:tcW w:w="2660" w:type="dxa"/>
          </w:tcPr>
          <w:p w:rsidR="0011186B" w:rsidRDefault="0011186B" w:rsidP="006F4A06">
            <w:pPr>
              <w:pStyle w:val="TableofFigures"/>
              <w:spacing w:before="40"/>
            </w:pPr>
            <w:r>
              <w:t>Types of jobs might like in the future</w:t>
            </w:r>
          </w:p>
        </w:tc>
        <w:tc>
          <w:tcPr>
            <w:tcW w:w="1843" w:type="dxa"/>
            <w:vAlign w:val="bottom"/>
          </w:tcPr>
          <w:p w:rsidR="0011186B" w:rsidRDefault="0011186B" w:rsidP="006F4A06">
            <w:pPr>
              <w:pStyle w:val="TableofFigures"/>
              <w:spacing w:before="40"/>
              <w:jc w:val="center"/>
            </w:pPr>
            <w:r>
              <w:t>73</w:t>
            </w:r>
          </w:p>
        </w:tc>
        <w:tc>
          <w:tcPr>
            <w:tcW w:w="1843" w:type="dxa"/>
            <w:vAlign w:val="bottom"/>
          </w:tcPr>
          <w:p w:rsidR="0011186B" w:rsidRDefault="0011186B" w:rsidP="006F4A06">
            <w:pPr>
              <w:pStyle w:val="TableofFigures"/>
              <w:spacing w:before="40"/>
              <w:jc w:val="center"/>
            </w:pPr>
            <w:r>
              <w:t>70</w:t>
            </w:r>
          </w:p>
        </w:tc>
        <w:tc>
          <w:tcPr>
            <w:tcW w:w="1843" w:type="dxa"/>
            <w:vAlign w:val="bottom"/>
          </w:tcPr>
          <w:p w:rsidR="0011186B" w:rsidRDefault="0011186B" w:rsidP="006F4A06">
            <w:pPr>
              <w:pStyle w:val="TableofFigures"/>
              <w:spacing w:before="40"/>
              <w:jc w:val="center"/>
            </w:pPr>
            <w:r>
              <w:t>62</w:t>
            </w:r>
          </w:p>
        </w:tc>
      </w:tr>
      <w:tr w:rsidR="0011186B" w:rsidTr="0024454B">
        <w:trPr>
          <w:cantSplit/>
          <w:tblHeader/>
        </w:trPr>
        <w:tc>
          <w:tcPr>
            <w:tcW w:w="2660" w:type="dxa"/>
          </w:tcPr>
          <w:p w:rsidR="0011186B" w:rsidRDefault="0011186B" w:rsidP="006F4A06">
            <w:pPr>
              <w:pStyle w:val="TableofFigures"/>
              <w:spacing w:before="40"/>
            </w:pPr>
            <w:r>
              <w:t>Any jobs in the past</w:t>
            </w:r>
          </w:p>
        </w:tc>
        <w:tc>
          <w:tcPr>
            <w:tcW w:w="1843" w:type="dxa"/>
            <w:vAlign w:val="bottom"/>
          </w:tcPr>
          <w:p w:rsidR="0011186B" w:rsidRDefault="0011186B" w:rsidP="006F4A06">
            <w:pPr>
              <w:pStyle w:val="TableofFigures"/>
              <w:spacing w:before="40"/>
              <w:jc w:val="center"/>
            </w:pPr>
            <w:r>
              <w:t>68</w:t>
            </w:r>
          </w:p>
        </w:tc>
        <w:tc>
          <w:tcPr>
            <w:tcW w:w="1843" w:type="dxa"/>
            <w:vAlign w:val="bottom"/>
          </w:tcPr>
          <w:p w:rsidR="0011186B" w:rsidRDefault="0011186B" w:rsidP="006F4A06">
            <w:pPr>
              <w:pStyle w:val="TableofFigures"/>
              <w:spacing w:before="40"/>
              <w:jc w:val="center"/>
            </w:pPr>
            <w:r>
              <w:t>65</w:t>
            </w:r>
          </w:p>
        </w:tc>
        <w:tc>
          <w:tcPr>
            <w:tcW w:w="1843" w:type="dxa"/>
            <w:vAlign w:val="bottom"/>
          </w:tcPr>
          <w:p w:rsidR="0011186B" w:rsidRDefault="0011186B" w:rsidP="006F4A06">
            <w:pPr>
              <w:pStyle w:val="TableofFigures"/>
              <w:spacing w:before="40"/>
              <w:jc w:val="center"/>
            </w:pPr>
            <w:r>
              <w:t>57</w:t>
            </w:r>
          </w:p>
        </w:tc>
      </w:tr>
    </w:tbl>
    <w:p w:rsidR="0011186B" w:rsidRDefault="0011186B" w:rsidP="00D519E1">
      <w:pPr>
        <w:pStyle w:val="Sourceandnotetext"/>
      </w:pPr>
      <w:r w:rsidRPr="00BB5D6F">
        <w:rPr>
          <w:b/>
          <w:bCs/>
        </w:rPr>
        <w:t>Source:</w:t>
      </w:r>
      <w:r>
        <w:t xml:space="preserve"> DEEWR Post Program Monitoring Survey, 2009–2010</w:t>
      </w:r>
    </w:p>
    <w:p w:rsidR="0011186B" w:rsidRPr="001F70F1" w:rsidRDefault="00C23440" w:rsidP="001F70F1">
      <w:hyperlink w:anchor="Discussionswithjobseekers" w:tooltip="Figure 1: Discussions with job seekers" w:history="1">
        <w:r w:rsidR="0011186B" w:rsidRPr="001F70F1">
          <w:t>View Figure 1: Discussions with job seekers</w:t>
        </w:r>
      </w:hyperlink>
    </w:p>
    <w:p w:rsidR="0011186B" w:rsidRPr="009B7363" w:rsidRDefault="0011186B" w:rsidP="0011186B">
      <w:pPr>
        <w:pStyle w:val="Captionbefore12"/>
      </w:pPr>
      <w:bookmarkStart w:id="91" w:name="TableA1_2"/>
      <w:bookmarkEnd w:id="91"/>
      <w:r w:rsidRPr="009B7363">
        <w:t xml:space="preserve">Table </w:t>
      </w:r>
      <w:proofErr w:type="spellStart"/>
      <w:r w:rsidRPr="009B7363">
        <w:t>A1.2</w:t>
      </w:r>
      <w:proofErr w:type="spellEnd"/>
      <w:r w:rsidRPr="009B7363">
        <w:t xml:space="preserve"> - Employment Pathway Fund expenditure 2009–10, average proportion of expenditure on major categories (per cent)</w:t>
      </w:r>
    </w:p>
    <w:tbl>
      <w:tblPr>
        <w:tblStyle w:val="TableGrid"/>
        <w:tblW w:w="8505" w:type="dxa"/>
        <w:tblBorders>
          <w:left w:val="none" w:sz="0" w:space="0" w:color="auto"/>
          <w:right w:val="none" w:sz="0" w:space="0" w:color="auto"/>
          <w:insideV w:val="none" w:sz="0" w:space="0" w:color="auto"/>
        </w:tblBorders>
        <w:tblLook w:val="04A0"/>
      </w:tblPr>
      <w:tblGrid>
        <w:gridCol w:w="2763"/>
        <w:gridCol w:w="1914"/>
        <w:gridCol w:w="1914"/>
        <w:gridCol w:w="1914"/>
      </w:tblGrid>
      <w:tr w:rsidR="0011186B" w:rsidRPr="00E12C88" w:rsidTr="0024454B">
        <w:trPr>
          <w:cantSplit/>
          <w:tblHeader/>
        </w:trPr>
        <w:tc>
          <w:tcPr>
            <w:tcW w:w="2763" w:type="dxa"/>
            <w:tcBorders>
              <w:bottom w:val="single" w:sz="4" w:space="0" w:color="auto"/>
            </w:tcBorders>
            <w:vAlign w:val="bottom"/>
          </w:tcPr>
          <w:p w:rsidR="0011186B" w:rsidRPr="00D348E0" w:rsidRDefault="0011186B" w:rsidP="006F4A06">
            <w:pPr>
              <w:pStyle w:val="TableofFigures"/>
              <w:rPr>
                <w:b/>
              </w:rPr>
            </w:pPr>
            <w:r w:rsidRPr="00D348E0">
              <w:rPr>
                <w:b/>
              </w:rPr>
              <w:t>Major categories</w:t>
            </w:r>
          </w:p>
        </w:tc>
        <w:tc>
          <w:tcPr>
            <w:tcW w:w="1914" w:type="dxa"/>
            <w:tcBorders>
              <w:bottom w:val="single" w:sz="4" w:space="0" w:color="auto"/>
            </w:tcBorders>
          </w:tcPr>
          <w:p w:rsidR="0011186B" w:rsidRPr="00E12C88" w:rsidRDefault="0011186B" w:rsidP="006F4A06">
            <w:pPr>
              <w:pStyle w:val="TableofFigures"/>
              <w:jc w:val="center"/>
              <w:rPr>
                <w:b/>
              </w:rPr>
            </w:pPr>
            <w:r w:rsidRPr="00E12C88">
              <w:rPr>
                <w:b/>
              </w:rPr>
              <w:t>High Performing Sites</w:t>
            </w:r>
          </w:p>
        </w:tc>
        <w:tc>
          <w:tcPr>
            <w:tcW w:w="1914" w:type="dxa"/>
            <w:tcBorders>
              <w:bottom w:val="single" w:sz="4" w:space="0" w:color="auto"/>
            </w:tcBorders>
          </w:tcPr>
          <w:p w:rsidR="0011186B" w:rsidRPr="00E12C88" w:rsidRDefault="0011186B" w:rsidP="006F4A06">
            <w:pPr>
              <w:pStyle w:val="TableofFigures"/>
              <w:jc w:val="center"/>
              <w:rPr>
                <w:b/>
              </w:rPr>
            </w:pPr>
            <w:r w:rsidRPr="00E12C88">
              <w:rPr>
                <w:b/>
              </w:rPr>
              <w:t>Mid Performing Sites</w:t>
            </w:r>
          </w:p>
        </w:tc>
        <w:tc>
          <w:tcPr>
            <w:tcW w:w="1914" w:type="dxa"/>
            <w:tcBorders>
              <w:bottom w:val="single" w:sz="4" w:space="0" w:color="auto"/>
            </w:tcBorders>
          </w:tcPr>
          <w:p w:rsidR="0011186B" w:rsidRPr="00E12C88" w:rsidRDefault="0011186B" w:rsidP="006F4A06">
            <w:pPr>
              <w:pStyle w:val="TableofFigures"/>
              <w:jc w:val="center"/>
              <w:rPr>
                <w:b/>
              </w:rPr>
            </w:pPr>
            <w:r w:rsidRPr="00E12C88">
              <w:rPr>
                <w:b/>
              </w:rPr>
              <w:t>Low Performing Sites</w:t>
            </w:r>
          </w:p>
        </w:tc>
      </w:tr>
      <w:tr w:rsidR="0011186B" w:rsidTr="0024454B">
        <w:trPr>
          <w:cantSplit/>
          <w:tblHeader/>
        </w:trPr>
        <w:tc>
          <w:tcPr>
            <w:tcW w:w="2763" w:type="dxa"/>
            <w:tcBorders>
              <w:bottom w:val="nil"/>
            </w:tcBorders>
          </w:tcPr>
          <w:p w:rsidR="0011186B" w:rsidRDefault="0011186B" w:rsidP="00EB150F">
            <w:pPr>
              <w:pStyle w:val="TableofFigures"/>
              <w:spacing w:before="40"/>
            </w:pPr>
            <w:r>
              <w:t>Professional services</w:t>
            </w:r>
          </w:p>
        </w:tc>
        <w:tc>
          <w:tcPr>
            <w:tcW w:w="1914" w:type="dxa"/>
            <w:tcBorders>
              <w:bottom w:val="nil"/>
            </w:tcBorders>
          </w:tcPr>
          <w:p w:rsidR="0011186B" w:rsidRDefault="0011186B" w:rsidP="00C53EAA">
            <w:pPr>
              <w:pStyle w:val="TableofFigures"/>
              <w:spacing w:before="40"/>
              <w:ind w:right="775"/>
              <w:jc w:val="right"/>
            </w:pPr>
            <w:r>
              <w:t>4.6</w:t>
            </w:r>
          </w:p>
        </w:tc>
        <w:tc>
          <w:tcPr>
            <w:tcW w:w="1914" w:type="dxa"/>
            <w:tcBorders>
              <w:bottom w:val="nil"/>
            </w:tcBorders>
          </w:tcPr>
          <w:p w:rsidR="0011186B" w:rsidRDefault="0011186B" w:rsidP="00C53EAA">
            <w:pPr>
              <w:pStyle w:val="TableofFigures"/>
              <w:spacing w:before="40"/>
              <w:ind w:right="775"/>
              <w:jc w:val="right"/>
            </w:pPr>
            <w:r>
              <w:t>6.9</w:t>
            </w:r>
          </w:p>
        </w:tc>
        <w:tc>
          <w:tcPr>
            <w:tcW w:w="1914" w:type="dxa"/>
            <w:tcBorders>
              <w:bottom w:val="nil"/>
            </w:tcBorders>
          </w:tcPr>
          <w:p w:rsidR="0011186B" w:rsidRDefault="0011186B" w:rsidP="00C53EAA">
            <w:pPr>
              <w:pStyle w:val="TableofFigures"/>
              <w:spacing w:before="40"/>
              <w:ind w:right="775"/>
              <w:jc w:val="right"/>
            </w:pPr>
            <w:r>
              <w:t>5.9</w:t>
            </w:r>
          </w:p>
        </w:tc>
      </w:tr>
      <w:tr w:rsidR="0011186B" w:rsidTr="0024454B">
        <w:trPr>
          <w:cantSplit/>
          <w:tblHeader/>
        </w:trPr>
        <w:tc>
          <w:tcPr>
            <w:tcW w:w="2763" w:type="dxa"/>
            <w:tcBorders>
              <w:top w:val="nil"/>
              <w:bottom w:val="nil"/>
            </w:tcBorders>
          </w:tcPr>
          <w:p w:rsidR="0011186B" w:rsidRDefault="0011186B" w:rsidP="00EB150F">
            <w:pPr>
              <w:pStyle w:val="TableofFigures"/>
              <w:spacing w:before="40"/>
            </w:pPr>
            <w:r>
              <w:t>Clothing and presentation</w:t>
            </w:r>
          </w:p>
        </w:tc>
        <w:tc>
          <w:tcPr>
            <w:tcW w:w="1914" w:type="dxa"/>
            <w:tcBorders>
              <w:top w:val="nil"/>
              <w:bottom w:val="nil"/>
            </w:tcBorders>
          </w:tcPr>
          <w:p w:rsidR="0011186B" w:rsidRDefault="0011186B" w:rsidP="00C53EAA">
            <w:pPr>
              <w:pStyle w:val="TableofFigures"/>
              <w:spacing w:before="40"/>
              <w:ind w:right="775"/>
              <w:jc w:val="right"/>
            </w:pPr>
            <w:r>
              <w:t>7.9</w:t>
            </w:r>
          </w:p>
        </w:tc>
        <w:tc>
          <w:tcPr>
            <w:tcW w:w="1914" w:type="dxa"/>
            <w:tcBorders>
              <w:top w:val="nil"/>
              <w:bottom w:val="nil"/>
            </w:tcBorders>
          </w:tcPr>
          <w:p w:rsidR="0011186B" w:rsidRDefault="0011186B" w:rsidP="00C53EAA">
            <w:pPr>
              <w:pStyle w:val="TableofFigures"/>
              <w:spacing w:before="40"/>
              <w:ind w:right="775"/>
              <w:jc w:val="right"/>
            </w:pPr>
            <w:r>
              <w:t>7.7</w:t>
            </w:r>
          </w:p>
        </w:tc>
        <w:tc>
          <w:tcPr>
            <w:tcW w:w="1914" w:type="dxa"/>
            <w:tcBorders>
              <w:top w:val="nil"/>
              <w:bottom w:val="nil"/>
            </w:tcBorders>
          </w:tcPr>
          <w:p w:rsidR="0011186B" w:rsidRDefault="0011186B" w:rsidP="00C53EAA">
            <w:pPr>
              <w:pStyle w:val="TableofFigures"/>
              <w:spacing w:before="40"/>
              <w:ind w:right="775"/>
              <w:jc w:val="right"/>
            </w:pPr>
            <w:r>
              <w:t>8.8</w:t>
            </w:r>
          </w:p>
        </w:tc>
      </w:tr>
      <w:tr w:rsidR="0011186B" w:rsidTr="0024454B">
        <w:trPr>
          <w:cantSplit/>
          <w:tblHeader/>
        </w:trPr>
        <w:tc>
          <w:tcPr>
            <w:tcW w:w="2763" w:type="dxa"/>
            <w:tcBorders>
              <w:top w:val="nil"/>
              <w:bottom w:val="nil"/>
            </w:tcBorders>
          </w:tcPr>
          <w:p w:rsidR="0011186B" w:rsidRDefault="0011186B" w:rsidP="00EB150F">
            <w:pPr>
              <w:pStyle w:val="TableofFigures"/>
              <w:spacing w:before="40"/>
            </w:pPr>
            <w:r>
              <w:t>Wage subsidies</w:t>
            </w:r>
          </w:p>
        </w:tc>
        <w:tc>
          <w:tcPr>
            <w:tcW w:w="1914" w:type="dxa"/>
            <w:tcBorders>
              <w:top w:val="nil"/>
              <w:bottom w:val="nil"/>
            </w:tcBorders>
          </w:tcPr>
          <w:p w:rsidR="0011186B" w:rsidRDefault="0011186B" w:rsidP="00C53EAA">
            <w:pPr>
              <w:pStyle w:val="TableofFigures"/>
              <w:spacing w:before="40"/>
              <w:ind w:right="775"/>
              <w:jc w:val="right"/>
            </w:pPr>
            <w:r>
              <w:t>20.4</w:t>
            </w:r>
          </w:p>
        </w:tc>
        <w:tc>
          <w:tcPr>
            <w:tcW w:w="1914" w:type="dxa"/>
            <w:tcBorders>
              <w:top w:val="nil"/>
              <w:bottom w:val="nil"/>
            </w:tcBorders>
          </w:tcPr>
          <w:p w:rsidR="0011186B" w:rsidRDefault="0011186B" w:rsidP="00C53EAA">
            <w:pPr>
              <w:pStyle w:val="TableofFigures"/>
              <w:spacing w:before="40"/>
              <w:ind w:right="775"/>
              <w:jc w:val="right"/>
            </w:pPr>
            <w:r>
              <w:t>12.7</w:t>
            </w:r>
          </w:p>
        </w:tc>
        <w:tc>
          <w:tcPr>
            <w:tcW w:w="1914" w:type="dxa"/>
            <w:tcBorders>
              <w:top w:val="nil"/>
              <w:bottom w:val="nil"/>
            </w:tcBorders>
          </w:tcPr>
          <w:p w:rsidR="0011186B" w:rsidRDefault="0011186B" w:rsidP="00C53EAA">
            <w:pPr>
              <w:pStyle w:val="TableofFigures"/>
              <w:spacing w:before="40"/>
              <w:ind w:right="775"/>
              <w:jc w:val="right"/>
            </w:pPr>
            <w:r>
              <w:t>6.4</w:t>
            </w:r>
          </w:p>
        </w:tc>
      </w:tr>
      <w:tr w:rsidR="0011186B" w:rsidTr="0024454B">
        <w:trPr>
          <w:cantSplit/>
          <w:tblHeader/>
        </w:trPr>
        <w:tc>
          <w:tcPr>
            <w:tcW w:w="2763" w:type="dxa"/>
            <w:tcBorders>
              <w:top w:val="nil"/>
              <w:bottom w:val="nil"/>
            </w:tcBorders>
          </w:tcPr>
          <w:p w:rsidR="0011186B" w:rsidRDefault="0011186B" w:rsidP="00EB150F">
            <w:pPr>
              <w:pStyle w:val="TableofFigures"/>
              <w:spacing w:before="40"/>
            </w:pPr>
            <w:r>
              <w:t>Reverse Marketing</w:t>
            </w:r>
          </w:p>
        </w:tc>
        <w:tc>
          <w:tcPr>
            <w:tcW w:w="1914" w:type="dxa"/>
            <w:tcBorders>
              <w:top w:val="nil"/>
              <w:bottom w:val="nil"/>
            </w:tcBorders>
          </w:tcPr>
          <w:p w:rsidR="0011186B" w:rsidRDefault="0011186B" w:rsidP="00C53EAA">
            <w:pPr>
              <w:pStyle w:val="TableofFigures"/>
              <w:spacing w:before="40"/>
              <w:ind w:right="775"/>
              <w:jc w:val="right"/>
            </w:pPr>
            <w:r>
              <w:t>10.4</w:t>
            </w:r>
          </w:p>
        </w:tc>
        <w:tc>
          <w:tcPr>
            <w:tcW w:w="1914" w:type="dxa"/>
            <w:tcBorders>
              <w:top w:val="nil"/>
              <w:bottom w:val="nil"/>
            </w:tcBorders>
          </w:tcPr>
          <w:p w:rsidR="0011186B" w:rsidRDefault="0011186B" w:rsidP="00C53EAA">
            <w:pPr>
              <w:pStyle w:val="TableofFigures"/>
              <w:spacing w:before="40"/>
              <w:ind w:right="775"/>
              <w:jc w:val="right"/>
            </w:pPr>
            <w:r>
              <w:t>7.6</w:t>
            </w:r>
          </w:p>
        </w:tc>
        <w:tc>
          <w:tcPr>
            <w:tcW w:w="1914" w:type="dxa"/>
            <w:tcBorders>
              <w:top w:val="nil"/>
              <w:bottom w:val="nil"/>
            </w:tcBorders>
          </w:tcPr>
          <w:p w:rsidR="0011186B" w:rsidRDefault="0011186B" w:rsidP="00C53EAA">
            <w:pPr>
              <w:pStyle w:val="TableofFigures"/>
              <w:spacing w:before="40"/>
              <w:ind w:right="775"/>
              <w:jc w:val="right"/>
            </w:pPr>
            <w:r>
              <w:t>6.1</w:t>
            </w:r>
          </w:p>
        </w:tc>
      </w:tr>
      <w:tr w:rsidR="0011186B" w:rsidTr="0024454B">
        <w:trPr>
          <w:cantSplit/>
          <w:tblHeader/>
        </w:trPr>
        <w:tc>
          <w:tcPr>
            <w:tcW w:w="2763" w:type="dxa"/>
            <w:tcBorders>
              <w:top w:val="nil"/>
              <w:bottom w:val="nil"/>
            </w:tcBorders>
          </w:tcPr>
          <w:p w:rsidR="0011186B" w:rsidRDefault="0011186B" w:rsidP="00EB150F">
            <w:pPr>
              <w:pStyle w:val="TableofFigures"/>
              <w:spacing w:before="40"/>
            </w:pPr>
            <w:r>
              <w:t>Outreach</w:t>
            </w:r>
          </w:p>
        </w:tc>
        <w:tc>
          <w:tcPr>
            <w:tcW w:w="1914" w:type="dxa"/>
            <w:tcBorders>
              <w:top w:val="nil"/>
              <w:bottom w:val="nil"/>
            </w:tcBorders>
          </w:tcPr>
          <w:p w:rsidR="0011186B" w:rsidRDefault="0011186B" w:rsidP="00C53EAA">
            <w:pPr>
              <w:pStyle w:val="TableofFigures"/>
              <w:spacing w:before="40"/>
              <w:ind w:right="775"/>
              <w:jc w:val="right"/>
            </w:pPr>
            <w:r>
              <w:t>7.1</w:t>
            </w:r>
          </w:p>
        </w:tc>
        <w:tc>
          <w:tcPr>
            <w:tcW w:w="1914" w:type="dxa"/>
            <w:tcBorders>
              <w:top w:val="nil"/>
              <w:bottom w:val="nil"/>
            </w:tcBorders>
          </w:tcPr>
          <w:p w:rsidR="0011186B" w:rsidRDefault="0011186B" w:rsidP="00C53EAA">
            <w:pPr>
              <w:pStyle w:val="TableofFigures"/>
              <w:spacing w:before="40"/>
              <w:ind w:right="775"/>
              <w:jc w:val="right"/>
            </w:pPr>
            <w:r>
              <w:t>10.6</w:t>
            </w:r>
          </w:p>
        </w:tc>
        <w:tc>
          <w:tcPr>
            <w:tcW w:w="1914" w:type="dxa"/>
            <w:tcBorders>
              <w:top w:val="nil"/>
              <w:bottom w:val="nil"/>
            </w:tcBorders>
          </w:tcPr>
          <w:p w:rsidR="0011186B" w:rsidRDefault="0011186B" w:rsidP="00C53EAA">
            <w:pPr>
              <w:pStyle w:val="TableofFigures"/>
              <w:spacing w:before="40"/>
              <w:ind w:right="775"/>
              <w:jc w:val="right"/>
            </w:pPr>
            <w:r>
              <w:t>14.8</w:t>
            </w:r>
          </w:p>
        </w:tc>
      </w:tr>
      <w:tr w:rsidR="0011186B" w:rsidTr="0024454B">
        <w:trPr>
          <w:cantSplit/>
          <w:tblHeader/>
        </w:trPr>
        <w:tc>
          <w:tcPr>
            <w:tcW w:w="2763" w:type="dxa"/>
            <w:tcBorders>
              <w:top w:val="nil"/>
              <w:bottom w:val="nil"/>
            </w:tcBorders>
          </w:tcPr>
          <w:p w:rsidR="0011186B" w:rsidRDefault="0011186B" w:rsidP="00EB150F">
            <w:pPr>
              <w:pStyle w:val="TableofFigures"/>
              <w:spacing w:before="40"/>
            </w:pPr>
            <w:r>
              <w:t>Training</w:t>
            </w:r>
          </w:p>
        </w:tc>
        <w:tc>
          <w:tcPr>
            <w:tcW w:w="1914" w:type="dxa"/>
            <w:tcBorders>
              <w:top w:val="nil"/>
              <w:bottom w:val="nil"/>
            </w:tcBorders>
          </w:tcPr>
          <w:p w:rsidR="0011186B" w:rsidRDefault="0011186B" w:rsidP="00C53EAA">
            <w:pPr>
              <w:pStyle w:val="TableofFigures"/>
              <w:spacing w:before="40"/>
              <w:ind w:right="775"/>
              <w:jc w:val="right"/>
            </w:pPr>
            <w:r>
              <w:t>28.9</w:t>
            </w:r>
          </w:p>
        </w:tc>
        <w:tc>
          <w:tcPr>
            <w:tcW w:w="1914" w:type="dxa"/>
            <w:tcBorders>
              <w:top w:val="nil"/>
              <w:bottom w:val="nil"/>
            </w:tcBorders>
          </w:tcPr>
          <w:p w:rsidR="0011186B" w:rsidRDefault="0011186B" w:rsidP="00C53EAA">
            <w:pPr>
              <w:pStyle w:val="TableofFigures"/>
              <w:spacing w:before="40"/>
              <w:ind w:right="775"/>
              <w:jc w:val="right"/>
            </w:pPr>
            <w:r>
              <w:t>30.9</w:t>
            </w:r>
          </w:p>
        </w:tc>
        <w:tc>
          <w:tcPr>
            <w:tcW w:w="1914" w:type="dxa"/>
            <w:tcBorders>
              <w:top w:val="nil"/>
              <w:bottom w:val="nil"/>
            </w:tcBorders>
          </w:tcPr>
          <w:p w:rsidR="0011186B" w:rsidRDefault="0011186B" w:rsidP="00C53EAA">
            <w:pPr>
              <w:pStyle w:val="TableofFigures"/>
              <w:spacing w:before="40"/>
              <w:ind w:right="775"/>
              <w:jc w:val="right"/>
            </w:pPr>
            <w:r>
              <w:t>30.5</w:t>
            </w:r>
          </w:p>
        </w:tc>
      </w:tr>
      <w:tr w:rsidR="0011186B" w:rsidTr="0024454B">
        <w:trPr>
          <w:cantSplit/>
          <w:tblHeader/>
        </w:trPr>
        <w:tc>
          <w:tcPr>
            <w:tcW w:w="2763" w:type="dxa"/>
            <w:tcBorders>
              <w:top w:val="nil"/>
            </w:tcBorders>
          </w:tcPr>
          <w:p w:rsidR="0011186B" w:rsidRDefault="0011186B" w:rsidP="00EB150F">
            <w:pPr>
              <w:pStyle w:val="TableofFigures"/>
              <w:spacing w:before="40"/>
            </w:pPr>
            <w:r>
              <w:t xml:space="preserve">Transport and </w:t>
            </w:r>
            <w:r w:rsidR="00D66B4A">
              <w:t>licensing</w:t>
            </w:r>
          </w:p>
        </w:tc>
        <w:tc>
          <w:tcPr>
            <w:tcW w:w="1914" w:type="dxa"/>
            <w:tcBorders>
              <w:top w:val="nil"/>
            </w:tcBorders>
          </w:tcPr>
          <w:p w:rsidR="0011186B" w:rsidRDefault="0011186B" w:rsidP="00C53EAA">
            <w:pPr>
              <w:pStyle w:val="TableofFigures"/>
              <w:spacing w:before="40"/>
              <w:ind w:right="775"/>
              <w:jc w:val="right"/>
            </w:pPr>
            <w:r>
              <w:t>6.3</w:t>
            </w:r>
          </w:p>
        </w:tc>
        <w:tc>
          <w:tcPr>
            <w:tcW w:w="1914" w:type="dxa"/>
            <w:tcBorders>
              <w:top w:val="nil"/>
            </w:tcBorders>
          </w:tcPr>
          <w:p w:rsidR="0011186B" w:rsidRDefault="0011186B" w:rsidP="00C53EAA">
            <w:pPr>
              <w:pStyle w:val="TableofFigures"/>
              <w:spacing w:before="40"/>
              <w:ind w:right="775"/>
              <w:jc w:val="right"/>
            </w:pPr>
            <w:r>
              <w:t>6.6</w:t>
            </w:r>
          </w:p>
        </w:tc>
        <w:tc>
          <w:tcPr>
            <w:tcW w:w="1914" w:type="dxa"/>
            <w:tcBorders>
              <w:top w:val="nil"/>
            </w:tcBorders>
          </w:tcPr>
          <w:p w:rsidR="0011186B" w:rsidRDefault="0011186B" w:rsidP="00C53EAA">
            <w:pPr>
              <w:pStyle w:val="TableofFigures"/>
              <w:spacing w:before="40"/>
              <w:ind w:right="775"/>
              <w:jc w:val="right"/>
            </w:pPr>
            <w:r>
              <w:t>6.8</w:t>
            </w:r>
          </w:p>
        </w:tc>
      </w:tr>
    </w:tbl>
    <w:p w:rsidR="0011186B" w:rsidRPr="00CE56E7" w:rsidRDefault="0011186B" w:rsidP="0011186B">
      <w:pPr>
        <w:pStyle w:val="Sourceandnotetext"/>
      </w:pPr>
      <w:r w:rsidRPr="00A5137B">
        <w:rPr>
          <w:b/>
          <w:bCs/>
        </w:rPr>
        <w:t>Note:</w:t>
      </w:r>
      <w:r w:rsidRPr="005F433F">
        <w:t xml:space="preserve"> </w:t>
      </w:r>
      <w:r w:rsidRPr="00CE56E7">
        <w:t>Major categories include those accounting for more than 6</w:t>
      </w:r>
      <w:r>
        <w:t xml:space="preserve"> per cent</w:t>
      </w:r>
      <w:r w:rsidRPr="00CE56E7">
        <w:t xml:space="preserve"> total </w:t>
      </w:r>
      <w:r>
        <w:t xml:space="preserve">EPF </w:t>
      </w:r>
      <w:r w:rsidRPr="00CE56E7">
        <w:t>allocation, excluding ‘Other’.</w:t>
      </w:r>
    </w:p>
    <w:p w:rsidR="0011186B" w:rsidRDefault="0011186B" w:rsidP="00D519E1">
      <w:pPr>
        <w:pStyle w:val="Sourceandnotetext"/>
      </w:pPr>
      <w:r w:rsidRPr="001D555C">
        <w:rPr>
          <w:b/>
          <w:bCs/>
        </w:rPr>
        <w:t xml:space="preserve">Source: </w:t>
      </w:r>
      <w:r>
        <w:t>DEEWR Corporate Data Set.</w:t>
      </w:r>
    </w:p>
    <w:p w:rsidR="0024454B" w:rsidRDefault="00C23440" w:rsidP="0011186B">
      <w:hyperlink w:anchor="Figure2" w:tooltip="View Figure 2: Employment Pathway Fund expenditure" w:history="1">
        <w:r w:rsidR="0011186B" w:rsidRPr="00E62FF5">
          <w:t>View Figure 2: Employment Pathway Fund expenditure</w:t>
        </w:r>
      </w:hyperlink>
    </w:p>
    <w:p w:rsidR="0024454B" w:rsidRDefault="0024454B">
      <w:pPr>
        <w:spacing w:before="0" w:after="0"/>
      </w:pPr>
      <w:r>
        <w:br w:type="page"/>
      </w:r>
    </w:p>
    <w:p w:rsidR="0011186B" w:rsidRDefault="0011186B" w:rsidP="0011186B"/>
    <w:p w:rsidR="0011186B" w:rsidRPr="00691935" w:rsidRDefault="0011186B" w:rsidP="0011186B">
      <w:pPr>
        <w:pStyle w:val="Captionbefore12"/>
      </w:pPr>
      <w:bookmarkStart w:id="92" w:name="TableA1_3"/>
      <w:bookmarkEnd w:id="92"/>
      <w:r>
        <w:t xml:space="preserve">Table </w:t>
      </w:r>
      <w:proofErr w:type="spellStart"/>
      <w:r>
        <w:t>A1.3</w:t>
      </w:r>
      <w:proofErr w:type="spellEnd"/>
      <w:r w:rsidRPr="00691935">
        <w:t>: Employment Pathway Fund expenditure for financial year 2009–10, proportion of number of transactions by major category (per cent)</w:t>
      </w:r>
    </w:p>
    <w:tbl>
      <w:tblPr>
        <w:tblStyle w:val="TableGrid"/>
        <w:tblW w:w="8505" w:type="dxa"/>
        <w:tblBorders>
          <w:left w:val="none" w:sz="0" w:space="0" w:color="auto"/>
          <w:right w:val="none" w:sz="0" w:space="0" w:color="auto"/>
          <w:insideV w:val="none" w:sz="0" w:space="0" w:color="auto"/>
        </w:tblBorders>
        <w:tblLook w:val="04A0"/>
      </w:tblPr>
      <w:tblGrid>
        <w:gridCol w:w="2763"/>
        <w:gridCol w:w="1914"/>
        <w:gridCol w:w="1914"/>
        <w:gridCol w:w="1914"/>
      </w:tblGrid>
      <w:tr w:rsidR="0011186B" w:rsidRPr="00E12C88" w:rsidTr="0024454B">
        <w:trPr>
          <w:cantSplit/>
          <w:tblHeader/>
        </w:trPr>
        <w:tc>
          <w:tcPr>
            <w:tcW w:w="2763" w:type="dxa"/>
            <w:tcBorders>
              <w:bottom w:val="single" w:sz="4" w:space="0" w:color="auto"/>
            </w:tcBorders>
          </w:tcPr>
          <w:p w:rsidR="0011186B" w:rsidRPr="00D348E0" w:rsidRDefault="0011186B" w:rsidP="006F4A06">
            <w:pPr>
              <w:pStyle w:val="TableofFigures"/>
              <w:rPr>
                <w:b/>
              </w:rPr>
            </w:pPr>
            <w:r w:rsidRPr="00D348E0">
              <w:rPr>
                <w:b/>
              </w:rPr>
              <w:t>Major categories</w:t>
            </w:r>
          </w:p>
        </w:tc>
        <w:tc>
          <w:tcPr>
            <w:tcW w:w="1914" w:type="dxa"/>
            <w:tcBorders>
              <w:bottom w:val="single" w:sz="4" w:space="0" w:color="auto"/>
            </w:tcBorders>
          </w:tcPr>
          <w:p w:rsidR="0011186B" w:rsidRPr="00E12C88" w:rsidRDefault="0011186B" w:rsidP="006F4A06">
            <w:pPr>
              <w:pStyle w:val="TableofFigures"/>
              <w:jc w:val="center"/>
              <w:rPr>
                <w:b/>
              </w:rPr>
            </w:pPr>
            <w:r w:rsidRPr="00E12C88">
              <w:rPr>
                <w:b/>
              </w:rPr>
              <w:t>High Performing Sites</w:t>
            </w:r>
          </w:p>
        </w:tc>
        <w:tc>
          <w:tcPr>
            <w:tcW w:w="1914" w:type="dxa"/>
            <w:tcBorders>
              <w:bottom w:val="single" w:sz="4" w:space="0" w:color="auto"/>
            </w:tcBorders>
          </w:tcPr>
          <w:p w:rsidR="0011186B" w:rsidRPr="00E12C88" w:rsidRDefault="0011186B" w:rsidP="006F4A06">
            <w:pPr>
              <w:pStyle w:val="TableofFigures"/>
              <w:jc w:val="center"/>
              <w:rPr>
                <w:b/>
              </w:rPr>
            </w:pPr>
            <w:r w:rsidRPr="00E12C88">
              <w:rPr>
                <w:b/>
              </w:rPr>
              <w:t>Mid Performing Sites</w:t>
            </w:r>
          </w:p>
        </w:tc>
        <w:tc>
          <w:tcPr>
            <w:tcW w:w="1914" w:type="dxa"/>
            <w:tcBorders>
              <w:bottom w:val="single" w:sz="4" w:space="0" w:color="auto"/>
            </w:tcBorders>
          </w:tcPr>
          <w:p w:rsidR="0011186B" w:rsidRPr="00E12C88" w:rsidRDefault="0011186B" w:rsidP="006F4A06">
            <w:pPr>
              <w:pStyle w:val="TableofFigures"/>
              <w:jc w:val="center"/>
              <w:rPr>
                <w:b/>
              </w:rPr>
            </w:pPr>
            <w:r w:rsidRPr="00E12C88">
              <w:rPr>
                <w:b/>
              </w:rPr>
              <w:t>Low Performing Sites</w:t>
            </w:r>
          </w:p>
        </w:tc>
      </w:tr>
      <w:tr w:rsidR="0011186B" w:rsidTr="0024454B">
        <w:trPr>
          <w:cantSplit/>
          <w:tblHeader/>
        </w:trPr>
        <w:tc>
          <w:tcPr>
            <w:tcW w:w="2763" w:type="dxa"/>
            <w:tcBorders>
              <w:bottom w:val="nil"/>
            </w:tcBorders>
            <w:vAlign w:val="bottom"/>
          </w:tcPr>
          <w:p w:rsidR="0011186B" w:rsidRDefault="0011186B" w:rsidP="006F4A06">
            <w:pPr>
              <w:pStyle w:val="TableofFigures"/>
              <w:spacing w:before="40"/>
            </w:pPr>
            <w:r>
              <w:t>Professional services</w:t>
            </w:r>
          </w:p>
        </w:tc>
        <w:tc>
          <w:tcPr>
            <w:tcW w:w="1914" w:type="dxa"/>
            <w:tcBorders>
              <w:bottom w:val="nil"/>
            </w:tcBorders>
            <w:vAlign w:val="bottom"/>
          </w:tcPr>
          <w:p w:rsidR="0011186B" w:rsidRDefault="0011186B" w:rsidP="006F4A06">
            <w:pPr>
              <w:pStyle w:val="TableofFigures"/>
              <w:spacing w:before="40"/>
              <w:ind w:right="743"/>
              <w:jc w:val="right"/>
            </w:pPr>
            <w:r>
              <w:t>4.1</w:t>
            </w:r>
          </w:p>
        </w:tc>
        <w:tc>
          <w:tcPr>
            <w:tcW w:w="1914" w:type="dxa"/>
            <w:tcBorders>
              <w:bottom w:val="nil"/>
            </w:tcBorders>
            <w:vAlign w:val="bottom"/>
          </w:tcPr>
          <w:p w:rsidR="0011186B" w:rsidRDefault="0011186B" w:rsidP="006F4A06">
            <w:pPr>
              <w:pStyle w:val="TableofFigures"/>
              <w:spacing w:before="40"/>
              <w:ind w:right="743"/>
              <w:jc w:val="right"/>
            </w:pPr>
            <w:r>
              <w:t>6.0</w:t>
            </w:r>
          </w:p>
        </w:tc>
        <w:tc>
          <w:tcPr>
            <w:tcW w:w="1914" w:type="dxa"/>
            <w:tcBorders>
              <w:bottom w:val="nil"/>
            </w:tcBorders>
            <w:vAlign w:val="bottom"/>
          </w:tcPr>
          <w:p w:rsidR="0011186B" w:rsidRDefault="0011186B" w:rsidP="006F4A06">
            <w:pPr>
              <w:pStyle w:val="TableofFigures"/>
              <w:spacing w:before="40"/>
              <w:ind w:right="743"/>
              <w:jc w:val="right"/>
            </w:pPr>
            <w:r>
              <w:t>5.3</w:t>
            </w:r>
          </w:p>
        </w:tc>
      </w:tr>
      <w:tr w:rsidR="0011186B" w:rsidTr="0024454B">
        <w:trPr>
          <w:cantSplit/>
          <w:tblHeader/>
        </w:trPr>
        <w:tc>
          <w:tcPr>
            <w:tcW w:w="2763" w:type="dxa"/>
            <w:tcBorders>
              <w:top w:val="nil"/>
              <w:bottom w:val="nil"/>
            </w:tcBorders>
            <w:vAlign w:val="bottom"/>
          </w:tcPr>
          <w:p w:rsidR="0011186B" w:rsidRDefault="0011186B" w:rsidP="006F4A06">
            <w:pPr>
              <w:pStyle w:val="TableofFigures"/>
              <w:spacing w:before="40"/>
            </w:pPr>
            <w:r>
              <w:t>Clothing and presentation</w:t>
            </w:r>
          </w:p>
        </w:tc>
        <w:tc>
          <w:tcPr>
            <w:tcW w:w="1914" w:type="dxa"/>
            <w:tcBorders>
              <w:top w:val="nil"/>
              <w:bottom w:val="nil"/>
            </w:tcBorders>
            <w:vAlign w:val="bottom"/>
          </w:tcPr>
          <w:p w:rsidR="0011186B" w:rsidRDefault="0011186B" w:rsidP="006F4A06">
            <w:pPr>
              <w:pStyle w:val="TableofFigures"/>
              <w:spacing w:before="40"/>
              <w:ind w:right="743"/>
              <w:jc w:val="right"/>
            </w:pPr>
            <w:r>
              <w:t>14.2</w:t>
            </w:r>
          </w:p>
        </w:tc>
        <w:tc>
          <w:tcPr>
            <w:tcW w:w="1914" w:type="dxa"/>
            <w:tcBorders>
              <w:top w:val="nil"/>
              <w:bottom w:val="nil"/>
            </w:tcBorders>
            <w:vAlign w:val="bottom"/>
          </w:tcPr>
          <w:p w:rsidR="0011186B" w:rsidRDefault="0011186B" w:rsidP="006F4A06">
            <w:pPr>
              <w:pStyle w:val="TableofFigures"/>
              <w:spacing w:before="40"/>
              <w:ind w:right="743"/>
              <w:jc w:val="right"/>
            </w:pPr>
            <w:r>
              <w:t>13.1</w:t>
            </w:r>
          </w:p>
        </w:tc>
        <w:tc>
          <w:tcPr>
            <w:tcW w:w="1914" w:type="dxa"/>
            <w:tcBorders>
              <w:top w:val="nil"/>
              <w:bottom w:val="nil"/>
            </w:tcBorders>
            <w:vAlign w:val="bottom"/>
          </w:tcPr>
          <w:p w:rsidR="0011186B" w:rsidRDefault="0011186B" w:rsidP="006F4A06">
            <w:pPr>
              <w:pStyle w:val="TableofFigures"/>
              <w:spacing w:before="40"/>
              <w:ind w:right="743"/>
              <w:jc w:val="right"/>
            </w:pPr>
            <w:r>
              <w:t>12.6</w:t>
            </w:r>
          </w:p>
        </w:tc>
      </w:tr>
      <w:tr w:rsidR="0011186B" w:rsidTr="0024454B">
        <w:trPr>
          <w:cantSplit/>
          <w:tblHeader/>
        </w:trPr>
        <w:tc>
          <w:tcPr>
            <w:tcW w:w="2763" w:type="dxa"/>
            <w:tcBorders>
              <w:top w:val="nil"/>
              <w:bottom w:val="nil"/>
            </w:tcBorders>
            <w:vAlign w:val="bottom"/>
          </w:tcPr>
          <w:p w:rsidR="0011186B" w:rsidRDefault="0011186B" w:rsidP="006F4A06">
            <w:pPr>
              <w:pStyle w:val="TableofFigures"/>
              <w:spacing w:before="40"/>
            </w:pPr>
            <w:r>
              <w:t>Wage subsidies</w:t>
            </w:r>
          </w:p>
        </w:tc>
        <w:tc>
          <w:tcPr>
            <w:tcW w:w="1914" w:type="dxa"/>
            <w:tcBorders>
              <w:top w:val="nil"/>
              <w:bottom w:val="nil"/>
            </w:tcBorders>
            <w:vAlign w:val="bottom"/>
          </w:tcPr>
          <w:p w:rsidR="0011186B" w:rsidRDefault="0011186B" w:rsidP="006F4A06">
            <w:pPr>
              <w:pStyle w:val="TableofFigures"/>
              <w:spacing w:before="40"/>
              <w:ind w:right="743"/>
              <w:jc w:val="right"/>
            </w:pPr>
            <w:r>
              <w:t>3.2</w:t>
            </w:r>
          </w:p>
        </w:tc>
        <w:tc>
          <w:tcPr>
            <w:tcW w:w="1914" w:type="dxa"/>
            <w:tcBorders>
              <w:top w:val="nil"/>
              <w:bottom w:val="nil"/>
            </w:tcBorders>
            <w:vAlign w:val="bottom"/>
          </w:tcPr>
          <w:p w:rsidR="0011186B" w:rsidRDefault="0011186B" w:rsidP="006F4A06">
            <w:pPr>
              <w:pStyle w:val="TableofFigures"/>
              <w:spacing w:before="40"/>
              <w:ind w:right="743"/>
              <w:jc w:val="right"/>
            </w:pPr>
            <w:r>
              <w:t>1.7</w:t>
            </w:r>
          </w:p>
        </w:tc>
        <w:tc>
          <w:tcPr>
            <w:tcW w:w="1914" w:type="dxa"/>
            <w:tcBorders>
              <w:top w:val="nil"/>
              <w:bottom w:val="nil"/>
            </w:tcBorders>
            <w:vAlign w:val="bottom"/>
          </w:tcPr>
          <w:p w:rsidR="0011186B" w:rsidRDefault="0011186B" w:rsidP="006F4A06">
            <w:pPr>
              <w:pStyle w:val="TableofFigures"/>
              <w:spacing w:before="40"/>
              <w:ind w:right="743"/>
              <w:jc w:val="right"/>
            </w:pPr>
            <w:r>
              <w:t>1.0</w:t>
            </w:r>
          </w:p>
        </w:tc>
      </w:tr>
      <w:tr w:rsidR="0011186B" w:rsidTr="0024454B">
        <w:trPr>
          <w:cantSplit/>
          <w:tblHeader/>
        </w:trPr>
        <w:tc>
          <w:tcPr>
            <w:tcW w:w="2763" w:type="dxa"/>
            <w:tcBorders>
              <w:top w:val="nil"/>
              <w:bottom w:val="nil"/>
            </w:tcBorders>
            <w:vAlign w:val="bottom"/>
          </w:tcPr>
          <w:p w:rsidR="0011186B" w:rsidRDefault="0011186B" w:rsidP="006F4A06">
            <w:pPr>
              <w:pStyle w:val="TableofFigures"/>
              <w:spacing w:before="40"/>
            </w:pPr>
            <w:r>
              <w:t>Reverse marketing</w:t>
            </w:r>
          </w:p>
        </w:tc>
        <w:tc>
          <w:tcPr>
            <w:tcW w:w="1914" w:type="dxa"/>
            <w:tcBorders>
              <w:top w:val="nil"/>
              <w:bottom w:val="nil"/>
            </w:tcBorders>
            <w:vAlign w:val="bottom"/>
          </w:tcPr>
          <w:p w:rsidR="0011186B" w:rsidRDefault="0011186B" w:rsidP="006F4A06">
            <w:pPr>
              <w:pStyle w:val="TableofFigures"/>
              <w:spacing w:before="40"/>
              <w:ind w:right="743"/>
              <w:jc w:val="right"/>
            </w:pPr>
            <w:r>
              <w:t>18.5</w:t>
            </w:r>
          </w:p>
        </w:tc>
        <w:tc>
          <w:tcPr>
            <w:tcW w:w="1914" w:type="dxa"/>
            <w:tcBorders>
              <w:top w:val="nil"/>
              <w:bottom w:val="nil"/>
            </w:tcBorders>
            <w:vAlign w:val="bottom"/>
          </w:tcPr>
          <w:p w:rsidR="0011186B" w:rsidRDefault="0011186B" w:rsidP="006F4A06">
            <w:pPr>
              <w:pStyle w:val="TableofFigures"/>
              <w:spacing w:before="40"/>
              <w:ind w:right="743"/>
              <w:jc w:val="right"/>
            </w:pPr>
            <w:r>
              <w:t>15.3</w:t>
            </w:r>
          </w:p>
        </w:tc>
        <w:tc>
          <w:tcPr>
            <w:tcW w:w="1914" w:type="dxa"/>
            <w:tcBorders>
              <w:top w:val="nil"/>
              <w:bottom w:val="nil"/>
            </w:tcBorders>
            <w:vAlign w:val="bottom"/>
          </w:tcPr>
          <w:p w:rsidR="0011186B" w:rsidRDefault="0011186B" w:rsidP="006F4A06">
            <w:pPr>
              <w:pStyle w:val="TableofFigures"/>
              <w:spacing w:before="40"/>
              <w:ind w:right="743"/>
              <w:jc w:val="right"/>
            </w:pPr>
            <w:r>
              <w:t>12.3</w:t>
            </w:r>
          </w:p>
        </w:tc>
      </w:tr>
      <w:tr w:rsidR="0011186B" w:rsidTr="0024454B">
        <w:trPr>
          <w:cantSplit/>
          <w:tblHeader/>
        </w:trPr>
        <w:tc>
          <w:tcPr>
            <w:tcW w:w="2763" w:type="dxa"/>
            <w:tcBorders>
              <w:top w:val="nil"/>
              <w:bottom w:val="nil"/>
            </w:tcBorders>
            <w:vAlign w:val="bottom"/>
          </w:tcPr>
          <w:p w:rsidR="0011186B" w:rsidRDefault="0011186B" w:rsidP="006F4A06">
            <w:pPr>
              <w:pStyle w:val="TableofFigures"/>
              <w:spacing w:before="40"/>
            </w:pPr>
            <w:r>
              <w:t>Outreach</w:t>
            </w:r>
          </w:p>
        </w:tc>
        <w:tc>
          <w:tcPr>
            <w:tcW w:w="1914" w:type="dxa"/>
            <w:tcBorders>
              <w:top w:val="nil"/>
              <w:bottom w:val="nil"/>
            </w:tcBorders>
            <w:vAlign w:val="bottom"/>
          </w:tcPr>
          <w:p w:rsidR="0011186B" w:rsidRDefault="0011186B" w:rsidP="006F4A06">
            <w:pPr>
              <w:pStyle w:val="TableofFigures"/>
              <w:spacing w:before="40"/>
              <w:ind w:right="743"/>
              <w:jc w:val="right"/>
            </w:pPr>
            <w:r>
              <w:t>9.9</w:t>
            </w:r>
          </w:p>
        </w:tc>
        <w:tc>
          <w:tcPr>
            <w:tcW w:w="1914" w:type="dxa"/>
            <w:tcBorders>
              <w:top w:val="nil"/>
              <w:bottom w:val="nil"/>
            </w:tcBorders>
            <w:vAlign w:val="bottom"/>
          </w:tcPr>
          <w:p w:rsidR="0011186B" w:rsidRDefault="0011186B" w:rsidP="006F4A06">
            <w:pPr>
              <w:pStyle w:val="TableofFigures"/>
              <w:spacing w:before="40"/>
              <w:ind w:right="743"/>
              <w:jc w:val="right"/>
            </w:pPr>
            <w:r>
              <w:t>12.6</w:t>
            </w:r>
          </w:p>
        </w:tc>
        <w:tc>
          <w:tcPr>
            <w:tcW w:w="1914" w:type="dxa"/>
            <w:tcBorders>
              <w:top w:val="nil"/>
              <w:bottom w:val="nil"/>
            </w:tcBorders>
            <w:vAlign w:val="bottom"/>
          </w:tcPr>
          <w:p w:rsidR="0011186B" w:rsidRDefault="0011186B" w:rsidP="006F4A06">
            <w:pPr>
              <w:pStyle w:val="TableofFigures"/>
              <w:spacing w:before="40"/>
              <w:ind w:right="743"/>
              <w:jc w:val="right"/>
            </w:pPr>
            <w:r>
              <w:t>15.1</w:t>
            </w:r>
          </w:p>
        </w:tc>
      </w:tr>
      <w:tr w:rsidR="0011186B" w:rsidTr="0024454B">
        <w:trPr>
          <w:cantSplit/>
          <w:tblHeader/>
        </w:trPr>
        <w:tc>
          <w:tcPr>
            <w:tcW w:w="2763" w:type="dxa"/>
            <w:tcBorders>
              <w:top w:val="nil"/>
              <w:bottom w:val="nil"/>
            </w:tcBorders>
            <w:vAlign w:val="bottom"/>
          </w:tcPr>
          <w:p w:rsidR="0011186B" w:rsidRDefault="0011186B" w:rsidP="00EB150F">
            <w:pPr>
              <w:pStyle w:val="TableofFigures"/>
              <w:spacing w:before="40"/>
            </w:pPr>
            <w:r>
              <w:t>Training</w:t>
            </w:r>
          </w:p>
        </w:tc>
        <w:tc>
          <w:tcPr>
            <w:tcW w:w="1914" w:type="dxa"/>
            <w:tcBorders>
              <w:top w:val="nil"/>
              <w:bottom w:val="nil"/>
            </w:tcBorders>
            <w:vAlign w:val="bottom"/>
          </w:tcPr>
          <w:p w:rsidR="0011186B" w:rsidRDefault="0011186B" w:rsidP="00EB150F">
            <w:pPr>
              <w:pStyle w:val="TableofFigures"/>
              <w:spacing w:before="40"/>
              <w:ind w:right="743"/>
              <w:jc w:val="right"/>
            </w:pPr>
            <w:r>
              <w:t>20.4</w:t>
            </w:r>
          </w:p>
        </w:tc>
        <w:tc>
          <w:tcPr>
            <w:tcW w:w="1914" w:type="dxa"/>
            <w:tcBorders>
              <w:top w:val="nil"/>
              <w:bottom w:val="nil"/>
            </w:tcBorders>
            <w:vAlign w:val="bottom"/>
          </w:tcPr>
          <w:p w:rsidR="0011186B" w:rsidRDefault="0011186B" w:rsidP="00EB150F">
            <w:pPr>
              <w:pStyle w:val="TableofFigures"/>
              <w:spacing w:before="40"/>
              <w:ind w:right="743"/>
              <w:jc w:val="right"/>
            </w:pPr>
            <w:r>
              <w:t>21.4</w:t>
            </w:r>
          </w:p>
        </w:tc>
        <w:tc>
          <w:tcPr>
            <w:tcW w:w="1914" w:type="dxa"/>
            <w:tcBorders>
              <w:top w:val="nil"/>
              <w:bottom w:val="nil"/>
            </w:tcBorders>
            <w:vAlign w:val="bottom"/>
          </w:tcPr>
          <w:p w:rsidR="0011186B" w:rsidRDefault="0011186B" w:rsidP="00EB150F">
            <w:pPr>
              <w:pStyle w:val="TableofFigures"/>
              <w:spacing w:before="40"/>
              <w:ind w:right="743"/>
              <w:jc w:val="right"/>
            </w:pPr>
            <w:r>
              <w:t>20.9</w:t>
            </w:r>
          </w:p>
        </w:tc>
      </w:tr>
      <w:tr w:rsidR="0011186B" w:rsidTr="0024454B">
        <w:trPr>
          <w:cantSplit/>
          <w:tblHeader/>
        </w:trPr>
        <w:tc>
          <w:tcPr>
            <w:tcW w:w="2763" w:type="dxa"/>
            <w:tcBorders>
              <w:top w:val="nil"/>
            </w:tcBorders>
            <w:vAlign w:val="bottom"/>
          </w:tcPr>
          <w:p w:rsidR="0011186B" w:rsidRDefault="0011186B" w:rsidP="00EB150F">
            <w:pPr>
              <w:pStyle w:val="TableofFigures"/>
              <w:spacing w:before="40"/>
            </w:pPr>
            <w:r>
              <w:t xml:space="preserve">Transport and </w:t>
            </w:r>
            <w:r w:rsidR="00D66B4A">
              <w:t>licensing</w:t>
            </w:r>
          </w:p>
        </w:tc>
        <w:tc>
          <w:tcPr>
            <w:tcW w:w="1914" w:type="dxa"/>
            <w:tcBorders>
              <w:top w:val="nil"/>
            </w:tcBorders>
            <w:vAlign w:val="bottom"/>
          </w:tcPr>
          <w:p w:rsidR="0011186B" w:rsidRDefault="0011186B" w:rsidP="00EB150F">
            <w:pPr>
              <w:pStyle w:val="TableofFigures"/>
              <w:spacing w:before="40"/>
              <w:ind w:right="743"/>
              <w:jc w:val="right"/>
            </w:pPr>
            <w:r>
              <w:t>10.6</w:t>
            </w:r>
          </w:p>
        </w:tc>
        <w:tc>
          <w:tcPr>
            <w:tcW w:w="1914" w:type="dxa"/>
            <w:tcBorders>
              <w:top w:val="nil"/>
            </w:tcBorders>
            <w:vAlign w:val="bottom"/>
          </w:tcPr>
          <w:p w:rsidR="0011186B" w:rsidRDefault="0011186B" w:rsidP="00EB150F">
            <w:pPr>
              <w:pStyle w:val="TableofFigures"/>
              <w:spacing w:before="40"/>
              <w:ind w:right="743"/>
              <w:jc w:val="right"/>
            </w:pPr>
            <w:r>
              <w:t>11.7</w:t>
            </w:r>
          </w:p>
        </w:tc>
        <w:tc>
          <w:tcPr>
            <w:tcW w:w="1914" w:type="dxa"/>
            <w:tcBorders>
              <w:top w:val="nil"/>
            </w:tcBorders>
            <w:vAlign w:val="bottom"/>
          </w:tcPr>
          <w:p w:rsidR="0011186B" w:rsidRDefault="0011186B" w:rsidP="00EB150F">
            <w:pPr>
              <w:pStyle w:val="TableofFigures"/>
              <w:spacing w:before="40"/>
              <w:ind w:right="743"/>
              <w:jc w:val="right"/>
            </w:pPr>
            <w:r>
              <w:t>11.1</w:t>
            </w:r>
          </w:p>
        </w:tc>
      </w:tr>
    </w:tbl>
    <w:p w:rsidR="0011186B" w:rsidRPr="00CE56E7" w:rsidRDefault="0011186B" w:rsidP="0011186B">
      <w:pPr>
        <w:pStyle w:val="Sourceandnotetext"/>
      </w:pPr>
      <w:r w:rsidRPr="00A5137B">
        <w:rPr>
          <w:b/>
          <w:bCs/>
        </w:rPr>
        <w:t>Note:</w:t>
      </w:r>
      <w:r w:rsidRPr="005F433F">
        <w:t xml:space="preserve"> </w:t>
      </w:r>
      <w:r w:rsidRPr="00CE56E7">
        <w:t>Major categories include those accounting for more than 6</w:t>
      </w:r>
      <w:r>
        <w:t xml:space="preserve"> per cent</w:t>
      </w:r>
      <w:r w:rsidRPr="00CE56E7">
        <w:t xml:space="preserve"> total </w:t>
      </w:r>
      <w:r>
        <w:t xml:space="preserve">EPF </w:t>
      </w:r>
      <w:r w:rsidRPr="00CE56E7">
        <w:t>allocation, excluding ‘Other’.</w:t>
      </w:r>
    </w:p>
    <w:p w:rsidR="0011186B" w:rsidRDefault="0011186B" w:rsidP="0011186B">
      <w:pPr>
        <w:pStyle w:val="Sourceandnotetext"/>
      </w:pPr>
      <w:r w:rsidRPr="001D555C">
        <w:rPr>
          <w:b/>
          <w:bCs/>
        </w:rPr>
        <w:t xml:space="preserve">Source: </w:t>
      </w:r>
      <w:r>
        <w:t>DEEWR Corporate Data Set.</w:t>
      </w:r>
    </w:p>
    <w:p w:rsidR="0011186B" w:rsidRDefault="00C23440" w:rsidP="001F70F1">
      <w:hyperlink w:anchor="Figure3" w:tooltip="View Figure 3: Employment Pathway Fund expenditure for financial year 2009–10, proportion of number of transactions by major category" w:history="1">
        <w:r w:rsidR="0011186B" w:rsidRPr="006D59A1">
          <w:t>View Figure 3: Employment Pathway Fund expenditure</w:t>
        </w:r>
      </w:hyperlink>
    </w:p>
    <w:p w:rsidR="0011186B" w:rsidRPr="005F433F" w:rsidRDefault="0011186B" w:rsidP="0011186B">
      <w:pPr>
        <w:pStyle w:val="Captionbefore12"/>
      </w:pPr>
      <w:r>
        <w:t xml:space="preserve">Table </w:t>
      </w:r>
      <w:proofErr w:type="spellStart"/>
      <w:r>
        <w:t>A1.4</w:t>
      </w:r>
      <w:proofErr w:type="spellEnd"/>
      <w:r>
        <w:t xml:space="preserve">: </w:t>
      </w:r>
      <w:r w:rsidRPr="005F433F">
        <w:t>Proportion of job seekers participating in an activity</w:t>
      </w:r>
      <w:r>
        <w:t xml:space="preserve"> by stream</w:t>
      </w:r>
      <w:r w:rsidRPr="005F433F">
        <w:t>, 2009-10 (</w:t>
      </w:r>
      <w:r>
        <w:t>per cent</w:t>
      </w:r>
      <w:r w:rsidRPr="005F433F">
        <w:t>)</w:t>
      </w:r>
    </w:p>
    <w:tbl>
      <w:tblPr>
        <w:tblStyle w:val="TableGrid"/>
        <w:tblW w:w="8505" w:type="dxa"/>
        <w:tblBorders>
          <w:left w:val="none" w:sz="0" w:space="0" w:color="auto"/>
          <w:right w:val="none" w:sz="0" w:space="0" w:color="auto"/>
          <w:insideV w:val="none" w:sz="0" w:space="0" w:color="auto"/>
        </w:tblBorders>
        <w:tblLook w:val="04A0"/>
      </w:tblPr>
      <w:tblGrid>
        <w:gridCol w:w="2763"/>
        <w:gridCol w:w="1914"/>
        <w:gridCol w:w="1914"/>
        <w:gridCol w:w="1914"/>
      </w:tblGrid>
      <w:tr w:rsidR="0011186B" w:rsidRPr="00E12C88" w:rsidTr="0024454B">
        <w:trPr>
          <w:cantSplit/>
          <w:tblHeader/>
        </w:trPr>
        <w:tc>
          <w:tcPr>
            <w:tcW w:w="2660" w:type="dxa"/>
            <w:tcBorders>
              <w:bottom w:val="single" w:sz="4" w:space="0" w:color="auto"/>
            </w:tcBorders>
            <w:vAlign w:val="bottom"/>
          </w:tcPr>
          <w:p w:rsidR="0011186B" w:rsidRPr="00C70776" w:rsidRDefault="0011186B" w:rsidP="006F4A06">
            <w:pPr>
              <w:pStyle w:val="TableHeadingtext"/>
            </w:pPr>
            <w:r>
              <w:t>Stream</w:t>
            </w:r>
          </w:p>
        </w:tc>
        <w:tc>
          <w:tcPr>
            <w:tcW w:w="1843" w:type="dxa"/>
            <w:tcBorders>
              <w:bottom w:val="single" w:sz="4" w:space="0" w:color="auto"/>
            </w:tcBorders>
            <w:vAlign w:val="bottom"/>
          </w:tcPr>
          <w:p w:rsidR="0011186B" w:rsidRPr="00E12C88" w:rsidRDefault="0011186B" w:rsidP="006F4A06">
            <w:pPr>
              <w:pStyle w:val="TableofFigures"/>
              <w:jc w:val="center"/>
              <w:rPr>
                <w:b/>
              </w:rPr>
            </w:pPr>
            <w:r>
              <w:rPr>
                <w:b/>
              </w:rPr>
              <w:t>High Performing Sites</w:t>
            </w:r>
          </w:p>
        </w:tc>
        <w:tc>
          <w:tcPr>
            <w:tcW w:w="1843" w:type="dxa"/>
            <w:tcBorders>
              <w:bottom w:val="single" w:sz="4" w:space="0" w:color="auto"/>
            </w:tcBorders>
            <w:vAlign w:val="bottom"/>
          </w:tcPr>
          <w:p w:rsidR="0011186B" w:rsidRPr="00E12C88" w:rsidRDefault="0011186B" w:rsidP="006F4A06">
            <w:pPr>
              <w:pStyle w:val="TableofFigures"/>
              <w:jc w:val="center"/>
              <w:rPr>
                <w:b/>
              </w:rPr>
            </w:pPr>
            <w:r w:rsidRPr="00E12C88">
              <w:rPr>
                <w:b/>
              </w:rPr>
              <w:t>Mid Performing Sites</w:t>
            </w:r>
          </w:p>
        </w:tc>
        <w:tc>
          <w:tcPr>
            <w:tcW w:w="1843" w:type="dxa"/>
            <w:tcBorders>
              <w:bottom w:val="single" w:sz="4" w:space="0" w:color="auto"/>
            </w:tcBorders>
            <w:vAlign w:val="bottom"/>
          </w:tcPr>
          <w:p w:rsidR="0011186B" w:rsidRPr="00E12C88" w:rsidRDefault="0011186B" w:rsidP="006F4A06">
            <w:pPr>
              <w:pStyle w:val="TableofFigures"/>
              <w:jc w:val="center"/>
              <w:rPr>
                <w:b/>
              </w:rPr>
            </w:pPr>
            <w:r w:rsidRPr="00E12C88">
              <w:rPr>
                <w:b/>
              </w:rPr>
              <w:t>Low Performing Sites</w:t>
            </w:r>
          </w:p>
        </w:tc>
      </w:tr>
      <w:tr w:rsidR="0011186B" w:rsidTr="0024454B">
        <w:trPr>
          <w:cantSplit/>
          <w:tblHeader/>
        </w:trPr>
        <w:tc>
          <w:tcPr>
            <w:tcW w:w="2660" w:type="dxa"/>
            <w:tcBorders>
              <w:bottom w:val="nil"/>
            </w:tcBorders>
            <w:vAlign w:val="bottom"/>
          </w:tcPr>
          <w:p w:rsidR="0011186B" w:rsidRDefault="0011186B" w:rsidP="00EB150F">
            <w:pPr>
              <w:pStyle w:val="TableofFigures"/>
              <w:spacing w:before="40"/>
            </w:pPr>
            <w:r>
              <w:t>Stream 1</w:t>
            </w:r>
          </w:p>
        </w:tc>
        <w:tc>
          <w:tcPr>
            <w:tcW w:w="1843" w:type="dxa"/>
            <w:tcBorders>
              <w:bottom w:val="nil"/>
            </w:tcBorders>
            <w:vAlign w:val="bottom"/>
          </w:tcPr>
          <w:p w:rsidR="0011186B" w:rsidRDefault="0011186B" w:rsidP="00EB150F">
            <w:pPr>
              <w:pStyle w:val="TableofFigures"/>
              <w:spacing w:before="40"/>
              <w:ind w:right="775"/>
              <w:jc w:val="right"/>
            </w:pPr>
            <w:r>
              <w:t>15.0</w:t>
            </w:r>
          </w:p>
        </w:tc>
        <w:tc>
          <w:tcPr>
            <w:tcW w:w="1843" w:type="dxa"/>
            <w:tcBorders>
              <w:bottom w:val="nil"/>
            </w:tcBorders>
            <w:vAlign w:val="bottom"/>
          </w:tcPr>
          <w:p w:rsidR="0011186B" w:rsidRDefault="0011186B" w:rsidP="00EB150F">
            <w:pPr>
              <w:pStyle w:val="TableofFigures"/>
              <w:spacing w:before="40"/>
              <w:ind w:right="775"/>
              <w:jc w:val="right"/>
            </w:pPr>
            <w:r>
              <w:t>14.2</w:t>
            </w:r>
          </w:p>
        </w:tc>
        <w:tc>
          <w:tcPr>
            <w:tcW w:w="1843" w:type="dxa"/>
            <w:tcBorders>
              <w:bottom w:val="nil"/>
            </w:tcBorders>
            <w:vAlign w:val="bottom"/>
          </w:tcPr>
          <w:p w:rsidR="0011186B" w:rsidRDefault="0011186B" w:rsidP="00EB150F">
            <w:pPr>
              <w:pStyle w:val="TableofFigures"/>
              <w:spacing w:before="40"/>
              <w:ind w:right="775"/>
              <w:jc w:val="right"/>
            </w:pPr>
            <w:r>
              <w:t>11.2</w:t>
            </w:r>
          </w:p>
        </w:tc>
      </w:tr>
      <w:tr w:rsidR="0011186B" w:rsidTr="0024454B">
        <w:trPr>
          <w:cantSplit/>
          <w:tblHeader/>
        </w:trPr>
        <w:tc>
          <w:tcPr>
            <w:tcW w:w="2660" w:type="dxa"/>
            <w:tcBorders>
              <w:top w:val="nil"/>
              <w:bottom w:val="nil"/>
            </w:tcBorders>
            <w:vAlign w:val="bottom"/>
          </w:tcPr>
          <w:p w:rsidR="0011186B" w:rsidRDefault="0011186B" w:rsidP="00EB150F">
            <w:pPr>
              <w:pStyle w:val="TableofFigures"/>
              <w:spacing w:before="40"/>
            </w:pPr>
            <w:r>
              <w:t>Stream 2</w:t>
            </w:r>
          </w:p>
        </w:tc>
        <w:tc>
          <w:tcPr>
            <w:tcW w:w="1843" w:type="dxa"/>
            <w:tcBorders>
              <w:top w:val="nil"/>
              <w:bottom w:val="nil"/>
            </w:tcBorders>
            <w:vAlign w:val="bottom"/>
          </w:tcPr>
          <w:p w:rsidR="0011186B" w:rsidRDefault="0011186B" w:rsidP="00EB150F">
            <w:pPr>
              <w:pStyle w:val="TableofFigures"/>
              <w:spacing w:before="40"/>
              <w:ind w:right="775"/>
              <w:jc w:val="right"/>
            </w:pPr>
            <w:r>
              <w:t>9.9</w:t>
            </w:r>
          </w:p>
        </w:tc>
        <w:tc>
          <w:tcPr>
            <w:tcW w:w="1843" w:type="dxa"/>
            <w:tcBorders>
              <w:top w:val="nil"/>
              <w:bottom w:val="nil"/>
            </w:tcBorders>
            <w:vAlign w:val="bottom"/>
          </w:tcPr>
          <w:p w:rsidR="0011186B" w:rsidRDefault="0011186B" w:rsidP="00EB150F">
            <w:pPr>
              <w:pStyle w:val="TableofFigures"/>
              <w:spacing w:before="40"/>
              <w:ind w:right="775"/>
              <w:jc w:val="right"/>
            </w:pPr>
            <w:r>
              <w:t>9.0</w:t>
            </w:r>
          </w:p>
        </w:tc>
        <w:tc>
          <w:tcPr>
            <w:tcW w:w="1843" w:type="dxa"/>
            <w:tcBorders>
              <w:top w:val="nil"/>
              <w:bottom w:val="nil"/>
            </w:tcBorders>
            <w:vAlign w:val="bottom"/>
          </w:tcPr>
          <w:p w:rsidR="0011186B" w:rsidRDefault="0011186B" w:rsidP="00EB150F">
            <w:pPr>
              <w:pStyle w:val="TableofFigures"/>
              <w:spacing w:before="40"/>
              <w:ind w:right="775"/>
              <w:jc w:val="right"/>
            </w:pPr>
            <w:r>
              <w:t>9.0</w:t>
            </w:r>
          </w:p>
        </w:tc>
      </w:tr>
      <w:tr w:rsidR="0011186B" w:rsidTr="0024454B">
        <w:trPr>
          <w:cantSplit/>
          <w:tblHeader/>
        </w:trPr>
        <w:tc>
          <w:tcPr>
            <w:tcW w:w="2660" w:type="dxa"/>
            <w:tcBorders>
              <w:top w:val="nil"/>
              <w:bottom w:val="nil"/>
            </w:tcBorders>
            <w:vAlign w:val="bottom"/>
          </w:tcPr>
          <w:p w:rsidR="0011186B" w:rsidRDefault="0011186B" w:rsidP="00EB150F">
            <w:pPr>
              <w:pStyle w:val="TableofFigures"/>
              <w:spacing w:before="40"/>
            </w:pPr>
            <w:r>
              <w:t>Stream 3</w:t>
            </w:r>
          </w:p>
        </w:tc>
        <w:tc>
          <w:tcPr>
            <w:tcW w:w="1843" w:type="dxa"/>
            <w:tcBorders>
              <w:top w:val="nil"/>
              <w:bottom w:val="nil"/>
            </w:tcBorders>
            <w:vAlign w:val="bottom"/>
          </w:tcPr>
          <w:p w:rsidR="0011186B" w:rsidRDefault="0011186B" w:rsidP="00EB150F">
            <w:pPr>
              <w:pStyle w:val="TableofFigures"/>
              <w:spacing w:before="40"/>
              <w:ind w:right="775"/>
              <w:jc w:val="right"/>
            </w:pPr>
            <w:r>
              <w:t>18.5</w:t>
            </w:r>
          </w:p>
        </w:tc>
        <w:tc>
          <w:tcPr>
            <w:tcW w:w="1843" w:type="dxa"/>
            <w:tcBorders>
              <w:top w:val="nil"/>
              <w:bottom w:val="nil"/>
            </w:tcBorders>
            <w:vAlign w:val="bottom"/>
          </w:tcPr>
          <w:p w:rsidR="0011186B" w:rsidRDefault="0011186B" w:rsidP="00EB150F">
            <w:pPr>
              <w:pStyle w:val="TableofFigures"/>
              <w:spacing w:before="40"/>
              <w:ind w:right="775"/>
              <w:jc w:val="right"/>
            </w:pPr>
            <w:r>
              <w:t>17.6</w:t>
            </w:r>
          </w:p>
        </w:tc>
        <w:tc>
          <w:tcPr>
            <w:tcW w:w="1843" w:type="dxa"/>
            <w:tcBorders>
              <w:top w:val="nil"/>
              <w:bottom w:val="nil"/>
            </w:tcBorders>
            <w:vAlign w:val="bottom"/>
          </w:tcPr>
          <w:p w:rsidR="0011186B" w:rsidRDefault="0011186B" w:rsidP="00EB150F">
            <w:pPr>
              <w:pStyle w:val="TableofFigures"/>
              <w:spacing w:before="40"/>
              <w:ind w:right="775"/>
              <w:jc w:val="right"/>
            </w:pPr>
            <w:r>
              <w:t>14.6</w:t>
            </w:r>
          </w:p>
        </w:tc>
      </w:tr>
      <w:tr w:rsidR="0011186B" w:rsidTr="0024454B">
        <w:trPr>
          <w:cantSplit/>
          <w:tblHeader/>
        </w:trPr>
        <w:tc>
          <w:tcPr>
            <w:tcW w:w="2660" w:type="dxa"/>
            <w:tcBorders>
              <w:top w:val="nil"/>
              <w:bottom w:val="single" w:sz="4" w:space="0" w:color="auto"/>
            </w:tcBorders>
            <w:vAlign w:val="bottom"/>
          </w:tcPr>
          <w:p w:rsidR="0011186B" w:rsidRDefault="0011186B" w:rsidP="00EB150F">
            <w:pPr>
              <w:pStyle w:val="TableofFigures"/>
              <w:spacing w:before="40"/>
            </w:pPr>
            <w:r>
              <w:t>Stream 4</w:t>
            </w:r>
          </w:p>
        </w:tc>
        <w:tc>
          <w:tcPr>
            <w:tcW w:w="1843" w:type="dxa"/>
            <w:tcBorders>
              <w:top w:val="nil"/>
              <w:bottom w:val="single" w:sz="4" w:space="0" w:color="auto"/>
            </w:tcBorders>
            <w:vAlign w:val="bottom"/>
          </w:tcPr>
          <w:p w:rsidR="0011186B" w:rsidRDefault="0011186B" w:rsidP="00EB150F">
            <w:pPr>
              <w:pStyle w:val="TableofFigures"/>
              <w:spacing w:before="40"/>
              <w:ind w:right="775"/>
              <w:jc w:val="right"/>
            </w:pPr>
            <w:r>
              <w:t>10.5</w:t>
            </w:r>
          </w:p>
        </w:tc>
        <w:tc>
          <w:tcPr>
            <w:tcW w:w="1843" w:type="dxa"/>
            <w:tcBorders>
              <w:top w:val="nil"/>
              <w:bottom w:val="single" w:sz="4" w:space="0" w:color="auto"/>
            </w:tcBorders>
            <w:vAlign w:val="bottom"/>
          </w:tcPr>
          <w:p w:rsidR="0011186B" w:rsidRDefault="0011186B" w:rsidP="00EB150F">
            <w:pPr>
              <w:pStyle w:val="TableofFigures"/>
              <w:spacing w:before="40"/>
              <w:ind w:right="775"/>
              <w:jc w:val="right"/>
            </w:pPr>
            <w:r>
              <w:t>9.5</w:t>
            </w:r>
          </w:p>
        </w:tc>
        <w:tc>
          <w:tcPr>
            <w:tcW w:w="1843" w:type="dxa"/>
            <w:tcBorders>
              <w:top w:val="nil"/>
              <w:bottom w:val="single" w:sz="4" w:space="0" w:color="auto"/>
            </w:tcBorders>
            <w:vAlign w:val="bottom"/>
          </w:tcPr>
          <w:p w:rsidR="0011186B" w:rsidRDefault="0011186B" w:rsidP="00EB150F">
            <w:pPr>
              <w:pStyle w:val="TableofFigures"/>
              <w:spacing w:before="40"/>
              <w:ind w:right="775"/>
              <w:jc w:val="right"/>
            </w:pPr>
            <w:r>
              <w:t>8.6</w:t>
            </w:r>
          </w:p>
        </w:tc>
      </w:tr>
    </w:tbl>
    <w:p w:rsidR="0011186B" w:rsidRDefault="0011186B" w:rsidP="0011186B">
      <w:pPr>
        <w:pStyle w:val="Sourceandnotetext"/>
      </w:pPr>
      <w:r w:rsidRPr="001D555C">
        <w:rPr>
          <w:b/>
          <w:bCs/>
        </w:rPr>
        <w:t xml:space="preserve">Source: </w:t>
      </w:r>
      <w:r>
        <w:t>DEEWR Corporate Data Set.</w:t>
      </w:r>
    </w:p>
    <w:p w:rsidR="0011186B" w:rsidRDefault="00C23440" w:rsidP="001F70F1">
      <w:hyperlink w:anchor="Figure4" w:tooltip="View Figure 4: Proportion of job seekers participating in an activity" w:history="1">
        <w:r w:rsidR="0011186B" w:rsidRPr="00A236D8">
          <w:t>View Figure 4: Proportion of job seekers participating in an activity</w:t>
        </w:r>
      </w:hyperlink>
    </w:p>
    <w:p w:rsidR="0011186B" w:rsidRPr="005F433F" w:rsidRDefault="0011186B" w:rsidP="0011186B">
      <w:pPr>
        <w:pStyle w:val="Captionbefore12"/>
      </w:pPr>
      <w:bookmarkStart w:id="93" w:name="TableA1_5"/>
      <w:bookmarkEnd w:id="93"/>
      <w:r>
        <w:t xml:space="preserve">Table </w:t>
      </w:r>
      <w:proofErr w:type="spellStart"/>
      <w:r>
        <w:t>A1.5</w:t>
      </w:r>
      <w:proofErr w:type="spellEnd"/>
      <w:r>
        <w:t xml:space="preserve">: </w:t>
      </w:r>
      <w:r w:rsidRPr="005F433F">
        <w:t xml:space="preserve">Proportion of job seekers participating in </w:t>
      </w:r>
      <w:r>
        <w:t>training</w:t>
      </w:r>
      <w:r w:rsidRPr="005F433F">
        <w:t>, 2009-10 (</w:t>
      </w:r>
      <w:r>
        <w:t>per cent</w:t>
      </w:r>
      <w:r w:rsidRPr="005F433F">
        <w:t>)</w:t>
      </w:r>
    </w:p>
    <w:tbl>
      <w:tblPr>
        <w:tblStyle w:val="TableGrid"/>
        <w:tblW w:w="8505" w:type="dxa"/>
        <w:tblBorders>
          <w:left w:val="none" w:sz="0" w:space="0" w:color="auto"/>
          <w:right w:val="none" w:sz="0" w:space="0" w:color="auto"/>
          <w:insideV w:val="none" w:sz="0" w:space="0" w:color="auto"/>
        </w:tblBorders>
        <w:tblLook w:val="04A0"/>
      </w:tblPr>
      <w:tblGrid>
        <w:gridCol w:w="2763"/>
        <w:gridCol w:w="1914"/>
        <w:gridCol w:w="1914"/>
        <w:gridCol w:w="1914"/>
      </w:tblGrid>
      <w:tr w:rsidR="0011186B" w:rsidRPr="00E12C88" w:rsidTr="0024454B">
        <w:trPr>
          <w:cantSplit/>
          <w:tblHeader/>
        </w:trPr>
        <w:tc>
          <w:tcPr>
            <w:tcW w:w="2660" w:type="dxa"/>
            <w:tcBorders>
              <w:bottom w:val="single" w:sz="4" w:space="0" w:color="auto"/>
            </w:tcBorders>
            <w:vAlign w:val="bottom"/>
          </w:tcPr>
          <w:p w:rsidR="0011186B" w:rsidRPr="0033670B" w:rsidRDefault="0011186B" w:rsidP="006F4A06">
            <w:pPr>
              <w:pStyle w:val="TableHeadingtext"/>
            </w:pPr>
            <w:r>
              <w:t>Stream</w:t>
            </w:r>
          </w:p>
        </w:tc>
        <w:tc>
          <w:tcPr>
            <w:tcW w:w="1843" w:type="dxa"/>
            <w:tcBorders>
              <w:bottom w:val="single" w:sz="4" w:space="0" w:color="auto"/>
            </w:tcBorders>
            <w:vAlign w:val="bottom"/>
          </w:tcPr>
          <w:p w:rsidR="0011186B" w:rsidRPr="00E12C88" w:rsidRDefault="0011186B" w:rsidP="006F4A06">
            <w:pPr>
              <w:pStyle w:val="TableofFigures"/>
              <w:jc w:val="center"/>
              <w:rPr>
                <w:b/>
              </w:rPr>
            </w:pPr>
            <w:r>
              <w:rPr>
                <w:b/>
              </w:rPr>
              <w:t>High Performing Sites</w:t>
            </w:r>
          </w:p>
        </w:tc>
        <w:tc>
          <w:tcPr>
            <w:tcW w:w="1843" w:type="dxa"/>
            <w:tcBorders>
              <w:bottom w:val="single" w:sz="4" w:space="0" w:color="auto"/>
            </w:tcBorders>
            <w:vAlign w:val="bottom"/>
          </w:tcPr>
          <w:p w:rsidR="0011186B" w:rsidRPr="00E12C88" w:rsidRDefault="0011186B" w:rsidP="006F4A06">
            <w:pPr>
              <w:pStyle w:val="TableofFigures"/>
              <w:jc w:val="center"/>
              <w:rPr>
                <w:b/>
              </w:rPr>
            </w:pPr>
            <w:r w:rsidRPr="00E12C88">
              <w:rPr>
                <w:b/>
              </w:rPr>
              <w:t>Mid Performing Sites</w:t>
            </w:r>
          </w:p>
        </w:tc>
        <w:tc>
          <w:tcPr>
            <w:tcW w:w="1843" w:type="dxa"/>
            <w:tcBorders>
              <w:bottom w:val="single" w:sz="4" w:space="0" w:color="auto"/>
            </w:tcBorders>
            <w:vAlign w:val="bottom"/>
          </w:tcPr>
          <w:p w:rsidR="0011186B" w:rsidRPr="00E12C88" w:rsidRDefault="0011186B" w:rsidP="006F4A06">
            <w:pPr>
              <w:pStyle w:val="TableofFigures"/>
              <w:jc w:val="center"/>
              <w:rPr>
                <w:b/>
              </w:rPr>
            </w:pPr>
            <w:r w:rsidRPr="00E12C88">
              <w:rPr>
                <w:b/>
              </w:rPr>
              <w:t>Low Performing Sites</w:t>
            </w:r>
          </w:p>
        </w:tc>
      </w:tr>
      <w:tr w:rsidR="0011186B" w:rsidTr="0024454B">
        <w:trPr>
          <w:cantSplit/>
          <w:tblHeader/>
        </w:trPr>
        <w:tc>
          <w:tcPr>
            <w:tcW w:w="2660" w:type="dxa"/>
            <w:tcBorders>
              <w:bottom w:val="nil"/>
            </w:tcBorders>
          </w:tcPr>
          <w:p w:rsidR="0011186B" w:rsidRDefault="0011186B" w:rsidP="00EB150F">
            <w:pPr>
              <w:pStyle w:val="TableofFigures"/>
              <w:spacing w:before="40"/>
            </w:pPr>
            <w:r>
              <w:t>Stream 1</w:t>
            </w:r>
          </w:p>
        </w:tc>
        <w:tc>
          <w:tcPr>
            <w:tcW w:w="1843" w:type="dxa"/>
            <w:tcBorders>
              <w:bottom w:val="nil"/>
            </w:tcBorders>
          </w:tcPr>
          <w:p w:rsidR="0011186B" w:rsidRDefault="008F5CEC" w:rsidP="00C53EAA">
            <w:pPr>
              <w:pStyle w:val="TableofFigures"/>
              <w:spacing w:before="40"/>
              <w:ind w:right="775"/>
              <w:jc w:val="right"/>
            </w:pPr>
            <w:r>
              <w:t>3.8</w:t>
            </w:r>
          </w:p>
        </w:tc>
        <w:tc>
          <w:tcPr>
            <w:tcW w:w="1843" w:type="dxa"/>
            <w:tcBorders>
              <w:bottom w:val="nil"/>
            </w:tcBorders>
          </w:tcPr>
          <w:p w:rsidR="0011186B" w:rsidRDefault="008F5CEC" w:rsidP="00C53EAA">
            <w:pPr>
              <w:pStyle w:val="TableofFigures"/>
              <w:spacing w:before="40"/>
              <w:ind w:right="775"/>
              <w:jc w:val="right"/>
            </w:pPr>
            <w:r>
              <w:t>3.8</w:t>
            </w:r>
          </w:p>
        </w:tc>
        <w:tc>
          <w:tcPr>
            <w:tcW w:w="1843" w:type="dxa"/>
            <w:tcBorders>
              <w:bottom w:val="nil"/>
            </w:tcBorders>
          </w:tcPr>
          <w:p w:rsidR="0011186B" w:rsidRDefault="008F5CEC" w:rsidP="00C53EAA">
            <w:pPr>
              <w:pStyle w:val="TableofFigures"/>
              <w:spacing w:before="40"/>
              <w:ind w:right="775"/>
              <w:jc w:val="right"/>
            </w:pPr>
            <w:r>
              <w:t>3.7</w:t>
            </w:r>
          </w:p>
        </w:tc>
      </w:tr>
      <w:tr w:rsidR="0011186B" w:rsidTr="0024454B">
        <w:trPr>
          <w:cantSplit/>
          <w:tblHeader/>
        </w:trPr>
        <w:tc>
          <w:tcPr>
            <w:tcW w:w="2660" w:type="dxa"/>
            <w:tcBorders>
              <w:top w:val="nil"/>
              <w:bottom w:val="nil"/>
            </w:tcBorders>
          </w:tcPr>
          <w:p w:rsidR="0011186B" w:rsidRDefault="0011186B" w:rsidP="00EB150F">
            <w:pPr>
              <w:pStyle w:val="TableofFigures"/>
              <w:spacing w:before="40"/>
            </w:pPr>
            <w:r>
              <w:t>Stream 2</w:t>
            </w:r>
          </w:p>
        </w:tc>
        <w:tc>
          <w:tcPr>
            <w:tcW w:w="1843" w:type="dxa"/>
            <w:tcBorders>
              <w:top w:val="nil"/>
              <w:bottom w:val="nil"/>
            </w:tcBorders>
          </w:tcPr>
          <w:p w:rsidR="0011186B" w:rsidRDefault="0011186B" w:rsidP="00C53EAA">
            <w:pPr>
              <w:pStyle w:val="TableofFigures"/>
              <w:spacing w:before="40"/>
              <w:ind w:right="775"/>
              <w:jc w:val="right"/>
            </w:pPr>
            <w:r>
              <w:t>7.</w:t>
            </w:r>
            <w:r w:rsidR="008F5CEC">
              <w:t>8</w:t>
            </w:r>
          </w:p>
        </w:tc>
        <w:tc>
          <w:tcPr>
            <w:tcW w:w="1843" w:type="dxa"/>
            <w:tcBorders>
              <w:top w:val="nil"/>
              <w:bottom w:val="nil"/>
            </w:tcBorders>
          </w:tcPr>
          <w:p w:rsidR="0011186B" w:rsidRDefault="008F5CEC" w:rsidP="00C53EAA">
            <w:pPr>
              <w:pStyle w:val="TableofFigures"/>
              <w:spacing w:before="40"/>
              <w:ind w:right="775"/>
              <w:jc w:val="right"/>
            </w:pPr>
            <w:r>
              <w:t>6.7</w:t>
            </w:r>
          </w:p>
        </w:tc>
        <w:tc>
          <w:tcPr>
            <w:tcW w:w="1843" w:type="dxa"/>
            <w:tcBorders>
              <w:top w:val="nil"/>
              <w:bottom w:val="nil"/>
            </w:tcBorders>
          </w:tcPr>
          <w:p w:rsidR="0011186B" w:rsidRDefault="008F5CEC" w:rsidP="00C53EAA">
            <w:pPr>
              <w:pStyle w:val="TableofFigures"/>
              <w:spacing w:before="40"/>
              <w:ind w:right="775"/>
              <w:jc w:val="right"/>
            </w:pPr>
            <w:r>
              <w:t>6.6</w:t>
            </w:r>
          </w:p>
        </w:tc>
      </w:tr>
      <w:tr w:rsidR="0011186B" w:rsidTr="0024454B">
        <w:trPr>
          <w:cantSplit/>
          <w:tblHeader/>
        </w:trPr>
        <w:tc>
          <w:tcPr>
            <w:tcW w:w="2660" w:type="dxa"/>
            <w:tcBorders>
              <w:top w:val="nil"/>
              <w:bottom w:val="nil"/>
            </w:tcBorders>
          </w:tcPr>
          <w:p w:rsidR="0011186B" w:rsidRDefault="0011186B" w:rsidP="00EB150F">
            <w:pPr>
              <w:pStyle w:val="TableofFigures"/>
              <w:spacing w:before="40"/>
            </w:pPr>
            <w:r>
              <w:t>Stream 3</w:t>
            </w:r>
          </w:p>
        </w:tc>
        <w:tc>
          <w:tcPr>
            <w:tcW w:w="1843" w:type="dxa"/>
            <w:tcBorders>
              <w:top w:val="nil"/>
              <w:bottom w:val="nil"/>
            </w:tcBorders>
          </w:tcPr>
          <w:p w:rsidR="0011186B" w:rsidRDefault="0011186B" w:rsidP="00C21857">
            <w:pPr>
              <w:pStyle w:val="TableofFigures"/>
              <w:spacing w:before="40"/>
              <w:ind w:right="775"/>
              <w:jc w:val="right"/>
            </w:pPr>
            <w:r>
              <w:t>10.</w:t>
            </w:r>
            <w:r w:rsidR="00C21857">
              <w:t>4</w:t>
            </w:r>
          </w:p>
        </w:tc>
        <w:tc>
          <w:tcPr>
            <w:tcW w:w="1843" w:type="dxa"/>
            <w:tcBorders>
              <w:top w:val="nil"/>
              <w:bottom w:val="nil"/>
            </w:tcBorders>
          </w:tcPr>
          <w:p w:rsidR="0011186B" w:rsidRDefault="008F5CEC" w:rsidP="00EB150F">
            <w:pPr>
              <w:pStyle w:val="TableofFigures"/>
              <w:spacing w:before="40"/>
              <w:jc w:val="center"/>
            </w:pPr>
            <w:r>
              <w:t>9.0</w:t>
            </w:r>
          </w:p>
        </w:tc>
        <w:tc>
          <w:tcPr>
            <w:tcW w:w="1843" w:type="dxa"/>
            <w:tcBorders>
              <w:top w:val="nil"/>
              <w:bottom w:val="nil"/>
            </w:tcBorders>
          </w:tcPr>
          <w:p w:rsidR="0011186B" w:rsidRDefault="0011186B" w:rsidP="008F5CEC">
            <w:pPr>
              <w:pStyle w:val="TableofFigures"/>
              <w:spacing w:before="40"/>
              <w:jc w:val="center"/>
            </w:pPr>
            <w:r>
              <w:t>8.</w:t>
            </w:r>
            <w:r w:rsidR="008F5CEC">
              <w:t>2</w:t>
            </w:r>
          </w:p>
        </w:tc>
      </w:tr>
      <w:tr w:rsidR="0011186B" w:rsidTr="0024454B">
        <w:trPr>
          <w:cantSplit/>
          <w:tblHeader/>
        </w:trPr>
        <w:tc>
          <w:tcPr>
            <w:tcW w:w="2660" w:type="dxa"/>
            <w:tcBorders>
              <w:top w:val="nil"/>
              <w:bottom w:val="single" w:sz="4" w:space="0" w:color="auto"/>
            </w:tcBorders>
          </w:tcPr>
          <w:p w:rsidR="0011186B" w:rsidRDefault="0011186B" w:rsidP="00EB150F">
            <w:pPr>
              <w:pStyle w:val="TableofFigures"/>
              <w:spacing w:before="40"/>
            </w:pPr>
            <w:r>
              <w:t>Stream 4</w:t>
            </w:r>
          </w:p>
        </w:tc>
        <w:tc>
          <w:tcPr>
            <w:tcW w:w="1843" w:type="dxa"/>
            <w:tcBorders>
              <w:top w:val="nil"/>
              <w:bottom w:val="single" w:sz="4" w:space="0" w:color="auto"/>
            </w:tcBorders>
          </w:tcPr>
          <w:p w:rsidR="0011186B" w:rsidRDefault="008F5CEC" w:rsidP="00C53EAA">
            <w:pPr>
              <w:pStyle w:val="TableofFigures"/>
              <w:spacing w:before="40"/>
              <w:ind w:right="775"/>
              <w:jc w:val="right"/>
            </w:pPr>
            <w:r>
              <w:t>7.7</w:t>
            </w:r>
          </w:p>
        </w:tc>
        <w:tc>
          <w:tcPr>
            <w:tcW w:w="1843" w:type="dxa"/>
            <w:tcBorders>
              <w:top w:val="nil"/>
              <w:bottom w:val="single" w:sz="4" w:space="0" w:color="auto"/>
            </w:tcBorders>
          </w:tcPr>
          <w:p w:rsidR="0011186B" w:rsidRDefault="008F5CEC" w:rsidP="00C53EAA">
            <w:pPr>
              <w:pStyle w:val="TableofFigures"/>
              <w:spacing w:before="40"/>
              <w:ind w:right="775"/>
              <w:jc w:val="right"/>
            </w:pPr>
            <w:r>
              <w:t>6.5</w:t>
            </w:r>
          </w:p>
        </w:tc>
        <w:tc>
          <w:tcPr>
            <w:tcW w:w="1843" w:type="dxa"/>
            <w:tcBorders>
              <w:top w:val="nil"/>
              <w:bottom w:val="single" w:sz="4" w:space="0" w:color="auto"/>
            </w:tcBorders>
          </w:tcPr>
          <w:p w:rsidR="0011186B" w:rsidRDefault="008F5CEC" w:rsidP="00C53EAA">
            <w:pPr>
              <w:pStyle w:val="TableofFigures"/>
              <w:spacing w:before="40"/>
              <w:ind w:right="775"/>
              <w:jc w:val="right"/>
            </w:pPr>
            <w:r>
              <w:t>6.1</w:t>
            </w:r>
          </w:p>
        </w:tc>
      </w:tr>
    </w:tbl>
    <w:p w:rsidR="0011186B" w:rsidRDefault="0011186B" w:rsidP="0011186B">
      <w:pPr>
        <w:pStyle w:val="Sourceandnotetext"/>
      </w:pPr>
      <w:r w:rsidRPr="001D555C">
        <w:rPr>
          <w:b/>
          <w:bCs/>
        </w:rPr>
        <w:t xml:space="preserve">Source: </w:t>
      </w:r>
      <w:r>
        <w:t>DEEWR Corporate Data Set.</w:t>
      </w:r>
    </w:p>
    <w:p w:rsidR="0024454B" w:rsidRDefault="00C23440" w:rsidP="0011186B">
      <w:hyperlink w:anchor="Figure5" w:tooltip="View Figure 5: Proportion of job seekers participating in training, 2009-10 (per cent)" w:history="1">
        <w:r w:rsidR="0011186B" w:rsidRPr="00B463F1">
          <w:t>View Figure 5: Proportion of job seekers participating in training, 2009-10</w:t>
        </w:r>
      </w:hyperlink>
    </w:p>
    <w:p w:rsidR="0024454B" w:rsidRDefault="0024454B">
      <w:pPr>
        <w:spacing w:before="0" w:after="0"/>
      </w:pPr>
      <w:r>
        <w:br w:type="page"/>
      </w:r>
    </w:p>
    <w:p w:rsidR="0011186B" w:rsidRDefault="0011186B" w:rsidP="0011186B"/>
    <w:p w:rsidR="0011186B" w:rsidRPr="00C318C5" w:rsidRDefault="0011186B" w:rsidP="0011186B">
      <w:pPr>
        <w:pStyle w:val="Captionbefore12"/>
      </w:pPr>
      <w:bookmarkStart w:id="94" w:name="TableA1_6"/>
      <w:bookmarkEnd w:id="94"/>
      <w:r>
        <w:t xml:space="preserve">Table </w:t>
      </w:r>
      <w:proofErr w:type="spellStart"/>
      <w:r>
        <w:t>A1.6</w:t>
      </w:r>
      <w:proofErr w:type="spellEnd"/>
      <w:r w:rsidRPr="00C318C5">
        <w:t xml:space="preserve">: Proportion of </w:t>
      </w:r>
      <w:proofErr w:type="spellStart"/>
      <w:r w:rsidRPr="00C318C5">
        <w:rPr>
          <w:rStyle w:val="TableandFigureheadingChar"/>
          <w:b/>
        </w:rPr>
        <w:t>EPF</w:t>
      </w:r>
      <w:proofErr w:type="spellEnd"/>
      <w:r w:rsidRPr="00C318C5">
        <w:rPr>
          <w:rStyle w:val="TableandFigureheadingChar"/>
          <w:b/>
        </w:rPr>
        <w:t xml:space="preserve"> expenditure spent on reverse marketing (per cent)</w:t>
      </w:r>
    </w:p>
    <w:tbl>
      <w:tblPr>
        <w:tblStyle w:val="TableGrid"/>
        <w:tblW w:w="8505" w:type="dxa"/>
        <w:tblBorders>
          <w:left w:val="none" w:sz="0" w:space="0" w:color="auto"/>
          <w:right w:val="none" w:sz="0" w:space="0" w:color="auto"/>
          <w:insideV w:val="none" w:sz="0" w:space="0" w:color="auto"/>
        </w:tblBorders>
        <w:tblLook w:val="04A0"/>
      </w:tblPr>
      <w:tblGrid>
        <w:gridCol w:w="2763"/>
        <w:gridCol w:w="1914"/>
        <w:gridCol w:w="1914"/>
        <w:gridCol w:w="1914"/>
      </w:tblGrid>
      <w:tr w:rsidR="0011186B" w:rsidRPr="00E12C88" w:rsidTr="0024454B">
        <w:trPr>
          <w:cantSplit/>
          <w:tblHeader/>
        </w:trPr>
        <w:tc>
          <w:tcPr>
            <w:tcW w:w="2660" w:type="dxa"/>
            <w:tcBorders>
              <w:bottom w:val="single" w:sz="4" w:space="0" w:color="auto"/>
            </w:tcBorders>
          </w:tcPr>
          <w:p w:rsidR="0011186B" w:rsidRPr="00C24AB5" w:rsidRDefault="0011186B" w:rsidP="006F4A06">
            <w:pPr>
              <w:pStyle w:val="TableHeadingtext"/>
              <w:rPr>
                <w:bCs/>
                <w:color w:val="FFFFFF" w:themeColor="background1"/>
              </w:rPr>
            </w:pPr>
            <w:r w:rsidRPr="00C24AB5">
              <w:rPr>
                <w:bCs/>
                <w:color w:val="FFFFFF" w:themeColor="background1"/>
              </w:rPr>
              <w:t>-</w:t>
            </w:r>
          </w:p>
        </w:tc>
        <w:tc>
          <w:tcPr>
            <w:tcW w:w="1843" w:type="dxa"/>
            <w:tcBorders>
              <w:bottom w:val="single" w:sz="4" w:space="0" w:color="auto"/>
            </w:tcBorders>
          </w:tcPr>
          <w:p w:rsidR="0011186B" w:rsidRPr="00E12C88" w:rsidRDefault="0011186B" w:rsidP="006F4A06">
            <w:pPr>
              <w:pStyle w:val="TableofFigures"/>
              <w:jc w:val="center"/>
              <w:rPr>
                <w:b/>
              </w:rPr>
            </w:pPr>
            <w:r>
              <w:rPr>
                <w:b/>
              </w:rPr>
              <w:t>High Performing Sites</w:t>
            </w:r>
          </w:p>
        </w:tc>
        <w:tc>
          <w:tcPr>
            <w:tcW w:w="1843" w:type="dxa"/>
            <w:tcBorders>
              <w:bottom w:val="single" w:sz="4" w:space="0" w:color="auto"/>
            </w:tcBorders>
          </w:tcPr>
          <w:p w:rsidR="0011186B" w:rsidRPr="00E12C88" w:rsidRDefault="0011186B" w:rsidP="006F4A06">
            <w:pPr>
              <w:pStyle w:val="TableofFigures"/>
              <w:jc w:val="center"/>
              <w:rPr>
                <w:b/>
              </w:rPr>
            </w:pPr>
            <w:r w:rsidRPr="00E12C88">
              <w:rPr>
                <w:b/>
              </w:rPr>
              <w:t>Mid Performing Sites</w:t>
            </w:r>
          </w:p>
        </w:tc>
        <w:tc>
          <w:tcPr>
            <w:tcW w:w="1843" w:type="dxa"/>
            <w:tcBorders>
              <w:bottom w:val="single" w:sz="4" w:space="0" w:color="auto"/>
            </w:tcBorders>
          </w:tcPr>
          <w:p w:rsidR="0011186B" w:rsidRPr="00E12C88" w:rsidRDefault="0011186B" w:rsidP="006F4A06">
            <w:pPr>
              <w:pStyle w:val="TableofFigures"/>
              <w:jc w:val="center"/>
              <w:rPr>
                <w:b/>
              </w:rPr>
            </w:pPr>
            <w:r w:rsidRPr="00E12C88">
              <w:rPr>
                <w:b/>
              </w:rPr>
              <w:t>Low Performing Sites</w:t>
            </w:r>
          </w:p>
        </w:tc>
      </w:tr>
      <w:tr w:rsidR="0011186B" w:rsidTr="0024454B">
        <w:trPr>
          <w:cantSplit/>
          <w:tblHeader/>
        </w:trPr>
        <w:tc>
          <w:tcPr>
            <w:tcW w:w="2660" w:type="dxa"/>
            <w:tcBorders>
              <w:bottom w:val="single" w:sz="4" w:space="0" w:color="auto"/>
            </w:tcBorders>
            <w:vAlign w:val="bottom"/>
          </w:tcPr>
          <w:p w:rsidR="0011186B" w:rsidRPr="005A65E4" w:rsidRDefault="0011186B" w:rsidP="006F4A06">
            <w:pPr>
              <w:pStyle w:val="TableofFigures"/>
              <w:spacing w:before="40"/>
              <w:rPr>
                <w:b/>
              </w:rPr>
            </w:pPr>
            <w:r w:rsidRPr="005A65E4">
              <w:rPr>
                <w:b/>
              </w:rPr>
              <w:t>Proportion of EPF expenditure</w:t>
            </w:r>
          </w:p>
        </w:tc>
        <w:tc>
          <w:tcPr>
            <w:tcW w:w="1843" w:type="dxa"/>
            <w:tcBorders>
              <w:bottom w:val="single" w:sz="4" w:space="0" w:color="auto"/>
            </w:tcBorders>
            <w:vAlign w:val="bottom"/>
          </w:tcPr>
          <w:p w:rsidR="0011186B" w:rsidRDefault="0011186B" w:rsidP="006F4A06">
            <w:pPr>
              <w:pStyle w:val="TableofFigures"/>
              <w:spacing w:before="40"/>
              <w:ind w:right="743"/>
              <w:jc w:val="right"/>
            </w:pPr>
            <w:r>
              <w:t>10.4</w:t>
            </w:r>
          </w:p>
        </w:tc>
        <w:tc>
          <w:tcPr>
            <w:tcW w:w="1843" w:type="dxa"/>
            <w:tcBorders>
              <w:bottom w:val="single" w:sz="4" w:space="0" w:color="auto"/>
            </w:tcBorders>
            <w:vAlign w:val="bottom"/>
          </w:tcPr>
          <w:p w:rsidR="0011186B" w:rsidRDefault="0011186B" w:rsidP="006F4A06">
            <w:pPr>
              <w:pStyle w:val="TableofFigures"/>
              <w:spacing w:before="40"/>
              <w:ind w:right="743"/>
              <w:jc w:val="right"/>
            </w:pPr>
            <w:r>
              <w:t>7.6</w:t>
            </w:r>
          </w:p>
        </w:tc>
        <w:tc>
          <w:tcPr>
            <w:tcW w:w="1843" w:type="dxa"/>
            <w:tcBorders>
              <w:bottom w:val="single" w:sz="4" w:space="0" w:color="auto"/>
            </w:tcBorders>
            <w:vAlign w:val="bottom"/>
          </w:tcPr>
          <w:p w:rsidR="0011186B" w:rsidRDefault="0011186B" w:rsidP="006F4A06">
            <w:pPr>
              <w:pStyle w:val="TableofFigures"/>
              <w:spacing w:before="40"/>
              <w:ind w:right="743"/>
              <w:jc w:val="right"/>
            </w:pPr>
            <w:r>
              <w:t>6.1</w:t>
            </w:r>
          </w:p>
        </w:tc>
      </w:tr>
    </w:tbl>
    <w:p w:rsidR="0011186B" w:rsidRDefault="0011186B" w:rsidP="0011186B">
      <w:pPr>
        <w:pStyle w:val="Sourceandnotetext"/>
      </w:pPr>
      <w:r w:rsidRPr="001D555C">
        <w:rPr>
          <w:b/>
          <w:bCs/>
        </w:rPr>
        <w:t xml:space="preserve">Source: </w:t>
      </w:r>
      <w:r>
        <w:t>DEEWR Corporate Data Set.</w:t>
      </w:r>
    </w:p>
    <w:p w:rsidR="00EB150F" w:rsidRDefault="00C23440" w:rsidP="0011186B">
      <w:hyperlink w:anchor="Figure6" w:tooltip="View Figure 6: Proportion of EPF expenditure spent on reverse marketing" w:history="1">
        <w:r w:rsidR="0011186B" w:rsidRPr="001E0CBA">
          <w:t>View Figure 6: Proportion of EPF expenditure spent on reverse marketing</w:t>
        </w:r>
      </w:hyperlink>
    </w:p>
    <w:p w:rsidR="0011186B" w:rsidRPr="00C318C5" w:rsidRDefault="0011186B" w:rsidP="0011186B">
      <w:pPr>
        <w:pStyle w:val="Caption"/>
        <w:spacing w:before="120" w:after="120"/>
      </w:pPr>
      <w:bookmarkStart w:id="95" w:name="TableA1_7"/>
      <w:bookmarkEnd w:id="95"/>
      <w:r>
        <w:t xml:space="preserve">Table </w:t>
      </w:r>
      <w:proofErr w:type="spellStart"/>
      <w:r>
        <w:t>A1.7</w:t>
      </w:r>
      <w:proofErr w:type="spellEnd"/>
      <w:r w:rsidRPr="00C318C5">
        <w:t>: Employment search assistance provided (per cent)</w:t>
      </w:r>
    </w:p>
    <w:tbl>
      <w:tblPr>
        <w:tblStyle w:val="TableGrid"/>
        <w:tblW w:w="8505" w:type="dxa"/>
        <w:tblBorders>
          <w:left w:val="none" w:sz="0" w:space="0" w:color="auto"/>
          <w:right w:val="none" w:sz="0" w:space="0" w:color="auto"/>
          <w:insideV w:val="none" w:sz="0" w:space="0" w:color="auto"/>
        </w:tblBorders>
        <w:tblLayout w:type="fixed"/>
        <w:tblLook w:val="04A0"/>
      </w:tblPr>
      <w:tblGrid>
        <w:gridCol w:w="3381"/>
        <w:gridCol w:w="1708"/>
        <w:gridCol w:w="1708"/>
        <w:gridCol w:w="1708"/>
      </w:tblGrid>
      <w:tr w:rsidR="0011186B" w:rsidRPr="00E12C88" w:rsidTr="0024454B">
        <w:trPr>
          <w:cantSplit/>
          <w:tblHeader/>
        </w:trPr>
        <w:tc>
          <w:tcPr>
            <w:tcW w:w="3369" w:type="dxa"/>
            <w:tcBorders>
              <w:top w:val="single" w:sz="4" w:space="0" w:color="auto"/>
              <w:bottom w:val="single" w:sz="4" w:space="0" w:color="auto"/>
            </w:tcBorders>
          </w:tcPr>
          <w:p w:rsidR="0011186B" w:rsidRPr="004A3F3B" w:rsidRDefault="0011186B" w:rsidP="006F4A06">
            <w:pPr>
              <w:pStyle w:val="TableHeadingtext"/>
              <w:rPr>
                <w:bCs/>
                <w:color w:val="FFFFFF" w:themeColor="background1"/>
              </w:rPr>
            </w:pPr>
            <w:r w:rsidRPr="004A3F3B">
              <w:rPr>
                <w:bCs/>
                <w:color w:val="FFFFFF" w:themeColor="background1"/>
              </w:rPr>
              <w:t>-</w:t>
            </w:r>
          </w:p>
        </w:tc>
        <w:tc>
          <w:tcPr>
            <w:tcW w:w="1701" w:type="dxa"/>
            <w:tcBorders>
              <w:top w:val="single" w:sz="4" w:space="0" w:color="auto"/>
              <w:bottom w:val="single" w:sz="4" w:space="0" w:color="auto"/>
            </w:tcBorders>
          </w:tcPr>
          <w:p w:rsidR="0011186B" w:rsidRPr="00E12C88" w:rsidRDefault="0011186B" w:rsidP="006F4A06">
            <w:pPr>
              <w:pStyle w:val="TableofFigures"/>
              <w:jc w:val="center"/>
              <w:rPr>
                <w:b/>
              </w:rPr>
            </w:pPr>
            <w:r>
              <w:rPr>
                <w:b/>
              </w:rPr>
              <w:t>High Performing Sites</w:t>
            </w:r>
          </w:p>
        </w:tc>
        <w:tc>
          <w:tcPr>
            <w:tcW w:w="1701" w:type="dxa"/>
            <w:tcBorders>
              <w:top w:val="single" w:sz="4" w:space="0" w:color="auto"/>
              <w:bottom w:val="single" w:sz="4" w:space="0" w:color="auto"/>
            </w:tcBorders>
          </w:tcPr>
          <w:p w:rsidR="0011186B" w:rsidRPr="00E12C88" w:rsidRDefault="0011186B" w:rsidP="006F4A06">
            <w:pPr>
              <w:pStyle w:val="TableofFigures"/>
              <w:jc w:val="center"/>
              <w:rPr>
                <w:b/>
              </w:rPr>
            </w:pPr>
            <w:r>
              <w:rPr>
                <w:b/>
              </w:rPr>
              <w:t xml:space="preserve">Mid </w:t>
            </w:r>
            <w:r>
              <w:rPr>
                <w:b/>
              </w:rPr>
              <w:br/>
              <w:t xml:space="preserve">Performing </w:t>
            </w:r>
            <w:r>
              <w:rPr>
                <w:b/>
              </w:rPr>
              <w:br/>
              <w:t>Sites</w:t>
            </w:r>
          </w:p>
        </w:tc>
        <w:tc>
          <w:tcPr>
            <w:tcW w:w="1701" w:type="dxa"/>
            <w:tcBorders>
              <w:top w:val="single" w:sz="4" w:space="0" w:color="auto"/>
              <w:bottom w:val="single" w:sz="4" w:space="0" w:color="auto"/>
            </w:tcBorders>
          </w:tcPr>
          <w:p w:rsidR="0011186B" w:rsidRPr="00E12C88" w:rsidRDefault="0011186B" w:rsidP="006F4A06">
            <w:pPr>
              <w:pStyle w:val="TableofFigures"/>
              <w:jc w:val="center"/>
              <w:rPr>
                <w:b/>
              </w:rPr>
            </w:pPr>
            <w:r>
              <w:rPr>
                <w:b/>
              </w:rPr>
              <w:t>Low</w:t>
            </w:r>
            <w:r>
              <w:rPr>
                <w:b/>
              </w:rPr>
              <w:br/>
              <w:t xml:space="preserve"> Performing </w:t>
            </w:r>
            <w:r>
              <w:rPr>
                <w:b/>
              </w:rPr>
              <w:br/>
              <w:t>Sites</w:t>
            </w:r>
          </w:p>
        </w:tc>
      </w:tr>
      <w:tr w:rsidR="0011186B" w:rsidTr="0024454B">
        <w:trPr>
          <w:cantSplit/>
          <w:tblHeader/>
        </w:trPr>
        <w:tc>
          <w:tcPr>
            <w:tcW w:w="3369" w:type="dxa"/>
            <w:tcBorders>
              <w:top w:val="single" w:sz="4" w:space="0" w:color="auto"/>
              <w:bottom w:val="nil"/>
            </w:tcBorders>
          </w:tcPr>
          <w:p w:rsidR="0011186B" w:rsidRPr="005A65E4" w:rsidRDefault="0011186B" w:rsidP="00EB150F">
            <w:pPr>
              <w:pStyle w:val="TableofFigures"/>
              <w:spacing w:before="40"/>
            </w:pPr>
            <w:r w:rsidRPr="005A65E4">
              <w:t>Help to prepare or update resume</w:t>
            </w:r>
          </w:p>
        </w:tc>
        <w:tc>
          <w:tcPr>
            <w:tcW w:w="1701" w:type="dxa"/>
            <w:tcBorders>
              <w:top w:val="single" w:sz="4" w:space="0" w:color="auto"/>
              <w:bottom w:val="nil"/>
            </w:tcBorders>
            <w:vAlign w:val="center"/>
          </w:tcPr>
          <w:p w:rsidR="0011186B" w:rsidRDefault="0011186B" w:rsidP="00EB150F">
            <w:pPr>
              <w:pStyle w:val="TableofFigures"/>
              <w:spacing w:before="40"/>
              <w:jc w:val="center"/>
            </w:pPr>
            <w:r>
              <w:t>59.3</w:t>
            </w:r>
          </w:p>
        </w:tc>
        <w:tc>
          <w:tcPr>
            <w:tcW w:w="1701" w:type="dxa"/>
            <w:tcBorders>
              <w:top w:val="single" w:sz="4" w:space="0" w:color="auto"/>
              <w:bottom w:val="nil"/>
            </w:tcBorders>
            <w:vAlign w:val="center"/>
          </w:tcPr>
          <w:p w:rsidR="0011186B" w:rsidRDefault="0011186B" w:rsidP="00EB150F">
            <w:pPr>
              <w:pStyle w:val="TableofFigures"/>
              <w:spacing w:before="40"/>
              <w:jc w:val="center"/>
            </w:pPr>
            <w:r>
              <w:t>55.0</w:t>
            </w:r>
          </w:p>
        </w:tc>
        <w:tc>
          <w:tcPr>
            <w:tcW w:w="1701" w:type="dxa"/>
            <w:tcBorders>
              <w:top w:val="single" w:sz="4" w:space="0" w:color="auto"/>
              <w:bottom w:val="nil"/>
            </w:tcBorders>
            <w:vAlign w:val="center"/>
          </w:tcPr>
          <w:p w:rsidR="0011186B" w:rsidRDefault="0011186B" w:rsidP="00EB150F">
            <w:pPr>
              <w:pStyle w:val="TableofFigures"/>
              <w:spacing w:before="40"/>
              <w:jc w:val="center"/>
            </w:pPr>
            <w:r>
              <w:t>47.0</w:t>
            </w:r>
          </w:p>
        </w:tc>
      </w:tr>
      <w:tr w:rsidR="0011186B" w:rsidTr="0024454B">
        <w:trPr>
          <w:cantSplit/>
          <w:tblHeader/>
        </w:trPr>
        <w:tc>
          <w:tcPr>
            <w:tcW w:w="3369" w:type="dxa"/>
            <w:tcBorders>
              <w:top w:val="nil"/>
              <w:bottom w:val="nil"/>
            </w:tcBorders>
          </w:tcPr>
          <w:p w:rsidR="0011186B" w:rsidRPr="005A65E4" w:rsidRDefault="0011186B" w:rsidP="00EB150F">
            <w:pPr>
              <w:pStyle w:val="TableofFigures"/>
              <w:spacing w:before="40"/>
            </w:pPr>
            <w:r w:rsidRPr="005A65E4">
              <w:t>Information about local job vacancies</w:t>
            </w:r>
          </w:p>
        </w:tc>
        <w:tc>
          <w:tcPr>
            <w:tcW w:w="1701" w:type="dxa"/>
            <w:tcBorders>
              <w:top w:val="nil"/>
              <w:bottom w:val="nil"/>
            </w:tcBorders>
            <w:vAlign w:val="center"/>
          </w:tcPr>
          <w:p w:rsidR="0011186B" w:rsidRDefault="0011186B" w:rsidP="00EB150F">
            <w:pPr>
              <w:pStyle w:val="TableofFigures"/>
              <w:spacing w:before="40"/>
              <w:jc w:val="center"/>
            </w:pPr>
            <w:r>
              <w:t>62.1</w:t>
            </w:r>
          </w:p>
        </w:tc>
        <w:tc>
          <w:tcPr>
            <w:tcW w:w="1701" w:type="dxa"/>
            <w:tcBorders>
              <w:top w:val="nil"/>
              <w:bottom w:val="nil"/>
            </w:tcBorders>
            <w:vAlign w:val="center"/>
          </w:tcPr>
          <w:p w:rsidR="0011186B" w:rsidRDefault="0011186B" w:rsidP="00EB150F">
            <w:pPr>
              <w:pStyle w:val="TableofFigures"/>
              <w:spacing w:before="40"/>
              <w:jc w:val="center"/>
            </w:pPr>
            <w:r>
              <w:t>55.5</w:t>
            </w:r>
          </w:p>
        </w:tc>
        <w:tc>
          <w:tcPr>
            <w:tcW w:w="1701" w:type="dxa"/>
            <w:tcBorders>
              <w:top w:val="nil"/>
              <w:bottom w:val="nil"/>
            </w:tcBorders>
            <w:vAlign w:val="center"/>
          </w:tcPr>
          <w:p w:rsidR="0011186B" w:rsidRDefault="0011186B" w:rsidP="00EB150F">
            <w:pPr>
              <w:pStyle w:val="TableofFigures"/>
              <w:spacing w:before="40"/>
              <w:jc w:val="center"/>
            </w:pPr>
            <w:r>
              <w:t>44.3</w:t>
            </w:r>
          </w:p>
        </w:tc>
      </w:tr>
      <w:tr w:rsidR="0011186B" w:rsidTr="0024454B">
        <w:trPr>
          <w:cantSplit/>
          <w:tblHeader/>
        </w:trPr>
        <w:tc>
          <w:tcPr>
            <w:tcW w:w="3369" w:type="dxa"/>
            <w:tcBorders>
              <w:top w:val="nil"/>
              <w:bottom w:val="nil"/>
            </w:tcBorders>
          </w:tcPr>
          <w:p w:rsidR="0011186B" w:rsidRPr="005A65E4" w:rsidRDefault="0011186B" w:rsidP="006F4A06">
            <w:pPr>
              <w:pStyle w:val="TableofFigures"/>
              <w:spacing w:before="40"/>
            </w:pPr>
            <w:r w:rsidRPr="005A65E4">
              <w:t>Access to computer facilities</w:t>
            </w:r>
          </w:p>
        </w:tc>
        <w:tc>
          <w:tcPr>
            <w:tcW w:w="1701" w:type="dxa"/>
            <w:tcBorders>
              <w:top w:val="nil"/>
              <w:bottom w:val="nil"/>
            </w:tcBorders>
            <w:vAlign w:val="center"/>
          </w:tcPr>
          <w:p w:rsidR="0011186B" w:rsidRDefault="0011186B" w:rsidP="006F4A06">
            <w:pPr>
              <w:pStyle w:val="TableofFigures"/>
              <w:spacing w:before="40"/>
              <w:jc w:val="center"/>
            </w:pPr>
            <w:r>
              <w:t>58.8</w:t>
            </w:r>
          </w:p>
        </w:tc>
        <w:tc>
          <w:tcPr>
            <w:tcW w:w="1701" w:type="dxa"/>
            <w:tcBorders>
              <w:top w:val="nil"/>
              <w:bottom w:val="nil"/>
            </w:tcBorders>
            <w:vAlign w:val="center"/>
          </w:tcPr>
          <w:p w:rsidR="0011186B" w:rsidRDefault="0011186B" w:rsidP="006F4A06">
            <w:pPr>
              <w:pStyle w:val="TableofFigures"/>
              <w:spacing w:before="40"/>
              <w:jc w:val="center"/>
            </w:pPr>
            <w:r>
              <w:t>53.5</w:t>
            </w:r>
          </w:p>
        </w:tc>
        <w:tc>
          <w:tcPr>
            <w:tcW w:w="1701" w:type="dxa"/>
            <w:tcBorders>
              <w:top w:val="nil"/>
              <w:bottom w:val="nil"/>
            </w:tcBorders>
            <w:vAlign w:val="center"/>
          </w:tcPr>
          <w:p w:rsidR="0011186B" w:rsidRDefault="0011186B" w:rsidP="006F4A06">
            <w:pPr>
              <w:pStyle w:val="TableofFigures"/>
              <w:spacing w:before="40"/>
              <w:jc w:val="center"/>
            </w:pPr>
            <w:r>
              <w:t>42.6</w:t>
            </w:r>
          </w:p>
        </w:tc>
      </w:tr>
      <w:tr w:rsidR="0011186B" w:rsidTr="0024454B">
        <w:trPr>
          <w:cantSplit/>
          <w:tblHeader/>
        </w:trPr>
        <w:tc>
          <w:tcPr>
            <w:tcW w:w="3369" w:type="dxa"/>
            <w:tcBorders>
              <w:top w:val="nil"/>
              <w:bottom w:val="single" w:sz="4" w:space="0" w:color="auto"/>
            </w:tcBorders>
          </w:tcPr>
          <w:p w:rsidR="0011186B" w:rsidRPr="005A65E4" w:rsidRDefault="0011186B" w:rsidP="006F4A06">
            <w:pPr>
              <w:pStyle w:val="TableofFigures"/>
              <w:spacing w:before="40"/>
            </w:pPr>
            <w:r w:rsidRPr="005A65E4">
              <w:t>Advice on how to look for work</w:t>
            </w:r>
          </w:p>
        </w:tc>
        <w:tc>
          <w:tcPr>
            <w:tcW w:w="1701" w:type="dxa"/>
            <w:tcBorders>
              <w:top w:val="nil"/>
              <w:bottom w:val="single" w:sz="4" w:space="0" w:color="auto"/>
            </w:tcBorders>
            <w:vAlign w:val="center"/>
          </w:tcPr>
          <w:p w:rsidR="0011186B" w:rsidRDefault="0011186B" w:rsidP="006F4A06">
            <w:pPr>
              <w:pStyle w:val="TableofFigures"/>
              <w:spacing w:before="40"/>
              <w:jc w:val="center"/>
            </w:pPr>
            <w:r>
              <w:t>60.8</w:t>
            </w:r>
          </w:p>
        </w:tc>
        <w:tc>
          <w:tcPr>
            <w:tcW w:w="1701" w:type="dxa"/>
            <w:tcBorders>
              <w:top w:val="nil"/>
              <w:bottom w:val="single" w:sz="4" w:space="0" w:color="auto"/>
            </w:tcBorders>
            <w:vAlign w:val="center"/>
          </w:tcPr>
          <w:p w:rsidR="0011186B" w:rsidRDefault="0011186B" w:rsidP="006F4A06">
            <w:pPr>
              <w:pStyle w:val="TableofFigures"/>
              <w:spacing w:before="40"/>
              <w:jc w:val="center"/>
            </w:pPr>
            <w:r>
              <w:t>56.8</w:t>
            </w:r>
          </w:p>
        </w:tc>
        <w:tc>
          <w:tcPr>
            <w:tcW w:w="1701" w:type="dxa"/>
            <w:tcBorders>
              <w:top w:val="nil"/>
              <w:bottom w:val="single" w:sz="4" w:space="0" w:color="auto"/>
            </w:tcBorders>
            <w:vAlign w:val="center"/>
          </w:tcPr>
          <w:p w:rsidR="0011186B" w:rsidRDefault="00593A05" w:rsidP="006F4A06">
            <w:pPr>
              <w:pStyle w:val="TableofFigures"/>
              <w:spacing w:before="40"/>
              <w:jc w:val="center"/>
            </w:pPr>
            <w:r>
              <w:t>47.5</w:t>
            </w:r>
          </w:p>
        </w:tc>
      </w:tr>
    </w:tbl>
    <w:p w:rsidR="0011186B" w:rsidRDefault="0011186B" w:rsidP="0011186B">
      <w:pPr>
        <w:pStyle w:val="Sourceandnotetext"/>
      </w:pPr>
      <w:r w:rsidRPr="00734259">
        <w:rPr>
          <w:b/>
          <w:bCs/>
        </w:rPr>
        <w:t>Source:</w:t>
      </w:r>
      <w:r>
        <w:t xml:space="preserve"> DEEWR Post Program Monitoring Survey, 2009–2010</w:t>
      </w:r>
    </w:p>
    <w:p w:rsidR="0011186B" w:rsidRDefault="00C23440" w:rsidP="00484740">
      <w:hyperlink w:anchor="Figure7" w:tooltip="View Figure 7: Employment search assistance provided " w:history="1">
        <w:r w:rsidR="0011186B" w:rsidRPr="0053137C">
          <w:t>View Figure 7: Employment search assistance provided</w:t>
        </w:r>
      </w:hyperlink>
      <w:r w:rsidR="0011186B">
        <w:t xml:space="preserve"> </w:t>
      </w:r>
    </w:p>
    <w:p w:rsidR="0011186B" w:rsidRPr="00C318C5" w:rsidRDefault="0011186B" w:rsidP="0011186B">
      <w:pPr>
        <w:pStyle w:val="Captionbefore12"/>
      </w:pPr>
      <w:bookmarkStart w:id="96" w:name="TableA1_8"/>
      <w:bookmarkEnd w:id="96"/>
      <w:r>
        <w:t xml:space="preserve">Table </w:t>
      </w:r>
      <w:proofErr w:type="spellStart"/>
      <w:r>
        <w:t>A1.8</w:t>
      </w:r>
      <w:proofErr w:type="spellEnd"/>
      <w:r w:rsidRPr="00C318C5">
        <w:t>: Employment service providers’ approaches to job placements (per cent)</w:t>
      </w:r>
    </w:p>
    <w:tbl>
      <w:tblPr>
        <w:tblStyle w:val="TableGrid"/>
        <w:tblW w:w="8505" w:type="dxa"/>
        <w:tblBorders>
          <w:left w:val="none" w:sz="0" w:space="0" w:color="auto"/>
          <w:right w:val="none" w:sz="0" w:space="0" w:color="auto"/>
          <w:insideV w:val="none" w:sz="0" w:space="0" w:color="auto"/>
        </w:tblBorders>
        <w:tblLook w:val="04A0"/>
      </w:tblPr>
      <w:tblGrid>
        <w:gridCol w:w="2802"/>
        <w:gridCol w:w="1650"/>
        <w:gridCol w:w="2171"/>
        <w:gridCol w:w="1882"/>
      </w:tblGrid>
      <w:tr w:rsidR="0011186B" w:rsidRPr="00E12C88" w:rsidTr="006F4A06">
        <w:trPr>
          <w:cantSplit/>
          <w:tblHeader/>
        </w:trPr>
        <w:tc>
          <w:tcPr>
            <w:tcW w:w="2745" w:type="dxa"/>
            <w:tcBorders>
              <w:top w:val="single" w:sz="4" w:space="0" w:color="auto"/>
              <w:bottom w:val="single" w:sz="4" w:space="0" w:color="auto"/>
            </w:tcBorders>
            <w:vAlign w:val="bottom"/>
          </w:tcPr>
          <w:p w:rsidR="0011186B" w:rsidRPr="0033670B" w:rsidRDefault="0011186B" w:rsidP="006F4A06">
            <w:pPr>
              <w:pStyle w:val="TableHeadingtext"/>
            </w:pPr>
            <w:r>
              <w:t>Approach</w:t>
            </w:r>
          </w:p>
        </w:tc>
        <w:tc>
          <w:tcPr>
            <w:tcW w:w="1616" w:type="dxa"/>
            <w:tcBorders>
              <w:top w:val="single" w:sz="4" w:space="0" w:color="auto"/>
              <w:bottom w:val="single" w:sz="4" w:space="0" w:color="auto"/>
            </w:tcBorders>
            <w:vAlign w:val="bottom"/>
          </w:tcPr>
          <w:p w:rsidR="0011186B" w:rsidRPr="00E12C88" w:rsidRDefault="0011186B" w:rsidP="006F4A06">
            <w:pPr>
              <w:pStyle w:val="TableofFigures"/>
              <w:jc w:val="center"/>
              <w:rPr>
                <w:b/>
              </w:rPr>
            </w:pPr>
            <w:r>
              <w:rPr>
                <w:b/>
              </w:rPr>
              <w:t>High Performing Sites</w:t>
            </w:r>
          </w:p>
        </w:tc>
        <w:tc>
          <w:tcPr>
            <w:tcW w:w="2126" w:type="dxa"/>
            <w:tcBorders>
              <w:top w:val="single" w:sz="4" w:space="0" w:color="auto"/>
              <w:bottom w:val="single" w:sz="4" w:space="0" w:color="auto"/>
            </w:tcBorders>
            <w:vAlign w:val="bottom"/>
          </w:tcPr>
          <w:p w:rsidR="0011186B" w:rsidRPr="00E12C88" w:rsidRDefault="0011186B" w:rsidP="006F4A06">
            <w:pPr>
              <w:pStyle w:val="TableofFigures"/>
              <w:jc w:val="center"/>
              <w:rPr>
                <w:b/>
              </w:rPr>
            </w:pPr>
            <w:r>
              <w:rPr>
                <w:b/>
              </w:rPr>
              <w:t xml:space="preserve">Mid </w:t>
            </w:r>
            <w:r>
              <w:rPr>
                <w:b/>
              </w:rPr>
              <w:br/>
              <w:t xml:space="preserve">Performing </w:t>
            </w:r>
            <w:r>
              <w:rPr>
                <w:b/>
              </w:rPr>
              <w:br/>
              <w:t>Sites</w:t>
            </w:r>
          </w:p>
        </w:tc>
        <w:tc>
          <w:tcPr>
            <w:tcW w:w="1843" w:type="dxa"/>
            <w:tcBorders>
              <w:top w:val="single" w:sz="4" w:space="0" w:color="auto"/>
              <w:bottom w:val="single" w:sz="4" w:space="0" w:color="auto"/>
            </w:tcBorders>
            <w:vAlign w:val="bottom"/>
          </w:tcPr>
          <w:p w:rsidR="0011186B" w:rsidRPr="00E12C88" w:rsidRDefault="0011186B" w:rsidP="006F4A06">
            <w:pPr>
              <w:pStyle w:val="TableofFigures"/>
              <w:jc w:val="center"/>
              <w:rPr>
                <w:b/>
              </w:rPr>
            </w:pPr>
            <w:r>
              <w:rPr>
                <w:b/>
              </w:rPr>
              <w:t>Low</w:t>
            </w:r>
            <w:r>
              <w:rPr>
                <w:b/>
              </w:rPr>
              <w:br/>
              <w:t xml:space="preserve"> Performing </w:t>
            </w:r>
            <w:r>
              <w:rPr>
                <w:b/>
              </w:rPr>
              <w:br/>
              <w:t>Sites</w:t>
            </w:r>
          </w:p>
        </w:tc>
      </w:tr>
      <w:tr w:rsidR="0011186B" w:rsidTr="006F4A06">
        <w:trPr>
          <w:cantSplit/>
          <w:tblHeader/>
        </w:trPr>
        <w:tc>
          <w:tcPr>
            <w:tcW w:w="2745" w:type="dxa"/>
            <w:tcBorders>
              <w:top w:val="single" w:sz="4" w:space="0" w:color="auto"/>
              <w:bottom w:val="nil"/>
            </w:tcBorders>
            <w:vAlign w:val="bottom"/>
          </w:tcPr>
          <w:p w:rsidR="0011186B" w:rsidRPr="005A65E4" w:rsidRDefault="0011186B" w:rsidP="006F4A06">
            <w:pPr>
              <w:pStyle w:val="TableofFigures"/>
              <w:spacing w:before="40"/>
            </w:pPr>
            <w:r>
              <w:t>Encourage employers to tailor the role</w:t>
            </w:r>
          </w:p>
        </w:tc>
        <w:tc>
          <w:tcPr>
            <w:tcW w:w="1616" w:type="dxa"/>
            <w:tcBorders>
              <w:top w:val="single" w:sz="4" w:space="0" w:color="auto"/>
              <w:bottom w:val="nil"/>
            </w:tcBorders>
            <w:vAlign w:val="bottom"/>
          </w:tcPr>
          <w:p w:rsidR="0011186B" w:rsidRDefault="0011186B" w:rsidP="006F4A06">
            <w:pPr>
              <w:pStyle w:val="TableofFigures"/>
              <w:spacing w:before="40"/>
              <w:ind w:right="580"/>
              <w:jc w:val="right"/>
            </w:pPr>
            <w:r>
              <w:t>56</w:t>
            </w:r>
          </w:p>
        </w:tc>
        <w:tc>
          <w:tcPr>
            <w:tcW w:w="2126" w:type="dxa"/>
            <w:tcBorders>
              <w:top w:val="single" w:sz="4" w:space="0" w:color="auto"/>
              <w:bottom w:val="nil"/>
            </w:tcBorders>
            <w:vAlign w:val="bottom"/>
          </w:tcPr>
          <w:p w:rsidR="0011186B" w:rsidRDefault="0011186B" w:rsidP="006F4A06">
            <w:pPr>
              <w:pStyle w:val="TableofFigures"/>
              <w:spacing w:before="40"/>
              <w:ind w:right="580"/>
              <w:jc w:val="right"/>
            </w:pPr>
            <w:r>
              <w:t>52</w:t>
            </w:r>
          </w:p>
        </w:tc>
        <w:tc>
          <w:tcPr>
            <w:tcW w:w="1843" w:type="dxa"/>
            <w:tcBorders>
              <w:top w:val="single" w:sz="4" w:space="0" w:color="auto"/>
              <w:bottom w:val="nil"/>
            </w:tcBorders>
            <w:vAlign w:val="bottom"/>
          </w:tcPr>
          <w:p w:rsidR="0011186B" w:rsidRDefault="0011186B" w:rsidP="006F4A06">
            <w:pPr>
              <w:pStyle w:val="TableofFigures"/>
              <w:spacing w:before="40"/>
              <w:ind w:right="580"/>
              <w:jc w:val="right"/>
            </w:pPr>
            <w:r>
              <w:t>41</w:t>
            </w:r>
          </w:p>
        </w:tc>
      </w:tr>
      <w:tr w:rsidR="0011186B" w:rsidTr="006F4A06">
        <w:trPr>
          <w:cantSplit/>
          <w:tblHeader/>
        </w:trPr>
        <w:tc>
          <w:tcPr>
            <w:tcW w:w="2745" w:type="dxa"/>
            <w:tcBorders>
              <w:top w:val="nil"/>
              <w:bottom w:val="nil"/>
            </w:tcBorders>
            <w:vAlign w:val="bottom"/>
          </w:tcPr>
          <w:p w:rsidR="0011186B" w:rsidRPr="005A65E4" w:rsidRDefault="0011186B" w:rsidP="006F4A06">
            <w:pPr>
              <w:pStyle w:val="TableofFigures"/>
              <w:spacing w:before="40"/>
            </w:pPr>
            <w:r>
              <w:t>Educate employers about available incentives</w:t>
            </w:r>
          </w:p>
        </w:tc>
        <w:tc>
          <w:tcPr>
            <w:tcW w:w="1616" w:type="dxa"/>
            <w:tcBorders>
              <w:top w:val="nil"/>
              <w:bottom w:val="nil"/>
            </w:tcBorders>
            <w:vAlign w:val="bottom"/>
          </w:tcPr>
          <w:p w:rsidR="0011186B" w:rsidRDefault="0011186B" w:rsidP="006F4A06">
            <w:pPr>
              <w:pStyle w:val="TableofFigures"/>
              <w:spacing w:before="40"/>
              <w:ind w:right="580"/>
              <w:jc w:val="right"/>
            </w:pPr>
            <w:r>
              <w:t>92</w:t>
            </w:r>
          </w:p>
        </w:tc>
        <w:tc>
          <w:tcPr>
            <w:tcW w:w="2126" w:type="dxa"/>
            <w:tcBorders>
              <w:top w:val="nil"/>
              <w:bottom w:val="nil"/>
            </w:tcBorders>
            <w:vAlign w:val="bottom"/>
          </w:tcPr>
          <w:p w:rsidR="0011186B" w:rsidRDefault="0011186B" w:rsidP="006F4A06">
            <w:pPr>
              <w:pStyle w:val="TableofFigures"/>
              <w:spacing w:before="40"/>
              <w:ind w:right="580"/>
              <w:jc w:val="right"/>
            </w:pPr>
            <w:r>
              <w:t>83</w:t>
            </w:r>
          </w:p>
        </w:tc>
        <w:tc>
          <w:tcPr>
            <w:tcW w:w="1843" w:type="dxa"/>
            <w:tcBorders>
              <w:top w:val="nil"/>
              <w:bottom w:val="nil"/>
            </w:tcBorders>
            <w:vAlign w:val="bottom"/>
          </w:tcPr>
          <w:p w:rsidR="0011186B" w:rsidRDefault="0011186B" w:rsidP="006F4A06">
            <w:pPr>
              <w:pStyle w:val="TableofFigures"/>
              <w:spacing w:before="40"/>
              <w:ind w:right="580"/>
              <w:jc w:val="right"/>
            </w:pPr>
            <w:r>
              <w:t>70</w:t>
            </w:r>
          </w:p>
        </w:tc>
      </w:tr>
      <w:tr w:rsidR="0011186B" w:rsidTr="006F4A06">
        <w:trPr>
          <w:cantSplit/>
          <w:tblHeader/>
        </w:trPr>
        <w:tc>
          <w:tcPr>
            <w:tcW w:w="2745" w:type="dxa"/>
            <w:tcBorders>
              <w:top w:val="nil"/>
              <w:bottom w:val="nil"/>
            </w:tcBorders>
            <w:vAlign w:val="bottom"/>
          </w:tcPr>
          <w:p w:rsidR="0011186B" w:rsidRPr="005A65E4" w:rsidRDefault="0011186B" w:rsidP="006F4A06">
            <w:pPr>
              <w:pStyle w:val="TableofFigures"/>
              <w:spacing w:before="40"/>
            </w:pPr>
            <w:r>
              <w:t>Reverse market clients</w:t>
            </w:r>
          </w:p>
        </w:tc>
        <w:tc>
          <w:tcPr>
            <w:tcW w:w="1616" w:type="dxa"/>
            <w:tcBorders>
              <w:top w:val="nil"/>
              <w:bottom w:val="nil"/>
            </w:tcBorders>
            <w:vAlign w:val="bottom"/>
          </w:tcPr>
          <w:p w:rsidR="0011186B" w:rsidRDefault="0011186B" w:rsidP="006F4A06">
            <w:pPr>
              <w:pStyle w:val="TableofFigures"/>
              <w:spacing w:before="40"/>
              <w:ind w:right="580"/>
              <w:jc w:val="right"/>
            </w:pPr>
            <w:r>
              <w:t>88</w:t>
            </w:r>
          </w:p>
        </w:tc>
        <w:tc>
          <w:tcPr>
            <w:tcW w:w="2126" w:type="dxa"/>
            <w:tcBorders>
              <w:top w:val="nil"/>
              <w:bottom w:val="nil"/>
            </w:tcBorders>
            <w:vAlign w:val="bottom"/>
          </w:tcPr>
          <w:p w:rsidR="0011186B" w:rsidRDefault="0011186B" w:rsidP="006F4A06">
            <w:pPr>
              <w:pStyle w:val="TableofFigures"/>
              <w:spacing w:before="40"/>
              <w:ind w:right="580"/>
              <w:jc w:val="right"/>
            </w:pPr>
            <w:r>
              <w:t>82</w:t>
            </w:r>
          </w:p>
        </w:tc>
        <w:tc>
          <w:tcPr>
            <w:tcW w:w="1843" w:type="dxa"/>
            <w:tcBorders>
              <w:top w:val="nil"/>
              <w:bottom w:val="nil"/>
            </w:tcBorders>
            <w:vAlign w:val="bottom"/>
          </w:tcPr>
          <w:p w:rsidR="0011186B" w:rsidRDefault="0011186B" w:rsidP="006F4A06">
            <w:pPr>
              <w:pStyle w:val="TableofFigures"/>
              <w:spacing w:before="40"/>
              <w:ind w:right="580"/>
              <w:jc w:val="right"/>
            </w:pPr>
            <w:r>
              <w:t>67</w:t>
            </w:r>
          </w:p>
        </w:tc>
      </w:tr>
      <w:tr w:rsidR="0011186B" w:rsidTr="006F4A06">
        <w:trPr>
          <w:cantSplit/>
          <w:tblHeader/>
        </w:trPr>
        <w:tc>
          <w:tcPr>
            <w:tcW w:w="2745" w:type="dxa"/>
            <w:tcBorders>
              <w:top w:val="nil"/>
              <w:bottom w:val="single" w:sz="4" w:space="0" w:color="auto"/>
            </w:tcBorders>
            <w:vAlign w:val="bottom"/>
          </w:tcPr>
          <w:p w:rsidR="0011186B" w:rsidRDefault="0011186B" w:rsidP="006F4A06">
            <w:pPr>
              <w:pStyle w:val="TableofFigures"/>
              <w:spacing w:before="40"/>
            </w:pPr>
            <w:r>
              <w:t>Focus on the role as described by employer</w:t>
            </w:r>
          </w:p>
        </w:tc>
        <w:tc>
          <w:tcPr>
            <w:tcW w:w="1616" w:type="dxa"/>
            <w:tcBorders>
              <w:top w:val="nil"/>
              <w:bottom w:val="single" w:sz="4" w:space="0" w:color="auto"/>
            </w:tcBorders>
            <w:vAlign w:val="bottom"/>
          </w:tcPr>
          <w:p w:rsidR="0011186B" w:rsidRDefault="0011186B" w:rsidP="006F4A06">
            <w:pPr>
              <w:pStyle w:val="TableofFigures"/>
              <w:spacing w:before="40"/>
              <w:ind w:right="580"/>
              <w:jc w:val="right"/>
            </w:pPr>
            <w:r>
              <w:t>63</w:t>
            </w:r>
          </w:p>
        </w:tc>
        <w:tc>
          <w:tcPr>
            <w:tcW w:w="2126" w:type="dxa"/>
            <w:tcBorders>
              <w:top w:val="nil"/>
              <w:bottom w:val="single" w:sz="4" w:space="0" w:color="auto"/>
            </w:tcBorders>
            <w:vAlign w:val="bottom"/>
          </w:tcPr>
          <w:p w:rsidR="0011186B" w:rsidRDefault="0011186B" w:rsidP="006F4A06">
            <w:pPr>
              <w:pStyle w:val="TableofFigures"/>
              <w:spacing w:before="40"/>
              <w:ind w:right="580"/>
              <w:jc w:val="right"/>
            </w:pPr>
            <w:r>
              <w:t>58</w:t>
            </w:r>
          </w:p>
        </w:tc>
        <w:tc>
          <w:tcPr>
            <w:tcW w:w="1843" w:type="dxa"/>
            <w:tcBorders>
              <w:top w:val="nil"/>
              <w:bottom w:val="single" w:sz="4" w:space="0" w:color="auto"/>
            </w:tcBorders>
            <w:vAlign w:val="bottom"/>
          </w:tcPr>
          <w:p w:rsidR="0011186B" w:rsidRDefault="0011186B" w:rsidP="006F4A06">
            <w:pPr>
              <w:pStyle w:val="TableofFigures"/>
              <w:spacing w:before="40"/>
              <w:ind w:right="580"/>
              <w:jc w:val="right"/>
            </w:pPr>
            <w:r>
              <w:t>70</w:t>
            </w:r>
          </w:p>
        </w:tc>
      </w:tr>
    </w:tbl>
    <w:p w:rsidR="0011186B" w:rsidRDefault="0011186B" w:rsidP="0011186B">
      <w:pPr>
        <w:pStyle w:val="Sourceandnotetext"/>
      </w:pPr>
      <w:r w:rsidRPr="00BA694D">
        <w:rPr>
          <w:b/>
          <w:bCs/>
        </w:rPr>
        <w:t>Source:</w:t>
      </w:r>
      <w:r>
        <w:t xml:space="preserve"> DEEWR Survey of Employment Service Providers 2010</w:t>
      </w:r>
    </w:p>
    <w:p w:rsidR="0011186B" w:rsidRDefault="00C23440" w:rsidP="0011186B">
      <w:hyperlink w:anchor="Figure8" w:tooltip="View Figure 8: Employment service providers’ approaches to job placements " w:history="1">
        <w:r w:rsidR="0011186B" w:rsidRPr="00631B48">
          <w:t>View Figure 8: Employment service providers’ approaches to job placements</w:t>
        </w:r>
      </w:hyperlink>
    </w:p>
    <w:p w:rsidR="0024454B" w:rsidRDefault="0024454B">
      <w:pPr>
        <w:spacing w:before="0" w:after="0"/>
        <w:rPr>
          <w:b/>
          <w:bCs/>
          <w:szCs w:val="18"/>
        </w:rPr>
      </w:pPr>
      <w:r>
        <w:br w:type="page"/>
      </w:r>
    </w:p>
    <w:p w:rsidR="0011186B" w:rsidRPr="00C318C5" w:rsidRDefault="0011186B" w:rsidP="0011186B">
      <w:pPr>
        <w:pStyle w:val="Captionbefore12"/>
      </w:pPr>
      <w:bookmarkStart w:id="97" w:name="TableA1_4"/>
      <w:bookmarkStart w:id="98" w:name="TableA1_9"/>
      <w:bookmarkEnd w:id="97"/>
      <w:bookmarkEnd w:id="98"/>
      <w:r>
        <w:t xml:space="preserve">Table </w:t>
      </w:r>
      <w:proofErr w:type="spellStart"/>
      <w:r>
        <w:t>A1.9</w:t>
      </w:r>
      <w:proofErr w:type="spellEnd"/>
      <w:r w:rsidRPr="00C318C5">
        <w:t>: Service providers’ approach to post placement support (per cent)</w:t>
      </w:r>
    </w:p>
    <w:tbl>
      <w:tblPr>
        <w:tblStyle w:val="TableGrid"/>
        <w:tblW w:w="8505" w:type="dxa"/>
        <w:tblBorders>
          <w:left w:val="none" w:sz="0" w:space="0" w:color="auto"/>
          <w:right w:val="none" w:sz="0" w:space="0" w:color="auto"/>
          <w:insideV w:val="none" w:sz="0" w:space="0" w:color="auto"/>
        </w:tblBorders>
        <w:tblLook w:val="04A0"/>
      </w:tblPr>
      <w:tblGrid>
        <w:gridCol w:w="2802"/>
        <w:gridCol w:w="1650"/>
        <w:gridCol w:w="2171"/>
        <w:gridCol w:w="1882"/>
      </w:tblGrid>
      <w:tr w:rsidR="0011186B" w:rsidRPr="00E12C88" w:rsidTr="0024454B">
        <w:trPr>
          <w:cantSplit/>
          <w:tblHeader/>
        </w:trPr>
        <w:tc>
          <w:tcPr>
            <w:tcW w:w="2745" w:type="dxa"/>
            <w:tcBorders>
              <w:top w:val="single" w:sz="4" w:space="0" w:color="auto"/>
              <w:bottom w:val="single" w:sz="4" w:space="0" w:color="auto"/>
            </w:tcBorders>
            <w:vAlign w:val="bottom"/>
          </w:tcPr>
          <w:p w:rsidR="0011186B" w:rsidRPr="00EB56B3" w:rsidRDefault="0011186B" w:rsidP="006F4A06">
            <w:pPr>
              <w:pStyle w:val="TableHeadingtext"/>
            </w:pPr>
            <w:r>
              <w:t>Approach</w:t>
            </w:r>
          </w:p>
        </w:tc>
        <w:tc>
          <w:tcPr>
            <w:tcW w:w="1616" w:type="dxa"/>
            <w:tcBorders>
              <w:top w:val="single" w:sz="4" w:space="0" w:color="auto"/>
              <w:bottom w:val="single" w:sz="4" w:space="0" w:color="auto"/>
            </w:tcBorders>
            <w:vAlign w:val="bottom"/>
          </w:tcPr>
          <w:p w:rsidR="0011186B" w:rsidRPr="00E12C88" w:rsidRDefault="0011186B" w:rsidP="006F4A06">
            <w:pPr>
              <w:pStyle w:val="TableofFigures"/>
              <w:jc w:val="center"/>
              <w:rPr>
                <w:b/>
              </w:rPr>
            </w:pPr>
            <w:r>
              <w:rPr>
                <w:b/>
              </w:rPr>
              <w:t>High Performing Sites</w:t>
            </w:r>
          </w:p>
        </w:tc>
        <w:tc>
          <w:tcPr>
            <w:tcW w:w="2126" w:type="dxa"/>
            <w:tcBorders>
              <w:top w:val="single" w:sz="4" w:space="0" w:color="auto"/>
              <w:bottom w:val="single" w:sz="4" w:space="0" w:color="auto"/>
            </w:tcBorders>
            <w:vAlign w:val="bottom"/>
          </w:tcPr>
          <w:p w:rsidR="0011186B" w:rsidRPr="00E12C88" w:rsidRDefault="0011186B" w:rsidP="006F4A06">
            <w:pPr>
              <w:pStyle w:val="TableofFigures"/>
              <w:jc w:val="center"/>
              <w:rPr>
                <w:b/>
              </w:rPr>
            </w:pPr>
            <w:r>
              <w:rPr>
                <w:b/>
              </w:rPr>
              <w:t xml:space="preserve">Mid </w:t>
            </w:r>
            <w:r>
              <w:rPr>
                <w:b/>
              </w:rPr>
              <w:br/>
              <w:t xml:space="preserve">Performing </w:t>
            </w:r>
            <w:r>
              <w:rPr>
                <w:b/>
              </w:rPr>
              <w:br/>
              <w:t>Sites</w:t>
            </w:r>
          </w:p>
        </w:tc>
        <w:tc>
          <w:tcPr>
            <w:tcW w:w="1843" w:type="dxa"/>
            <w:tcBorders>
              <w:top w:val="single" w:sz="4" w:space="0" w:color="auto"/>
              <w:bottom w:val="single" w:sz="4" w:space="0" w:color="auto"/>
            </w:tcBorders>
            <w:vAlign w:val="bottom"/>
          </w:tcPr>
          <w:p w:rsidR="0011186B" w:rsidRPr="00E12C88" w:rsidRDefault="0011186B" w:rsidP="006F4A06">
            <w:pPr>
              <w:pStyle w:val="TableofFigures"/>
              <w:jc w:val="center"/>
              <w:rPr>
                <w:b/>
              </w:rPr>
            </w:pPr>
            <w:r>
              <w:rPr>
                <w:b/>
              </w:rPr>
              <w:t>Low</w:t>
            </w:r>
            <w:r>
              <w:rPr>
                <w:b/>
              </w:rPr>
              <w:br/>
              <w:t xml:space="preserve"> Performing </w:t>
            </w:r>
            <w:r>
              <w:rPr>
                <w:b/>
              </w:rPr>
              <w:br/>
              <w:t>Sites</w:t>
            </w:r>
          </w:p>
        </w:tc>
      </w:tr>
      <w:tr w:rsidR="0011186B" w:rsidTr="0024454B">
        <w:trPr>
          <w:cantSplit/>
          <w:tblHeader/>
        </w:trPr>
        <w:tc>
          <w:tcPr>
            <w:tcW w:w="2745" w:type="dxa"/>
            <w:tcBorders>
              <w:top w:val="single" w:sz="4" w:space="0" w:color="auto"/>
              <w:bottom w:val="nil"/>
            </w:tcBorders>
            <w:vAlign w:val="bottom"/>
          </w:tcPr>
          <w:p w:rsidR="0011186B" w:rsidRPr="005A65E4" w:rsidRDefault="0011186B" w:rsidP="006F4A06">
            <w:pPr>
              <w:pStyle w:val="TableofFigures"/>
              <w:spacing w:before="40"/>
            </w:pPr>
            <w:r>
              <w:t>Provide post placement support to job seekers</w:t>
            </w:r>
          </w:p>
        </w:tc>
        <w:tc>
          <w:tcPr>
            <w:tcW w:w="1616" w:type="dxa"/>
            <w:tcBorders>
              <w:top w:val="single" w:sz="4" w:space="0" w:color="auto"/>
              <w:bottom w:val="nil"/>
            </w:tcBorders>
            <w:vAlign w:val="bottom"/>
          </w:tcPr>
          <w:p w:rsidR="0011186B" w:rsidRDefault="0011186B" w:rsidP="006F4A06">
            <w:pPr>
              <w:pStyle w:val="TableofFigures"/>
              <w:spacing w:before="40"/>
              <w:ind w:right="580"/>
              <w:jc w:val="right"/>
            </w:pPr>
            <w:r>
              <w:t>100.0</w:t>
            </w:r>
          </w:p>
        </w:tc>
        <w:tc>
          <w:tcPr>
            <w:tcW w:w="2126" w:type="dxa"/>
            <w:tcBorders>
              <w:top w:val="single" w:sz="4" w:space="0" w:color="auto"/>
              <w:bottom w:val="nil"/>
            </w:tcBorders>
            <w:vAlign w:val="bottom"/>
          </w:tcPr>
          <w:p w:rsidR="0011186B" w:rsidRDefault="0011186B" w:rsidP="006F4A06">
            <w:pPr>
              <w:pStyle w:val="TableofFigures"/>
              <w:spacing w:before="40"/>
              <w:ind w:right="580"/>
              <w:jc w:val="right"/>
            </w:pPr>
            <w:r>
              <w:t>97.3</w:t>
            </w:r>
          </w:p>
        </w:tc>
        <w:tc>
          <w:tcPr>
            <w:tcW w:w="1843" w:type="dxa"/>
            <w:tcBorders>
              <w:top w:val="single" w:sz="4" w:space="0" w:color="auto"/>
              <w:bottom w:val="nil"/>
            </w:tcBorders>
            <w:vAlign w:val="bottom"/>
          </w:tcPr>
          <w:p w:rsidR="0011186B" w:rsidRDefault="0011186B" w:rsidP="006F4A06">
            <w:pPr>
              <w:pStyle w:val="TableofFigures"/>
              <w:spacing w:before="40"/>
              <w:ind w:right="580"/>
              <w:jc w:val="right"/>
            </w:pPr>
            <w:r>
              <w:t>91.2</w:t>
            </w:r>
          </w:p>
        </w:tc>
      </w:tr>
      <w:tr w:rsidR="0011186B" w:rsidTr="0024454B">
        <w:trPr>
          <w:cantSplit/>
          <w:tblHeader/>
        </w:trPr>
        <w:tc>
          <w:tcPr>
            <w:tcW w:w="2745" w:type="dxa"/>
            <w:tcBorders>
              <w:top w:val="nil"/>
              <w:bottom w:val="nil"/>
            </w:tcBorders>
            <w:vAlign w:val="bottom"/>
          </w:tcPr>
          <w:p w:rsidR="0011186B" w:rsidRPr="005A65E4" w:rsidRDefault="0011186B" w:rsidP="006F4A06">
            <w:pPr>
              <w:pStyle w:val="TableofFigures"/>
              <w:spacing w:before="40"/>
            </w:pPr>
            <w:r>
              <w:t>Provide post placement support to employers</w:t>
            </w:r>
          </w:p>
        </w:tc>
        <w:tc>
          <w:tcPr>
            <w:tcW w:w="1616" w:type="dxa"/>
            <w:tcBorders>
              <w:top w:val="nil"/>
              <w:bottom w:val="nil"/>
            </w:tcBorders>
            <w:vAlign w:val="bottom"/>
          </w:tcPr>
          <w:p w:rsidR="0011186B" w:rsidRDefault="0011186B" w:rsidP="006F4A06">
            <w:pPr>
              <w:pStyle w:val="TableofFigures"/>
              <w:spacing w:before="40"/>
              <w:ind w:right="580"/>
              <w:jc w:val="right"/>
            </w:pPr>
            <w:r>
              <w:t>99.2</w:t>
            </w:r>
          </w:p>
        </w:tc>
        <w:tc>
          <w:tcPr>
            <w:tcW w:w="2126" w:type="dxa"/>
            <w:tcBorders>
              <w:top w:val="nil"/>
              <w:bottom w:val="nil"/>
            </w:tcBorders>
            <w:vAlign w:val="bottom"/>
          </w:tcPr>
          <w:p w:rsidR="0011186B" w:rsidRDefault="0011186B" w:rsidP="006F4A06">
            <w:pPr>
              <w:pStyle w:val="TableofFigures"/>
              <w:spacing w:before="40"/>
              <w:ind w:right="580"/>
              <w:jc w:val="right"/>
            </w:pPr>
            <w:r>
              <w:t>94.9</w:t>
            </w:r>
          </w:p>
        </w:tc>
        <w:tc>
          <w:tcPr>
            <w:tcW w:w="1843" w:type="dxa"/>
            <w:tcBorders>
              <w:top w:val="nil"/>
              <w:bottom w:val="nil"/>
            </w:tcBorders>
            <w:vAlign w:val="bottom"/>
          </w:tcPr>
          <w:p w:rsidR="0011186B" w:rsidRDefault="0011186B" w:rsidP="006F4A06">
            <w:pPr>
              <w:pStyle w:val="TableofFigures"/>
              <w:spacing w:before="40"/>
              <w:ind w:right="580"/>
              <w:jc w:val="right"/>
            </w:pPr>
            <w:r>
              <w:t>87.3</w:t>
            </w:r>
          </w:p>
        </w:tc>
      </w:tr>
      <w:tr w:rsidR="0011186B" w:rsidTr="0024454B">
        <w:trPr>
          <w:cantSplit/>
          <w:tblHeader/>
        </w:trPr>
        <w:tc>
          <w:tcPr>
            <w:tcW w:w="2745" w:type="dxa"/>
            <w:tcBorders>
              <w:top w:val="nil"/>
              <w:bottom w:val="single" w:sz="4" w:space="0" w:color="auto"/>
            </w:tcBorders>
            <w:vAlign w:val="bottom"/>
          </w:tcPr>
          <w:p w:rsidR="0011186B" w:rsidRPr="005A65E4" w:rsidRDefault="0011186B" w:rsidP="006F4A06">
            <w:pPr>
              <w:pStyle w:val="TableofFigures"/>
              <w:spacing w:before="40"/>
            </w:pPr>
            <w:r>
              <w:t>Monitor the placement for problems as they emerge</w:t>
            </w:r>
          </w:p>
        </w:tc>
        <w:tc>
          <w:tcPr>
            <w:tcW w:w="1616" w:type="dxa"/>
            <w:tcBorders>
              <w:top w:val="nil"/>
              <w:bottom w:val="single" w:sz="4" w:space="0" w:color="auto"/>
            </w:tcBorders>
            <w:vAlign w:val="bottom"/>
          </w:tcPr>
          <w:p w:rsidR="0011186B" w:rsidRDefault="0011186B" w:rsidP="006F4A06">
            <w:pPr>
              <w:pStyle w:val="TableofFigures"/>
              <w:spacing w:before="40"/>
              <w:ind w:right="580"/>
              <w:jc w:val="right"/>
            </w:pPr>
            <w:r>
              <w:t>98.4</w:t>
            </w:r>
          </w:p>
        </w:tc>
        <w:tc>
          <w:tcPr>
            <w:tcW w:w="2126" w:type="dxa"/>
            <w:tcBorders>
              <w:top w:val="nil"/>
              <w:bottom w:val="single" w:sz="4" w:space="0" w:color="auto"/>
            </w:tcBorders>
            <w:vAlign w:val="bottom"/>
          </w:tcPr>
          <w:p w:rsidR="0011186B" w:rsidRDefault="0011186B" w:rsidP="006F4A06">
            <w:pPr>
              <w:pStyle w:val="TableofFigures"/>
              <w:spacing w:before="40"/>
              <w:ind w:right="580"/>
              <w:jc w:val="right"/>
            </w:pPr>
            <w:r>
              <w:t>94.9</w:t>
            </w:r>
          </w:p>
        </w:tc>
        <w:tc>
          <w:tcPr>
            <w:tcW w:w="1843" w:type="dxa"/>
            <w:tcBorders>
              <w:top w:val="nil"/>
              <w:bottom w:val="single" w:sz="4" w:space="0" w:color="auto"/>
            </w:tcBorders>
            <w:vAlign w:val="bottom"/>
          </w:tcPr>
          <w:p w:rsidR="0011186B" w:rsidRDefault="0011186B" w:rsidP="006F4A06">
            <w:pPr>
              <w:pStyle w:val="TableofFigures"/>
              <w:spacing w:before="40"/>
              <w:ind w:right="580"/>
              <w:jc w:val="right"/>
            </w:pPr>
            <w:r>
              <w:t>90.2</w:t>
            </w:r>
          </w:p>
        </w:tc>
      </w:tr>
    </w:tbl>
    <w:p w:rsidR="0011186B" w:rsidRDefault="0011186B" w:rsidP="0011186B">
      <w:pPr>
        <w:pStyle w:val="Sourceandnotetext"/>
      </w:pPr>
      <w:r w:rsidRPr="00BA694D">
        <w:rPr>
          <w:b/>
          <w:bCs/>
        </w:rPr>
        <w:t>Source:</w:t>
      </w:r>
      <w:r>
        <w:t xml:space="preserve"> DEEWR Survey of Employment Service Providers 2010</w:t>
      </w:r>
    </w:p>
    <w:p w:rsidR="00EB150F" w:rsidRDefault="00C23440" w:rsidP="00484740">
      <w:hyperlink w:anchor="Figure9" w:tooltip="View Figure 9: Service providers’ approach to post placement support" w:history="1">
        <w:r w:rsidR="0011186B" w:rsidRPr="00D5617E">
          <w:t>View Figure 9: Service providers’ approach to post placement support</w:t>
        </w:r>
      </w:hyperlink>
    </w:p>
    <w:p w:rsidR="0011186B" w:rsidRPr="00C318C5" w:rsidRDefault="0011186B" w:rsidP="0011186B">
      <w:pPr>
        <w:pStyle w:val="Captionbefore12"/>
      </w:pPr>
      <w:bookmarkStart w:id="99" w:name="TableA1_10"/>
      <w:bookmarkEnd w:id="99"/>
      <w:r>
        <w:t xml:space="preserve">Table </w:t>
      </w:r>
      <w:proofErr w:type="spellStart"/>
      <w:r>
        <w:t>A1.10</w:t>
      </w:r>
      <w:proofErr w:type="spellEnd"/>
      <w:r w:rsidRPr="00C318C5">
        <w:t>: How employment service providers determine employers’ skills needs (per cent)</w:t>
      </w:r>
    </w:p>
    <w:tbl>
      <w:tblPr>
        <w:tblStyle w:val="TableGrid"/>
        <w:tblW w:w="8505" w:type="dxa"/>
        <w:tblBorders>
          <w:left w:val="none" w:sz="0" w:space="0" w:color="auto"/>
          <w:right w:val="none" w:sz="0" w:space="0" w:color="auto"/>
          <w:insideV w:val="none" w:sz="0" w:space="0" w:color="auto"/>
        </w:tblBorders>
        <w:tblLook w:val="04A0"/>
      </w:tblPr>
      <w:tblGrid>
        <w:gridCol w:w="3111"/>
        <w:gridCol w:w="1798"/>
        <w:gridCol w:w="1798"/>
        <w:gridCol w:w="1798"/>
      </w:tblGrid>
      <w:tr w:rsidR="0011186B" w:rsidRPr="00E12C88" w:rsidTr="00F2128C">
        <w:trPr>
          <w:cantSplit/>
          <w:tblHeader/>
        </w:trPr>
        <w:tc>
          <w:tcPr>
            <w:tcW w:w="2943" w:type="dxa"/>
            <w:tcBorders>
              <w:top w:val="single" w:sz="4" w:space="0" w:color="auto"/>
              <w:bottom w:val="single" w:sz="4" w:space="0" w:color="auto"/>
            </w:tcBorders>
            <w:vAlign w:val="bottom"/>
          </w:tcPr>
          <w:p w:rsidR="0011186B" w:rsidRPr="005074FE" w:rsidRDefault="0011186B" w:rsidP="00F2128C">
            <w:pPr>
              <w:pStyle w:val="TableHeadingtext"/>
              <w:jc w:val="center"/>
              <w:rPr>
                <w:bCs/>
                <w:color w:val="FFFFFF" w:themeColor="background1"/>
              </w:rPr>
            </w:pPr>
            <w:r w:rsidRPr="005074FE">
              <w:rPr>
                <w:bCs/>
                <w:color w:val="FFFFFF" w:themeColor="background1"/>
              </w:rPr>
              <w:t>-</w:t>
            </w:r>
          </w:p>
        </w:tc>
        <w:tc>
          <w:tcPr>
            <w:tcW w:w="1701" w:type="dxa"/>
            <w:tcBorders>
              <w:top w:val="single" w:sz="4" w:space="0" w:color="auto"/>
              <w:bottom w:val="single" w:sz="4" w:space="0" w:color="auto"/>
            </w:tcBorders>
            <w:vAlign w:val="bottom"/>
          </w:tcPr>
          <w:p w:rsidR="0011186B" w:rsidRPr="00E12C88" w:rsidRDefault="0011186B" w:rsidP="00F2128C">
            <w:pPr>
              <w:pStyle w:val="TableofFigures"/>
              <w:jc w:val="center"/>
              <w:rPr>
                <w:b/>
              </w:rPr>
            </w:pPr>
            <w:r>
              <w:rPr>
                <w:b/>
              </w:rPr>
              <w:t xml:space="preserve">High </w:t>
            </w:r>
            <w:r w:rsidR="00F2128C">
              <w:rPr>
                <w:b/>
              </w:rPr>
              <w:br/>
            </w:r>
            <w:r>
              <w:rPr>
                <w:b/>
              </w:rPr>
              <w:t>Performing</w:t>
            </w:r>
            <w:r w:rsidR="00F2128C">
              <w:rPr>
                <w:b/>
              </w:rPr>
              <w:br/>
            </w:r>
            <w:r>
              <w:rPr>
                <w:b/>
              </w:rPr>
              <w:t xml:space="preserve"> Sites</w:t>
            </w:r>
          </w:p>
        </w:tc>
        <w:tc>
          <w:tcPr>
            <w:tcW w:w="1701" w:type="dxa"/>
            <w:tcBorders>
              <w:top w:val="single" w:sz="4" w:space="0" w:color="auto"/>
              <w:bottom w:val="single" w:sz="4" w:space="0" w:color="auto"/>
            </w:tcBorders>
            <w:vAlign w:val="bottom"/>
          </w:tcPr>
          <w:p w:rsidR="0011186B" w:rsidRPr="00E12C88" w:rsidRDefault="0011186B" w:rsidP="00F2128C">
            <w:pPr>
              <w:pStyle w:val="TableofFigures"/>
              <w:jc w:val="center"/>
              <w:rPr>
                <w:b/>
              </w:rPr>
            </w:pPr>
            <w:r>
              <w:rPr>
                <w:b/>
              </w:rPr>
              <w:t xml:space="preserve">Mid </w:t>
            </w:r>
            <w:r>
              <w:rPr>
                <w:b/>
              </w:rPr>
              <w:br/>
              <w:t xml:space="preserve">Performing </w:t>
            </w:r>
            <w:r>
              <w:rPr>
                <w:b/>
              </w:rPr>
              <w:br/>
              <w:t>Sites</w:t>
            </w:r>
          </w:p>
        </w:tc>
        <w:tc>
          <w:tcPr>
            <w:tcW w:w="1701" w:type="dxa"/>
            <w:tcBorders>
              <w:top w:val="single" w:sz="4" w:space="0" w:color="auto"/>
              <w:bottom w:val="single" w:sz="4" w:space="0" w:color="auto"/>
            </w:tcBorders>
            <w:vAlign w:val="bottom"/>
          </w:tcPr>
          <w:p w:rsidR="0011186B" w:rsidRPr="00E12C88" w:rsidRDefault="0011186B" w:rsidP="00F2128C">
            <w:pPr>
              <w:pStyle w:val="TableofFigures"/>
              <w:jc w:val="center"/>
              <w:rPr>
                <w:b/>
              </w:rPr>
            </w:pPr>
            <w:r>
              <w:rPr>
                <w:b/>
              </w:rPr>
              <w:t>Low</w:t>
            </w:r>
            <w:r>
              <w:rPr>
                <w:b/>
              </w:rPr>
              <w:br/>
              <w:t xml:space="preserve"> Performing </w:t>
            </w:r>
            <w:r>
              <w:rPr>
                <w:b/>
              </w:rPr>
              <w:br/>
              <w:t>Sites</w:t>
            </w:r>
          </w:p>
        </w:tc>
      </w:tr>
      <w:tr w:rsidR="0011186B" w:rsidTr="00F2128C">
        <w:trPr>
          <w:cantSplit/>
          <w:tblHeader/>
        </w:trPr>
        <w:tc>
          <w:tcPr>
            <w:tcW w:w="2943" w:type="dxa"/>
            <w:tcBorders>
              <w:top w:val="single" w:sz="4" w:space="0" w:color="auto"/>
              <w:bottom w:val="nil"/>
            </w:tcBorders>
          </w:tcPr>
          <w:p w:rsidR="0011186B" w:rsidRPr="005A65E4" w:rsidRDefault="0011186B" w:rsidP="006F4A06">
            <w:pPr>
              <w:pStyle w:val="TableofFigures"/>
              <w:spacing w:before="40"/>
            </w:pPr>
            <w:r>
              <w:t>Job Notices</w:t>
            </w:r>
          </w:p>
        </w:tc>
        <w:tc>
          <w:tcPr>
            <w:tcW w:w="1701" w:type="dxa"/>
            <w:tcBorders>
              <w:top w:val="single" w:sz="4" w:space="0" w:color="auto"/>
              <w:bottom w:val="nil"/>
            </w:tcBorders>
            <w:vAlign w:val="center"/>
          </w:tcPr>
          <w:p w:rsidR="0011186B" w:rsidRDefault="0011186B" w:rsidP="006F4A06">
            <w:pPr>
              <w:pStyle w:val="TableofFigures"/>
              <w:spacing w:before="40"/>
              <w:jc w:val="center"/>
            </w:pPr>
            <w:r>
              <w:t>75</w:t>
            </w:r>
          </w:p>
        </w:tc>
        <w:tc>
          <w:tcPr>
            <w:tcW w:w="1701" w:type="dxa"/>
            <w:tcBorders>
              <w:top w:val="single" w:sz="4" w:space="0" w:color="auto"/>
              <w:bottom w:val="nil"/>
            </w:tcBorders>
            <w:vAlign w:val="center"/>
          </w:tcPr>
          <w:p w:rsidR="0011186B" w:rsidRDefault="0011186B" w:rsidP="006F4A06">
            <w:pPr>
              <w:pStyle w:val="TableofFigures"/>
              <w:spacing w:before="40"/>
              <w:jc w:val="center"/>
            </w:pPr>
            <w:r>
              <w:t>74</w:t>
            </w:r>
          </w:p>
        </w:tc>
        <w:tc>
          <w:tcPr>
            <w:tcW w:w="1701" w:type="dxa"/>
            <w:tcBorders>
              <w:top w:val="single" w:sz="4" w:space="0" w:color="auto"/>
              <w:bottom w:val="nil"/>
            </w:tcBorders>
            <w:vAlign w:val="center"/>
          </w:tcPr>
          <w:p w:rsidR="0011186B" w:rsidRDefault="0011186B" w:rsidP="006F4A06">
            <w:pPr>
              <w:pStyle w:val="TableofFigures"/>
              <w:spacing w:before="40"/>
              <w:jc w:val="center"/>
            </w:pPr>
            <w:r>
              <w:t>66</w:t>
            </w:r>
          </w:p>
        </w:tc>
      </w:tr>
      <w:tr w:rsidR="0011186B" w:rsidTr="00F2128C">
        <w:trPr>
          <w:cantSplit/>
          <w:tblHeader/>
        </w:trPr>
        <w:tc>
          <w:tcPr>
            <w:tcW w:w="2943" w:type="dxa"/>
            <w:tcBorders>
              <w:top w:val="nil"/>
              <w:bottom w:val="nil"/>
            </w:tcBorders>
          </w:tcPr>
          <w:p w:rsidR="0011186B" w:rsidRPr="005A65E4" w:rsidRDefault="0011186B" w:rsidP="006F4A06">
            <w:pPr>
              <w:pStyle w:val="TableofFigures"/>
              <w:spacing w:before="40"/>
            </w:pPr>
            <w:r>
              <w:t>Internet</w:t>
            </w:r>
          </w:p>
        </w:tc>
        <w:tc>
          <w:tcPr>
            <w:tcW w:w="1701" w:type="dxa"/>
            <w:tcBorders>
              <w:top w:val="nil"/>
              <w:bottom w:val="nil"/>
            </w:tcBorders>
            <w:vAlign w:val="center"/>
          </w:tcPr>
          <w:p w:rsidR="0011186B" w:rsidRDefault="0011186B" w:rsidP="006F4A06">
            <w:pPr>
              <w:pStyle w:val="TableofFigures"/>
              <w:spacing w:before="40"/>
              <w:jc w:val="center"/>
            </w:pPr>
            <w:r>
              <w:t>71</w:t>
            </w:r>
          </w:p>
        </w:tc>
        <w:tc>
          <w:tcPr>
            <w:tcW w:w="1701" w:type="dxa"/>
            <w:tcBorders>
              <w:top w:val="nil"/>
              <w:bottom w:val="nil"/>
            </w:tcBorders>
            <w:vAlign w:val="center"/>
          </w:tcPr>
          <w:p w:rsidR="0011186B" w:rsidRDefault="0011186B" w:rsidP="006F4A06">
            <w:pPr>
              <w:pStyle w:val="TableofFigures"/>
              <w:spacing w:before="40"/>
              <w:jc w:val="center"/>
            </w:pPr>
            <w:r>
              <w:t>68</w:t>
            </w:r>
          </w:p>
        </w:tc>
        <w:tc>
          <w:tcPr>
            <w:tcW w:w="1701" w:type="dxa"/>
            <w:tcBorders>
              <w:top w:val="nil"/>
              <w:bottom w:val="nil"/>
            </w:tcBorders>
            <w:vAlign w:val="center"/>
          </w:tcPr>
          <w:p w:rsidR="0011186B" w:rsidRDefault="0011186B" w:rsidP="006F4A06">
            <w:pPr>
              <w:pStyle w:val="TableofFigures"/>
              <w:spacing w:before="40"/>
              <w:jc w:val="center"/>
            </w:pPr>
            <w:r>
              <w:t>65</w:t>
            </w:r>
          </w:p>
        </w:tc>
      </w:tr>
      <w:tr w:rsidR="0011186B" w:rsidTr="00F2128C">
        <w:trPr>
          <w:cantSplit/>
          <w:tblHeader/>
        </w:trPr>
        <w:tc>
          <w:tcPr>
            <w:tcW w:w="2943" w:type="dxa"/>
            <w:tcBorders>
              <w:top w:val="nil"/>
              <w:bottom w:val="nil"/>
            </w:tcBorders>
          </w:tcPr>
          <w:p w:rsidR="0011186B" w:rsidRPr="005A65E4" w:rsidRDefault="0011186B" w:rsidP="006F4A06">
            <w:pPr>
              <w:pStyle w:val="TableofFigures"/>
              <w:spacing w:before="40"/>
            </w:pPr>
            <w:r>
              <w:t>Network with employers</w:t>
            </w:r>
          </w:p>
        </w:tc>
        <w:tc>
          <w:tcPr>
            <w:tcW w:w="1701" w:type="dxa"/>
            <w:tcBorders>
              <w:top w:val="nil"/>
              <w:bottom w:val="nil"/>
            </w:tcBorders>
            <w:vAlign w:val="center"/>
          </w:tcPr>
          <w:p w:rsidR="0011186B" w:rsidRDefault="0011186B" w:rsidP="006F4A06">
            <w:pPr>
              <w:pStyle w:val="TableofFigures"/>
              <w:spacing w:before="40"/>
              <w:jc w:val="center"/>
            </w:pPr>
            <w:r>
              <w:t>99</w:t>
            </w:r>
          </w:p>
        </w:tc>
        <w:tc>
          <w:tcPr>
            <w:tcW w:w="1701" w:type="dxa"/>
            <w:tcBorders>
              <w:top w:val="nil"/>
              <w:bottom w:val="nil"/>
            </w:tcBorders>
            <w:vAlign w:val="center"/>
          </w:tcPr>
          <w:p w:rsidR="0011186B" w:rsidRDefault="0011186B" w:rsidP="006F4A06">
            <w:pPr>
              <w:pStyle w:val="TableofFigures"/>
              <w:spacing w:before="40"/>
              <w:jc w:val="center"/>
            </w:pPr>
            <w:r>
              <w:t>99</w:t>
            </w:r>
          </w:p>
        </w:tc>
        <w:tc>
          <w:tcPr>
            <w:tcW w:w="1701" w:type="dxa"/>
            <w:tcBorders>
              <w:top w:val="nil"/>
              <w:bottom w:val="nil"/>
            </w:tcBorders>
            <w:vAlign w:val="center"/>
          </w:tcPr>
          <w:p w:rsidR="0011186B" w:rsidRDefault="0011186B" w:rsidP="006F4A06">
            <w:pPr>
              <w:pStyle w:val="TableofFigures"/>
              <w:spacing w:before="40"/>
              <w:jc w:val="center"/>
            </w:pPr>
            <w:r>
              <w:t>92</w:t>
            </w:r>
          </w:p>
        </w:tc>
      </w:tr>
      <w:tr w:rsidR="0011186B" w:rsidTr="00F2128C">
        <w:trPr>
          <w:cantSplit/>
          <w:tblHeader/>
        </w:trPr>
        <w:tc>
          <w:tcPr>
            <w:tcW w:w="2943" w:type="dxa"/>
            <w:tcBorders>
              <w:top w:val="nil"/>
              <w:bottom w:val="single" w:sz="4" w:space="0" w:color="auto"/>
            </w:tcBorders>
          </w:tcPr>
          <w:p w:rsidR="0011186B" w:rsidRDefault="0011186B" w:rsidP="006F4A06">
            <w:pPr>
              <w:pStyle w:val="TableofFigures"/>
              <w:spacing w:before="40"/>
            </w:pPr>
            <w:r>
              <w:t>Network with other providers</w:t>
            </w:r>
          </w:p>
        </w:tc>
        <w:tc>
          <w:tcPr>
            <w:tcW w:w="1701" w:type="dxa"/>
            <w:tcBorders>
              <w:top w:val="nil"/>
              <w:bottom w:val="single" w:sz="4" w:space="0" w:color="auto"/>
            </w:tcBorders>
            <w:vAlign w:val="center"/>
          </w:tcPr>
          <w:p w:rsidR="0011186B" w:rsidRDefault="0011186B" w:rsidP="006F4A06">
            <w:pPr>
              <w:pStyle w:val="TableofFigures"/>
              <w:spacing w:before="40"/>
              <w:jc w:val="center"/>
            </w:pPr>
            <w:r>
              <w:t>45</w:t>
            </w:r>
          </w:p>
        </w:tc>
        <w:tc>
          <w:tcPr>
            <w:tcW w:w="1701" w:type="dxa"/>
            <w:tcBorders>
              <w:top w:val="nil"/>
              <w:bottom w:val="single" w:sz="4" w:space="0" w:color="auto"/>
            </w:tcBorders>
            <w:vAlign w:val="center"/>
          </w:tcPr>
          <w:p w:rsidR="0011186B" w:rsidRDefault="0011186B" w:rsidP="006F4A06">
            <w:pPr>
              <w:pStyle w:val="TableofFigures"/>
              <w:spacing w:before="40"/>
              <w:jc w:val="center"/>
            </w:pPr>
            <w:r>
              <w:t>47</w:t>
            </w:r>
          </w:p>
        </w:tc>
        <w:tc>
          <w:tcPr>
            <w:tcW w:w="1701" w:type="dxa"/>
            <w:tcBorders>
              <w:top w:val="nil"/>
              <w:bottom w:val="single" w:sz="4" w:space="0" w:color="auto"/>
            </w:tcBorders>
            <w:vAlign w:val="center"/>
          </w:tcPr>
          <w:p w:rsidR="0011186B" w:rsidRDefault="0011186B" w:rsidP="006F4A06">
            <w:pPr>
              <w:pStyle w:val="TableofFigures"/>
              <w:spacing w:before="40"/>
              <w:jc w:val="center"/>
            </w:pPr>
            <w:r>
              <w:t>50</w:t>
            </w:r>
          </w:p>
        </w:tc>
      </w:tr>
    </w:tbl>
    <w:p w:rsidR="0011186B" w:rsidRDefault="0011186B" w:rsidP="0011186B">
      <w:pPr>
        <w:pStyle w:val="Sourceandnotetext"/>
      </w:pPr>
      <w:r w:rsidRPr="00BA694D">
        <w:rPr>
          <w:b/>
          <w:bCs/>
        </w:rPr>
        <w:t>Source:</w:t>
      </w:r>
      <w:r>
        <w:t xml:space="preserve"> DEEWR Survey of Employment Service Providers 2010</w:t>
      </w:r>
    </w:p>
    <w:p w:rsidR="0011186B" w:rsidRPr="00484740" w:rsidRDefault="00C23440" w:rsidP="00484740">
      <w:hyperlink w:anchor="Figure10" w:tooltip="View Figure 10: How employment service providers determine employers’ skills needs" w:history="1">
        <w:r w:rsidR="0011186B" w:rsidRPr="00484740">
          <w:t>View Figure 10: How employment service providers determine employers’ skills needs</w:t>
        </w:r>
      </w:hyperlink>
    </w:p>
    <w:p w:rsidR="0011186B" w:rsidRPr="00C318C5" w:rsidRDefault="0011186B" w:rsidP="0011186B">
      <w:pPr>
        <w:pStyle w:val="Captionbefore12"/>
      </w:pPr>
      <w:bookmarkStart w:id="100" w:name="TableA1_11"/>
      <w:bookmarkEnd w:id="100"/>
      <w:r>
        <w:t xml:space="preserve">Table </w:t>
      </w:r>
      <w:proofErr w:type="spellStart"/>
      <w:r>
        <w:t>A.</w:t>
      </w:r>
      <w:r w:rsidRPr="00C318C5">
        <w:t>11</w:t>
      </w:r>
      <w:proofErr w:type="spellEnd"/>
      <w:r w:rsidRPr="00C318C5">
        <w:t>: Average number of Government programs aware of</w:t>
      </w:r>
    </w:p>
    <w:tbl>
      <w:tblPr>
        <w:tblStyle w:val="TableGrid"/>
        <w:tblW w:w="8505" w:type="dxa"/>
        <w:tblBorders>
          <w:left w:val="none" w:sz="0" w:space="0" w:color="auto"/>
          <w:right w:val="none" w:sz="0" w:space="0" w:color="auto"/>
          <w:insideV w:val="none" w:sz="0" w:space="0" w:color="auto"/>
        </w:tblBorders>
        <w:tblLook w:val="04A0"/>
      </w:tblPr>
      <w:tblGrid>
        <w:gridCol w:w="3111"/>
        <w:gridCol w:w="1798"/>
        <w:gridCol w:w="1798"/>
        <w:gridCol w:w="1798"/>
      </w:tblGrid>
      <w:tr w:rsidR="0011186B" w:rsidRPr="00E12C88" w:rsidTr="00F2128C">
        <w:trPr>
          <w:cantSplit/>
          <w:tblHeader/>
        </w:trPr>
        <w:tc>
          <w:tcPr>
            <w:tcW w:w="2943" w:type="dxa"/>
            <w:tcBorders>
              <w:top w:val="single" w:sz="4" w:space="0" w:color="auto"/>
              <w:bottom w:val="single" w:sz="4" w:space="0" w:color="auto"/>
            </w:tcBorders>
          </w:tcPr>
          <w:p w:rsidR="0011186B" w:rsidRPr="00C24AB5" w:rsidRDefault="0011186B" w:rsidP="006F4A06">
            <w:pPr>
              <w:pStyle w:val="TableHeadingtext"/>
              <w:rPr>
                <w:bCs/>
                <w:color w:val="FFFFFF" w:themeColor="background1"/>
              </w:rPr>
            </w:pPr>
            <w:r w:rsidRPr="00C24AB5">
              <w:rPr>
                <w:bCs/>
                <w:color w:val="FFFFFF" w:themeColor="background1"/>
              </w:rPr>
              <w:t>-</w:t>
            </w:r>
          </w:p>
        </w:tc>
        <w:tc>
          <w:tcPr>
            <w:tcW w:w="1701" w:type="dxa"/>
            <w:tcBorders>
              <w:top w:val="single" w:sz="4" w:space="0" w:color="auto"/>
              <w:bottom w:val="single" w:sz="4" w:space="0" w:color="auto"/>
            </w:tcBorders>
          </w:tcPr>
          <w:p w:rsidR="0011186B" w:rsidRPr="00E12C88" w:rsidRDefault="0011186B" w:rsidP="006F4A06">
            <w:pPr>
              <w:pStyle w:val="TableofFigures"/>
              <w:jc w:val="center"/>
              <w:rPr>
                <w:b/>
              </w:rPr>
            </w:pPr>
            <w:r>
              <w:rPr>
                <w:b/>
              </w:rPr>
              <w:t>Low</w:t>
            </w:r>
            <w:r>
              <w:rPr>
                <w:b/>
              </w:rPr>
              <w:br/>
              <w:t xml:space="preserve">Performing </w:t>
            </w:r>
            <w:r w:rsidR="00F2128C">
              <w:rPr>
                <w:b/>
              </w:rPr>
              <w:br/>
            </w:r>
            <w:r>
              <w:rPr>
                <w:b/>
              </w:rPr>
              <w:t>Sites</w:t>
            </w:r>
          </w:p>
        </w:tc>
        <w:tc>
          <w:tcPr>
            <w:tcW w:w="1701" w:type="dxa"/>
            <w:tcBorders>
              <w:top w:val="single" w:sz="4" w:space="0" w:color="auto"/>
              <w:bottom w:val="single" w:sz="4" w:space="0" w:color="auto"/>
            </w:tcBorders>
          </w:tcPr>
          <w:p w:rsidR="0011186B" w:rsidRPr="00E12C88" w:rsidRDefault="0011186B" w:rsidP="006F4A06">
            <w:pPr>
              <w:pStyle w:val="TableofFigures"/>
              <w:jc w:val="center"/>
              <w:rPr>
                <w:b/>
              </w:rPr>
            </w:pPr>
            <w:r>
              <w:rPr>
                <w:b/>
              </w:rPr>
              <w:t xml:space="preserve">Mid </w:t>
            </w:r>
            <w:r>
              <w:rPr>
                <w:b/>
              </w:rPr>
              <w:br/>
              <w:t xml:space="preserve">Performing </w:t>
            </w:r>
            <w:r>
              <w:rPr>
                <w:b/>
              </w:rPr>
              <w:br/>
              <w:t>Sites</w:t>
            </w:r>
          </w:p>
        </w:tc>
        <w:tc>
          <w:tcPr>
            <w:tcW w:w="1701" w:type="dxa"/>
            <w:tcBorders>
              <w:top w:val="single" w:sz="4" w:space="0" w:color="auto"/>
              <w:bottom w:val="single" w:sz="4" w:space="0" w:color="auto"/>
            </w:tcBorders>
          </w:tcPr>
          <w:p w:rsidR="0011186B" w:rsidRPr="00E12C88" w:rsidRDefault="0011186B" w:rsidP="006F4A06">
            <w:pPr>
              <w:pStyle w:val="TableofFigures"/>
              <w:jc w:val="center"/>
              <w:rPr>
                <w:b/>
              </w:rPr>
            </w:pPr>
            <w:r>
              <w:rPr>
                <w:b/>
              </w:rPr>
              <w:t>High</w:t>
            </w:r>
            <w:r>
              <w:rPr>
                <w:b/>
              </w:rPr>
              <w:br/>
              <w:t xml:space="preserve"> Performing </w:t>
            </w:r>
            <w:r>
              <w:rPr>
                <w:b/>
              </w:rPr>
              <w:br/>
              <w:t>Sites</w:t>
            </w:r>
          </w:p>
        </w:tc>
      </w:tr>
      <w:tr w:rsidR="0011186B" w:rsidTr="00F2128C">
        <w:trPr>
          <w:cantSplit/>
          <w:tblHeader/>
        </w:trPr>
        <w:tc>
          <w:tcPr>
            <w:tcW w:w="2943" w:type="dxa"/>
            <w:tcBorders>
              <w:top w:val="single" w:sz="4" w:space="0" w:color="auto"/>
              <w:bottom w:val="single" w:sz="4" w:space="0" w:color="auto"/>
            </w:tcBorders>
          </w:tcPr>
          <w:p w:rsidR="0011186B" w:rsidRPr="005A65E4" w:rsidRDefault="0011186B" w:rsidP="006F4A06">
            <w:pPr>
              <w:pStyle w:val="TableofFigures"/>
              <w:spacing w:before="40"/>
            </w:pPr>
            <w:r>
              <w:rPr>
                <w:b/>
              </w:rPr>
              <w:t>Average number of programs site is aware of</w:t>
            </w:r>
          </w:p>
        </w:tc>
        <w:tc>
          <w:tcPr>
            <w:tcW w:w="1701" w:type="dxa"/>
            <w:tcBorders>
              <w:top w:val="single" w:sz="4" w:space="0" w:color="auto"/>
              <w:bottom w:val="single" w:sz="4" w:space="0" w:color="auto"/>
            </w:tcBorders>
            <w:vAlign w:val="center"/>
          </w:tcPr>
          <w:p w:rsidR="0011186B" w:rsidRDefault="0011186B" w:rsidP="006F4A06">
            <w:pPr>
              <w:pStyle w:val="TableofFigures"/>
              <w:spacing w:before="40"/>
              <w:jc w:val="center"/>
            </w:pPr>
            <w:r>
              <w:t>6.1</w:t>
            </w:r>
          </w:p>
        </w:tc>
        <w:tc>
          <w:tcPr>
            <w:tcW w:w="1701" w:type="dxa"/>
            <w:tcBorders>
              <w:top w:val="single" w:sz="4" w:space="0" w:color="auto"/>
              <w:bottom w:val="single" w:sz="4" w:space="0" w:color="auto"/>
            </w:tcBorders>
            <w:vAlign w:val="center"/>
          </w:tcPr>
          <w:p w:rsidR="0011186B" w:rsidRDefault="0011186B" w:rsidP="006F4A06">
            <w:pPr>
              <w:pStyle w:val="TableofFigures"/>
              <w:spacing w:before="40"/>
              <w:jc w:val="center"/>
            </w:pPr>
            <w:r>
              <w:t>6.4</w:t>
            </w:r>
          </w:p>
        </w:tc>
        <w:tc>
          <w:tcPr>
            <w:tcW w:w="1701" w:type="dxa"/>
            <w:tcBorders>
              <w:top w:val="single" w:sz="4" w:space="0" w:color="auto"/>
              <w:bottom w:val="single" w:sz="4" w:space="0" w:color="auto"/>
            </w:tcBorders>
            <w:vAlign w:val="center"/>
          </w:tcPr>
          <w:p w:rsidR="0011186B" w:rsidRDefault="0011186B" w:rsidP="006F4A06">
            <w:pPr>
              <w:pStyle w:val="TableofFigures"/>
              <w:spacing w:before="40"/>
              <w:jc w:val="center"/>
            </w:pPr>
            <w:r>
              <w:t>6.5</w:t>
            </w:r>
          </w:p>
        </w:tc>
      </w:tr>
    </w:tbl>
    <w:p w:rsidR="0011186B" w:rsidRDefault="0011186B" w:rsidP="0011186B">
      <w:r w:rsidRPr="00BA694D">
        <w:rPr>
          <w:b/>
          <w:bCs/>
        </w:rPr>
        <w:t>Source:</w:t>
      </w:r>
      <w:r>
        <w:t xml:space="preserve"> DEEWR Survey of Employment Service Providers 2010</w:t>
      </w:r>
    </w:p>
    <w:p w:rsidR="0011186B" w:rsidRDefault="00C23440" w:rsidP="0011186B">
      <w:hyperlink w:anchor="Figure11" w:tooltip="View Figure 11: Average number of Government programs aware of" w:history="1">
        <w:r w:rsidR="0011186B" w:rsidRPr="004465F7">
          <w:t>View Figure 11: Average number of Government programs aware of</w:t>
        </w:r>
      </w:hyperlink>
    </w:p>
    <w:p w:rsidR="0011186B" w:rsidRPr="004B51D9" w:rsidRDefault="0011186B" w:rsidP="004B51D9">
      <w:r w:rsidRPr="004B51D9">
        <w:br w:type="page"/>
      </w:r>
    </w:p>
    <w:p w:rsidR="0065539A" w:rsidRDefault="0011186B" w:rsidP="0065539A">
      <w:pPr>
        <w:pStyle w:val="Heading1"/>
      </w:pPr>
      <w:bookmarkStart w:id="101" w:name="_Toc326764353"/>
      <w:r>
        <w:t>Appendix B</w:t>
      </w:r>
      <w:r w:rsidR="0065539A">
        <w:t>: Research Method</w:t>
      </w:r>
      <w:bookmarkEnd w:id="101"/>
    </w:p>
    <w:p w:rsidR="0065539A" w:rsidRDefault="0065539A" w:rsidP="0065539A">
      <w:pPr>
        <w:pStyle w:val="Heading2"/>
      </w:pPr>
      <w:bookmarkStart w:id="102" w:name="_Toc326764354"/>
      <w:r>
        <w:t>Sources of information</w:t>
      </w:r>
      <w:bookmarkEnd w:id="102"/>
    </w:p>
    <w:p w:rsidR="008C2829" w:rsidRDefault="008C2829" w:rsidP="008C2829">
      <w:r>
        <w:t>A range of sources were used to provide a variety of viewpoints:</w:t>
      </w:r>
    </w:p>
    <w:p w:rsidR="008C2829" w:rsidRDefault="008C2829" w:rsidP="008C2829">
      <w:pPr>
        <w:pStyle w:val="Heading30"/>
      </w:pPr>
      <w:bookmarkStart w:id="103" w:name="PPM"/>
      <w:bookmarkEnd w:id="103"/>
      <w:r>
        <w:t>The Post Program Monitoring (PPM) Survey</w:t>
      </w:r>
    </w:p>
    <w:p w:rsidR="008C2829" w:rsidRDefault="008C2829" w:rsidP="008C2829">
      <w:r>
        <w:t>The PPM survey is an ongoing mail and telephone survey run by the Department that collects information from job seekers who have participated in, or are participating in, employment assistance through Job Services Australia (JSA), Disability Employment Services (DES) and Indigenous Employment Policy (IEP). The PPM survey collects data on job seekers’ labour market and educational status after employment assistance, and what the job seeker thought of the assistance. Each year, approximately 400,000 job seekers are surveyed through this survey</w:t>
      </w:r>
      <w:r w:rsidR="00492987">
        <w:t>. R</w:t>
      </w:r>
      <w:r>
        <w:t>esponses collected from July 2009 to September 2010 were used</w:t>
      </w:r>
      <w:r w:rsidR="00492987">
        <w:t xml:space="preserve"> for this </w:t>
      </w:r>
      <w:r w:rsidR="005C0F02">
        <w:t>report</w:t>
      </w:r>
      <w:r w:rsidR="004C0EB4">
        <w:t>.</w:t>
      </w:r>
    </w:p>
    <w:p w:rsidR="008C2829" w:rsidRDefault="008C2829" w:rsidP="008C2829">
      <w:pPr>
        <w:pStyle w:val="Heading30"/>
      </w:pPr>
      <w:r>
        <w:t>2010 Employment Service Provider Survey</w:t>
      </w:r>
    </w:p>
    <w:p w:rsidR="008C2829" w:rsidRDefault="008C2829" w:rsidP="008C2829">
      <w:r>
        <w:t>This survey included over 1,000 sites providing employment assistance through at least one of the Government’s employment assistance programs. Topics included details of the site, their attitude and approach to employment assistance, awareness of government programs, and relationships with Centrelink and DEEWR. Only responses from sites that provide employment assistance through JSA were used (approximately 700 responses). The su</w:t>
      </w:r>
      <w:r w:rsidR="004C0EB4">
        <w:t>rvey was conducted in mid 2010.</w:t>
      </w:r>
    </w:p>
    <w:p w:rsidR="00CD751A" w:rsidRDefault="00CD751A" w:rsidP="00CD751A">
      <w:pPr>
        <w:pStyle w:val="Heading30"/>
      </w:pPr>
      <w:r>
        <w:t>2010 Employer Survey</w:t>
      </w:r>
    </w:p>
    <w:p w:rsidR="00F90885" w:rsidRDefault="00CD751A" w:rsidP="00CD751A">
      <w:r>
        <w:t xml:space="preserve">This survey is run biennially to update information about employers’ recruitment practices, use of Government funded employment services and other assistance and attitudes towards hiring people in key groups of interest. </w:t>
      </w:r>
      <w:r w:rsidR="00F90885">
        <w:t>It</w:t>
      </w:r>
      <w:r w:rsidR="00F90885" w:rsidRPr="00F90885">
        <w:t xml:space="preserve"> aims to measure awareness, attitudes, and behaviours of employers in order to understand the recruitment market, and how it is functioning and evolving as the population and economy changes.</w:t>
      </w:r>
    </w:p>
    <w:p w:rsidR="00CD751A" w:rsidRDefault="00CD751A" w:rsidP="00CD751A">
      <w:r>
        <w:t>The 2010 survey consisted of both qualitative and quantitative work, with telephone interviews conducted with 5,423 employers in November and December 2010. The survey unit was the primary person responsible</w:t>
      </w:r>
      <w:r w:rsidR="004C0EB4">
        <w:t xml:space="preserve"> for recruitment at a worksite.</w:t>
      </w:r>
    </w:p>
    <w:p w:rsidR="008C2829" w:rsidRDefault="008C2829" w:rsidP="008C2829">
      <w:pPr>
        <w:pStyle w:val="Heading30"/>
      </w:pPr>
      <w:r>
        <w:t xml:space="preserve">JSA site and job seeker focus groups and interviews </w:t>
      </w:r>
    </w:p>
    <w:p w:rsidR="008C2829" w:rsidRDefault="008C2829" w:rsidP="008C2829">
      <w:r>
        <w:t>The Department conducted qualitative research in 15 different locations throughout Australia in 2010. This research included focus groups with job seekers, interviews with management and staff at JSA and other employment assistance sites and interviews with employers, local councils and other local groups</w:t>
      </w:r>
      <w:r w:rsidR="004C0EB4">
        <w:t>.</w:t>
      </w:r>
    </w:p>
    <w:p w:rsidR="008C2829" w:rsidRDefault="008C2829" w:rsidP="008C2829">
      <w:r>
        <w:t>Over 55 sites were visited. The interviews covered many areas of employment assistance including, but not limited to, use of activities, availability and use of training, administration, job seeker engageme</w:t>
      </w:r>
      <w:r w:rsidR="004C0EB4">
        <w:t>nt, and contact with employers.</w:t>
      </w:r>
    </w:p>
    <w:p w:rsidR="008C2829" w:rsidRDefault="008C2829" w:rsidP="008C2829">
      <w:r>
        <w:t>Focus groups were also conducted with a range of job seekers from all four JSA Streams, and included some job seekers who had left assistance and s</w:t>
      </w:r>
      <w:r w:rsidR="004C0EB4">
        <w:t>ome still receiving assistance.</w:t>
      </w:r>
    </w:p>
    <w:p w:rsidR="008C2829" w:rsidRDefault="008C2829" w:rsidP="008C2829">
      <w:pPr>
        <w:pStyle w:val="Heading30"/>
      </w:pPr>
      <w:r>
        <w:t>DEEWR Administrative data (Corporate Data</w:t>
      </w:r>
      <w:r w:rsidR="006B776E">
        <w:t xml:space="preserve"> </w:t>
      </w:r>
      <w:r>
        <w:t>Set)</w:t>
      </w:r>
    </w:p>
    <w:p w:rsidR="006B776E" w:rsidRPr="001A6BD0" w:rsidRDefault="006B776E" w:rsidP="008C2829">
      <w:r w:rsidRPr="001A6BD0">
        <w:t>The Corporate Data Set (CDS) is a combination of administrative data from Centrelink and from and about employment service providers. Data from employment service providers includes information on job seekers who have received employment assistance, including data on their income support history, type of assistance received, activity and training placements, job commencements and fees. Data about employment service provides includes information on EPF allocation and expenditure and compliance data. Centrelink data contains information about the status, history and earning</w:t>
      </w:r>
      <w:r w:rsidR="004C0EB4">
        <w:t>s of income support recipients.</w:t>
      </w:r>
    </w:p>
    <w:p w:rsidR="006B776E" w:rsidRPr="001A6BD0" w:rsidRDefault="006B776E" w:rsidP="008C2829">
      <w:r w:rsidRPr="001A6BD0">
        <w:t>The administrative data used for the analysis in this paper is based on the period of July 2009 to September 2010.</w:t>
      </w:r>
    </w:p>
    <w:p w:rsidR="008C2829" w:rsidRPr="001A6BD0" w:rsidRDefault="008C2829" w:rsidP="008C2829">
      <w:pPr>
        <w:pStyle w:val="Heading30"/>
      </w:pPr>
      <w:bookmarkStart w:id="104" w:name="JSA_KPI"/>
      <w:bookmarkEnd w:id="104"/>
      <w:r w:rsidRPr="001A6BD0">
        <w:t xml:space="preserve">JSA </w:t>
      </w:r>
      <w:r w:rsidR="001854B2">
        <w:t>Key Performance Indicator (</w:t>
      </w:r>
      <w:proofErr w:type="spellStart"/>
      <w:r w:rsidR="006B776E" w:rsidRPr="001A6BD0">
        <w:t>KPI</w:t>
      </w:r>
      <w:proofErr w:type="spellEnd"/>
      <w:r w:rsidR="001854B2">
        <w:t xml:space="preserve">) </w:t>
      </w:r>
      <w:r w:rsidR="006B776E" w:rsidRPr="001A6BD0">
        <w:t xml:space="preserve">3 </w:t>
      </w:r>
      <w:r w:rsidRPr="001A6BD0">
        <w:t>Quality Framework</w:t>
      </w:r>
      <w:r w:rsidR="006B776E" w:rsidRPr="001A6BD0">
        <w:t xml:space="preserve"> measures</w:t>
      </w:r>
    </w:p>
    <w:p w:rsidR="008C2829" w:rsidRPr="001A6BD0" w:rsidRDefault="006B776E" w:rsidP="008C2829">
      <w:r w:rsidRPr="001A6BD0">
        <w:t>T</w:t>
      </w:r>
      <w:r w:rsidR="008C2829" w:rsidRPr="001A6BD0">
        <w:t xml:space="preserve">he </w:t>
      </w:r>
      <w:r w:rsidRPr="001A6BD0">
        <w:t xml:space="preserve">JSA </w:t>
      </w:r>
      <w:r w:rsidR="008C2829" w:rsidRPr="001A6BD0">
        <w:t xml:space="preserve">Quality Framework </w:t>
      </w:r>
      <w:r w:rsidRPr="001A6BD0">
        <w:t>provides the framework to measure</w:t>
      </w:r>
      <w:r w:rsidR="008C2829" w:rsidRPr="001A6BD0">
        <w:t xml:space="preserve"> the quality of services provided by JSA provide</w:t>
      </w:r>
      <w:r w:rsidRPr="001A6BD0">
        <w:t>rs</w:t>
      </w:r>
      <w:r w:rsidR="008C2829" w:rsidRPr="001A6BD0">
        <w:t xml:space="preserve">. </w:t>
      </w:r>
      <w:r w:rsidRPr="001A6BD0">
        <w:t xml:space="preserve">It includes </w:t>
      </w:r>
      <w:r w:rsidR="008C2829" w:rsidRPr="001A6BD0">
        <w:t>four quality measures</w:t>
      </w:r>
      <w:r w:rsidRPr="001A6BD0">
        <w:t xml:space="preserve"> </w:t>
      </w:r>
      <w:r w:rsidR="008C2829" w:rsidRPr="001A6BD0">
        <w:t xml:space="preserve">– JSA provider capability, service delivery, </w:t>
      </w:r>
      <w:r w:rsidR="00A65A84" w:rsidRPr="001A6BD0">
        <w:t xml:space="preserve">client experience and </w:t>
      </w:r>
      <w:r w:rsidR="008C2829" w:rsidRPr="001A6BD0">
        <w:t xml:space="preserve">engagement. A variety of tools and data are used to </w:t>
      </w:r>
      <w:r w:rsidRPr="001A6BD0">
        <w:t>calculate</w:t>
      </w:r>
      <w:r w:rsidR="008C2829" w:rsidRPr="001A6BD0">
        <w:t xml:space="preserve"> the various indicators of quali</w:t>
      </w:r>
      <w:r w:rsidR="004C0EB4">
        <w:t>ty.</w:t>
      </w:r>
    </w:p>
    <w:p w:rsidR="008C2829" w:rsidRPr="001A6BD0" w:rsidRDefault="008C2829" w:rsidP="008C2829">
      <w:r w:rsidRPr="001A6BD0">
        <w:t xml:space="preserve">The </w:t>
      </w:r>
      <w:r w:rsidR="006B776E" w:rsidRPr="001A6BD0">
        <w:t>client</w:t>
      </w:r>
      <w:r w:rsidRPr="001A6BD0">
        <w:t xml:space="preserve"> experience measure is calculated from </w:t>
      </w:r>
      <w:r w:rsidR="006B776E" w:rsidRPr="001A6BD0">
        <w:t xml:space="preserve">data collected in the </w:t>
      </w:r>
      <w:hyperlink w:anchor="PPM" w:tooltip=" Post Program Monitoring (PPM) Survey" w:history="1">
        <w:r w:rsidR="006B776E" w:rsidRPr="00DC00B5">
          <w:rPr>
            <w:rStyle w:val="Hyperlink"/>
          </w:rPr>
          <w:t>PPM survey</w:t>
        </w:r>
      </w:hyperlink>
      <w:r w:rsidRPr="001A6BD0">
        <w:t>.</w:t>
      </w:r>
      <w:r w:rsidR="006B776E" w:rsidRPr="001A6BD0">
        <w:t xml:space="preserve"> It </w:t>
      </w:r>
      <w:r w:rsidRPr="001A6BD0">
        <w:t>relates to the services the job seeker received</w:t>
      </w:r>
      <w:r w:rsidR="006B776E" w:rsidRPr="001A6BD0">
        <w:t xml:space="preserve"> (such as an </w:t>
      </w:r>
      <w:r w:rsidRPr="001A6BD0">
        <w:t>update</w:t>
      </w:r>
      <w:r w:rsidR="006B776E" w:rsidRPr="001A6BD0">
        <w:t>d</w:t>
      </w:r>
      <w:r w:rsidRPr="001A6BD0">
        <w:t xml:space="preserve"> resume, information about job vacancies, access to computer facilities, advice about how to look for work, discuss</w:t>
      </w:r>
      <w:r w:rsidR="006B776E" w:rsidRPr="001A6BD0">
        <w:t>ions about</w:t>
      </w:r>
      <w:r w:rsidRPr="001A6BD0">
        <w:t xml:space="preserve"> skills</w:t>
      </w:r>
      <w:r w:rsidR="006B776E" w:rsidRPr="001A6BD0">
        <w:t>),</w:t>
      </w:r>
      <w:r w:rsidRPr="001A6BD0">
        <w:t xml:space="preserve"> and how satisfied they were with various aspects of the service (</w:t>
      </w:r>
      <w:r w:rsidR="006B776E" w:rsidRPr="001A6BD0">
        <w:t>such as</w:t>
      </w:r>
      <w:r w:rsidRPr="001A6BD0">
        <w:t xml:space="preserve"> </w:t>
      </w:r>
      <w:r w:rsidR="006B776E" w:rsidRPr="001A6BD0">
        <w:t xml:space="preserve">if the </w:t>
      </w:r>
      <w:r w:rsidRPr="001A6BD0">
        <w:t xml:space="preserve">help </w:t>
      </w:r>
      <w:r w:rsidR="006B776E" w:rsidRPr="001A6BD0">
        <w:t xml:space="preserve">was </w:t>
      </w:r>
      <w:r w:rsidRPr="001A6BD0">
        <w:t>suited to their circumstances, staff treat</w:t>
      </w:r>
      <w:r w:rsidR="006B776E" w:rsidRPr="001A6BD0">
        <w:t>ed them</w:t>
      </w:r>
      <w:r w:rsidRPr="001A6BD0">
        <w:t xml:space="preserve"> with respect a</w:t>
      </w:r>
      <w:r w:rsidR="004C0EB4">
        <w:t>nd overall quality of service).</w:t>
      </w:r>
    </w:p>
    <w:p w:rsidR="008C2829" w:rsidRDefault="00B005E8" w:rsidP="008C2829">
      <w:r>
        <w:t>The engagement measures</w:t>
      </w:r>
      <w:r w:rsidR="006B776E" w:rsidRPr="001A6BD0">
        <w:t xml:space="preserve"> relate to job seekers’ </w:t>
      </w:r>
      <w:r>
        <w:t>Employment Pathway Plans</w:t>
      </w:r>
      <w:r w:rsidR="008C2829" w:rsidRPr="001A6BD0">
        <w:t xml:space="preserve"> and </w:t>
      </w:r>
      <w:r w:rsidR="006B776E" w:rsidRPr="001A6BD0">
        <w:t xml:space="preserve">to the </w:t>
      </w:r>
      <w:r w:rsidR="008C2829" w:rsidRPr="001A6BD0">
        <w:t xml:space="preserve">Active </w:t>
      </w:r>
      <w:r>
        <w:t>Engagement of Participants</w:t>
      </w:r>
      <w:r w:rsidR="006B776E" w:rsidRPr="001A6BD0">
        <w:t>, including information about contacts between job seekers and employment service providers and job seekers’ eng</w:t>
      </w:r>
      <w:r w:rsidR="004C0EB4">
        <w:t>agement with activities.</w:t>
      </w:r>
    </w:p>
    <w:p w:rsidR="009076A6" w:rsidRPr="00C82566" w:rsidRDefault="009076A6" w:rsidP="009076A6">
      <w:pPr>
        <w:pStyle w:val="Heading30"/>
      </w:pPr>
      <w:bookmarkStart w:id="105" w:name="_Toc310936034"/>
      <w:r w:rsidRPr="00C82566">
        <w:t>Employment Assistance Survey</w:t>
      </w:r>
      <w:bookmarkEnd w:id="105"/>
    </w:p>
    <w:p w:rsidR="009076A6" w:rsidRPr="00C82566" w:rsidRDefault="009076A6" w:rsidP="009076A6">
      <w:r w:rsidRPr="00C82566">
        <w:t xml:space="preserve">The Employment Assistance Survey is a longitudinal survey of job seekers which collected information on the type, quality and intensity of services delivered by Job Network and Job Services Australia, and sustainability of outcomes. This analysis used survey data from wave 5 as at 21 December 2010, </w:t>
      </w:r>
      <w:r w:rsidR="00776B14" w:rsidRPr="00C82566">
        <w:t>which</w:t>
      </w:r>
      <w:r w:rsidRPr="00C82566">
        <w:t xml:space="preserve"> relates solely to Job Services Australia. The survey was telephone based, and was conducted in-house by the Department. Respondents were from a stratified random sample of:</w:t>
      </w:r>
    </w:p>
    <w:p w:rsidR="009076A6" w:rsidRPr="00C82566" w:rsidRDefault="009076A6" w:rsidP="004F6A70">
      <w:pPr>
        <w:pStyle w:val="ListBullet"/>
      </w:pPr>
      <w:r w:rsidRPr="00C82566">
        <w:t>parents</w:t>
      </w:r>
    </w:p>
    <w:p w:rsidR="009076A6" w:rsidRPr="00C82566" w:rsidRDefault="009076A6" w:rsidP="004F6A70">
      <w:pPr>
        <w:pStyle w:val="ListBullet"/>
      </w:pPr>
      <w:r w:rsidRPr="00C82566">
        <w:t>people with disability</w:t>
      </w:r>
    </w:p>
    <w:p w:rsidR="009076A6" w:rsidRPr="00C82566" w:rsidRDefault="009076A6" w:rsidP="004F6A70">
      <w:pPr>
        <w:pStyle w:val="ListBullet"/>
      </w:pPr>
      <w:r w:rsidRPr="00C82566">
        <w:t>mature aged job seekers</w:t>
      </w:r>
    </w:p>
    <w:p w:rsidR="009076A6" w:rsidRPr="00C82566" w:rsidRDefault="009076A6" w:rsidP="004F6A70">
      <w:pPr>
        <w:pStyle w:val="ListBullet"/>
      </w:pPr>
      <w:r w:rsidRPr="00C82566">
        <w:t>the very long-term unemployed</w:t>
      </w:r>
    </w:p>
    <w:p w:rsidR="009076A6" w:rsidRPr="00C82566" w:rsidRDefault="009076A6" w:rsidP="004F6A70">
      <w:pPr>
        <w:pStyle w:val="ListBullet"/>
      </w:pPr>
      <w:r w:rsidRPr="00C82566">
        <w:t>mainstream job seekers for comparative purposes</w:t>
      </w:r>
    </w:p>
    <w:p w:rsidR="009076A6" w:rsidRPr="00C82566" w:rsidRDefault="009076A6" w:rsidP="004F6A70">
      <w:pPr>
        <w:pStyle w:val="ListBullet"/>
      </w:pPr>
      <w:r w:rsidRPr="00C82566">
        <w:t>redundant workers (added in wave 4)</w:t>
      </w:r>
    </w:p>
    <w:p w:rsidR="009076A6" w:rsidRPr="00C82566" w:rsidRDefault="009076A6" w:rsidP="004F6A70">
      <w:pPr>
        <w:pStyle w:val="ListBullet"/>
      </w:pPr>
      <w:proofErr w:type="gramStart"/>
      <w:r w:rsidRPr="00C82566">
        <w:t>youth</w:t>
      </w:r>
      <w:proofErr w:type="gramEnd"/>
      <w:r w:rsidRPr="00C82566">
        <w:t xml:space="preserve"> (added in wave 4).</w:t>
      </w:r>
    </w:p>
    <w:p w:rsidR="009076A6" w:rsidRPr="00C82566" w:rsidRDefault="009076A6" w:rsidP="009076A6">
      <w:r w:rsidRPr="00C82566">
        <w:t>It also included people receiving:</w:t>
      </w:r>
    </w:p>
    <w:p w:rsidR="009076A6" w:rsidRPr="00C82566" w:rsidRDefault="009076A6" w:rsidP="004F6A70">
      <w:pPr>
        <w:pStyle w:val="ListBullet"/>
      </w:pPr>
      <w:r w:rsidRPr="00C82566">
        <w:t>Job Search Training</w:t>
      </w:r>
    </w:p>
    <w:p w:rsidR="009076A6" w:rsidRPr="00C82566" w:rsidRDefault="009076A6" w:rsidP="004F6A70">
      <w:pPr>
        <w:pStyle w:val="ListBullet"/>
      </w:pPr>
      <w:r w:rsidRPr="00C82566">
        <w:t>Intensive Support Customised Assistance -1</w:t>
      </w:r>
    </w:p>
    <w:p w:rsidR="009076A6" w:rsidRPr="00C82566" w:rsidRDefault="009076A6" w:rsidP="004F6A70">
      <w:pPr>
        <w:pStyle w:val="ListBullet"/>
      </w:pPr>
      <w:r w:rsidRPr="00C82566">
        <w:t>Intensive Support Customised Assistance -2</w:t>
      </w:r>
    </w:p>
    <w:p w:rsidR="009076A6" w:rsidRPr="00C82566" w:rsidRDefault="009076A6" w:rsidP="009076A6">
      <w:pPr>
        <w:pStyle w:val="Heading30"/>
      </w:pPr>
      <w:bookmarkStart w:id="106" w:name="_Toc310936035"/>
      <w:r w:rsidRPr="00C82566">
        <w:t>Dynamics of Australian Income Support and Employment Services (DAISES)</w:t>
      </w:r>
      <w:bookmarkEnd w:id="106"/>
    </w:p>
    <w:p w:rsidR="009076A6" w:rsidRPr="00C82566" w:rsidRDefault="009076A6" w:rsidP="009076A6">
      <w:r w:rsidRPr="00C82566">
        <w:t xml:space="preserve">This survey tracks jobseekers’ opinions and experiences of employment services and income support over time. The survey was conducted by telephone by the Social Research Centre on behalf of the Department. </w:t>
      </w:r>
      <w:r w:rsidR="00776B14" w:rsidRPr="00C82566">
        <w:t xml:space="preserve">Results </w:t>
      </w:r>
      <w:r w:rsidRPr="00C82566">
        <w:t>reported in this analysis are from a stratified random sample of job seekers, who had received labour market related income support from Centrelink (excluding the Aged Pension) and/or had contact with an Employment Service/Job Network provider as of the 20th February 2009. This analysis focused on Cohort 1 wave 2 as this was the first group where respondents had a minimum amount of 11 weeks experience under the Job Services Australia.</w:t>
      </w:r>
    </w:p>
    <w:p w:rsidR="009076A6" w:rsidRPr="00C82566" w:rsidRDefault="009076A6" w:rsidP="009076A6">
      <w:r w:rsidRPr="00C82566">
        <w:t>There were 8,781 completed interviews for Cohort 1 Wave 2. This wave commenced on the 28 September 2009 and concluded 16 December 2009. Ninety-five per cent of those contacted responded to the survey.</w:t>
      </w:r>
    </w:p>
    <w:p w:rsidR="006F1125" w:rsidRDefault="009076A6" w:rsidP="006F1125">
      <w:r w:rsidRPr="00C82566">
        <w:t>DAISES percentages are weighted back to the JSA sample frame. This is the JSA population after certain groups have been excluded, such as people who have recently been included in other DEEWR surveys. Statistical analysis and testing has been done using SAS software survey procedures, which take into account the stratified nature of the data.</w:t>
      </w:r>
    </w:p>
    <w:p w:rsidR="00CD751A" w:rsidRPr="0099014C" w:rsidRDefault="00CD751A" w:rsidP="00347022">
      <w:pPr>
        <w:pStyle w:val="Heading2"/>
      </w:pPr>
      <w:bookmarkStart w:id="107" w:name="_Toc326764355"/>
      <w:r w:rsidRPr="0099014C">
        <w:t>Identifying high and low performing sites</w:t>
      </w:r>
      <w:bookmarkEnd w:id="107"/>
    </w:p>
    <w:p w:rsidR="00CD751A" w:rsidRPr="00C82566" w:rsidRDefault="00CD751A" w:rsidP="00CD751A">
      <w:r w:rsidRPr="00C82566">
        <w:t xml:space="preserve">The JSA star ratings are used to measure the efficiency and effectiveness of employment services providers. </w:t>
      </w:r>
      <w:r w:rsidR="006821F3" w:rsidRPr="00C82566">
        <w:t>They are calculated from a range of measures relating to employment and education and training outcomes, participation in work experience, paid placement and off benefit outcomes. The star ratings</w:t>
      </w:r>
      <w:r w:rsidRPr="00C82566">
        <w:t xml:space="preserve"> take into account the impact of differences in labour market conditions and the characteristics of job seekers through the use of statistical regression techniques. Star ratings vary from a minimum of ‘1 Star’, indicating room for improvement, to a maximum of ‘5 Stars’, reflecting excellent performance. The five ratings bands under JSA are determined by whether a provider’s performance is 40</w:t>
      </w:r>
      <w:r w:rsidR="00A05738" w:rsidRPr="00C82566">
        <w:t xml:space="preserve"> per cent</w:t>
      </w:r>
      <w:r w:rsidRPr="00C82566">
        <w:t xml:space="preserve"> or more above the average (5 stars); between 20</w:t>
      </w:r>
      <w:r w:rsidR="00A05738" w:rsidRPr="00C82566">
        <w:t xml:space="preserve"> per cent</w:t>
      </w:r>
      <w:r w:rsidRPr="00C82566">
        <w:t xml:space="preserve"> and less than 40</w:t>
      </w:r>
      <w:r w:rsidR="00A05738" w:rsidRPr="00C82566">
        <w:t xml:space="preserve"> per cent</w:t>
      </w:r>
      <w:r w:rsidRPr="00C82566">
        <w:t xml:space="preserve"> above the average (4 stars); between 20</w:t>
      </w:r>
      <w:r w:rsidR="00A05738" w:rsidRPr="00C82566">
        <w:t xml:space="preserve"> per cent</w:t>
      </w:r>
      <w:r w:rsidRPr="00C82566">
        <w:t xml:space="preserve"> above and 20</w:t>
      </w:r>
      <w:r w:rsidR="00A05738" w:rsidRPr="00C82566">
        <w:t xml:space="preserve"> per cent</w:t>
      </w:r>
      <w:r w:rsidRPr="00C82566">
        <w:t xml:space="preserve"> below the average (3 stars); between 20</w:t>
      </w:r>
      <w:r w:rsidR="00A05738" w:rsidRPr="00C82566">
        <w:t xml:space="preserve"> per cent</w:t>
      </w:r>
      <w:r w:rsidRPr="00C82566">
        <w:t xml:space="preserve"> and less than 50</w:t>
      </w:r>
      <w:r w:rsidR="00A05738" w:rsidRPr="00C82566">
        <w:t xml:space="preserve"> per cent</w:t>
      </w:r>
      <w:r w:rsidRPr="00C82566">
        <w:t xml:space="preserve"> below the average (2 stars); and 50</w:t>
      </w:r>
      <w:r w:rsidR="00A05738" w:rsidRPr="00C82566">
        <w:t xml:space="preserve"> per cent</w:t>
      </w:r>
      <w:r w:rsidRPr="00C82566">
        <w:t xml:space="preserve"> or m</w:t>
      </w:r>
      <w:r w:rsidR="00DC00B5">
        <w:t>ore below the average (1 star).</w:t>
      </w:r>
    </w:p>
    <w:p w:rsidR="00CD751A" w:rsidRPr="00C82566" w:rsidRDefault="00CD751A" w:rsidP="00CD751A">
      <w:r w:rsidRPr="00C82566">
        <w:t xml:space="preserve">For this </w:t>
      </w:r>
      <w:r w:rsidR="005C0F02" w:rsidRPr="00C82566">
        <w:t>report</w:t>
      </w:r>
      <w:r w:rsidRPr="00C82566">
        <w:t xml:space="preserve">, the JSA star ratings </w:t>
      </w:r>
      <w:r w:rsidR="00466FBF" w:rsidRPr="00C82566">
        <w:t xml:space="preserve">were used </w:t>
      </w:r>
      <w:r w:rsidRPr="00C82566">
        <w:t>to identify sites that perform well agains</w:t>
      </w:r>
      <w:r w:rsidR="00DC00B5">
        <w:t>t efficiency and effectiveness.</w:t>
      </w:r>
    </w:p>
    <w:p w:rsidR="00CD751A" w:rsidRPr="00C82566" w:rsidRDefault="00CD751A" w:rsidP="00CD751A">
      <w:r w:rsidRPr="00C82566">
        <w:t xml:space="preserve">To supplement this, a measure of </w:t>
      </w:r>
      <w:r w:rsidRPr="00B57381">
        <w:t>participant experience</w:t>
      </w:r>
      <w:r w:rsidRPr="00C82566">
        <w:t xml:space="preserve"> </w:t>
      </w:r>
      <w:r w:rsidR="00B57381" w:rsidRPr="00C82566">
        <w:t>(</w:t>
      </w:r>
      <w:hyperlink w:anchor="JSA_KPI" w:tooltip="Refer to measure 4.1 in KPI3" w:history="1">
        <w:r w:rsidR="00B57381" w:rsidRPr="00B57381">
          <w:rPr>
            <w:rStyle w:val="Hyperlink"/>
          </w:rPr>
          <w:t>measure 4.1 in KPI3 Quality Framework, see above</w:t>
        </w:r>
      </w:hyperlink>
      <w:r w:rsidR="00B57381" w:rsidRPr="00C82566">
        <w:t>)</w:t>
      </w:r>
      <w:r w:rsidR="00B57381">
        <w:t xml:space="preserve"> </w:t>
      </w:r>
      <w:r w:rsidR="00466FBF" w:rsidRPr="00C82566">
        <w:t>was also examined</w:t>
      </w:r>
      <w:r w:rsidRPr="00C82566">
        <w:t xml:space="preserve">. </w:t>
      </w:r>
      <w:proofErr w:type="gramStart"/>
      <w:r w:rsidRPr="00C82566">
        <w:t>This</w:t>
      </w:r>
      <w:proofErr w:type="gramEnd"/>
      <w:r w:rsidRPr="00C82566">
        <w:t xml:space="preserve"> measures job seekers’ perceptions of assistance and the services they received, based on their responses to the Post Program Mo</w:t>
      </w:r>
      <w:r w:rsidR="00DC00B5">
        <w:t>nitoring (PPM) survey.</w:t>
      </w:r>
    </w:p>
    <w:p w:rsidR="006821F3" w:rsidRPr="00C82566" w:rsidRDefault="006821F3" w:rsidP="00CD751A">
      <w:r w:rsidRPr="00C82566">
        <w:t xml:space="preserve">Star rating and participant experience measures </w:t>
      </w:r>
      <w:r w:rsidR="00AF74B0" w:rsidRPr="00C82566">
        <w:t xml:space="preserve">for each site </w:t>
      </w:r>
      <w:r w:rsidRPr="00C82566">
        <w:t xml:space="preserve">were combined into a 25 level </w:t>
      </w:r>
      <w:r w:rsidR="000B1637" w:rsidRPr="00C82566">
        <w:t>rating, with t</w:t>
      </w:r>
      <w:r w:rsidR="00AF74B0" w:rsidRPr="00C82566">
        <w:t>he s</w:t>
      </w:r>
      <w:r w:rsidRPr="00C82566">
        <w:t>tar ratings</w:t>
      </w:r>
      <w:r w:rsidR="00AF74B0" w:rsidRPr="00C82566">
        <w:t xml:space="preserve"> component weighted at 10 times the participant experience measure. The combined performance </w:t>
      </w:r>
      <w:r w:rsidR="000B1637" w:rsidRPr="00C82566">
        <w:t>rating</w:t>
      </w:r>
      <w:r w:rsidR="00AF74B0" w:rsidRPr="00C82566">
        <w:t xml:space="preserve"> was then divided into low, medium and high performing sites as indicated in </w:t>
      </w:r>
      <w:hyperlink w:anchor="TableA11" w:tooltip="Provider sites by combined performance rating" w:history="1">
        <w:r w:rsidR="0006708E">
          <w:rPr>
            <w:rStyle w:val="Hyperlink"/>
          </w:rPr>
          <w:t xml:space="preserve">Table </w:t>
        </w:r>
        <w:proofErr w:type="spellStart"/>
        <w:r w:rsidR="0011186B">
          <w:rPr>
            <w:rStyle w:val="Hyperlink"/>
          </w:rPr>
          <w:t>B</w:t>
        </w:r>
        <w:r w:rsidR="00AF74B0" w:rsidRPr="00C72942">
          <w:rPr>
            <w:rStyle w:val="Hyperlink"/>
          </w:rPr>
          <w:t>1</w:t>
        </w:r>
      </w:hyperlink>
      <w:r w:rsidR="00AF74B0" w:rsidRPr="00C82566">
        <w:t>.</w:t>
      </w:r>
      <w:r w:rsidR="0011186B">
        <w:t>1</w:t>
      </w:r>
      <w:proofErr w:type="spellEnd"/>
    </w:p>
    <w:p w:rsidR="00AF74B0" w:rsidRPr="00C82566" w:rsidRDefault="0006708E" w:rsidP="00C72942">
      <w:pPr>
        <w:pStyle w:val="Caption"/>
        <w:spacing w:before="120" w:after="120"/>
      </w:pPr>
      <w:bookmarkStart w:id="108" w:name="TableA11"/>
      <w:bookmarkEnd w:id="108"/>
      <w:r>
        <w:t xml:space="preserve">Table </w:t>
      </w:r>
      <w:proofErr w:type="spellStart"/>
      <w:r w:rsidR="0011186B">
        <w:t>B1.</w:t>
      </w:r>
      <w:r w:rsidR="00610CF2">
        <w:t>1</w:t>
      </w:r>
      <w:proofErr w:type="spellEnd"/>
      <w:r w:rsidR="00AF74B0" w:rsidRPr="00C82566">
        <w:t xml:space="preserve">: Provider sites by </w:t>
      </w:r>
      <w:r w:rsidR="000B1637" w:rsidRPr="00C82566">
        <w:t xml:space="preserve">combined </w:t>
      </w:r>
      <w:r w:rsidR="00AF74B0" w:rsidRPr="00C82566">
        <w:t xml:space="preserve">performance </w:t>
      </w:r>
      <w:r w:rsidR="000B1637" w:rsidRPr="00C82566">
        <w:t>rating</w:t>
      </w:r>
    </w:p>
    <w:tbl>
      <w:tblPr>
        <w:tblW w:w="8505" w:type="dxa"/>
        <w:tblInd w:w="80" w:type="dxa"/>
        <w:shd w:val="clear" w:color="auto" w:fill="002F63"/>
        <w:tblLayout w:type="fixed"/>
        <w:tblCellMar>
          <w:left w:w="0" w:type="dxa"/>
          <w:right w:w="0" w:type="dxa"/>
        </w:tblCellMar>
        <w:tblLook w:val="00A0"/>
      </w:tblPr>
      <w:tblGrid>
        <w:gridCol w:w="5812"/>
        <w:gridCol w:w="2693"/>
      </w:tblGrid>
      <w:tr w:rsidR="00AF74B0" w:rsidRPr="00C82566" w:rsidTr="0006708E">
        <w:trPr>
          <w:cantSplit/>
          <w:trHeight w:hRule="exact" w:val="454"/>
          <w:tblHeader/>
        </w:trPr>
        <w:tc>
          <w:tcPr>
            <w:tcW w:w="5812" w:type="dxa"/>
            <w:tcBorders>
              <w:top w:val="single" w:sz="4" w:space="0" w:color="auto"/>
              <w:bottom w:val="single" w:sz="4" w:space="0" w:color="auto"/>
            </w:tcBorders>
            <w:shd w:val="clear" w:color="auto" w:fill="auto"/>
            <w:tcMar>
              <w:top w:w="80" w:type="dxa"/>
              <w:left w:w="80" w:type="dxa"/>
              <w:bottom w:w="80" w:type="dxa"/>
              <w:right w:w="80" w:type="dxa"/>
            </w:tcMar>
          </w:tcPr>
          <w:p w:rsidR="00AF74B0" w:rsidRPr="00C82566" w:rsidRDefault="00AF74B0" w:rsidP="00D363A9">
            <w:pPr>
              <w:pStyle w:val="TableHeadingtext"/>
            </w:pPr>
            <w:r w:rsidRPr="00C82566">
              <w:t>Performance rating</w:t>
            </w:r>
            <w:r w:rsidR="00D363A9">
              <w:t xml:space="preserve"> </w:t>
            </w:r>
          </w:p>
        </w:tc>
        <w:tc>
          <w:tcPr>
            <w:tcW w:w="2693" w:type="dxa"/>
            <w:tcBorders>
              <w:top w:val="single" w:sz="4" w:space="0" w:color="auto"/>
              <w:bottom w:val="single" w:sz="4" w:space="0" w:color="auto"/>
            </w:tcBorders>
            <w:shd w:val="clear" w:color="auto" w:fill="auto"/>
            <w:tcMar>
              <w:top w:w="80" w:type="dxa"/>
              <w:left w:w="80" w:type="dxa"/>
              <w:bottom w:w="80" w:type="dxa"/>
              <w:right w:w="80" w:type="dxa"/>
            </w:tcMar>
          </w:tcPr>
          <w:p w:rsidR="00AF74B0" w:rsidRPr="00C82566" w:rsidRDefault="00AF74B0" w:rsidP="00D363A9">
            <w:pPr>
              <w:pStyle w:val="TableHeadingtext"/>
              <w:rPr>
                <w:bCs/>
              </w:rPr>
            </w:pPr>
            <w:r w:rsidRPr="00C82566">
              <w:rPr>
                <w:bCs/>
              </w:rPr>
              <w:t>Number of sites</w:t>
            </w:r>
          </w:p>
        </w:tc>
      </w:tr>
      <w:tr w:rsidR="00AF74B0" w:rsidRPr="00C82566" w:rsidTr="0006708E">
        <w:trPr>
          <w:cantSplit/>
          <w:tblHeader/>
        </w:trPr>
        <w:tc>
          <w:tcPr>
            <w:tcW w:w="5812" w:type="dxa"/>
            <w:tcBorders>
              <w:top w:val="single" w:sz="4" w:space="0" w:color="auto"/>
            </w:tcBorders>
            <w:shd w:val="clear" w:color="auto" w:fill="auto"/>
            <w:tcMar>
              <w:top w:w="80" w:type="dxa"/>
              <w:left w:w="80" w:type="dxa"/>
              <w:bottom w:w="80" w:type="dxa"/>
              <w:right w:w="80" w:type="dxa"/>
            </w:tcMar>
            <w:vAlign w:val="bottom"/>
          </w:tcPr>
          <w:p w:rsidR="00AF74B0" w:rsidRPr="00C82566" w:rsidRDefault="00AF74B0" w:rsidP="00610CF2">
            <w:pPr>
              <w:pStyle w:val="tabletext"/>
              <w:spacing w:before="40" w:after="0"/>
            </w:pPr>
            <w:r w:rsidRPr="00C82566">
              <w:t>Low (combined rating value 1-5)</w:t>
            </w:r>
          </w:p>
        </w:tc>
        <w:tc>
          <w:tcPr>
            <w:tcW w:w="2693" w:type="dxa"/>
            <w:tcBorders>
              <w:top w:val="single" w:sz="4" w:space="0" w:color="auto"/>
            </w:tcBorders>
            <w:shd w:val="clear" w:color="auto" w:fill="auto"/>
            <w:tcMar>
              <w:top w:w="80" w:type="dxa"/>
              <w:left w:w="80" w:type="dxa"/>
              <w:bottom w:w="80" w:type="dxa"/>
              <w:right w:w="80" w:type="dxa"/>
            </w:tcMar>
            <w:vAlign w:val="bottom"/>
          </w:tcPr>
          <w:p w:rsidR="00AF74B0" w:rsidRPr="00C82566" w:rsidRDefault="00AF74B0" w:rsidP="00610CF2">
            <w:pPr>
              <w:pStyle w:val="tabletext"/>
              <w:spacing w:before="40" w:after="0"/>
              <w:ind w:right="1195"/>
              <w:jc w:val="center"/>
              <w:rPr>
                <w:rFonts w:cs="Calibri"/>
              </w:rPr>
            </w:pPr>
            <w:r w:rsidRPr="00C82566">
              <w:rPr>
                <w:rFonts w:cs="Calibri"/>
              </w:rPr>
              <w:t>130</w:t>
            </w:r>
          </w:p>
        </w:tc>
      </w:tr>
      <w:tr w:rsidR="00AF74B0" w:rsidRPr="00C82566" w:rsidTr="0006708E">
        <w:trPr>
          <w:cantSplit/>
          <w:tblHeader/>
        </w:trPr>
        <w:tc>
          <w:tcPr>
            <w:tcW w:w="5812" w:type="dxa"/>
            <w:shd w:val="clear" w:color="auto" w:fill="auto"/>
            <w:tcMar>
              <w:top w:w="80" w:type="dxa"/>
              <w:left w:w="80" w:type="dxa"/>
              <w:bottom w:w="80" w:type="dxa"/>
              <w:right w:w="80" w:type="dxa"/>
            </w:tcMar>
            <w:vAlign w:val="bottom"/>
          </w:tcPr>
          <w:p w:rsidR="00AF74B0" w:rsidRPr="00C82566" w:rsidRDefault="00AF74B0" w:rsidP="00610CF2">
            <w:pPr>
              <w:pStyle w:val="tabletext"/>
              <w:spacing w:before="40" w:after="0"/>
              <w:rPr>
                <w:rFonts w:cs="Calibri"/>
              </w:rPr>
            </w:pPr>
            <w:r w:rsidRPr="00C82566">
              <w:rPr>
                <w:rFonts w:cs="Calibri"/>
              </w:rPr>
              <w:t>Medium (combined rating value 6-18)</w:t>
            </w:r>
          </w:p>
        </w:tc>
        <w:tc>
          <w:tcPr>
            <w:tcW w:w="2693" w:type="dxa"/>
            <w:shd w:val="clear" w:color="auto" w:fill="auto"/>
            <w:tcMar>
              <w:top w:w="80" w:type="dxa"/>
              <w:left w:w="80" w:type="dxa"/>
              <w:bottom w:w="80" w:type="dxa"/>
              <w:right w:w="80" w:type="dxa"/>
            </w:tcMar>
            <w:vAlign w:val="bottom"/>
          </w:tcPr>
          <w:p w:rsidR="00AF74B0" w:rsidRPr="00C82566" w:rsidRDefault="00AF74B0" w:rsidP="00610CF2">
            <w:pPr>
              <w:pStyle w:val="tabletext"/>
              <w:spacing w:before="40" w:after="0"/>
              <w:ind w:right="1195"/>
              <w:jc w:val="center"/>
              <w:rPr>
                <w:rFonts w:cs="Calibri"/>
              </w:rPr>
            </w:pPr>
            <w:r w:rsidRPr="00C82566">
              <w:rPr>
                <w:rFonts w:cs="Calibri"/>
              </w:rPr>
              <w:t>1,503</w:t>
            </w:r>
          </w:p>
        </w:tc>
      </w:tr>
      <w:tr w:rsidR="00AF74B0" w:rsidRPr="00C82566" w:rsidTr="0006708E">
        <w:trPr>
          <w:cantSplit/>
          <w:tblHeader/>
        </w:trPr>
        <w:tc>
          <w:tcPr>
            <w:tcW w:w="5812" w:type="dxa"/>
            <w:shd w:val="clear" w:color="auto" w:fill="auto"/>
            <w:tcMar>
              <w:top w:w="80" w:type="dxa"/>
              <w:left w:w="80" w:type="dxa"/>
              <w:bottom w:w="80" w:type="dxa"/>
              <w:right w:w="80" w:type="dxa"/>
            </w:tcMar>
            <w:vAlign w:val="bottom"/>
          </w:tcPr>
          <w:p w:rsidR="00AF74B0" w:rsidRPr="00C82566" w:rsidRDefault="00AF74B0" w:rsidP="00610CF2">
            <w:pPr>
              <w:pStyle w:val="tabletext"/>
              <w:spacing w:before="40" w:after="0"/>
              <w:rPr>
                <w:rFonts w:cs="Calibri"/>
              </w:rPr>
            </w:pPr>
            <w:r w:rsidRPr="00C82566">
              <w:t>High (combined rating value (19-25)</w:t>
            </w:r>
          </w:p>
        </w:tc>
        <w:tc>
          <w:tcPr>
            <w:tcW w:w="2693" w:type="dxa"/>
            <w:shd w:val="clear" w:color="auto" w:fill="auto"/>
            <w:tcMar>
              <w:top w:w="80" w:type="dxa"/>
              <w:left w:w="80" w:type="dxa"/>
              <w:bottom w:w="80" w:type="dxa"/>
              <w:right w:w="80" w:type="dxa"/>
            </w:tcMar>
            <w:vAlign w:val="bottom"/>
          </w:tcPr>
          <w:p w:rsidR="00AF74B0" w:rsidRPr="00C82566" w:rsidRDefault="00AF74B0" w:rsidP="00610CF2">
            <w:pPr>
              <w:pStyle w:val="tabletext"/>
              <w:spacing w:before="40" w:after="0"/>
              <w:ind w:right="1195"/>
              <w:jc w:val="center"/>
              <w:rPr>
                <w:rFonts w:cs="Calibri"/>
              </w:rPr>
            </w:pPr>
            <w:r w:rsidRPr="00C82566">
              <w:rPr>
                <w:rFonts w:cs="Calibri"/>
              </w:rPr>
              <w:t>283</w:t>
            </w:r>
          </w:p>
        </w:tc>
      </w:tr>
      <w:tr w:rsidR="00AF74B0" w:rsidRPr="00C82566" w:rsidTr="0006708E">
        <w:trPr>
          <w:cantSplit/>
          <w:tblHeader/>
        </w:trPr>
        <w:tc>
          <w:tcPr>
            <w:tcW w:w="5812" w:type="dxa"/>
            <w:tcBorders>
              <w:bottom w:val="single" w:sz="4" w:space="0" w:color="auto"/>
            </w:tcBorders>
            <w:shd w:val="clear" w:color="auto" w:fill="auto"/>
            <w:tcMar>
              <w:top w:w="80" w:type="dxa"/>
              <w:left w:w="80" w:type="dxa"/>
              <w:bottom w:w="80" w:type="dxa"/>
              <w:right w:w="80" w:type="dxa"/>
            </w:tcMar>
            <w:vAlign w:val="bottom"/>
          </w:tcPr>
          <w:p w:rsidR="00AF74B0" w:rsidRPr="00C82566" w:rsidRDefault="00AF74B0" w:rsidP="00610CF2">
            <w:pPr>
              <w:pStyle w:val="tabletext"/>
              <w:spacing w:before="40" w:after="0"/>
              <w:rPr>
                <w:b/>
              </w:rPr>
            </w:pPr>
            <w:r w:rsidRPr="00C82566">
              <w:rPr>
                <w:b/>
              </w:rPr>
              <w:t>Total</w:t>
            </w:r>
          </w:p>
        </w:tc>
        <w:tc>
          <w:tcPr>
            <w:tcW w:w="2693" w:type="dxa"/>
            <w:tcBorders>
              <w:bottom w:val="single" w:sz="4" w:space="0" w:color="auto"/>
            </w:tcBorders>
            <w:shd w:val="clear" w:color="auto" w:fill="auto"/>
            <w:tcMar>
              <w:top w:w="80" w:type="dxa"/>
              <w:left w:w="80" w:type="dxa"/>
              <w:bottom w:w="80" w:type="dxa"/>
              <w:right w:w="80" w:type="dxa"/>
            </w:tcMar>
            <w:vAlign w:val="bottom"/>
          </w:tcPr>
          <w:p w:rsidR="00AF74B0" w:rsidRPr="00C82566" w:rsidRDefault="00AF74B0" w:rsidP="00610CF2">
            <w:pPr>
              <w:pStyle w:val="tabletext"/>
              <w:spacing w:before="40" w:after="0"/>
              <w:ind w:right="1195"/>
              <w:jc w:val="center"/>
              <w:rPr>
                <w:rFonts w:cs="Calibri"/>
                <w:b/>
              </w:rPr>
            </w:pPr>
            <w:r w:rsidRPr="00C82566">
              <w:rPr>
                <w:rFonts w:cs="Calibri"/>
                <w:b/>
              </w:rPr>
              <w:t>1,916</w:t>
            </w:r>
          </w:p>
        </w:tc>
      </w:tr>
    </w:tbl>
    <w:p w:rsidR="00AF74B0" w:rsidRPr="00C82566" w:rsidRDefault="00AF74B0" w:rsidP="00AF74B0">
      <w:pPr>
        <w:pStyle w:val="Sourceandnotetext"/>
      </w:pPr>
      <w:r w:rsidRPr="00C82566">
        <w:rPr>
          <w:b/>
          <w:bCs/>
        </w:rPr>
        <w:t>Source:</w:t>
      </w:r>
      <w:r w:rsidRPr="00C82566">
        <w:t xml:space="preserve"> DEEWR Corporate Data Set, DEEWR Post Program Monitoring Survey 2009-2010</w:t>
      </w:r>
    </w:p>
    <w:p w:rsidR="00AF74B0" w:rsidRPr="00C82566" w:rsidRDefault="000B1637" w:rsidP="00CD751A">
      <w:r w:rsidRPr="00C82566">
        <w:t xml:space="preserve">For some analyses, including some regression analyses, JSA star rating information rather than the combined performance rating was used. This enabled KPI3 data to be used as independent variables in the </w:t>
      </w:r>
      <w:r w:rsidR="00776B14" w:rsidRPr="00C82566">
        <w:t>analysis</w:t>
      </w:r>
      <w:r w:rsidRPr="00C82566">
        <w:t>.</w:t>
      </w:r>
    </w:p>
    <w:p w:rsidR="0096323A" w:rsidRPr="006F1125" w:rsidRDefault="00E27C1D" w:rsidP="00347022">
      <w:pPr>
        <w:pStyle w:val="Heading2"/>
      </w:pPr>
      <w:bookmarkStart w:id="109" w:name="_Toc326764356"/>
      <w:r w:rsidRPr="006F1125">
        <w:t>Analys</w:t>
      </w:r>
      <w:r w:rsidR="00AC4008" w:rsidRPr="006F1125">
        <w:t>e</w:t>
      </w:r>
      <w:r w:rsidRPr="006F1125">
        <w:t>s</w:t>
      </w:r>
      <w:bookmarkEnd w:id="109"/>
    </w:p>
    <w:p w:rsidR="00380C11" w:rsidRPr="00C82566" w:rsidRDefault="0096323A" w:rsidP="00CD751A">
      <w:r w:rsidRPr="00C82566">
        <w:t xml:space="preserve">In compiling this </w:t>
      </w:r>
      <w:r w:rsidR="005C0F02" w:rsidRPr="00C82566">
        <w:t>report</w:t>
      </w:r>
      <w:r w:rsidRPr="00C82566">
        <w:t>,</w:t>
      </w:r>
      <w:r w:rsidR="00CD751A" w:rsidRPr="00C82566">
        <w:t xml:space="preserve"> information on employment assistance</w:t>
      </w:r>
      <w:r w:rsidRPr="00C82566">
        <w:t xml:space="preserve"> as seen from a number of</w:t>
      </w:r>
      <w:r w:rsidR="00CD751A" w:rsidRPr="00C82566">
        <w:t xml:space="preserve"> </w:t>
      </w:r>
      <w:r w:rsidRPr="00C82566">
        <w:t xml:space="preserve">viewpoints was </w:t>
      </w:r>
      <w:r w:rsidR="00AC4008" w:rsidRPr="00C82566">
        <w:t>examined</w:t>
      </w:r>
      <w:r w:rsidR="00CD751A" w:rsidRPr="00C82566">
        <w:t xml:space="preserve">, including </w:t>
      </w:r>
      <w:r w:rsidR="002B7014" w:rsidRPr="00C82566">
        <w:t xml:space="preserve">from </w:t>
      </w:r>
      <w:r w:rsidR="00CD751A" w:rsidRPr="00C82566">
        <w:t xml:space="preserve">job seekers, employers, </w:t>
      </w:r>
      <w:r w:rsidRPr="00C82566">
        <w:t>employment service providers and the Department.</w:t>
      </w:r>
      <w:r w:rsidR="00CD751A" w:rsidRPr="00C82566">
        <w:t xml:space="preserve"> For example, to analyse how wage subsidies are used, the attitudes and approaches of </w:t>
      </w:r>
      <w:r w:rsidRPr="00C82566">
        <w:t xml:space="preserve">employment service </w:t>
      </w:r>
      <w:r w:rsidR="00CD751A" w:rsidRPr="00C82566">
        <w:t xml:space="preserve">providers from </w:t>
      </w:r>
      <w:r w:rsidRPr="00C82566">
        <w:t>the 2010 Employment Service Providers Survey was examined alongside a</w:t>
      </w:r>
      <w:r w:rsidR="00AC4008" w:rsidRPr="00C82566">
        <w:t xml:space="preserve"> stat</w:t>
      </w:r>
      <w:r w:rsidR="004F3408" w:rsidRPr="00C82566">
        <w:t>i</w:t>
      </w:r>
      <w:r w:rsidR="00AC4008" w:rsidRPr="00C82566">
        <w:t>stical</w:t>
      </w:r>
      <w:r w:rsidR="00CD751A" w:rsidRPr="00C82566">
        <w:t xml:space="preserve"> analysis of claims for wage subsidie</w:t>
      </w:r>
      <w:r w:rsidRPr="00C82566">
        <w:t>s</w:t>
      </w:r>
      <w:r w:rsidR="00CD751A" w:rsidRPr="00C82566">
        <w:t xml:space="preserve"> sourced from the Department’s </w:t>
      </w:r>
      <w:r w:rsidRPr="00C82566">
        <w:t xml:space="preserve">Corporate Data Set. </w:t>
      </w:r>
    </w:p>
    <w:p w:rsidR="00E27C1D" w:rsidRPr="00C82566" w:rsidRDefault="0096323A" w:rsidP="00CD751A">
      <w:r w:rsidRPr="00C82566">
        <w:t>F</w:t>
      </w:r>
      <w:r w:rsidR="00CD751A" w:rsidRPr="00C82566">
        <w:t xml:space="preserve">urther </w:t>
      </w:r>
      <w:r w:rsidRPr="00C82566">
        <w:t>insights were</w:t>
      </w:r>
      <w:r w:rsidR="00CD751A" w:rsidRPr="00C82566">
        <w:t xml:space="preserve"> </w:t>
      </w:r>
      <w:r w:rsidR="00E27C1D" w:rsidRPr="00C82566">
        <w:t xml:space="preserve">then </w:t>
      </w:r>
      <w:r w:rsidR="00CD751A" w:rsidRPr="00C82566">
        <w:t xml:space="preserve">gained from </w:t>
      </w:r>
      <w:r w:rsidR="00380C11" w:rsidRPr="00C82566">
        <w:t xml:space="preserve">qualitative data, including </w:t>
      </w:r>
      <w:r w:rsidR="00CD751A" w:rsidRPr="00C82566">
        <w:t xml:space="preserve">interviews with </w:t>
      </w:r>
      <w:r w:rsidRPr="00C82566">
        <w:t xml:space="preserve">the </w:t>
      </w:r>
      <w:r w:rsidR="00CD751A" w:rsidRPr="00C82566">
        <w:t xml:space="preserve">staff and management of JSA providers. </w:t>
      </w:r>
      <w:r w:rsidR="00380C11" w:rsidRPr="00C82566">
        <w:t xml:space="preserve">This data was analysed using </w:t>
      </w:r>
      <w:proofErr w:type="spellStart"/>
      <w:r w:rsidR="00380C11" w:rsidRPr="00C82566">
        <w:t>NVivo</w:t>
      </w:r>
      <w:proofErr w:type="spellEnd"/>
      <w:r w:rsidR="00380C11" w:rsidRPr="00C82566">
        <w:t xml:space="preserve"> computer software to identifying </w:t>
      </w:r>
      <w:r w:rsidR="00E55491" w:rsidRPr="00C82566">
        <w:t>common</w:t>
      </w:r>
      <w:r w:rsidR="00380C11" w:rsidRPr="00C82566">
        <w:t xml:space="preserve"> themes and topics.</w:t>
      </w:r>
    </w:p>
    <w:p w:rsidR="001A6BD0" w:rsidRPr="006F1125" w:rsidRDefault="001A6BD0" w:rsidP="006F1125">
      <w:pPr>
        <w:pStyle w:val="Heading2"/>
        <w:spacing w:before="160" w:after="40"/>
        <w:rPr>
          <w:iCs w:val="0"/>
          <w:color w:val="auto"/>
          <w:sz w:val="24"/>
        </w:rPr>
      </w:pPr>
      <w:bookmarkStart w:id="110" w:name="_Toc326153793"/>
      <w:bookmarkStart w:id="111" w:name="_Toc326764357"/>
      <w:r w:rsidRPr="006F1125">
        <w:rPr>
          <w:iCs w:val="0"/>
          <w:color w:val="auto"/>
          <w:sz w:val="24"/>
        </w:rPr>
        <w:t>Caveat</w:t>
      </w:r>
      <w:bookmarkEnd w:id="110"/>
      <w:bookmarkEnd w:id="111"/>
    </w:p>
    <w:p w:rsidR="0096323A" w:rsidRPr="0096323A" w:rsidRDefault="00CD751A" w:rsidP="0096323A">
      <w:r w:rsidRPr="00C82566">
        <w:t xml:space="preserve">Various statistical and analytical tools including regression analysis were used </w:t>
      </w:r>
      <w:r w:rsidR="00E27C1D" w:rsidRPr="00C82566">
        <w:t xml:space="preserve">in this analysis. </w:t>
      </w:r>
      <w:r w:rsidR="0096323A" w:rsidRPr="00C82566">
        <w:t xml:space="preserve">The statistical analysis underlying much of this report is based on associations which may or may not be causal. That is, high performing sites tend to have the characteristics described here, but the available data doesn’t allow us to say if the characteristics </w:t>
      </w:r>
      <w:r w:rsidR="001A6BD0" w:rsidRPr="00C82566">
        <w:t xml:space="preserve">directly </w:t>
      </w:r>
      <w:r w:rsidR="0096323A" w:rsidRPr="00C82566">
        <w:t>cause the high level of performance</w:t>
      </w:r>
      <w:r w:rsidR="001A6BD0" w:rsidRPr="00C82566">
        <w:t>,</w:t>
      </w:r>
      <w:r w:rsidR="0096323A" w:rsidRPr="00C82566">
        <w:t xml:space="preserve"> or are caused by some other characteristic associated with high</w:t>
      </w:r>
      <w:r w:rsidR="0096323A" w:rsidRPr="0096323A">
        <w:t xml:space="preserve"> performance. </w:t>
      </w:r>
      <w:r w:rsidR="00E27C1D" w:rsidRPr="0096323A">
        <w:t>Analyses of provider, employer, and job seekers’ responses in surveys, interviews, and focus groups have</w:t>
      </w:r>
      <w:r w:rsidR="0096323A" w:rsidRPr="0096323A">
        <w:t xml:space="preserve"> been used to complement the quantitative data. Where these forms of evidence converge it strengthens the conclusions</w:t>
      </w:r>
      <w:r w:rsidR="00361628">
        <w:t xml:space="preserve"> </w:t>
      </w:r>
      <w:r w:rsidR="00AA1DD9" w:rsidRPr="005B4381">
        <w:rPr>
          <w:noProof/>
        </w:rPr>
        <w:t>(Bamberger, Rugh, &amp; Mabry, 2006)</w:t>
      </w:r>
      <w:r w:rsidR="00361628">
        <w:t>.</w:t>
      </w:r>
    </w:p>
    <w:p w:rsidR="00432357" w:rsidRPr="006F1125" w:rsidRDefault="001A2C18" w:rsidP="006F1125">
      <w:pPr>
        <w:pStyle w:val="Heading2"/>
        <w:spacing w:before="160" w:after="40"/>
        <w:rPr>
          <w:iCs w:val="0"/>
          <w:color w:val="auto"/>
          <w:sz w:val="24"/>
        </w:rPr>
      </w:pPr>
      <w:bookmarkStart w:id="112" w:name="_Toc326153794"/>
      <w:bookmarkStart w:id="113" w:name="_Toc326764358"/>
      <w:r w:rsidRPr="006F1125">
        <w:rPr>
          <w:iCs w:val="0"/>
          <w:color w:val="auto"/>
          <w:sz w:val="24"/>
        </w:rPr>
        <w:t>Statistical Procedures</w:t>
      </w:r>
      <w:bookmarkEnd w:id="112"/>
      <w:bookmarkEnd w:id="113"/>
    </w:p>
    <w:p w:rsidR="00C62D7A" w:rsidRDefault="00D04C8C" w:rsidP="00295015">
      <w:r>
        <w:t xml:space="preserve">A variety of </w:t>
      </w:r>
      <w:r w:rsidR="0085586A">
        <w:t xml:space="preserve">regression models </w:t>
      </w:r>
      <w:r w:rsidR="001A2C18">
        <w:t xml:space="preserve">and other statistical analyses </w:t>
      </w:r>
      <w:r w:rsidR="0085586A">
        <w:t xml:space="preserve">were </w:t>
      </w:r>
      <w:r>
        <w:t>used</w:t>
      </w:r>
      <w:r w:rsidR="0085586A">
        <w:t xml:space="preserve"> for this report. </w:t>
      </w:r>
      <w:r w:rsidR="00C62D7A">
        <w:t xml:space="preserve">Models were constructed against a number of performance measures, including the composite performance measure described </w:t>
      </w:r>
      <w:r>
        <w:t>above</w:t>
      </w:r>
      <w:r w:rsidR="001A2C18">
        <w:t xml:space="preserve"> and </w:t>
      </w:r>
      <w:r w:rsidR="00A744D7">
        <w:t xml:space="preserve">a </w:t>
      </w:r>
      <w:r w:rsidR="001A2C18">
        <w:t xml:space="preserve">variable </w:t>
      </w:r>
      <w:r w:rsidR="00987367">
        <w:t>from</w:t>
      </w:r>
      <w:r w:rsidR="001A2C18">
        <w:t xml:space="preserve"> the construction of the JSA Star ratings.</w:t>
      </w:r>
      <w:r>
        <w:t xml:space="preserve"> A range of selected variables at site level wer</w:t>
      </w:r>
      <w:r w:rsidR="00EC4767">
        <w:t xml:space="preserve">e considered for these models. </w:t>
      </w:r>
      <w:r>
        <w:t>Variables were selected on the basis of representing domains of interest, such as services that job seekers reported receiving.</w:t>
      </w:r>
    </w:p>
    <w:p w:rsidR="00384935" w:rsidRDefault="00BE6C08" w:rsidP="00484740">
      <w:r>
        <w:br w:type="page"/>
      </w:r>
    </w:p>
    <w:bookmarkStart w:id="114" w:name="_References" w:displacedByCustomXml="next"/>
    <w:bookmarkEnd w:id="114" w:displacedByCustomXml="next"/>
    <w:sdt>
      <w:sdtPr>
        <w:rPr>
          <w:rFonts w:cs="Times New Roman"/>
          <w:b w:val="0"/>
          <w:bCs w:val="0"/>
          <w:color w:val="auto"/>
          <w:kern w:val="0"/>
          <w:sz w:val="22"/>
          <w:szCs w:val="24"/>
        </w:rPr>
        <w:id w:val="2322565"/>
        <w:docPartObj>
          <w:docPartGallery w:val="Bibliographies"/>
          <w:docPartUnique/>
        </w:docPartObj>
      </w:sdtPr>
      <w:sdtContent>
        <w:bookmarkStart w:id="115" w:name="_Toc326764359" w:displacedByCustomXml="prev"/>
        <w:p w:rsidR="00BE6C08" w:rsidRDefault="00BE6C08">
          <w:pPr>
            <w:pStyle w:val="Heading1"/>
          </w:pPr>
          <w:r w:rsidRPr="003771F8">
            <w:t>References</w:t>
          </w:r>
          <w:bookmarkEnd w:id="115"/>
        </w:p>
        <w:sdt>
          <w:sdtPr>
            <w:id w:val="111145805"/>
            <w:bibliography/>
          </w:sdtPr>
          <w:sdtContent>
            <w:bookmarkStart w:id="116" w:name="Real_World_Evaluation" w:displacedByCustomXml="prev"/>
            <w:bookmarkEnd w:id="116" w:displacedByCustomXml="prev"/>
            <w:p w:rsidR="00F77425" w:rsidRDefault="00C23440" w:rsidP="00F77425">
              <w:pPr>
                <w:pStyle w:val="Bibliography"/>
                <w:rPr>
                  <w:noProof/>
                </w:rPr>
              </w:pPr>
              <w:r>
                <w:fldChar w:fldCharType="begin"/>
              </w:r>
              <w:r w:rsidR="00BE6C08">
                <w:instrText xml:space="preserve"> BIBLIOGRAPHY </w:instrText>
              </w:r>
              <w:r>
                <w:fldChar w:fldCharType="separate"/>
              </w:r>
              <w:r w:rsidR="00F77425">
                <w:rPr>
                  <w:noProof/>
                </w:rPr>
                <w:t xml:space="preserve">Bamberger, M., Rugh, J., &amp; Mabry, L. (2006). </w:t>
              </w:r>
              <w:r w:rsidR="00F77425">
                <w:rPr>
                  <w:i/>
                  <w:iCs/>
                  <w:noProof/>
                </w:rPr>
                <w:t>Real World Evaluation: Working Under Budget, Time, Data, and Political Constraints.</w:t>
              </w:r>
              <w:r w:rsidR="00F77425">
                <w:rPr>
                  <w:noProof/>
                </w:rPr>
                <w:t xml:space="preserve"> Thousand Oaks, London and New Delhi: Sage Publications Inc.</w:t>
              </w:r>
            </w:p>
            <w:p w:rsidR="00F77425" w:rsidRDefault="00F77425" w:rsidP="00F77425">
              <w:pPr>
                <w:pStyle w:val="Bibliography"/>
                <w:rPr>
                  <w:noProof/>
                </w:rPr>
              </w:pPr>
              <w:r>
                <w:rPr>
                  <w:noProof/>
                </w:rPr>
                <w:t xml:space="preserve">DAISES. (2011). </w:t>
              </w:r>
              <w:r>
                <w:rPr>
                  <w:i/>
                  <w:iCs/>
                  <w:noProof/>
                </w:rPr>
                <w:t>The Dynamics of Australian Income Support &amp; Employment Services (DAISES).</w:t>
              </w:r>
              <w:r>
                <w:rPr>
                  <w:noProof/>
                </w:rPr>
                <w:t xml:space="preserve"> The Social Research Centre.</w:t>
              </w:r>
            </w:p>
            <w:p w:rsidR="00F77425" w:rsidRDefault="00F77425" w:rsidP="00F77425">
              <w:pPr>
                <w:pStyle w:val="Bibliography"/>
                <w:rPr>
                  <w:noProof/>
                </w:rPr>
              </w:pPr>
              <w:r>
                <w:rPr>
                  <w:noProof/>
                </w:rPr>
                <w:t xml:space="preserve">DEEWR. (2007). </w:t>
              </w:r>
              <w:r>
                <w:rPr>
                  <w:i/>
                  <w:iCs/>
                  <w:noProof/>
                </w:rPr>
                <w:t>Active Participation Model Evaluation: July 2001 – June 2006.</w:t>
              </w:r>
              <w:r>
                <w:rPr>
                  <w:noProof/>
                </w:rPr>
                <w:t xml:space="preserve"> Canberra: Department of Education, Employment and Workplace Relations (DEEWR).</w:t>
              </w:r>
            </w:p>
            <w:p w:rsidR="00F77425" w:rsidRDefault="00F77425" w:rsidP="00F77425">
              <w:pPr>
                <w:pStyle w:val="Bibliography"/>
                <w:rPr>
                  <w:noProof/>
                </w:rPr>
              </w:pPr>
              <w:r>
                <w:rPr>
                  <w:noProof/>
                </w:rPr>
                <w:t>DEEWR CDS. (2011). Corporate Data Set. Department of Education, Employment and Workplace Relations (DEEWR).</w:t>
              </w:r>
            </w:p>
            <w:p w:rsidR="00F77425" w:rsidRDefault="00F77425" w:rsidP="00F77425">
              <w:pPr>
                <w:pStyle w:val="Bibliography"/>
                <w:rPr>
                  <w:noProof/>
                </w:rPr>
              </w:pPr>
              <w:r>
                <w:rPr>
                  <w:noProof/>
                </w:rPr>
                <w:t>discussions with service providers. (2010). Department of Education, Employment and Workplace Relations.</w:t>
              </w:r>
            </w:p>
            <w:p w:rsidR="00F77425" w:rsidRDefault="00F77425" w:rsidP="00F77425">
              <w:pPr>
                <w:pStyle w:val="Bibliography"/>
                <w:rPr>
                  <w:noProof/>
                </w:rPr>
              </w:pPr>
              <w:r>
                <w:rPr>
                  <w:noProof/>
                </w:rPr>
                <w:t>EAS. (2011). Employment Assistance Survey. Department of Education, Employment and Workplace Relations (DEEWR).</w:t>
              </w:r>
            </w:p>
            <w:p w:rsidR="00F77425" w:rsidRDefault="00F77425" w:rsidP="00F77425">
              <w:pPr>
                <w:pStyle w:val="Bibliography"/>
                <w:rPr>
                  <w:noProof/>
                </w:rPr>
              </w:pPr>
              <w:r>
                <w:rPr>
                  <w:noProof/>
                </w:rPr>
                <w:t>Employer survey. (2010). Survey of employers. Department of Education, Employment and Workplace Relations.</w:t>
              </w:r>
            </w:p>
            <w:p w:rsidR="00F77425" w:rsidRDefault="00F77425" w:rsidP="00F77425">
              <w:pPr>
                <w:pStyle w:val="Bibliography"/>
                <w:rPr>
                  <w:noProof/>
                </w:rPr>
              </w:pPr>
              <w:r>
                <w:rPr>
                  <w:noProof/>
                </w:rPr>
                <w:t>Employment Service Provider Survey. (2010). 2010 Employment Service Providers Survey. Department of Education, Employment and Workplace Relations.</w:t>
              </w:r>
            </w:p>
            <w:p w:rsidR="00F77425" w:rsidRDefault="00F77425" w:rsidP="00F77425">
              <w:pPr>
                <w:pStyle w:val="Bibliography"/>
                <w:rPr>
                  <w:noProof/>
                </w:rPr>
              </w:pPr>
              <w:r>
                <w:rPr>
                  <w:noProof/>
                </w:rPr>
                <w:t>JS focus groups. (2010). Job seeker focus groups. Department of Education, Employment and Workplace Relations.</w:t>
              </w:r>
            </w:p>
            <w:p w:rsidR="00F77425" w:rsidRDefault="00F77425" w:rsidP="00F77425">
              <w:pPr>
                <w:pStyle w:val="Bibliography"/>
                <w:rPr>
                  <w:noProof/>
                </w:rPr>
              </w:pPr>
              <w:r>
                <w:rPr>
                  <w:noProof/>
                </w:rPr>
                <w:t>PPM. (2010). Post Program Monitoring Survey. Department of Education, Employment and Workplace Relations.</w:t>
              </w:r>
            </w:p>
            <w:p w:rsidR="00F77425" w:rsidRDefault="00F77425" w:rsidP="00F77425">
              <w:pPr>
                <w:pStyle w:val="Bibliography"/>
                <w:rPr>
                  <w:noProof/>
                </w:rPr>
              </w:pPr>
              <w:r>
                <w:rPr>
                  <w:noProof/>
                </w:rPr>
                <w:t xml:space="preserve">Service Provider Survey. (2010). 2010 Provider Survey. </w:t>
              </w:r>
              <w:r>
                <w:rPr>
                  <w:i/>
                  <w:iCs/>
                  <w:noProof/>
                </w:rPr>
                <w:t>2010 Employment Service Providers Survey</w:t>
              </w:r>
              <w:r>
                <w:rPr>
                  <w:noProof/>
                </w:rPr>
                <w:t xml:space="preserve"> . Department of Education, Employment and Workplace Relations.</w:t>
              </w:r>
            </w:p>
            <w:p w:rsidR="00BE6C08" w:rsidRPr="00BE6C08" w:rsidRDefault="00C23440" w:rsidP="00F77425">
              <w:pPr>
                <w:pStyle w:val="Bibliography"/>
              </w:pPr>
              <w:r>
                <w:fldChar w:fldCharType="end"/>
              </w:r>
            </w:p>
          </w:sdtContent>
        </w:sdt>
      </w:sdtContent>
    </w:sdt>
    <w:sectPr w:rsidR="00BE6C08" w:rsidRPr="00BE6C08" w:rsidSect="00EB35ED">
      <w:endnotePr>
        <w:numFmt w:val="lowerLetter"/>
        <w:numRestart w:val="eachSect"/>
      </w:endnotePr>
      <w:type w:val="continuous"/>
      <w:pgSz w:w="11906" w:h="16838" w:code="9"/>
      <w:pgMar w:top="1418" w:right="1701" w:bottom="1276" w:left="1701" w:header="709" w:footer="10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67" w:rsidRDefault="00732467">
      <w:r>
        <w:separator/>
      </w:r>
    </w:p>
    <w:p w:rsidR="00732467" w:rsidRDefault="00732467"/>
  </w:endnote>
  <w:endnote w:type="continuationSeparator" w:id="0">
    <w:p w:rsidR="00732467" w:rsidRDefault="00732467">
      <w:r>
        <w:continuationSeparator/>
      </w:r>
    </w:p>
    <w:p w:rsidR="00732467" w:rsidRDefault="0073246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67" w:rsidRDefault="00732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67" w:rsidRPr="00E963C4" w:rsidRDefault="00732467" w:rsidP="00583F6C">
    <w:pPr>
      <w:pStyle w:val="Footer"/>
      <w:ind w:firstLine="720"/>
      <w:jc w:val="center"/>
    </w:pPr>
    <w:fldSimple w:instr=" PAGE   \* MERGEFORMAT ">
      <w:r w:rsidR="002450A7">
        <w:rPr>
          <w:noProof/>
        </w:rPr>
        <w:t>3</w:t>
      </w:r>
    </w:fldSimple>
  </w:p>
  <w:p w:rsidR="00732467" w:rsidRDefault="00732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67" w:rsidRDefault="00732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67" w:rsidRDefault="00732467">
      <w:r>
        <w:separator/>
      </w:r>
    </w:p>
    <w:p w:rsidR="00732467" w:rsidRDefault="00732467"/>
  </w:footnote>
  <w:footnote w:type="continuationSeparator" w:id="0">
    <w:p w:rsidR="00732467" w:rsidRDefault="00732467">
      <w:r>
        <w:continuationSeparator/>
      </w:r>
    </w:p>
    <w:p w:rsidR="00732467" w:rsidRDefault="00732467"/>
  </w:footnote>
  <w:footnote w:id="1">
    <w:p w:rsidR="00732467" w:rsidRDefault="00732467">
      <w:pPr>
        <w:pStyle w:val="FootnoteText"/>
      </w:pPr>
      <w:r>
        <w:rPr>
          <w:rStyle w:val="FootnoteReference"/>
        </w:rPr>
        <w:footnoteRef/>
      </w:r>
      <w:r>
        <w:t xml:space="preserve"> P</w:t>
      </w:r>
      <w:r w:rsidRPr="008F5D08">
        <w:t>rovision of financial support was not offered as an option</w:t>
      </w:r>
      <w:r>
        <w:t>.</w:t>
      </w:r>
    </w:p>
  </w:footnote>
  <w:footnote w:id="2">
    <w:p w:rsidR="00732467" w:rsidRDefault="00732467" w:rsidP="002E7151">
      <w:r>
        <w:rPr>
          <w:rStyle w:val="FootnoteReference"/>
        </w:rPr>
        <w:footnoteRef/>
      </w:r>
      <w:r>
        <w:t xml:space="preserve"> </w:t>
      </w:r>
      <w:r w:rsidRPr="00D87B70">
        <w:rPr>
          <w:sz w:val="20"/>
          <w:szCs w:val="20"/>
        </w:rPr>
        <w:t>Spending less than 100</w:t>
      </w:r>
      <w:r>
        <w:rPr>
          <w:sz w:val="20"/>
          <w:szCs w:val="20"/>
        </w:rPr>
        <w:t xml:space="preserve"> per cent</w:t>
      </w:r>
      <w:r w:rsidRPr="00D87B70">
        <w:rPr>
          <w:sz w:val="20"/>
          <w:szCs w:val="20"/>
        </w:rPr>
        <w:t xml:space="preserve"> of allocated funds is normal in the first year of a new contract</w:t>
      </w:r>
      <w:r>
        <w:rPr>
          <w:sz w:val="20"/>
          <w:szCs w:val="20"/>
        </w:rPr>
        <w:t xml:space="preserve"> </w:t>
      </w:r>
      <w:hyperlink w:anchor="Active_Participation" w:tooltip="Active Participation Model Evaluation 2007" w:history="1">
        <w:r w:rsidRPr="0000435F">
          <w:rPr>
            <w:rStyle w:val="Hyperlink"/>
            <w:noProof/>
            <w:sz w:val="20"/>
            <w:szCs w:val="20"/>
          </w:rPr>
          <w:t>(DEEWR, 2007)</w:t>
        </w:r>
      </w:hyperlink>
      <w:r>
        <w:rPr>
          <w:sz w:val="20"/>
          <w:szCs w:val="20"/>
        </w:rPr>
        <w:t>,</w:t>
      </w:r>
      <w:r w:rsidRPr="00D87B70">
        <w:rPr>
          <w:sz w:val="20"/>
          <w:szCs w:val="20"/>
        </w:rPr>
        <w:t xml:space="preserve"> as the 2009–10 year was for JSA</w:t>
      </w:r>
      <w:r>
        <w:rPr>
          <w:sz w:val="20"/>
          <w:szCs w:val="20"/>
        </w:rPr>
        <w:t>. This reflects a lower level of expenditure in the transition period immediate following implementation of a new employment services contract</w:t>
      </w:r>
      <w:r w:rsidRPr="00D87B70">
        <w:rPr>
          <w:sz w:val="20"/>
          <w:szCs w:val="20"/>
        </w:rPr>
        <w:t xml:space="preserve">, as </w:t>
      </w:r>
      <w:r>
        <w:rPr>
          <w:sz w:val="20"/>
          <w:szCs w:val="20"/>
        </w:rPr>
        <w:t xml:space="preserve">well as </w:t>
      </w:r>
      <w:r w:rsidRPr="00D87B70">
        <w:rPr>
          <w:sz w:val="20"/>
          <w:szCs w:val="20"/>
        </w:rPr>
        <w:t>providers ‘hedg</w:t>
      </w:r>
      <w:r>
        <w:rPr>
          <w:sz w:val="20"/>
          <w:szCs w:val="20"/>
        </w:rPr>
        <w:t>ing</w:t>
      </w:r>
      <w:r w:rsidRPr="00D87B70">
        <w:rPr>
          <w:sz w:val="20"/>
          <w:szCs w:val="20"/>
        </w:rPr>
        <w:t xml:space="preserve">’ against </w:t>
      </w:r>
      <w:r>
        <w:rPr>
          <w:sz w:val="20"/>
          <w:szCs w:val="20"/>
        </w:rPr>
        <w:t>potentially higher</w:t>
      </w:r>
      <w:r w:rsidRPr="00D87B70">
        <w:rPr>
          <w:sz w:val="20"/>
          <w:szCs w:val="20"/>
        </w:rPr>
        <w:t xml:space="preserve"> assistance costs </w:t>
      </w:r>
      <w:r>
        <w:rPr>
          <w:sz w:val="20"/>
          <w:szCs w:val="20"/>
        </w:rPr>
        <w:t xml:space="preserve">in the future </w:t>
      </w:r>
      <w:r w:rsidRPr="00D87B70">
        <w:rPr>
          <w:sz w:val="20"/>
          <w:szCs w:val="20"/>
        </w:rPr>
        <w:t xml:space="preserve">as </w:t>
      </w:r>
      <w:r>
        <w:rPr>
          <w:sz w:val="20"/>
          <w:szCs w:val="20"/>
        </w:rPr>
        <w:t xml:space="preserve">the duration in assistance of </w:t>
      </w:r>
      <w:r w:rsidRPr="00D87B70">
        <w:rPr>
          <w:sz w:val="20"/>
          <w:szCs w:val="20"/>
        </w:rPr>
        <w:t xml:space="preserve">some job seekers </w:t>
      </w:r>
      <w:r>
        <w:rPr>
          <w:sz w:val="20"/>
          <w:szCs w:val="20"/>
        </w:rPr>
        <w:t>increases.</w:t>
      </w:r>
    </w:p>
  </w:footnote>
  <w:footnote w:id="3">
    <w:p w:rsidR="00732467" w:rsidRDefault="00732467">
      <w:pPr>
        <w:pStyle w:val="FootnoteText"/>
      </w:pPr>
      <w:r>
        <w:rPr>
          <w:rStyle w:val="FootnoteReference"/>
        </w:rPr>
        <w:footnoteRef/>
      </w:r>
      <w:r>
        <w:t xml:space="preserve"> </w:t>
      </w:r>
      <w:r w:rsidRPr="008E49F5">
        <w:t xml:space="preserve">Service providers can be reimbursed through the EPF for post placement support </w:t>
      </w:r>
      <w:r w:rsidRPr="00C57075">
        <w:t>to assist job seekers overcome issues that are likely to impact on the job seeker’s ability to continue in the placement.  However many providers also provide general support to job seekers and employers that falls outside of this definition. In this Section, the term ‘post placement support’ includes both types of support, as for most of the data sources used the two are used interchangeably.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67" w:rsidRDefault="00732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67" w:rsidRDefault="007324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67" w:rsidRDefault="00732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A4C00C"/>
    <w:lvl w:ilvl="0">
      <w:start w:val="1"/>
      <w:numFmt w:val="decimal"/>
      <w:lvlText w:val="%1."/>
      <w:lvlJc w:val="left"/>
      <w:pPr>
        <w:tabs>
          <w:tab w:val="num" w:pos="1492"/>
        </w:tabs>
        <w:ind w:left="1492" w:hanging="360"/>
      </w:pPr>
    </w:lvl>
  </w:abstractNum>
  <w:abstractNum w:abstractNumId="1">
    <w:nsid w:val="FFFFFF7D"/>
    <w:multiLevelType w:val="singleLevel"/>
    <w:tmpl w:val="698ECD48"/>
    <w:lvl w:ilvl="0">
      <w:start w:val="1"/>
      <w:numFmt w:val="decimal"/>
      <w:lvlText w:val="%1."/>
      <w:lvlJc w:val="left"/>
      <w:pPr>
        <w:tabs>
          <w:tab w:val="num" w:pos="1209"/>
        </w:tabs>
        <w:ind w:left="1209" w:hanging="360"/>
      </w:pPr>
    </w:lvl>
  </w:abstractNum>
  <w:abstractNum w:abstractNumId="2">
    <w:nsid w:val="FFFFFF7E"/>
    <w:multiLevelType w:val="singleLevel"/>
    <w:tmpl w:val="0C86C290"/>
    <w:lvl w:ilvl="0">
      <w:start w:val="1"/>
      <w:numFmt w:val="decimal"/>
      <w:lvlText w:val="%1."/>
      <w:lvlJc w:val="left"/>
      <w:pPr>
        <w:tabs>
          <w:tab w:val="num" w:pos="926"/>
        </w:tabs>
        <w:ind w:left="926" w:hanging="360"/>
      </w:pPr>
    </w:lvl>
  </w:abstractNum>
  <w:abstractNum w:abstractNumId="3">
    <w:nsid w:val="FFFFFF7F"/>
    <w:multiLevelType w:val="singleLevel"/>
    <w:tmpl w:val="84EE0744"/>
    <w:lvl w:ilvl="0">
      <w:start w:val="1"/>
      <w:numFmt w:val="decimal"/>
      <w:lvlText w:val="%1."/>
      <w:lvlJc w:val="left"/>
      <w:pPr>
        <w:tabs>
          <w:tab w:val="num" w:pos="643"/>
        </w:tabs>
        <w:ind w:left="643" w:hanging="360"/>
      </w:pPr>
    </w:lvl>
  </w:abstractNum>
  <w:abstractNum w:abstractNumId="4">
    <w:nsid w:val="FFFFFF80"/>
    <w:multiLevelType w:val="singleLevel"/>
    <w:tmpl w:val="154A26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3AD6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02A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10A2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CAB906"/>
    <w:lvl w:ilvl="0">
      <w:start w:val="1"/>
      <w:numFmt w:val="decimal"/>
      <w:lvlText w:val="%1."/>
      <w:lvlJc w:val="left"/>
      <w:pPr>
        <w:tabs>
          <w:tab w:val="num" w:pos="360"/>
        </w:tabs>
        <w:ind w:left="360" w:hanging="360"/>
      </w:pPr>
    </w:lvl>
  </w:abstractNum>
  <w:abstractNum w:abstractNumId="9">
    <w:nsid w:val="FFFFFF89"/>
    <w:multiLevelType w:val="singleLevel"/>
    <w:tmpl w:val="5A76F12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abstractNum>
  <w:abstractNum w:abstractNumId="11">
    <w:nsid w:val="00000002"/>
    <w:multiLevelType w:val="multilevel"/>
    <w:tmpl w:val="00000002"/>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12">
    <w:nsid w:val="00000003"/>
    <w:multiLevelType w:val="singleLevel"/>
    <w:tmpl w:val="00000003"/>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abstractNum>
  <w:abstractNum w:abstractNumId="13">
    <w:nsid w:val="00000004"/>
    <w:multiLevelType w:val="multilevel"/>
    <w:tmpl w:val="00000004"/>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4">
    <w:nsid w:val="00000005"/>
    <w:multiLevelType w:val="singleLevel"/>
    <w:tmpl w:val="00000005"/>
    <w:lvl w:ilvl="0">
      <w:start w:val="1"/>
      <w:numFmt w:val="bullet"/>
      <w:lvlText w:val=""/>
      <w:lvlJc w:val="left"/>
      <w:pPr>
        <w:ind w:left="720" w:hanging="360"/>
      </w:pPr>
      <w:rPr>
        <w:rFonts w:ascii="Symbol" w:hAnsi="Symbol" w:cs="Symbol" w:hint="default"/>
        <w:b w:val="0"/>
        <w:bCs w:val="0"/>
        <w:i w:val="0"/>
        <w:iCs w:val="0"/>
        <w:strike w:val="0"/>
        <w:color w:val="0070C0"/>
        <w:sz w:val="24"/>
        <w:szCs w:val="24"/>
        <w:u w:val="none"/>
      </w:rPr>
    </w:lvl>
  </w:abstractNum>
  <w:abstractNum w:abstractNumId="15">
    <w:nsid w:val="0000000A"/>
    <w:multiLevelType w:val="singleLevel"/>
    <w:tmpl w:val="0000000A"/>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abstractNum>
  <w:abstractNum w:abstractNumId="16">
    <w:nsid w:val="00000010"/>
    <w:multiLevelType w:val="singleLevel"/>
    <w:tmpl w:val="00000010"/>
    <w:lvl w:ilvl="0">
      <w:start w:val="1"/>
      <w:numFmt w:val="bullet"/>
      <w:lvlText w:val=""/>
      <w:lvlJc w:val="left"/>
      <w:pPr>
        <w:ind w:left="360" w:hanging="360"/>
      </w:pPr>
      <w:rPr>
        <w:rFonts w:ascii="Symbol" w:hAnsi="Symbol" w:cs="Symbol" w:hint="default"/>
        <w:b w:val="0"/>
        <w:bCs w:val="0"/>
        <w:i/>
        <w:iCs/>
        <w:strike w:val="0"/>
        <w:color w:val="auto"/>
        <w:sz w:val="24"/>
        <w:szCs w:val="24"/>
        <w:u w:val="none"/>
      </w:rPr>
    </w:lvl>
  </w:abstractNum>
  <w:abstractNum w:abstractNumId="17">
    <w:nsid w:val="070C05D3"/>
    <w:multiLevelType w:val="hybridMultilevel"/>
    <w:tmpl w:val="7424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1BD25CF"/>
    <w:multiLevelType w:val="hybridMultilevel"/>
    <w:tmpl w:val="61322CB4"/>
    <w:lvl w:ilvl="0" w:tplc="9404F772">
      <w:start w:val="1"/>
      <w:numFmt w:val="bullet"/>
      <w:lvlText w:val=""/>
      <w:lvlJc w:val="left"/>
      <w:pPr>
        <w:tabs>
          <w:tab w:val="num" w:pos="851"/>
        </w:tabs>
        <w:ind w:left="851" w:hanging="284"/>
      </w:pPr>
      <w:rPr>
        <w:rFonts w:ascii="Symbol" w:hAnsi="Symbol" w:hint="default"/>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4FA0117"/>
    <w:multiLevelType w:val="multilevel"/>
    <w:tmpl w:val="E7761612"/>
    <w:lvl w:ilvl="0">
      <w:start w:val="1"/>
      <w:numFmt w:val="decimal"/>
      <w:pStyle w:val="Numberbulle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D3073CC"/>
    <w:multiLevelType w:val="multilevel"/>
    <w:tmpl w:val="45B0D248"/>
    <w:lvl w:ilvl="0">
      <w:start w:val="1"/>
      <w:numFmt w:val="bullet"/>
      <w:pStyle w:val="ListBullet"/>
      <w:lvlText w:val=""/>
      <w:lvlJc w:val="left"/>
      <w:pPr>
        <w:tabs>
          <w:tab w:val="num" w:pos="3686"/>
        </w:tabs>
        <w:ind w:left="3629" w:hanging="227"/>
      </w:pPr>
      <w:rPr>
        <w:rFonts w:ascii="Symbol" w:hAnsi="Symbol" w:hint="default"/>
        <w:b w:val="0"/>
        <w:i w:val="0"/>
        <w:color w:val="0D0D0D"/>
        <w:sz w:val="24"/>
      </w:rPr>
    </w:lvl>
    <w:lvl w:ilvl="1">
      <w:start w:val="1"/>
      <w:numFmt w:val="bullet"/>
      <w:pStyle w:val="List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B941778"/>
    <w:multiLevelType w:val="hybridMultilevel"/>
    <w:tmpl w:val="D19611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DF38A1"/>
    <w:multiLevelType w:val="hybridMultilevel"/>
    <w:tmpl w:val="18ACF818"/>
    <w:lvl w:ilvl="0" w:tplc="27A421C0">
      <w:start w:val="1"/>
      <w:numFmt w:val="decimal"/>
      <w:lvlText w:val="%1."/>
      <w:lvlJc w:val="left"/>
      <w:pPr>
        <w:ind w:left="600" w:hanging="360"/>
      </w:pPr>
      <w:rPr>
        <w:rFonts w:hint="default"/>
      </w:rPr>
    </w:lvl>
    <w:lvl w:ilvl="1" w:tplc="0C090019">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23">
    <w:nsid w:val="32106032"/>
    <w:multiLevelType w:val="hybridMultilevel"/>
    <w:tmpl w:val="5C942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03251C"/>
    <w:multiLevelType w:val="multilevel"/>
    <w:tmpl w:val="D87C856E"/>
    <w:lvl w:ilvl="0">
      <w:start w:val="1"/>
      <w:numFmt w:val="bullet"/>
      <w:lvlText w:val=""/>
      <w:lvlJc w:val="left"/>
      <w:pPr>
        <w:tabs>
          <w:tab w:val="num" w:pos="3686"/>
        </w:tabs>
        <w:ind w:left="3629" w:hanging="227"/>
      </w:pPr>
      <w:rPr>
        <w:rFonts w:ascii="Symbol" w:hAnsi="Symbol" w:hint="default"/>
        <w:b w:val="0"/>
        <w:i w:val="0"/>
        <w:color w:val="0D0D0D"/>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4363BF5"/>
    <w:multiLevelType w:val="multilevel"/>
    <w:tmpl w:val="7424E47E"/>
    <w:numStyleLink w:val="Bullets"/>
  </w:abstractNum>
  <w:abstractNum w:abstractNumId="26">
    <w:nsid w:val="3F0C65F6"/>
    <w:multiLevelType w:val="multilevel"/>
    <w:tmpl w:val="7424E47E"/>
    <w:numStyleLink w:val="Bullets"/>
  </w:abstractNum>
  <w:abstractNum w:abstractNumId="27">
    <w:nsid w:val="3F584431"/>
    <w:multiLevelType w:val="hybridMultilevel"/>
    <w:tmpl w:val="14240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A8D5739"/>
    <w:multiLevelType w:val="multilevel"/>
    <w:tmpl w:val="D87C856E"/>
    <w:styleLink w:val="BulletList"/>
    <w:lvl w:ilvl="0">
      <w:start w:val="1"/>
      <w:numFmt w:val="bullet"/>
      <w:lvlText w:val=""/>
      <w:lvlJc w:val="left"/>
      <w:pPr>
        <w:tabs>
          <w:tab w:val="num" w:pos="3686"/>
        </w:tabs>
        <w:ind w:left="3629" w:hanging="227"/>
      </w:pPr>
      <w:rPr>
        <w:rFonts w:ascii="Symbol" w:hAnsi="Symbol" w:hint="default"/>
        <w:b w:val="0"/>
        <w:i w:val="0"/>
        <w:color w:val="0D0D0D"/>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E3F17A1"/>
    <w:multiLevelType w:val="multilevel"/>
    <w:tmpl w:val="7424E47E"/>
    <w:numStyleLink w:val="Bullets"/>
  </w:abstractNum>
  <w:abstractNum w:abstractNumId="31">
    <w:nsid w:val="4F7908B7"/>
    <w:multiLevelType w:val="hybridMultilevel"/>
    <w:tmpl w:val="102E2B10"/>
    <w:lvl w:ilvl="0" w:tplc="0C090003">
      <w:start w:val="1"/>
      <w:numFmt w:val="bullet"/>
      <w:lvlText w:val="o"/>
      <w:lvlJc w:val="left"/>
      <w:pPr>
        <w:tabs>
          <w:tab w:val="num" w:pos="284"/>
        </w:tabs>
        <w:ind w:left="227" w:hanging="227"/>
      </w:pPr>
      <w:rPr>
        <w:rFonts w:ascii="Courier New" w:hAnsi="Courier New" w:cs="Courier New" w:hint="default"/>
        <w:b w:val="0"/>
        <w:i w:val="0"/>
        <w:color w:val="0D0D0D"/>
        <w:sz w:val="24"/>
        <w:szCs w:val="24"/>
      </w:rPr>
    </w:lvl>
    <w:lvl w:ilvl="1" w:tplc="E324652C">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02C63BB"/>
    <w:multiLevelType w:val="hybridMultilevel"/>
    <w:tmpl w:val="A05A2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3663F17"/>
    <w:multiLevelType w:val="multilevel"/>
    <w:tmpl w:val="7424E47E"/>
    <w:numStyleLink w:val="Bullets"/>
  </w:abstractNum>
  <w:abstractNum w:abstractNumId="34">
    <w:nsid w:val="554A45D3"/>
    <w:multiLevelType w:val="hybridMultilevel"/>
    <w:tmpl w:val="F8543A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58D11487"/>
    <w:multiLevelType w:val="hybridMultilevel"/>
    <w:tmpl w:val="8B6046D0"/>
    <w:lvl w:ilvl="0" w:tplc="D49CF5A2">
      <w:start w:val="1"/>
      <w:numFmt w:val="bullet"/>
      <w:lvlText w:val=""/>
      <w:lvlJc w:val="left"/>
      <w:pPr>
        <w:tabs>
          <w:tab w:val="num" w:pos="284"/>
        </w:tabs>
        <w:ind w:left="227" w:hanging="227"/>
      </w:pPr>
      <w:rPr>
        <w:rFonts w:ascii="Symbol" w:hAnsi="Symbol" w:hint="default"/>
        <w:b w:val="0"/>
        <w:i w:val="0"/>
        <w:color w:val="0D0D0D"/>
        <w:sz w:val="24"/>
        <w:szCs w:val="24"/>
      </w:rPr>
    </w:lvl>
    <w:lvl w:ilvl="1" w:tplc="52BC7A0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9C46F3D"/>
    <w:multiLevelType w:val="multilevel"/>
    <w:tmpl w:val="7424E47E"/>
    <w:numStyleLink w:val="Bullets"/>
  </w:abstractNum>
  <w:abstractNum w:abstractNumId="37">
    <w:nsid w:val="68777023"/>
    <w:multiLevelType w:val="multilevel"/>
    <w:tmpl w:val="7424E47E"/>
    <w:numStyleLink w:val="Bullets"/>
  </w:abstractNum>
  <w:abstractNum w:abstractNumId="38">
    <w:nsid w:val="6A602DF1"/>
    <w:multiLevelType w:val="multilevel"/>
    <w:tmpl w:val="7424E47E"/>
    <w:numStyleLink w:val="Bullets"/>
  </w:abstractNum>
  <w:abstractNum w:abstractNumId="39">
    <w:nsid w:val="6DC4552F"/>
    <w:multiLevelType w:val="hybridMultilevel"/>
    <w:tmpl w:val="419455FC"/>
    <w:lvl w:ilvl="0" w:tplc="0C090003">
      <w:start w:val="1"/>
      <w:numFmt w:val="bullet"/>
      <w:lvlText w:val="o"/>
      <w:lvlJc w:val="left"/>
      <w:pPr>
        <w:tabs>
          <w:tab w:val="num" w:pos="284"/>
        </w:tabs>
        <w:ind w:left="227" w:hanging="227"/>
      </w:pPr>
      <w:rPr>
        <w:rFonts w:ascii="Courier New" w:hAnsi="Courier New" w:cs="Courier New" w:hint="default"/>
        <w:b w:val="0"/>
        <w:i w:val="0"/>
        <w:color w:val="0D0D0D"/>
        <w:sz w:val="24"/>
        <w:szCs w:val="24"/>
      </w:rPr>
    </w:lvl>
    <w:lvl w:ilvl="1" w:tplc="E324652C">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0787EC1"/>
    <w:multiLevelType w:val="hybridMultilevel"/>
    <w:tmpl w:val="A448CE7C"/>
    <w:lvl w:ilvl="0" w:tplc="D49CF5A2">
      <w:start w:val="1"/>
      <w:numFmt w:val="bullet"/>
      <w:pStyle w:val="bullet"/>
      <w:lvlText w:val=""/>
      <w:lvlJc w:val="left"/>
      <w:pPr>
        <w:tabs>
          <w:tab w:val="num" w:pos="3686"/>
        </w:tabs>
        <w:ind w:left="3629" w:hanging="227"/>
      </w:pPr>
      <w:rPr>
        <w:rFonts w:ascii="Symbol" w:hAnsi="Symbol" w:hint="default"/>
        <w:b w:val="0"/>
        <w:i w:val="0"/>
        <w:color w:val="0D0D0D"/>
        <w:sz w:val="24"/>
        <w:szCs w:val="24"/>
      </w:rPr>
    </w:lvl>
    <w:lvl w:ilvl="1" w:tplc="E324652C">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0DB635C"/>
    <w:multiLevelType w:val="hybridMultilevel"/>
    <w:tmpl w:val="FB64A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BE1C1E"/>
    <w:multiLevelType w:val="multilevel"/>
    <w:tmpl w:val="7424E47E"/>
    <w:numStyleLink w:val="Bullets"/>
  </w:abstractNum>
  <w:abstractNum w:abstractNumId="4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8"/>
  </w:num>
  <w:num w:numId="3">
    <w:abstractNumId w:val="38"/>
  </w:num>
  <w:num w:numId="4">
    <w:abstractNumId w:val="26"/>
  </w:num>
  <w:num w:numId="5">
    <w:abstractNumId w:val="37"/>
  </w:num>
  <w:num w:numId="6">
    <w:abstractNumId w:val="30"/>
  </w:num>
  <w:num w:numId="7">
    <w:abstractNumId w:val="25"/>
  </w:num>
  <w:num w:numId="8">
    <w:abstractNumId w:val="42"/>
  </w:num>
  <w:num w:numId="9">
    <w:abstractNumId w:val="36"/>
  </w:num>
  <w:num w:numId="10">
    <w:abstractNumId w:val="33"/>
  </w:num>
  <w:num w:numId="11">
    <w:abstractNumId w:val="43"/>
  </w:num>
  <w:num w:numId="12">
    <w:abstractNumId w:val="40"/>
  </w:num>
  <w:num w:numId="13">
    <w:abstractNumId w:val="19"/>
  </w:num>
  <w:num w:numId="14">
    <w:abstractNumId w:val="19"/>
    <w:lvlOverride w:ilvl="0">
      <w:startOverride w:val="1"/>
    </w:lvlOverride>
  </w:num>
  <w:num w:numId="15">
    <w:abstractNumId w:val="19"/>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7"/>
  </w:num>
  <w:num w:numId="27">
    <w:abstractNumId w:val="35"/>
  </w:num>
  <w:num w:numId="28">
    <w:abstractNumId w:val="10"/>
  </w:num>
  <w:num w:numId="29">
    <w:abstractNumId w:val="11"/>
  </w:num>
  <w:num w:numId="30">
    <w:abstractNumId w:val="16"/>
  </w:num>
  <w:num w:numId="31">
    <w:abstractNumId w:val="15"/>
  </w:num>
  <w:num w:numId="32">
    <w:abstractNumId w:val="12"/>
  </w:num>
  <w:num w:numId="33">
    <w:abstractNumId w:val="14"/>
  </w:num>
  <w:num w:numId="34">
    <w:abstractNumId w:val="22"/>
  </w:num>
  <w:num w:numId="35">
    <w:abstractNumId w:val="21"/>
  </w:num>
  <w:num w:numId="36">
    <w:abstractNumId w:val="13"/>
  </w:num>
  <w:num w:numId="37">
    <w:abstractNumId w:val="11"/>
  </w:num>
  <w:num w:numId="38">
    <w:abstractNumId w:val="10"/>
  </w:num>
  <w:num w:numId="39">
    <w:abstractNumId w:val="32"/>
  </w:num>
  <w:num w:numId="40">
    <w:abstractNumId w:val="41"/>
  </w:num>
  <w:num w:numId="41">
    <w:abstractNumId w:val="31"/>
  </w:num>
  <w:num w:numId="42">
    <w:abstractNumId w:val="39"/>
  </w:num>
  <w:num w:numId="43">
    <w:abstractNumId w:val="23"/>
  </w:num>
  <w:num w:numId="44">
    <w:abstractNumId w:val="18"/>
  </w:num>
  <w:num w:numId="45">
    <w:abstractNumId w:val="40"/>
  </w:num>
  <w:num w:numId="46">
    <w:abstractNumId w:val="34"/>
  </w:num>
  <w:num w:numId="47">
    <w:abstractNumId w:val="29"/>
  </w:num>
  <w:num w:numId="48">
    <w:abstractNumId w:val="24"/>
  </w:num>
  <w:num w:numId="49">
    <w:abstractNumId w:val="20"/>
  </w:num>
  <w:num w:numId="50">
    <w:abstractNumId w:val="20"/>
    <w:lvlOverride w:ilvl="0">
      <w:lvl w:ilvl="0">
        <w:start w:val="1"/>
        <w:numFmt w:val="bullet"/>
        <w:pStyle w:val="ListBullet"/>
        <w:lvlText w:val=""/>
        <w:lvlJc w:val="left"/>
        <w:pPr>
          <w:tabs>
            <w:tab w:val="num" w:pos="3686"/>
          </w:tabs>
          <w:ind w:left="3629" w:hanging="227"/>
        </w:pPr>
        <w:rPr>
          <w:rFonts w:ascii="Symbol" w:hAnsi="Symbol" w:hint="default"/>
          <w:b w:val="0"/>
          <w:i w:val="0"/>
          <w:color w:val="0D0D0D"/>
          <w:sz w:val="24"/>
        </w:rPr>
      </w:lvl>
    </w:lvlOverride>
    <w:lvlOverride w:ilvl="1">
      <w:lvl w:ilvl="1">
        <w:start w:val="1"/>
        <w:numFmt w:val="bullet"/>
        <w:pStyle w:val="ListBullet2"/>
        <w:lvlText w:val="o"/>
        <w:lvlJc w:val="left"/>
        <w:pPr>
          <w:tabs>
            <w:tab w:val="num" w:pos="1440"/>
          </w:tabs>
          <w:ind w:left="1440" w:hanging="360"/>
        </w:pPr>
        <w:rPr>
          <w:rFonts w:ascii="Courier New" w:hAnsi="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stylePaneSortMethod w:val="0000"/>
  <w:defaultTabStop w:val="720"/>
  <w:drawingGridHorizontalSpacing w:val="110"/>
  <w:displayHorizontalDrawingGridEvery w:val="2"/>
  <w:characterSpacingControl w:val="doNotCompress"/>
  <w:hdrShapeDefaults>
    <o:shapedefaults v:ext="edit" spidmax="16385">
      <o:colormru v:ext="edit" colors="#5c3b00,#652d90,#54b948,#e31837,#f4dc00,#0069aa,#25831c,#1c6215"/>
    </o:shapedefaults>
  </w:hdrShapeDefaults>
  <w:footnotePr>
    <w:footnote w:id="-1"/>
    <w:footnote w:id="0"/>
  </w:footnotePr>
  <w:endnotePr>
    <w:pos w:val="sectEnd"/>
    <w:numFmt w:val="lowerLetter"/>
    <w:numRestart w:val="eachSect"/>
    <w:endnote w:id="-1"/>
    <w:endnote w:id="0"/>
  </w:endnotePr>
  <w:compat/>
  <w:docVars>
    <w:docVar w:name="_AMO_XmlVersion" w:val="Empty"/>
  </w:docVars>
  <w:rsids>
    <w:rsidRoot w:val="00144C8F"/>
    <w:rsid w:val="000031E9"/>
    <w:rsid w:val="0000435F"/>
    <w:rsid w:val="00010CB8"/>
    <w:rsid w:val="000118EC"/>
    <w:rsid w:val="0001310E"/>
    <w:rsid w:val="0001497B"/>
    <w:rsid w:val="0002108D"/>
    <w:rsid w:val="00021ADC"/>
    <w:rsid w:val="00022451"/>
    <w:rsid w:val="00026976"/>
    <w:rsid w:val="0003036A"/>
    <w:rsid w:val="00033A13"/>
    <w:rsid w:val="00035B82"/>
    <w:rsid w:val="00036849"/>
    <w:rsid w:val="000368F6"/>
    <w:rsid w:val="000421A0"/>
    <w:rsid w:val="000421F4"/>
    <w:rsid w:val="00044817"/>
    <w:rsid w:val="00046F1D"/>
    <w:rsid w:val="00047AFE"/>
    <w:rsid w:val="00051078"/>
    <w:rsid w:val="0005152B"/>
    <w:rsid w:val="000520BA"/>
    <w:rsid w:val="0005475E"/>
    <w:rsid w:val="0005490E"/>
    <w:rsid w:val="00062EFD"/>
    <w:rsid w:val="00064F4B"/>
    <w:rsid w:val="00066773"/>
    <w:rsid w:val="0006708E"/>
    <w:rsid w:val="00073D36"/>
    <w:rsid w:val="00074712"/>
    <w:rsid w:val="0007488A"/>
    <w:rsid w:val="00074E16"/>
    <w:rsid w:val="00091527"/>
    <w:rsid w:val="000939E8"/>
    <w:rsid w:val="00096CB8"/>
    <w:rsid w:val="000A534B"/>
    <w:rsid w:val="000A5DCA"/>
    <w:rsid w:val="000A5DE0"/>
    <w:rsid w:val="000A6B18"/>
    <w:rsid w:val="000A773F"/>
    <w:rsid w:val="000B0ADD"/>
    <w:rsid w:val="000B1637"/>
    <w:rsid w:val="000B3482"/>
    <w:rsid w:val="000B461E"/>
    <w:rsid w:val="000B7DC6"/>
    <w:rsid w:val="000C1ABF"/>
    <w:rsid w:val="000C2B58"/>
    <w:rsid w:val="000C416A"/>
    <w:rsid w:val="000D02EC"/>
    <w:rsid w:val="000D3382"/>
    <w:rsid w:val="000D4B0B"/>
    <w:rsid w:val="000D575C"/>
    <w:rsid w:val="000D5F3A"/>
    <w:rsid w:val="000E1845"/>
    <w:rsid w:val="000E1C3C"/>
    <w:rsid w:val="000F1DD0"/>
    <w:rsid w:val="000F3B1B"/>
    <w:rsid w:val="00104155"/>
    <w:rsid w:val="00104367"/>
    <w:rsid w:val="001105ED"/>
    <w:rsid w:val="0011186B"/>
    <w:rsid w:val="00113AEF"/>
    <w:rsid w:val="00113EA3"/>
    <w:rsid w:val="00114937"/>
    <w:rsid w:val="00121224"/>
    <w:rsid w:val="001228F6"/>
    <w:rsid w:val="001230D5"/>
    <w:rsid w:val="00123603"/>
    <w:rsid w:val="001246E1"/>
    <w:rsid w:val="00126093"/>
    <w:rsid w:val="00127E0E"/>
    <w:rsid w:val="001328C9"/>
    <w:rsid w:val="001329BC"/>
    <w:rsid w:val="00135F50"/>
    <w:rsid w:val="00136A17"/>
    <w:rsid w:val="00137267"/>
    <w:rsid w:val="00141FA3"/>
    <w:rsid w:val="00144C8F"/>
    <w:rsid w:val="00147424"/>
    <w:rsid w:val="00152982"/>
    <w:rsid w:val="00153407"/>
    <w:rsid w:val="001539DE"/>
    <w:rsid w:val="00157E5D"/>
    <w:rsid w:val="00162B12"/>
    <w:rsid w:val="00164AF4"/>
    <w:rsid w:val="001727FF"/>
    <w:rsid w:val="00176B4B"/>
    <w:rsid w:val="00176F5B"/>
    <w:rsid w:val="00177933"/>
    <w:rsid w:val="0018179B"/>
    <w:rsid w:val="001850B1"/>
    <w:rsid w:val="001854B2"/>
    <w:rsid w:val="00185AF8"/>
    <w:rsid w:val="0018748E"/>
    <w:rsid w:val="00191ED2"/>
    <w:rsid w:val="00195D94"/>
    <w:rsid w:val="00197915"/>
    <w:rsid w:val="001A020C"/>
    <w:rsid w:val="001A2C18"/>
    <w:rsid w:val="001A4220"/>
    <w:rsid w:val="001A46C8"/>
    <w:rsid w:val="001A5A14"/>
    <w:rsid w:val="001A6165"/>
    <w:rsid w:val="001A6BD0"/>
    <w:rsid w:val="001A7E6B"/>
    <w:rsid w:val="001B376D"/>
    <w:rsid w:val="001B425F"/>
    <w:rsid w:val="001B5495"/>
    <w:rsid w:val="001B7AD2"/>
    <w:rsid w:val="001C0BEF"/>
    <w:rsid w:val="001C417F"/>
    <w:rsid w:val="001C4EDF"/>
    <w:rsid w:val="001C4F80"/>
    <w:rsid w:val="001C6F44"/>
    <w:rsid w:val="001C7EB2"/>
    <w:rsid w:val="001D555C"/>
    <w:rsid w:val="001D5EC5"/>
    <w:rsid w:val="001D7451"/>
    <w:rsid w:val="001E0CBA"/>
    <w:rsid w:val="001E1906"/>
    <w:rsid w:val="001E3283"/>
    <w:rsid w:val="001E38FD"/>
    <w:rsid w:val="001E3A43"/>
    <w:rsid w:val="001E6261"/>
    <w:rsid w:val="001E7248"/>
    <w:rsid w:val="001F0892"/>
    <w:rsid w:val="001F120F"/>
    <w:rsid w:val="001F2D72"/>
    <w:rsid w:val="001F70F1"/>
    <w:rsid w:val="00201752"/>
    <w:rsid w:val="00201FC5"/>
    <w:rsid w:val="002027EE"/>
    <w:rsid w:val="00204948"/>
    <w:rsid w:val="00205BBD"/>
    <w:rsid w:val="00214A53"/>
    <w:rsid w:val="00220C44"/>
    <w:rsid w:val="00221138"/>
    <w:rsid w:val="002243C2"/>
    <w:rsid w:val="00224676"/>
    <w:rsid w:val="00225A7D"/>
    <w:rsid w:val="00233C94"/>
    <w:rsid w:val="00234345"/>
    <w:rsid w:val="0023610F"/>
    <w:rsid w:val="00236E75"/>
    <w:rsid w:val="002426C7"/>
    <w:rsid w:val="00243BD4"/>
    <w:rsid w:val="0024454B"/>
    <w:rsid w:val="002450A7"/>
    <w:rsid w:val="00245EF5"/>
    <w:rsid w:val="002478E4"/>
    <w:rsid w:val="00252165"/>
    <w:rsid w:val="00252A48"/>
    <w:rsid w:val="00253C8B"/>
    <w:rsid w:val="0025677B"/>
    <w:rsid w:val="00261F27"/>
    <w:rsid w:val="00262265"/>
    <w:rsid w:val="00263209"/>
    <w:rsid w:val="002647F2"/>
    <w:rsid w:val="00264AB7"/>
    <w:rsid w:val="00264F0B"/>
    <w:rsid w:val="0026585A"/>
    <w:rsid w:val="00265936"/>
    <w:rsid w:val="00267FEC"/>
    <w:rsid w:val="0027242D"/>
    <w:rsid w:val="00273043"/>
    <w:rsid w:val="00276E15"/>
    <w:rsid w:val="0028210D"/>
    <w:rsid w:val="0029166A"/>
    <w:rsid w:val="00292793"/>
    <w:rsid w:val="00295015"/>
    <w:rsid w:val="002964C5"/>
    <w:rsid w:val="002A1404"/>
    <w:rsid w:val="002A15C0"/>
    <w:rsid w:val="002A4D39"/>
    <w:rsid w:val="002A5E6C"/>
    <w:rsid w:val="002A62A6"/>
    <w:rsid w:val="002B2E16"/>
    <w:rsid w:val="002B5B0B"/>
    <w:rsid w:val="002B7014"/>
    <w:rsid w:val="002C4518"/>
    <w:rsid w:val="002C6198"/>
    <w:rsid w:val="002C70DA"/>
    <w:rsid w:val="002D0408"/>
    <w:rsid w:val="002D1EDF"/>
    <w:rsid w:val="002D3A51"/>
    <w:rsid w:val="002D5012"/>
    <w:rsid w:val="002D5346"/>
    <w:rsid w:val="002D61AC"/>
    <w:rsid w:val="002E2633"/>
    <w:rsid w:val="002E2639"/>
    <w:rsid w:val="002E26ED"/>
    <w:rsid w:val="002E3A74"/>
    <w:rsid w:val="002E4AF2"/>
    <w:rsid w:val="002E7151"/>
    <w:rsid w:val="002E7DFC"/>
    <w:rsid w:val="002F04DA"/>
    <w:rsid w:val="002F1F69"/>
    <w:rsid w:val="002F4AC1"/>
    <w:rsid w:val="002F555D"/>
    <w:rsid w:val="00300AC0"/>
    <w:rsid w:val="003033A3"/>
    <w:rsid w:val="00305225"/>
    <w:rsid w:val="003059D8"/>
    <w:rsid w:val="003114B0"/>
    <w:rsid w:val="0031426C"/>
    <w:rsid w:val="00314776"/>
    <w:rsid w:val="0031740A"/>
    <w:rsid w:val="0032591D"/>
    <w:rsid w:val="003272FB"/>
    <w:rsid w:val="003273B6"/>
    <w:rsid w:val="00327DAB"/>
    <w:rsid w:val="00332F04"/>
    <w:rsid w:val="00335ACA"/>
    <w:rsid w:val="0033670B"/>
    <w:rsid w:val="003448C1"/>
    <w:rsid w:val="00346307"/>
    <w:rsid w:val="00347022"/>
    <w:rsid w:val="00347251"/>
    <w:rsid w:val="003478AC"/>
    <w:rsid w:val="00354200"/>
    <w:rsid w:val="00355E8D"/>
    <w:rsid w:val="0036083F"/>
    <w:rsid w:val="00361628"/>
    <w:rsid w:val="00364EBF"/>
    <w:rsid w:val="00373C08"/>
    <w:rsid w:val="00376309"/>
    <w:rsid w:val="003771F8"/>
    <w:rsid w:val="003800B5"/>
    <w:rsid w:val="003804AD"/>
    <w:rsid w:val="00380C11"/>
    <w:rsid w:val="0038181E"/>
    <w:rsid w:val="00383BE0"/>
    <w:rsid w:val="00383E96"/>
    <w:rsid w:val="00384935"/>
    <w:rsid w:val="0038772F"/>
    <w:rsid w:val="003923C1"/>
    <w:rsid w:val="00393040"/>
    <w:rsid w:val="0039389C"/>
    <w:rsid w:val="00394081"/>
    <w:rsid w:val="003954E1"/>
    <w:rsid w:val="003969C9"/>
    <w:rsid w:val="00397A82"/>
    <w:rsid w:val="003A0027"/>
    <w:rsid w:val="003A14D2"/>
    <w:rsid w:val="003A25E7"/>
    <w:rsid w:val="003A2ED9"/>
    <w:rsid w:val="003A44A9"/>
    <w:rsid w:val="003A4C92"/>
    <w:rsid w:val="003A4F5B"/>
    <w:rsid w:val="003B06E7"/>
    <w:rsid w:val="003B11E7"/>
    <w:rsid w:val="003C06A7"/>
    <w:rsid w:val="003C29C4"/>
    <w:rsid w:val="003C30DB"/>
    <w:rsid w:val="003C3761"/>
    <w:rsid w:val="003C3AAC"/>
    <w:rsid w:val="003C421D"/>
    <w:rsid w:val="003C6935"/>
    <w:rsid w:val="003D08ED"/>
    <w:rsid w:val="003D133A"/>
    <w:rsid w:val="003D1C95"/>
    <w:rsid w:val="003D1E31"/>
    <w:rsid w:val="003D2035"/>
    <w:rsid w:val="003E5488"/>
    <w:rsid w:val="003E54C6"/>
    <w:rsid w:val="003E679E"/>
    <w:rsid w:val="003E6A9C"/>
    <w:rsid w:val="003F4297"/>
    <w:rsid w:val="003F5A12"/>
    <w:rsid w:val="003F6172"/>
    <w:rsid w:val="003F7EF3"/>
    <w:rsid w:val="004044AB"/>
    <w:rsid w:val="00407A6A"/>
    <w:rsid w:val="00412569"/>
    <w:rsid w:val="00412A5C"/>
    <w:rsid w:val="00414E96"/>
    <w:rsid w:val="0041735A"/>
    <w:rsid w:val="00423D95"/>
    <w:rsid w:val="004251EB"/>
    <w:rsid w:val="00426876"/>
    <w:rsid w:val="00430322"/>
    <w:rsid w:val="00432357"/>
    <w:rsid w:val="00433253"/>
    <w:rsid w:val="00434A33"/>
    <w:rsid w:val="004358C1"/>
    <w:rsid w:val="00443E1B"/>
    <w:rsid w:val="00443EA2"/>
    <w:rsid w:val="00444103"/>
    <w:rsid w:val="004463E1"/>
    <w:rsid w:val="004465F7"/>
    <w:rsid w:val="00447B10"/>
    <w:rsid w:val="00447ED7"/>
    <w:rsid w:val="00452587"/>
    <w:rsid w:val="004535B6"/>
    <w:rsid w:val="00454D8A"/>
    <w:rsid w:val="00454F7C"/>
    <w:rsid w:val="00460CE9"/>
    <w:rsid w:val="004633D6"/>
    <w:rsid w:val="00466FBF"/>
    <w:rsid w:val="0046773D"/>
    <w:rsid w:val="00471379"/>
    <w:rsid w:val="00471DEE"/>
    <w:rsid w:val="00473692"/>
    <w:rsid w:val="00474FF9"/>
    <w:rsid w:val="00476D72"/>
    <w:rsid w:val="00482238"/>
    <w:rsid w:val="004824BA"/>
    <w:rsid w:val="004844AC"/>
    <w:rsid w:val="00484740"/>
    <w:rsid w:val="0048519A"/>
    <w:rsid w:val="00485F7C"/>
    <w:rsid w:val="0048718B"/>
    <w:rsid w:val="00490E73"/>
    <w:rsid w:val="00491C4C"/>
    <w:rsid w:val="00492987"/>
    <w:rsid w:val="004948D6"/>
    <w:rsid w:val="00495C86"/>
    <w:rsid w:val="004A1382"/>
    <w:rsid w:val="004A1CC2"/>
    <w:rsid w:val="004A3F3B"/>
    <w:rsid w:val="004A4F9F"/>
    <w:rsid w:val="004A55EB"/>
    <w:rsid w:val="004A680A"/>
    <w:rsid w:val="004B036A"/>
    <w:rsid w:val="004B1E23"/>
    <w:rsid w:val="004B4334"/>
    <w:rsid w:val="004B4822"/>
    <w:rsid w:val="004B51D9"/>
    <w:rsid w:val="004C0EB4"/>
    <w:rsid w:val="004C142E"/>
    <w:rsid w:val="004C19E6"/>
    <w:rsid w:val="004C3DF4"/>
    <w:rsid w:val="004C55E2"/>
    <w:rsid w:val="004D0045"/>
    <w:rsid w:val="004D00AB"/>
    <w:rsid w:val="004D0347"/>
    <w:rsid w:val="004D1BCB"/>
    <w:rsid w:val="004D3C42"/>
    <w:rsid w:val="004E0A81"/>
    <w:rsid w:val="004E1D12"/>
    <w:rsid w:val="004E41D1"/>
    <w:rsid w:val="004E791F"/>
    <w:rsid w:val="004F1E17"/>
    <w:rsid w:val="004F3408"/>
    <w:rsid w:val="004F35EC"/>
    <w:rsid w:val="004F47EE"/>
    <w:rsid w:val="004F6A70"/>
    <w:rsid w:val="00503EFB"/>
    <w:rsid w:val="00505278"/>
    <w:rsid w:val="005074FE"/>
    <w:rsid w:val="00510013"/>
    <w:rsid w:val="00512AC7"/>
    <w:rsid w:val="0051655B"/>
    <w:rsid w:val="00516AEA"/>
    <w:rsid w:val="005220E1"/>
    <w:rsid w:val="0052355D"/>
    <w:rsid w:val="0052645B"/>
    <w:rsid w:val="0052730D"/>
    <w:rsid w:val="00530524"/>
    <w:rsid w:val="0053137C"/>
    <w:rsid w:val="00535FBE"/>
    <w:rsid w:val="005410AF"/>
    <w:rsid w:val="005472E8"/>
    <w:rsid w:val="005479B9"/>
    <w:rsid w:val="005529EB"/>
    <w:rsid w:val="00553440"/>
    <w:rsid w:val="00557E6A"/>
    <w:rsid w:val="0056447E"/>
    <w:rsid w:val="005678C1"/>
    <w:rsid w:val="005739AC"/>
    <w:rsid w:val="00575215"/>
    <w:rsid w:val="00577ADE"/>
    <w:rsid w:val="00583F6C"/>
    <w:rsid w:val="005845DE"/>
    <w:rsid w:val="0058461A"/>
    <w:rsid w:val="0058539A"/>
    <w:rsid w:val="00587A98"/>
    <w:rsid w:val="00587E44"/>
    <w:rsid w:val="00590C62"/>
    <w:rsid w:val="005918C2"/>
    <w:rsid w:val="00593A05"/>
    <w:rsid w:val="00595335"/>
    <w:rsid w:val="00595933"/>
    <w:rsid w:val="005968CF"/>
    <w:rsid w:val="005A01BA"/>
    <w:rsid w:val="005A1042"/>
    <w:rsid w:val="005A1D40"/>
    <w:rsid w:val="005A65E4"/>
    <w:rsid w:val="005A773D"/>
    <w:rsid w:val="005A7D37"/>
    <w:rsid w:val="005A7D73"/>
    <w:rsid w:val="005B0C5E"/>
    <w:rsid w:val="005B18B1"/>
    <w:rsid w:val="005B2FC1"/>
    <w:rsid w:val="005B3936"/>
    <w:rsid w:val="005B4381"/>
    <w:rsid w:val="005B6497"/>
    <w:rsid w:val="005C0F02"/>
    <w:rsid w:val="005C2F00"/>
    <w:rsid w:val="005C39D7"/>
    <w:rsid w:val="005C4F1E"/>
    <w:rsid w:val="005C7767"/>
    <w:rsid w:val="005D3315"/>
    <w:rsid w:val="005D35F7"/>
    <w:rsid w:val="005D4285"/>
    <w:rsid w:val="005D4D5C"/>
    <w:rsid w:val="005D600E"/>
    <w:rsid w:val="005D62BC"/>
    <w:rsid w:val="005E35CA"/>
    <w:rsid w:val="005E50D1"/>
    <w:rsid w:val="005E63C2"/>
    <w:rsid w:val="005F02CC"/>
    <w:rsid w:val="005F433F"/>
    <w:rsid w:val="00601802"/>
    <w:rsid w:val="00602EAD"/>
    <w:rsid w:val="00605597"/>
    <w:rsid w:val="006062A2"/>
    <w:rsid w:val="00606418"/>
    <w:rsid w:val="00610CF2"/>
    <w:rsid w:val="006156B0"/>
    <w:rsid w:val="00620F02"/>
    <w:rsid w:val="00620F63"/>
    <w:rsid w:val="006212E1"/>
    <w:rsid w:val="00622734"/>
    <w:rsid w:val="00622864"/>
    <w:rsid w:val="00625E38"/>
    <w:rsid w:val="00626681"/>
    <w:rsid w:val="00631B48"/>
    <w:rsid w:val="006323D0"/>
    <w:rsid w:val="00642507"/>
    <w:rsid w:val="00642F0E"/>
    <w:rsid w:val="0065286A"/>
    <w:rsid w:val="0065539A"/>
    <w:rsid w:val="00655B29"/>
    <w:rsid w:val="006566FD"/>
    <w:rsid w:val="006623F5"/>
    <w:rsid w:val="00664DC1"/>
    <w:rsid w:val="0066541D"/>
    <w:rsid w:val="006705A7"/>
    <w:rsid w:val="00671E0A"/>
    <w:rsid w:val="00672D42"/>
    <w:rsid w:val="0067435A"/>
    <w:rsid w:val="006764AD"/>
    <w:rsid w:val="00676CA4"/>
    <w:rsid w:val="006776E8"/>
    <w:rsid w:val="00680A71"/>
    <w:rsid w:val="006820F8"/>
    <w:rsid w:val="006821F3"/>
    <w:rsid w:val="0068506E"/>
    <w:rsid w:val="00691935"/>
    <w:rsid w:val="00693DF8"/>
    <w:rsid w:val="00695207"/>
    <w:rsid w:val="00695682"/>
    <w:rsid w:val="006A0A1E"/>
    <w:rsid w:val="006A3D31"/>
    <w:rsid w:val="006A40CA"/>
    <w:rsid w:val="006A714D"/>
    <w:rsid w:val="006B4F81"/>
    <w:rsid w:val="006B55D5"/>
    <w:rsid w:val="006B61BA"/>
    <w:rsid w:val="006B776E"/>
    <w:rsid w:val="006C1B5C"/>
    <w:rsid w:val="006C431D"/>
    <w:rsid w:val="006C633C"/>
    <w:rsid w:val="006D0990"/>
    <w:rsid w:val="006D2376"/>
    <w:rsid w:val="006D2A22"/>
    <w:rsid w:val="006D59A1"/>
    <w:rsid w:val="006D6DE7"/>
    <w:rsid w:val="006E4629"/>
    <w:rsid w:val="006E4CFF"/>
    <w:rsid w:val="006F1125"/>
    <w:rsid w:val="006F27DA"/>
    <w:rsid w:val="006F4A06"/>
    <w:rsid w:val="006F4CEA"/>
    <w:rsid w:val="006F4EBB"/>
    <w:rsid w:val="006F63D3"/>
    <w:rsid w:val="00700153"/>
    <w:rsid w:val="007005C0"/>
    <w:rsid w:val="007013C7"/>
    <w:rsid w:val="00701787"/>
    <w:rsid w:val="007026F5"/>
    <w:rsid w:val="00704F3E"/>
    <w:rsid w:val="00707F68"/>
    <w:rsid w:val="007116F7"/>
    <w:rsid w:val="007125C8"/>
    <w:rsid w:val="00712BBA"/>
    <w:rsid w:val="0071355B"/>
    <w:rsid w:val="00714C1D"/>
    <w:rsid w:val="00716CFD"/>
    <w:rsid w:val="007234C7"/>
    <w:rsid w:val="007243B5"/>
    <w:rsid w:val="007257C8"/>
    <w:rsid w:val="00727AF5"/>
    <w:rsid w:val="00732467"/>
    <w:rsid w:val="00734259"/>
    <w:rsid w:val="00735E66"/>
    <w:rsid w:val="00741B93"/>
    <w:rsid w:val="007451AD"/>
    <w:rsid w:val="007454C2"/>
    <w:rsid w:val="00746C6D"/>
    <w:rsid w:val="007470A7"/>
    <w:rsid w:val="00747DE7"/>
    <w:rsid w:val="00755B41"/>
    <w:rsid w:val="007604B4"/>
    <w:rsid w:val="00761FBB"/>
    <w:rsid w:val="007700E5"/>
    <w:rsid w:val="00771F84"/>
    <w:rsid w:val="00772A21"/>
    <w:rsid w:val="007734CC"/>
    <w:rsid w:val="00773D24"/>
    <w:rsid w:val="00775BB1"/>
    <w:rsid w:val="00776B14"/>
    <w:rsid w:val="00777203"/>
    <w:rsid w:val="00786DC2"/>
    <w:rsid w:val="00790AF9"/>
    <w:rsid w:val="00791F98"/>
    <w:rsid w:val="007A0864"/>
    <w:rsid w:val="007A2AFB"/>
    <w:rsid w:val="007A36A8"/>
    <w:rsid w:val="007A3C92"/>
    <w:rsid w:val="007A531E"/>
    <w:rsid w:val="007A7D1B"/>
    <w:rsid w:val="007B234C"/>
    <w:rsid w:val="007B3CFC"/>
    <w:rsid w:val="007B7C36"/>
    <w:rsid w:val="007C486B"/>
    <w:rsid w:val="007C54F6"/>
    <w:rsid w:val="007C74AE"/>
    <w:rsid w:val="007D013A"/>
    <w:rsid w:val="007D0773"/>
    <w:rsid w:val="007D2F13"/>
    <w:rsid w:val="007D3962"/>
    <w:rsid w:val="007D5886"/>
    <w:rsid w:val="007D77C2"/>
    <w:rsid w:val="007D7CEE"/>
    <w:rsid w:val="007E03D4"/>
    <w:rsid w:val="007E2607"/>
    <w:rsid w:val="007E358E"/>
    <w:rsid w:val="007E514E"/>
    <w:rsid w:val="007E7366"/>
    <w:rsid w:val="007F13DE"/>
    <w:rsid w:val="007F3240"/>
    <w:rsid w:val="007F3349"/>
    <w:rsid w:val="007F43CB"/>
    <w:rsid w:val="007F6461"/>
    <w:rsid w:val="0080171F"/>
    <w:rsid w:val="00801FE9"/>
    <w:rsid w:val="00802E1B"/>
    <w:rsid w:val="00803814"/>
    <w:rsid w:val="00805E31"/>
    <w:rsid w:val="00813BCD"/>
    <w:rsid w:val="00820DEB"/>
    <w:rsid w:val="00822767"/>
    <w:rsid w:val="00823F36"/>
    <w:rsid w:val="008240FF"/>
    <w:rsid w:val="00826996"/>
    <w:rsid w:val="0083197E"/>
    <w:rsid w:val="008429C6"/>
    <w:rsid w:val="00844BB2"/>
    <w:rsid w:val="008508B8"/>
    <w:rsid w:val="00853832"/>
    <w:rsid w:val="0085586A"/>
    <w:rsid w:val="0085654C"/>
    <w:rsid w:val="008602EA"/>
    <w:rsid w:val="008622D9"/>
    <w:rsid w:val="008638B8"/>
    <w:rsid w:val="00865245"/>
    <w:rsid w:val="00865B38"/>
    <w:rsid w:val="0086638D"/>
    <w:rsid w:val="00873FDC"/>
    <w:rsid w:val="00880AFA"/>
    <w:rsid w:val="00881C87"/>
    <w:rsid w:val="00883E0E"/>
    <w:rsid w:val="008851B3"/>
    <w:rsid w:val="00886A3D"/>
    <w:rsid w:val="00892017"/>
    <w:rsid w:val="00894B9D"/>
    <w:rsid w:val="00897C99"/>
    <w:rsid w:val="008A21A9"/>
    <w:rsid w:val="008A2A9B"/>
    <w:rsid w:val="008A3748"/>
    <w:rsid w:val="008B37F0"/>
    <w:rsid w:val="008B41A7"/>
    <w:rsid w:val="008C155F"/>
    <w:rsid w:val="008C2829"/>
    <w:rsid w:val="008C5B61"/>
    <w:rsid w:val="008C68DA"/>
    <w:rsid w:val="008C6A5F"/>
    <w:rsid w:val="008D223A"/>
    <w:rsid w:val="008D58B6"/>
    <w:rsid w:val="008D6C08"/>
    <w:rsid w:val="008E0767"/>
    <w:rsid w:val="008E4604"/>
    <w:rsid w:val="008E49F5"/>
    <w:rsid w:val="008E6966"/>
    <w:rsid w:val="008E7353"/>
    <w:rsid w:val="008F4F71"/>
    <w:rsid w:val="008F58CF"/>
    <w:rsid w:val="008F5CEC"/>
    <w:rsid w:val="008F5D08"/>
    <w:rsid w:val="008F6949"/>
    <w:rsid w:val="009009AB"/>
    <w:rsid w:val="00901B1F"/>
    <w:rsid w:val="009045AE"/>
    <w:rsid w:val="0090519A"/>
    <w:rsid w:val="00907319"/>
    <w:rsid w:val="009076A6"/>
    <w:rsid w:val="00910AB5"/>
    <w:rsid w:val="00916494"/>
    <w:rsid w:val="00916733"/>
    <w:rsid w:val="0091766A"/>
    <w:rsid w:val="00923472"/>
    <w:rsid w:val="00924F52"/>
    <w:rsid w:val="009275C9"/>
    <w:rsid w:val="0093198F"/>
    <w:rsid w:val="00932025"/>
    <w:rsid w:val="00932FFE"/>
    <w:rsid w:val="00935179"/>
    <w:rsid w:val="009356C1"/>
    <w:rsid w:val="00937072"/>
    <w:rsid w:val="00940588"/>
    <w:rsid w:val="009418DF"/>
    <w:rsid w:val="009429FC"/>
    <w:rsid w:val="0094338A"/>
    <w:rsid w:val="00943988"/>
    <w:rsid w:val="00946EC6"/>
    <w:rsid w:val="00951848"/>
    <w:rsid w:val="009518D8"/>
    <w:rsid w:val="009531BD"/>
    <w:rsid w:val="009572E7"/>
    <w:rsid w:val="00960C2D"/>
    <w:rsid w:val="00961575"/>
    <w:rsid w:val="0096323A"/>
    <w:rsid w:val="00967BF3"/>
    <w:rsid w:val="009714C7"/>
    <w:rsid w:val="009718DF"/>
    <w:rsid w:val="00971DE6"/>
    <w:rsid w:val="009724FB"/>
    <w:rsid w:val="00974D38"/>
    <w:rsid w:val="00984928"/>
    <w:rsid w:val="00984F3C"/>
    <w:rsid w:val="00987367"/>
    <w:rsid w:val="0099014C"/>
    <w:rsid w:val="00992590"/>
    <w:rsid w:val="0099685C"/>
    <w:rsid w:val="00997C8C"/>
    <w:rsid w:val="009A3C49"/>
    <w:rsid w:val="009A4012"/>
    <w:rsid w:val="009A40F7"/>
    <w:rsid w:val="009A4DE0"/>
    <w:rsid w:val="009B2D5B"/>
    <w:rsid w:val="009B7363"/>
    <w:rsid w:val="009B7C62"/>
    <w:rsid w:val="009C0748"/>
    <w:rsid w:val="009C153B"/>
    <w:rsid w:val="009C1C12"/>
    <w:rsid w:val="009C33E9"/>
    <w:rsid w:val="009C741D"/>
    <w:rsid w:val="009D331C"/>
    <w:rsid w:val="009D3AE8"/>
    <w:rsid w:val="009D62CE"/>
    <w:rsid w:val="009E01A1"/>
    <w:rsid w:val="009E16C5"/>
    <w:rsid w:val="009E183D"/>
    <w:rsid w:val="009E7617"/>
    <w:rsid w:val="009E7C14"/>
    <w:rsid w:val="009F15D1"/>
    <w:rsid w:val="009F60A2"/>
    <w:rsid w:val="009F62FE"/>
    <w:rsid w:val="00A03340"/>
    <w:rsid w:val="00A05738"/>
    <w:rsid w:val="00A1009C"/>
    <w:rsid w:val="00A105AC"/>
    <w:rsid w:val="00A11772"/>
    <w:rsid w:val="00A12D47"/>
    <w:rsid w:val="00A13566"/>
    <w:rsid w:val="00A1402D"/>
    <w:rsid w:val="00A141FA"/>
    <w:rsid w:val="00A20871"/>
    <w:rsid w:val="00A22B77"/>
    <w:rsid w:val="00A22BC9"/>
    <w:rsid w:val="00A236D8"/>
    <w:rsid w:val="00A238F8"/>
    <w:rsid w:val="00A256B1"/>
    <w:rsid w:val="00A3013B"/>
    <w:rsid w:val="00A32476"/>
    <w:rsid w:val="00A34720"/>
    <w:rsid w:val="00A349BC"/>
    <w:rsid w:val="00A35408"/>
    <w:rsid w:val="00A36214"/>
    <w:rsid w:val="00A40007"/>
    <w:rsid w:val="00A450A8"/>
    <w:rsid w:val="00A47944"/>
    <w:rsid w:val="00A50577"/>
    <w:rsid w:val="00A5077B"/>
    <w:rsid w:val="00A5137B"/>
    <w:rsid w:val="00A5319A"/>
    <w:rsid w:val="00A53AAB"/>
    <w:rsid w:val="00A53BCD"/>
    <w:rsid w:val="00A540C4"/>
    <w:rsid w:val="00A553CC"/>
    <w:rsid w:val="00A561CD"/>
    <w:rsid w:val="00A62BA7"/>
    <w:rsid w:val="00A62C4A"/>
    <w:rsid w:val="00A63D51"/>
    <w:rsid w:val="00A64271"/>
    <w:rsid w:val="00A642BA"/>
    <w:rsid w:val="00A6541E"/>
    <w:rsid w:val="00A65A84"/>
    <w:rsid w:val="00A66B51"/>
    <w:rsid w:val="00A72B02"/>
    <w:rsid w:val="00A74022"/>
    <w:rsid w:val="00A744D7"/>
    <w:rsid w:val="00A80DC2"/>
    <w:rsid w:val="00A83BD8"/>
    <w:rsid w:val="00A842D3"/>
    <w:rsid w:val="00A878C5"/>
    <w:rsid w:val="00A9010B"/>
    <w:rsid w:val="00A92585"/>
    <w:rsid w:val="00A95218"/>
    <w:rsid w:val="00AA08DC"/>
    <w:rsid w:val="00AA0996"/>
    <w:rsid w:val="00AA1DD9"/>
    <w:rsid w:val="00AA2A62"/>
    <w:rsid w:val="00AA5248"/>
    <w:rsid w:val="00AA72E0"/>
    <w:rsid w:val="00AB19B3"/>
    <w:rsid w:val="00AB3F9D"/>
    <w:rsid w:val="00AB57EE"/>
    <w:rsid w:val="00AB7DD4"/>
    <w:rsid w:val="00AC1C10"/>
    <w:rsid w:val="00AC26B6"/>
    <w:rsid w:val="00AC4008"/>
    <w:rsid w:val="00AC447A"/>
    <w:rsid w:val="00AC66BA"/>
    <w:rsid w:val="00AC6EC3"/>
    <w:rsid w:val="00AC73D5"/>
    <w:rsid w:val="00AD1ED8"/>
    <w:rsid w:val="00AD2707"/>
    <w:rsid w:val="00AD5385"/>
    <w:rsid w:val="00AD69E9"/>
    <w:rsid w:val="00AD7191"/>
    <w:rsid w:val="00AD72BD"/>
    <w:rsid w:val="00AE27B3"/>
    <w:rsid w:val="00AE4A1A"/>
    <w:rsid w:val="00AF07A9"/>
    <w:rsid w:val="00AF30F2"/>
    <w:rsid w:val="00AF4070"/>
    <w:rsid w:val="00AF48F4"/>
    <w:rsid w:val="00AF4F33"/>
    <w:rsid w:val="00AF644C"/>
    <w:rsid w:val="00AF74B0"/>
    <w:rsid w:val="00B002EF"/>
    <w:rsid w:val="00B005E8"/>
    <w:rsid w:val="00B0244A"/>
    <w:rsid w:val="00B02DF6"/>
    <w:rsid w:val="00B04213"/>
    <w:rsid w:val="00B04814"/>
    <w:rsid w:val="00B05322"/>
    <w:rsid w:val="00B0547A"/>
    <w:rsid w:val="00B06D50"/>
    <w:rsid w:val="00B07C3C"/>
    <w:rsid w:val="00B105A7"/>
    <w:rsid w:val="00B133C6"/>
    <w:rsid w:val="00B16D51"/>
    <w:rsid w:val="00B20BF5"/>
    <w:rsid w:val="00B25128"/>
    <w:rsid w:val="00B2617E"/>
    <w:rsid w:val="00B26FC6"/>
    <w:rsid w:val="00B321D9"/>
    <w:rsid w:val="00B4074B"/>
    <w:rsid w:val="00B436D7"/>
    <w:rsid w:val="00B43EC6"/>
    <w:rsid w:val="00B463F1"/>
    <w:rsid w:val="00B5217D"/>
    <w:rsid w:val="00B571AA"/>
    <w:rsid w:val="00B57381"/>
    <w:rsid w:val="00B576A3"/>
    <w:rsid w:val="00B60312"/>
    <w:rsid w:val="00B6389E"/>
    <w:rsid w:val="00B6530E"/>
    <w:rsid w:val="00B67156"/>
    <w:rsid w:val="00B674ED"/>
    <w:rsid w:val="00B72037"/>
    <w:rsid w:val="00B75C5D"/>
    <w:rsid w:val="00B77361"/>
    <w:rsid w:val="00B8022B"/>
    <w:rsid w:val="00B81226"/>
    <w:rsid w:val="00B82324"/>
    <w:rsid w:val="00B8354C"/>
    <w:rsid w:val="00B847A0"/>
    <w:rsid w:val="00B8549D"/>
    <w:rsid w:val="00B861BA"/>
    <w:rsid w:val="00B87267"/>
    <w:rsid w:val="00B91909"/>
    <w:rsid w:val="00B922D9"/>
    <w:rsid w:val="00B92C76"/>
    <w:rsid w:val="00B95529"/>
    <w:rsid w:val="00B97978"/>
    <w:rsid w:val="00B97CF9"/>
    <w:rsid w:val="00BA144C"/>
    <w:rsid w:val="00BA37F4"/>
    <w:rsid w:val="00BA694D"/>
    <w:rsid w:val="00BB5D6F"/>
    <w:rsid w:val="00BB753C"/>
    <w:rsid w:val="00BC3292"/>
    <w:rsid w:val="00BC6BD9"/>
    <w:rsid w:val="00BE07FB"/>
    <w:rsid w:val="00BE32C3"/>
    <w:rsid w:val="00BE3CE8"/>
    <w:rsid w:val="00BE6C08"/>
    <w:rsid w:val="00BE7047"/>
    <w:rsid w:val="00BF24AD"/>
    <w:rsid w:val="00C02F36"/>
    <w:rsid w:val="00C13217"/>
    <w:rsid w:val="00C14793"/>
    <w:rsid w:val="00C17355"/>
    <w:rsid w:val="00C17689"/>
    <w:rsid w:val="00C179B0"/>
    <w:rsid w:val="00C20C26"/>
    <w:rsid w:val="00C21857"/>
    <w:rsid w:val="00C229D7"/>
    <w:rsid w:val="00C23440"/>
    <w:rsid w:val="00C24AB5"/>
    <w:rsid w:val="00C25F30"/>
    <w:rsid w:val="00C313F5"/>
    <w:rsid w:val="00C318C5"/>
    <w:rsid w:val="00C338A5"/>
    <w:rsid w:val="00C34350"/>
    <w:rsid w:val="00C3602F"/>
    <w:rsid w:val="00C37052"/>
    <w:rsid w:val="00C37D32"/>
    <w:rsid w:val="00C40E57"/>
    <w:rsid w:val="00C4424E"/>
    <w:rsid w:val="00C46AA7"/>
    <w:rsid w:val="00C46CDF"/>
    <w:rsid w:val="00C53CF4"/>
    <w:rsid w:val="00C53EAA"/>
    <w:rsid w:val="00C542C6"/>
    <w:rsid w:val="00C56D38"/>
    <w:rsid w:val="00C57075"/>
    <w:rsid w:val="00C60AD4"/>
    <w:rsid w:val="00C62D7A"/>
    <w:rsid w:val="00C65152"/>
    <w:rsid w:val="00C6604E"/>
    <w:rsid w:val="00C67A46"/>
    <w:rsid w:val="00C70776"/>
    <w:rsid w:val="00C720AE"/>
    <w:rsid w:val="00C72942"/>
    <w:rsid w:val="00C73ED4"/>
    <w:rsid w:val="00C81F58"/>
    <w:rsid w:val="00C82566"/>
    <w:rsid w:val="00C8491B"/>
    <w:rsid w:val="00C85601"/>
    <w:rsid w:val="00C86F3B"/>
    <w:rsid w:val="00C92F7F"/>
    <w:rsid w:val="00CB7F5F"/>
    <w:rsid w:val="00CC0541"/>
    <w:rsid w:val="00CD3FB7"/>
    <w:rsid w:val="00CD52A8"/>
    <w:rsid w:val="00CD6682"/>
    <w:rsid w:val="00CD6ADC"/>
    <w:rsid w:val="00CD751A"/>
    <w:rsid w:val="00CE56E7"/>
    <w:rsid w:val="00CF0D66"/>
    <w:rsid w:val="00CF1628"/>
    <w:rsid w:val="00CF4165"/>
    <w:rsid w:val="00CF6752"/>
    <w:rsid w:val="00CF6DDC"/>
    <w:rsid w:val="00D0026B"/>
    <w:rsid w:val="00D02C29"/>
    <w:rsid w:val="00D04401"/>
    <w:rsid w:val="00D04C8C"/>
    <w:rsid w:val="00D07125"/>
    <w:rsid w:val="00D12A47"/>
    <w:rsid w:val="00D17DBB"/>
    <w:rsid w:val="00D212BC"/>
    <w:rsid w:val="00D26525"/>
    <w:rsid w:val="00D314CF"/>
    <w:rsid w:val="00D31970"/>
    <w:rsid w:val="00D3329A"/>
    <w:rsid w:val="00D33714"/>
    <w:rsid w:val="00D343D2"/>
    <w:rsid w:val="00D348E0"/>
    <w:rsid w:val="00D35990"/>
    <w:rsid w:val="00D363A9"/>
    <w:rsid w:val="00D40372"/>
    <w:rsid w:val="00D519E1"/>
    <w:rsid w:val="00D547FC"/>
    <w:rsid w:val="00D54EFF"/>
    <w:rsid w:val="00D5580B"/>
    <w:rsid w:val="00D55933"/>
    <w:rsid w:val="00D5617E"/>
    <w:rsid w:val="00D61F93"/>
    <w:rsid w:val="00D63983"/>
    <w:rsid w:val="00D66323"/>
    <w:rsid w:val="00D66B4A"/>
    <w:rsid w:val="00D709AC"/>
    <w:rsid w:val="00D73296"/>
    <w:rsid w:val="00D75863"/>
    <w:rsid w:val="00D76C2A"/>
    <w:rsid w:val="00D8163E"/>
    <w:rsid w:val="00D83C00"/>
    <w:rsid w:val="00D863DB"/>
    <w:rsid w:val="00D8734E"/>
    <w:rsid w:val="00D87B70"/>
    <w:rsid w:val="00D935C4"/>
    <w:rsid w:val="00D94BF5"/>
    <w:rsid w:val="00D95A50"/>
    <w:rsid w:val="00D96CAA"/>
    <w:rsid w:val="00D9712D"/>
    <w:rsid w:val="00DC00B5"/>
    <w:rsid w:val="00DC0802"/>
    <w:rsid w:val="00DC0F71"/>
    <w:rsid w:val="00DC7489"/>
    <w:rsid w:val="00DD104E"/>
    <w:rsid w:val="00DD5B25"/>
    <w:rsid w:val="00DE22BE"/>
    <w:rsid w:val="00DE2585"/>
    <w:rsid w:val="00DE2CEF"/>
    <w:rsid w:val="00DE53F7"/>
    <w:rsid w:val="00DE57CE"/>
    <w:rsid w:val="00DF1A3D"/>
    <w:rsid w:val="00DF513C"/>
    <w:rsid w:val="00E01703"/>
    <w:rsid w:val="00E03ADE"/>
    <w:rsid w:val="00E12C88"/>
    <w:rsid w:val="00E15A67"/>
    <w:rsid w:val="00E17417"/>
    <w:rsid w:val="00E17A60"/>
    <w:rsid w:val="00E215BB"/>
    <w:rsid w:val="00E22AFE"/>
    <w:rsid w:val="00E22D32"/>
    <w:rsid w:val="00E24896"/>
    <w:rsid w:val="00E273D3"/>
    <w:rsid w:val="00E27C1D"/>
    <w:rsid w:val="00E27DFF"/>
    <w:rsid w:val="00E32A1C"/>
    <w:rsid w:val="00E36E69"/>
    <w:rsid w:val="00E40ABD"/>
    <w:rsid w:val="00E42F6A"/>
    <w:rsid w:val="00E4348F"/>
    <w:rsid w:val="00E437D0"/>
    <w:rsid w:val="00E43BB8"/>
    <w:rsid w:val="00E44676"/>
    <w:rsid w:val="00E44DC3"/>
    <w:rsid w:val="00E46A28"/>
    <w:rsid w:val="00E47009"/>
    <w:rsid w:val="00E47437"/>
    <w:rsid w:val="00E52380"/>
    <w:rsid w:val="00E55491"/>
    <w:rsid w:val="00E56CEE"/>
    <w:rsid w:val="00E56E2F"/>
    <w:rsid w:val="00E61779"/>
    <w:rsid w:val="00E61F3A"/>
    <w:rsid w:val="00E62FF5"/>
    <w:rsid w:val="00E64A78"/>
    <w:rsid w:val="00E650F7"/>
    <w:rsid w:val="00E66006"/>
    <w:rsid w:val="00E72DAA"/>
    <w:rsid w:val="00E73152"/>
    <w:rsid w:val="00E81033"/>
    <w:rsid w:val="00E81613"/>
    <w:rsid w:val="00E873AE"/>
    <w:rsid w:val="00E93E99"/>
    <w:rsid w:val="00E963C4"/>
    <w:rsid w:val="00EA0799"/>
    <w:rsid w:val="00EA4EED"/>
    <w:rsid w:val="00EA59C1"/>
    <w:rsid w:val="00EB150F"/>
    <w:rsid w:val="00EB1614"/>
    <w:rsid w:val="00EB1BA7"/>
    <w:rsid w:val="00EB35ED"/>
    <w:rsid w:val="00EB40E0"/>
    <w:rsid w:val="00EB56B3"/>
    <w:rsid w:val="00EC0DC9"/>
    <w:rsid w:val="00EC2ACF"/>
    <w:rsid w:val="00EC34B4"/>
    <w:rsid w:val="00EC40EC"/>
    <w:rsid w:val="00EC4767"/>
    <w:rsid w:val="00EC7CFC"/>
    <w:rsid w:val="00ED16E0"/>
    <w:rsid w:val="00ED4360"/>
    <w:rsid w:val="00EE06CE"/>
    <w:rsid w:val="00EE0F1E"/>
    <w:rsid w:val="00EE251D"/>
    <w:rsid w:val="00EF1D64"/>
    <w:rsid w:val="00EF2BF6"/>
    <w:rsid w:val="00EF3975"/>
    <w:rsid w:val="00EF45B4"/>
    <w:rsid w:val="00EF7B22"/>
    <w:rsid w:val="00F0167B"/>
    <w:rsid w:val="00F0321D"/>
    <w:rsid w:val="00F0353D"/>
    <w:rsid w:val="00F04E6F"/>
    <w:rsid w:val="00F05EF0"/>
    <w:rsid w:val="00F063CA"/>
    <w:rsid w:val="00F118BC"/>
    <w:rsid w:val="00F12848"/>
    <w:rsid w:val="00F12B2D"/>
    <w:rsid w:val="00F138C4"/>
    <w:rsid w:val="00F14008"/>
    <w:rsid w:val="00F14B4C"/>
    <w:rsid w:val="00F15C39"/>
    <w:rsid w:val="00F2128C"/>
    <w:rsid w:val="00F30B02"/>
    <w:rsid w:val="00F3270F"/>
    <w:rsid w:val="00F32785"/>
    <w:rsid w:val="00F33398"/>
    <w:rsid w:val="00F34AA0"/>
    <w:rsid w:val="00F364D6"/>
    <w:rsid w:val="00F373E7"/>
    <w:rsid w:val="00F3776D"/>
    <w:rsid w:val="00F37CDB"/>
    <w:rsid w:val="00F40883"/>
    <w:rsid w:val="00F40898"/>
    <w:rsid w:val="00F41A68"/>
    <w:rsid w:val="00F4303C"/>
    <w:rsid w:val="00F4543B"/>
    <w:rsid w:val="00F46F54"/>
    <w:rsid w:val="00F57446"/>
    <w:rsid w:val="00F578FF"/>
    <w:rsid w:val="00F57C8E"/>
    <w:rsid w:val="00F62C12"/>
    <w:rsid w:val="00F6688E"/>
    <w:rsid w:val="00F705AC"/>
    <w:rsid w:val="00F731D0"/>
    <w:rsid w:val="00F7448E"/>
    <w:rsid w:val="00F755E8"/>
    <w:rsid w:val="00F77425"/>
    <w:rsid w:val="00F85549"/>
    <w:rsid w:val="00F858BE"/>
    <w:rsid w:val="00F90885"/>
    <w:rsid w:val="00F92075"/>
    <w:rsid w:val="00F944E3"/>
    <w:rsid w:val="00F94C50"/>
    <w:rsid w:val="00FA4517"/>
    <w:rsid w:val="00FA7131"/>
    <w:rsid w:val="00FA7F21"/>
    <w:rsid w:val="00FB150B"/>
    <w:rsid w:val="00FB3BBB"/>
    <w:rsid w:val="00FB4428"/>
    <w:rsid w:val="00FB4F35"/>
    <w:rsid w:val="00FB6472"/>
    <w:rsid w:val="00FB752F"/>
    <w:rsid w:val="00FC2806"/>
    <w:rsid w:val="00FD13A7"/>
    <w:rsid w:val="00FD1C2C"/>
    <w:rsid w:val="00FD27EC"/>
    <w:rsid w:val="00FD6D9F"/>
    <w:rsid w:val="00FD7D4C"/>
    <w:rsid w:val="00FD7F99"/>
    <w:rsid w:val="00FE0A88"/>
    <w:rsid w:val="00FE1337"/>
    <w:rsid w:val="00FE2415"/>
    <w:rsid w:val="00FE4605"/>
    <w:rsid w:val="00FF06B5"/>
    <w:rsid w:val="00FF107E"/>
    <w:rsid w:val="00FF1FD6"/>
    <w:rsid w:val="00FF4132"/>
    <w:rsid w:val="00FF5CE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5c3b00,#652d90,#54b948,#e31837,#f4dc00,#0069aa,#25831c,#1c6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3B6"/>
    <w:pPr>
      <w:spacing w:before="120" w:after="40"/>
    </w:pPr>
    <w:rPr>
      <w:rFonts w:ascii="Calibri" w:hAnsi="Calibri"/>
      <w:sz w:val="22"/>
      <w:szCs w:val="24"/>
    </w:rPr>
  </w:style>
  <w:style w:type="paragraph" w:styleId="Heading1">
    <w:name w:val="heading 1"/>
    <w:basedOn w:val="Normal"/>
    <w:next w:val="Normal"/>
    <w:link w:val="Heading1Char"/>
    <w:uiPriority w:val="9"/>
    <w:qFormat/>
    <w:rsid w:val="00C542C6"/>
    <w:pPr>
      <w:keepNext/>
      <w:pageBreakBefore/>
      <w:pBdr>
        <w:bottom w:val="single" w:sz="4" w:space="0" w:color="4D4D4D"/>
      </w:pBdr>
      <w:spacing w:before="240" w:after="240" w:line="288" w:lineRule="auto"/>
      <w:outlineLvl w:val="0"/>
    </w:pPr>
    <w:rPr>
      <w:rFonts w:cs="Arial"/>
      <w:b/>
      <w:bCs/>
      <w:color w:val="7D4062"/>
      <w:kern w:val="32"/>
      <w:sz w:val="40"/>
      <w:szCs w:val="40"/>
    </w:rPr>
  </w:style>
  <w:style w:type="paragraph" w:styleId="Heading2">
    <w:name w:val="heading 2"/>
    <w:basedOn w:val="Normal"/>
    <w:next w:val="Normal"/>
    <w:link w:val="Heading2Char"/>
    <w:qFormat/>
    <w:rsid w:val="0094338A"/>
    <w:pPr>
      <w:keepNext/>
      <w:spacing w:before="200" w:after="60"/>
      <w:outlineLvl w:val="1"/>
    </w:pPr>
    <w:rPr>
      <w:rFonts w:cs="Arial"/>
      <w:b/>
      <w:bCs/>
      <w:iCs/>
      <w:color w:val="7D4062"/>
      <w:sz w:val="32"/>
      <w:szCs w:val="28"/>
    </w:rPr>
  </w:style>
  <w:style w:type="paragraph" w:styleId="Heading3">
    <w:name w:val="heading 3"/>
    <w:basedOn w:val="Normal"/>
    <w:next w:val="Normal"/>
    <w:link w:val="Heading3Char"/>
    <w:semiHidden/>
    <w:unhideWhenUsed/>
    <w:qFormat/>
    <w:rsid w:val="00E17A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basedOn w:val="NoList"/>
    <w:rsid w:val="00144C8F"/>
    <w:pPr>
      <w:numPr>
        <w:numId w:val="2"/>
      </w:numPr>
    </w:pPr>
  </w:style>
  <w:style w:type="character" w:customStyle="1" w:styleId="Heading1Char">
    <w:name w:val="Heading 1 Char"/>
    <w:basedOn w:val="DefaultParagraphFont"/>
    <w:link w:val="Heading1"/>
    <w:uiPriority w:val="9"/>
    <w:locked/>
    <w:rsid w:val="00C542C6"/>
    <w:rPr>
      <w:rFonts w:ascii="Calibri" w:hAnsi="Calibri" w:cs="Arial"/>
      <w:b/>
      <w:bCs/>
      <w:color w:val="7D4062"/>
      <w:kern w:val="32"/>
      <w:sz w:val="40"/>
      <w:szCs w:val="40"/>
    </w:rPr>
  </w:style>
  <w:style w:type="character" w:customStyle="1" w:styleId="Heading2Char">
    <w:name w:val="Heading 2 Char"/>
    <w:basedOn w:val="DefaultParagraphFont"/>
    <w:link w:val="Heading2"/>
    <w:locked/>
    <w:rsid w:val="0094338A"/>
    <w:rPr>
      <w:rFonts w:ascii="Calibri" w:hAnsi="Calibri" w:cs="Arial"/>
      <w:b/>
      <w:bCs/>
      <w:iCs/>
      <w:color w:val="7D4062"/>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430322"/>
    <w:pPr>
      <w:spacing w:before="4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430322"/>
    <w:pPr>
      <w:ind w:left="240"/>
    </w:pPr>
    <w:rPr>
      <w:sz w:val="18"/>
    </w:rPr>
  </w:style>
  <w:style w:type="paragraph" w:styleId="BalloonText">
    <w:name w:val="Balloon Text"/>
    <w:basedOn w:val="Normal"/>
    <w:link w:val="BalloonTextChar"/>
    <w:rsid w:val="00346307"/>
    <w:pPr>
      <w:spacing w:after="0"/>
    </w:pPr>
    <w:rPr>
      <w:rFonts w:ascii="Tahoma" w:hAnsi="Tahoma" w:cs="Tahoma"/>
      <w:sz w:val="16"/>
      <w:szCs w:val="16"/>
    </w:r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semiHidden/>
    <w:rsid w:val="00E17A60"/>
    <w:rPr>
      <w:rFonts w:ascii="Cambria" w:eastAsia="Times New Roman" w:hAnsi="Cambria" w:cs="Times New Roman"/>
      <w:b/>
      <w:bCs/>
      <w:sz w:val="26"/>
      <w:szCs w:val="26"/>
    </w:rPr>
  </w:style>
  <w:style w:type="paragraph" w:customStyle="1" w:styleId="bodytext">
    <w:name w:val="body text"/>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
    <w:link w:val="bulletChar"/>
    <w:rsid w:val="00E17A60"/>
    <w:pPr>
      <w:numPr>
        <w:numId w:val="12"/>
      </w:numPr>
      <w:tabs>
        <w:tab w:val="clear" w:pos="3686"/>
        <w:tab w:val="left" w:pos="227"/>
        <w:tab w:val="num" w:pos="284"/>
      </w:tabs>
      <w:spacing w:after="28"/>
      <w:ind w:left="227"/>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11"/>
      </w:numPr>
    </w:pPr>
  </w:style>
  <w:style w:type="character" w:customStyle="1" w:styleId="bodytextChar">
    <w:name w:val="body text Char"/>
    <w:basedOn w:val="DefaultParagraphFont"/>
    <w:link w:val="bodytext"/>
    <w:rsid w:val="000A5DE0"/>
    <w:rPr>
      <w:rFonts w:ascii="Calibri" w:hAnsi="Calibri" w:cs="Garamond"/>
      <w:color w:val="000000"/>
      <w:sz w:val="22"/>
      <w:szCs w:val="22"/>
      <w:lang w:val="en-GB"/>
    </w:rPr>
  </w:style>
  <w:style w:type="paragraph" w:customStyle="1" w:styleId="Numberbullet">
    <w:name w:val="Number bullet"/>
    <w:basedOn w:val="bullet"/>
    <w:qFormat/>
    <w:rsid w:val="005845DE"/>
    <w:pPr>
      <w:numPr>
        <w:numId w:val="13"/>
      </w:numPr>
      <w:tabs>
        <w:tab w:val="clear" w:pos="227"/>
        <w:tab w:val="left" w:pos="567"/>
      </w:tabs>
      <w:ind w:left="357" w:hanging="357"/>
    </w:pPr>
  </w:style>
  <w:style w:type="character" w:customStyle="1" w:styleId="bulletChar">
    <w:name w:val="bullet Char"/>
    <w:basedOn w:val="bodytextChar"/>
    <w:link w:val="bullet"/>
    <w:rsid w:val="00E17A60"/>
  </w:style>
  <w:style w:type="character" w:customStyle="1" w:styleId="BalloonTextChar">
    <w:name w:val="Balloon Text Char"/>
    <w:basedOn w:val="DefaultParagraphFont"/>
    <w:link w:val="BalloonText"/>
    <w:rsid w:val="00346307"/>
    <w:rPr>
      <w:rFonts w:ascii="Tahoma" w:hAnsi="Tahoma" w:cs="Tahoma"/>
      <w:sz w:val="16"/>
      <w:szCs w:val="16"/>
    </w:rPr>
  </w:style>
  <w:style w:type="character" w:customStyle="1" w:styleId="tableheading">
    <w:name w:val="table heading"/>
    <w:basedOn w:val="bodytextChar"/>
    <w:rsid w:val="007A2AFB"/>
    <w:rPr>
      <w:b/>
      <w:bCs/>
      <w:color w:val="FFFFFF"/>
    </w:rPr>
  </w:style>
  <w:style w:type="paragraph" w:customStyle="1" w:styleId="tabletext">
    <w:name w:val="table text"/>
    <w:basedOn w:val="bodytext"/>
    <w:link w:val="tabletextChar"/>
    <w:rsid w:val="007A2AFB"/>
    <w:rPr>
      <w:sz w:val="20"/>
    </w:rPr>
  </w:style>
  <w:style w:type="paragraph" w:styleId="Header">
    <w:name w:val="header"/>
    <w:basedOn w:val="Normal"/>
    <w:link w:val="HeaderChar"/>
    <w:rsid w:val="00346307"/>
    <w:pPr>
      <w:tabs>
        <w:tab w:val="center" w:pos="4513"/>
        <w:tab w:val="right" w:pos="9026"/>
      </w:tabs>
    </w:pPr>
  </w:style>
  <w:style w:type="character" w:customStyle="1" w:styleId="FooterChar">
    <w:name w:val="Footer Char"/>
    <w:basedOn w:val="DefaultParagraphFont"/>
    <w:link w:val="Footer"/>
    <w:uiPriority w:val="99"/>
    <w:rsid w:val="00EB1614"/>
    <w:rPr>
      <w:rFonts w:ascii="Calibri" w:hAnsi="Calibri"/>
      <w:sz w:val="18"/>
      <w:szCs w:val="24"/>
    </w:rPr>
  </w:style>
  <w:style w:type="character" w:customStyle="1" w:styleId="HeaderChar">
    <w:name w:val="Header Char"/>
    <w:basedOn w:val="DefaultParagraphFont"/>
    <w:link w:val="Header"/>
    <w:rsid w:val="00346307"/>
    <w:rPr>
      <w:rFonts w:ascii="Calibri" w:hAnsi="Calibri"/>
      <w:sz w:val="22"/>
      <w:szCs w:val="24"/>
    </w:rPr>
  </w:style>
  <w:style w:type="paragraph" w:customStyle="1" w:styleId="TableandFigureheading">
    <w:name w:val="Table and Figure heading"/>
    <w:basedOn w:val="Normal"/>
    <w:link w:val="TableandFigureheadingChar"/>
    <w:qFormat/>
    <w:rsid w:val="00F33398"/>
    <w:rPr>
      <w:b/>
    </w:rPr>
  </w:style>
  <w:style w:type="paragraph" w:customStyle="1" w:styleId="Tablebodytext">
    <w:name w:val="Table body text"/>
    <w:basedOn w:val="tabletext"/>
    <w:link w:val="TablebodytextChar"/>
    <w:qFormat/>
    <w:rsid w:val="00625E38"/>
    <w:rPr>
      <w:color w:val="auto"/>
    </w:rPr>
  </w:style>
  <w:style w:type="character" w:customStyle="1" w:styleId="TableandFigureheadingChar">
    <w:name w:val="Table and Figure heading Char"/>
    <w:basedOn w:val="DefaultParagraphFont"/>
    <w:link w:val="TableandFigureheading"/>
    <w:rsid w:val="00F33398"/>
    <w:rPr>
      <w:rFonts w:ascii="Calibri" w:hAnsi="Calibri"/>
      <w:b/>
      <w:sz w:val="22"/>
      <w:szCs w:val="24"/>
    </w:rPr>
  </w:style>
  <w:style w:type="paragraph" w:customStyle="1" w:styleId="TableHeadingtext">
    <w:name w:val="Table Heading text"/>
    <w:basedOn w:val="Normal"/>
    <w:link w:val="TableHeadingtextChar"/>
    <w:qFormat/>
    <w:rsid w:val="00625E38"/>
    <w:rPr>
      <w:b/>
    </w:rPr>
  </w:style>
  <w:style w:type="character" w:customStyle="1" w:styleId="tabletextChar">
    <w:name w:val="table text Char"/>
    <w:basedOn w:val="bodytextChar"/>
    <w:link w:val="tabletext"/>
    <w:rsid w:val="00625E38"/>
  </w:style>
  <w:style w:type="character" w:customStyle="1" w:styleId="TablebodytextChar">
    <w:name w:val="Table body text Char"/>
    <w:basedOn w:val="tabletextChar"/>
    <w:link w:val="Tablebodytext"/>
    <w:rsid w:val="00625E38"/>
  </w:style>
  <w:style w:type="paragraph" w:customStyle="1" w:styleId="Sourceandnotetext">
    <w:name w:val="Source and note text"/>
    <w:basedOn w:val="Normal"/>
    <w:link w:val="SourceandnotetextChar"/>
    <w:qFormat/>
    <w:rsid w:val="00625E38"/>
    <w:pPr>
      <w:spacing w:before="40"/>
    </w:pPr>
    <w:rPr>
      <w:sz w:val="20"/>
      <w:szCs w:val="20"/>
    </w:rPr>
  </w:style>
  <w:style w:type="character" w:customStyle="1" w:styleId="TableHeadingtextChar">
    <w:name w:val="Table Heading text Char"/>
    <w:basedOn w:val="DefaultParagraphFont"/>
    <w:link w:val="TableHeadingtext"/>
    <w:rsid w:val="00625E38"/>
    <w:rPr>
      <w:rFonts w:ascii="Calibri" w:hAnsi="Calibri"/>
      <w:b/>
      <w:sz w:val="22"/>
      <w:szCs w:val="24"/>
    </w:rPr>
  </w:style>
  <w:style w:type="paragraph" w:customStyle="1" w:styleId="Heading30">
    <w:name w:val="Heading3"/>
    <w:basedOn w:val="Normal"/>
    <w:link w:val="Heading3Char0"/>
    <w:qFormat/>
    <w:rsid w:val="00D02C29"/>
    <w:pPr>
      <w:spacing w:before="160"/>
    </w:pPr>
    <w:rPr>
      <w:b/>
      <w:color w:val="000000"/>
      <w:sz w:val="24"/>
      <w:szCs w:val="28"/>
    </w:rPr>
  </w:style>
  <w:style w:type="character" w:customStyle="1" w:styleId="SourceandnotetextChar">
    <w:name w:val="Source and note text Char"/>
    <w:basedOn w:val="DefaultParagraphFont"/>
    <w:link w:val="Sourceandnotetext"/>
    <w:rsid w:val="00625E38"/>
    <w:rPr>
      <w:rFonts w:ascii="Calibri" w:hAnsi="Calibri"/>
    </w:rPr>
  </w:style>
  <w:style w:type="paragraph" w:styleId="EndnoteText">
    <w:name w:val="endnote text"/>
    <w:basedOn w:val="Normal"/>
    <w:link w:val="EndnoteTextChar"/>
    <w:rsid w:val="00A5319A"/>
    <w:pPr>
      <w:spacing w:before="0" w:after="0"/>
    </w:pPr>
    <w:rPr>
      <w:sz w:val="20"/>
      <w:szCs w:val="20"/>
    </w:rPr>
  </w:style>
  <w:style w:type="character" w:customStyle="1" w:styleId="Heading3Char0">
    <w:name w:val="Heading3 Char"/>
    <w:basedOn w:val="DefaultParagraphFont"/>
    <w:link w:val="Heading30"/>
    <w:rsid w:val="00D02C29"/>
    <w:rPr>
      <w:rFonts w:ascii="Calibri" w:hAnsi="Calibri"/>
      <w:b/>
      <w:color w:val="000000"/>
      <w:sz w:val="24"/>
      <w:szCs w:val="28"/>
    </w:rPr>
  </w:style>
  <w:style w:type="character" w:customStyle="1" w:styleId="EndnoteTextChar">
    <w:name w:val="Endnote Text Char"/>
    <w:basedOn w:val="DefaultParagraphFont"/>
    <w:link w:val="EndnoteText"/>
    <w:rsid w:val="00A5319A"/>
    <w:rPr>
      <w:rFonts w:ascii="Calibri" w:hAnsi="Calibri"/>
    </w:rPr>
  </w:style>
  <w:style w:type="character" w:styleId="Hyperlink">
    <w:name w:val="Hyperlink"/>
    <w:basedOn w:val="DefaultParagraphFont"/>
    <w:uiPriority w:val="99"/>
    <w:rsid w:val="006F4A06"/>
    <w:rPr>
      <w:color w:val="auto"/>
      <w:u w:val="none"/>
    </w:rPr>
  </w:style>
  <w:style w:type="paragraph" w:styleId="TOCHeading">
    <w:name w:val="TOC Heading"/>
    <w:basedOn w:val="Heading1"/>
    <w:next w:val="Normal"/>
    <w:uiPriority w:val="39"/>
    <w:unhideWhenUsed/>
    <w:qFormat/>
    <w:rsid w:val="0065539A"/>
    <w:pPr>
      <w:keepLines/>
      <w:pageBreakBefore w:val="0"/>
      <w:pBdr>
        <w:bottom w:val="none" w:sz="0" w:space="0" w:color="auto"/>
      </w:pBd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Bibliography">
    <w:name w:val="Bibliography"/>
    <w:basedOn w:val="Normal"/>
    <w:next w:val="Normal"/>
    <w:uiPriority w:val="37"/>
    <w:unhideWhenUsed/>
    <w:rsid w:val="00B60312"/>
  </w:style>
  <w:style w:type="paragraph" w:customStyle="1" w:styleId="QuoteID">
    <w:name w:val="QuoteID"/>
    <w:basedOn w:val="Normal"/>
    <w:qFormat/>
    <w:rsid w:val="008B41A7"/>
    <w:pPr>
      <w:ind w:left="720"/>
    </w:pPr>
    <w:rPr>
      <w:color w:val="E36C0A" w:themeColor="accent6" w:themeShade="BF"/>
      <w:sz w:val="20"/>
    </w:rPr>
  </w:style>
  <w:style w:type="paragraph" w:customStyle="1" w:styleId="subbullet">
    <w:name w:val="sub bullet"/>
    <w:basedOn w:val="bullet"/>
    <w:qFormat/>
    <w:rsid w:val="00B0244A"/>
    <w:pPr>
      <w:numPr>
        <w:numId w:val="0"/>
      </w:numPr>
    </w:pPr>
  </w:style>
  <w:style w:type="character" w:styleId="CommentReference">
    <w:name w:val="annotation reference"/>
    <w:basedOn w:val="DefaultParagraphFont"/>
    <w:rsid w:val="00EC2ACF"/>
    <w:rPr>
      <w:sz w:val="16"/>
      <w:szCs w:val="16"/>
    </w:rPr>
  </w:style>
  <w:style w:type="paragraph" w:styleId="CommentText">
    <w:name w:val="annotation text"/>
    <w:basedOn w:val="Normal"/>
    <w:link w:val="CommentTextChar"/>
    <w:rsid w:val="00EC2ACF"/>
    <w:rPr>
      <w:sz w:val="20"/>
      <w:szCs w:val="20"/>
    </w:rPr>
  </w:style>
  <w:style w:type="character" w:customStyle="1" w:styleId="CommentTextChar">
    <w:name w:val="Comment Text Char"/>
    <w:basedOn w:val="DefaultParagraphFont"/>
    <w:link w:val="CommentText"/>
    <w:rsid w:val="00EC2ACF"/>
    <w:rPr>
      <w:rFonts w:ascii="Calibri" w:hAnsi="Calibri"/>
    </w:rPr>
  </w:style>
  <w:style w:type="paragraph" w:styleId="CommentSubject">
    <w:name w:val="annotation subject"/>
    <w:basedOn w:val="CommentText"/>
    <w:next w:val="CommentText"/>
    <w:link w:val="CommentSubjectChar"/>
    <w:rsid w:val="00EC2ACF"/>
    <w:rPr>
      <w:b/>
      <w:bCs/>
    </w:rPr>
  </w:style>
  <w:style w:type="character" w:customStyle="1" w:styleId="CommentSubjectChar">
    <w:name w:val="Comment Subject Char"/>
    <w:basedOn w:val="CommentTextChar"/>
    <w:link w:val="CommentSubject"/>
    <w:rsid w:val="00EC2ACF"/>
    <w:rPr>
      <w:b/>
      <w:bCs/>
    </w:rPr>
  </w:style>
  <w:style w:type="paragraph" w:customStyle="1" w:styleId="Default">
    <w:name w:val="Default"/>
    <w:rsid w:val="003A14D2"/>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2E7151"/>
    <w:pPr>
      <w:spacing w:before="0" w:after="0"/>
    </w:pPr>
    <w:rPr>
      <w:sz w:val="20"/>
      <w:szCs w:val="20"/>
    </w:rPr>
  </w:style>
  <w:style w:type="character" w:customStyle="1" w:styleId="FootnoteTextChar">
    <w:name w:val="Footnote Text Char"/>
    <w:basedOn w:val="DefaultParagraphFont"/>
    <w:link w:val="FootnoteText"/>
    <w:rsid w:val="002E7151"/>
    <w:rPr>
      <w:rFonts w:ascii="Calibri" w:hAnsi="Calibri"/>
    </w:rPr>
  </w:style>
  <w:style w:type="character" w:styleId="FootnoteReference">
    <w:name w:val="footnote reference"/>
    <w:basedOn w:val="DefaultParagraphFont"/>
    <w:rsid w:val="002E7151"/>
    <w:rPr>
      <w:vertAlign w:val="superscript"/>
    </w:rPr>
  </w:style>
  <w:style w:type="paragraph" w:styleId="ListParagraph">
    <w:name w:val="List Paragraph"/>
    <w:basedOn w:val="Normal"/>
    <w:uiPriority w:val="99"/>
    <w:qFormat/>
    <w:rsid w:val="00984F3C"/>
    <w:pPr>
      <w:tabs>
        <w:tab w:val="num" w:pos="360"/>
      </w:tabs>
      <w:autoSpaceDE w:val="0"/>
      <w:autoSpaceDN w:val="0"/>
      <w:spacing w:before="0" w:after="0"/>
    </w:pPr>
    <w:rPr>
      <w:rFonts w:ascii="Times New Roman" w:eastAsiaTheme="minorHAnsi" w:hAnsi="Times New Roman"/>
      <w:sz w:val="24"/>
    </w:rPr>
  </w:style>
  <w:style w:type="paragraph" w:customStyle="1" w:styleId="QuoteRef">
    <w:name w:val="QuoteRef"/>
    <w:basedOn w:val="Normal"/>
    <w:link w:val="QuoteRefChar"/>
    <w:qFormat/>
    <w:rsid w:val="00220C44"/>
    <w:pPr>
      <w:ind w:left="720"/>
    </w:pPr>
  </w:style>
  <w:style w:type="paragraph" w:customStyle="1" w:styleId="QuoteBl">
    <w:name w:val="QuoteBl"/>
    <w:basedOn w:val="Normal"/>
    <w:qFormat/>
    <w:rsid w:val="00F85549"/>
    <w:pPr>
      <w:ind w:left="720"/>
    </w:pPr>
    <w:rPr>
      <w:sz w:val="20"/>
    </w:rPr>
  </w:style>
  <w:style w:type="character" w:customStyle="1" w:styleId="QuoteRefChar">
    <w:name w:val="QuoteRef Char"/>
    <w:basedOn w:val="DefaultParagraphFont"/>
    <w:link w:val="QuoteRef"/>
    <w:rsid w:val="00220C44"/>
    <w:rPr>
      <w:rFonts w:ascii="Calibri" w:hAnsi="Calibri"/>
      <w:sz w:val="22"/>
      <w:szCs w:val="24"/>
    </w:rPr>
  </w:style>
  <w:style w:type="character" w:styleId="Emphasis">
    <w:name w:val="Emphasis"/>
    <w:basedOn w:val="DefaultParagraphFont"/>
    <w:qFormat/>
    <w:rsid w:val="00E4348F"/>
    <w:rPr>
      <w:i/>
      <w:iCs/>
    </w:rPr>
  </w:style>
  <w:style w:type="table" w:styleId="TableGrid">
    <w:name w:val="Table Grid"/>
    <w:basedOn w:val="TableNormal"/>
    <w:rsid w:val="00D54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C85601"/>
    <w:pPr>
      <w:spacing w:before="0" w:after="0"/>
    </w:pPr>
  </w:style>
  <w:style w:type="paragraph" w:customStyle="1" w:styleId="Sourceandnotetexthanging">
    <w:name w:val="Source and note text + hanging"/>
    <w:basedOn w:val="Sourceandnotetext"/>
    <w:qFormat/>
    <w:rsid w:val="00716CFD"/>
    <w:pPr>
      <w:tabs>
        <w:tab w:val="left" w:pos="567"/>
      </w:tabs>
      <w:ind w:left="567" w:hanging="567"/>
    </w:pPr>
    <w:rPr>
      <w:b/>
      <w:bCs/>
    </w:rPr>
  </w:style>
  <w:style w:type="paragraph" w:styleId="Title">
    <w:name w:val="Title"/>
    <w:basedOn w:val="Normal"/>
    <w:next w:val="Normal"/>
    <w:link w:val="TitleChar"/>
    <w:qFormat/>
    <w:rsid w:val="004251EB"/>
    <w:pPr>
      <w:spacing w:before="0" w:after="0"/>
    </w:pPr>
    <w:rPr>
      <w:rFonts w:ascii="Bradley Hand ITC" w:hAnsi="Bradley Hand ITC"/>
      <w:b/>
      <w:color w:val="FFFFFF"/>
      <w:sz w:val="72"/>
      <w:szCs w:val="72"/>
    </w:rPr>
  </w:style>
  <w:style w:type="character" w:customStyle="1" w:styleId="TitleChar">
    <w:name w:val="Title Char"/>
    <w:basedOn w:val="DefaultParagraphFont"/>
    <w:link w:val="Title"/>
    <w:rsid w:val="004251EB"/>
    <w:rPr>
      <w:rFonts w:ascii="Bradley Hand ITC" w:hAnsi="Bradley Hand ITC"/>
      <w:b/>
      <w:color w:val="FFFFFF"/>
      <w:sz w:val="72"/>
      <w:szCs w:val="72"/>
    </w:rPr>
  </w:style>
  <w:style w:type="character" w:styleId="Strong">
    <w:name w:val="Strong"/>
    <w:qFormat/>
    <w:rsid w:val="00F62C12"/>
    <w:rPr>
      <w:b/>
    </w:rPr>
  </w:style>
  <w:style w:type="numbering" w:customStyle="1" w:styleId="BulletList">
    <w:name w:val="Bullet List"/>
    <w:uiPriority w:val="99"/>
    <w:rsid w:val="00C17689"/>
    <w:pPr>
      <w:numPr>
        <w:numId w:val="47"/>
      </w:numPr>
    </w:pPr>
  </w:style>
  <w:style w:type="paragraph" w:styleId="ListBullet">
    <w:name w:val="List Bullet"/>
    <w:basedOn w:val="Normal"/>
    <w:rsid w:val="005845DE"/>
    <w:pPr>
      <w:numPr>
        <w:numId w:val="49"/>
      </w:numPr>
      <w:ind w:left="357" w:hanging="357"/>
      <w:contextualSpacing/>
    </w:pPr>
  </w:style>
  <w:style w:type="character" w:styleId="FollowedHyperlink">
    <w:name w:val="FollowedHyperlink"/>
    <w:basedOn w:val="DefaultParagraphFont"/>
    <w:rsid w:val="00236E75"/>
    <w:rPr>
      <w:color w:val="800080" w:themeColor="followedHyperlink"/>
      <w:u w:val="single"/>
    </w:rPr>
  </w:style>
  <w:style w:type="paragraph" w:styleId="ListBullet2">
    <w:name w:val="List Bullet 2"/>
    <w:basedOn w:val="Normal"/>
    <w:rsid w:val="00EE06CE"/>
    <w:pPr>
      <w:numPr>
        <w:ilvl w:val="1"/>
        <w:numId w:val="49"/>
      </w:numPr>
      <w:contextualSpacing/>
    </w:pPr>
  </w:style>
  <w:style w:type="character" w:styleId="EndnoteReference">
    <w:name w:val="endnote reference"/>
    <w:basedOn w:val="DefaultParagraphFont"/>
    <w:rsid w:val="00A5319A"/>
    <w:rPr>
      <w:vertAlign w:val="superscript"/>
    </w:rPr>
  </w:style>
  <w:style w:type="paragraph" w:styleId="TableofFigures">
    <w:name w:val="table of figures"/>
    <w:basedOn w:val="Normal"/>
    <w:next w:val="Normal"/>
    <w:rsid w:val="00E12C88"/>
    <w:pPr>
      <w:spacing w:after="0"/>
    </w:pPr>
  </w:style>
  <w:style w:type="paragraph" w:styleId="Caption">
    <w:name w:val="caption"/>
    <w:basedOn w:val="Normal"/>
    <w:next w:val="Normal"/>
    <w:unhideWhenUsed/>
    <w:qFormat/>
    <w:rsid w:val="00B4074B"/>
    <w:pPr>
      <w:spacing w:before="0" w:after="0"/>
    </w:pPr>
    <w:rPr>
      <w:b/>
      <w:bCs/>
      <w:szCs w:val="18"/>
    </w:rPr>
  </w:style>
  <w:style w:type="paragraph" w:customStyle="1" w:styleId="StyleHeading116ptBefore8ptAfter2ptBottomNob">
    <w:name w:val="Style Heading 1 + 16 pt Before:  8 pt After:  2 pt Bottom: (No b..."/>
    <w:basedOn w:val="Heading1"/>
    <w:rsid w:val="006F1125"/>
    <w:pPr>
      <w:keepNext w:val="0"/>
      <w:pageBreakBefore w:val="0"/>
      <w:pBdr>
        <w:bottom w:val="none" w:sz="0" w:space="0" w:color="auto"/>
      </w:pBdr>
      <w:spacing w:before="160" w:after="40" w:line="240" w:lineRule="auto"/>
    </w:pPr>
    <w:rPr>
      <w:rFonts w:cs="Times New Roman"/>
      <w:sz w:val="32"/>
      <w:szCs w:val="20"/>
    </w:rPr>
  </w:style>
  <w:style w:type="paragraph" w:styleId="Subtitle">
    <w:name w:val="Subtitle"/>
    <w:basedOn w:val="Normal"/>
    <w:next w:val="Normal"/>
    <w:link w:val="SubtitleChar"/>
    <w:qFormat/>
    <w:rsid w:val="00A349BC"/>
    <w:pPr>
      <w:spacing w:before="5760"/>
      <w:jc w:val="right"/>
    </w:pPr>
    <w:rPr>
      <w:b/>
      <w:color w:val="7D4162"/>
      <w:sz w:val="32"/>
      <w:szCs w:val="32"/>
    </w:rPr>
  </w:style>
  <w:style w:type="character" w:customStyle="1" w:styleId="SubtitleChar">
    <w:name w:val="Subtitle Char"/>
    <w:basedOn w:val="DefaultParagraphFont"/>
    <w:link w:val="Subtitle"/>
    <w:rsid w:val="00A349BC"/>
    <w:rPr>
      <w:rFonts w:ascii="Calibri" w:hAnsi="Calibri"/>
      <w:b/>
      <w:color w:val="7D4162"/>
      <w:sz w:val="32"/>
      <w:szCs w:val="32"/>
    </w:rPr>
  </w:style>
  <w:style w:type="paragraph" w:customStyle="1" w:styleId="Normal200ptbefore">
    <w:name w:val="Normal 200pt before"/>
    <w:basedOn w:val="Normal"/>
    <w:qFormat/>
    <w:rsid w:val="00E42F6A"/>
    <w:pPr>
      <w:spacing w:before="4000"/>
    </w:pPr>
  </w:style>
  <w:style w:type="paragraph" w:customStyle="1" w:styleId="Captionbefore12">
    <w:name w:val="Caption + before 12"/>
    <w:basedOn w:val="Caption"/>
    <w:qFormat/>
    <w:rsid w:val="009B7363"/>
    <w:pPr>
      <w:spacing w:before="240" w:after="120"/>
    </w:pPr>
  </w:style>
  <w:style w:type="paragraph" w:customStyle="1" w:styleId="StyleQuoteBlBoxSinglesolidlineAuto05ptLinewidth">
    <w:name w:val="Style QuoteBl + Box: (Single solid line Auto  0.5 pt Line width)"/>
    <w:basedOn w:val="QuoteBl"/>
    <w:rsid w:val="009B7C62"/>
    <w:pPr>
      <w:pBdr>
        <w:top w:val="single" w:sz="4" w:space="1" w:color="auto"/>
        <w:left w:val="single" w:sz="4" w:space="4" w:color="auto"/>
        <w:bottom w:val="single" w:sz="4" w:space="1" w:color="auto"/>
        <w:right w:val="single" w:sz="4" w:space="4" w:color="auto"/>
      </w:pBdr>
      <w:spacing w:after="0"/>
    </w:pPr>
    <w:rPr>
      <w:szCs w:val="20"/>
    </w:rPr>
  </w:style>
  <w:style w:type="paragraph" w:customStyle="1" w:styleId="NormalStyleBoxSinglesolidlineAuto05ptLinewidth">
    <w:name w:val="Normal + Style Box: (Single solid line Auto  0.5 pt Line width)"/>
    <w:basedOn w:val="Normal"/>
    <w:rsid w:val="0011186B"/>
    <w:pPr>
      <w:pBdr>
        <w:top w:val="single" w:sz="4" w:space="1" w:color="auto"/>
        <w:left w:val="single" w:sz="4" w:space="4" w:color="auto"/>
        <w:bottom w:val="single" w:sz="4" w:space="1" w:color="auto"/>
        <w:right w:val="single" w:sz="4" w:space="4" w:color="auto"/>
      </w:pBdr>
      <w:spacing w:after="120"/>
    </w:pPr>
    <w:rPr>
      <w:szCs w:val="20"/>
    </w:rPr>
  </w:style>
  <w:style w:type="paragraph" w:customStyle="1" w:styleId="StyleNormal200ptbeforeAfter12pt">
    <w:name w:val="Style Normal 200pt before + After:  12 pt"/>
    <w:basedOn w:val="Normal200ptbefore"/>
    <w:rsid w:val="0011186B"/>
    <w:pPr>
      <w:spacing w:before="5000" w:after="240"/>
    </w:pPr>
    <w:rPr>
      <w:szCs w:val="20"/>
    </w:rPr>
  </w:style>
  <w:style w:type="paragraph" w:customStyle="1" w:styleId="Normalafter12pt">
    <w:name w:val="Normal + after 12pt"/>
    <w:basedOn w:val="Normal"/>
    <w:qFormat/>
    <w:rsid w:val="00484740"/>
    <w:pPr>
      <w:spacing w:after="240"/>
    </w:pPr>
  </w:style>
  <w:style w:type="paragraph" w:customStyle="1" w:styleId="FigureHeading">
    <w:name w:val="Figure Heading"/>
    <w:basedOn w:val="TableandFigureheading"/>
    <w:qFormat/>
    <w:rsid w:val="0024454B"/>
  </w:style>
</w:styles>
</file>

<file path=word/webSettings.xml><?xml version="1.0" encoding="utf-8"?>
<w:webSettings xmlns:r="http://schemas.openxmlformats.org/officeDocument/2006/relationships" xmlns:w="http://schemas.openxmlformats.org/wordprocessingml/2006/main">
  <w:divs>
    <w:div w:id="30955441">
      <w:bodyDiv w:val="1"/>
      <w:marLeft w:val="0"/>
      <w:marRight w:val="0"/>
      <w:marTop w:val="0"/>
      <w:marBottom w:val="0"/>
      <w:divBdr>
        <w:top w:val="none" w:sz="0" w:space="0" w:color="auto"/>
        <w:left w:val="none" w:sz="0" w:space="0" w:color="auto"/>
        <w:bottom w:val="none" w:sz="0" w:space="0" w:color="auto"/>
        <w:right w:val="none" w:sz="0" w:space="0" w:color="auto"/>
      </w:divBdr>
    </w:div>
    <w:div w:id="86200976">
      <w:bodyDiv w:val="1"/>
      <w:marLeft w:val="0"/>
      <w:marRight w:val="0"/>
      <w:marTop w:val="0"/>
      <w:marBottom w:val="0"/>
      <w:divBdr>
        <w:top w:val="none" w:sz="0" w:space="0" w:color="auto"/>
        <w:left w:val="none" w:sz="0" w:space="0" w:color="auto"/>
        <w:bottom w:val="none" w:sz="0" w:space="0" w:color="auto"/>
        <w:right w:val="none" w:sz="0" w:space="0" w:color="auto"/>
      </w:divBdr>
    </w:div>
    <w:div w:id="121269561">
      <w:bodyDiv w:val="1"/>
      <w:marLeft w:val="0"/>
      <w:marRight w:val="0"/>
      <w:marTop w:val="0"/>
      <w:marBottom w:val="0"/>
      <w:divBdr>
        <w:top w:val="none" w:sz="0" w:space="0" w:color="auto"/>
        <w:left w:val="none" w:sz="0" w:space="0" w:color="auto"/>
        <w:bottom w:val="none" w:sz="0" w:space="0" w:color="auto"/>
        <w:right w:val="none" w:sz="0" w:space="0" w:color="auto"/>
      </w:divBdr>
    </w:div>
    <w:div w:id="216015341">
      <w:bodyDiv w:val="1"/>
      <w:marLeft w:val="120"/>
      <w:marRight w:val="120"/>
      <w:marTop w:val="0"/>
      <w:marBottom w:val="0"/>
      <w:divBdr>
        <w:top w:val="none" w:sz="0" w:space="0" w:color="auto"/>
        <w:left w:val="none" w:sz="0" w:space="0" w:color="auto"/>
        <w:bottom w:val="none" w:sz="0" w:space="0" w:color="auto"/>
        <w:right w:val="none" w:sz="0" w:space="0" w:color="auto"/>
      </w:divBdr>
    </w:div>
    <w:div w:id="369382996">
      <w:bodyDiv w:val="1"/>
      <w:marLeft w:val="0"/>
      <w:marRight w:val="0"/>
      <w:marTop w:val="0"/>
      <w:marBottom w:val="0"/>
      <w:divBdr>
        <w:top w:val="none" w:sz="0" w:space="0" w:color="auto"/>
        <w:left w:val="none" w:sz="0" w:space="0" w:color="auto"/>
        <w:bottom w:val="none" w:sz="0" w:space="0" w:color="auto"/>
        <w:right w:val="none" w:sz="0" w:space="0" w:color="auto"/>
      </w:divBdr>
    </w:div>
    <w:div w:id="505095640">
      <w:bodyDiv w:val="1"/>
      <w:marLeft w:val="0"/>
      <w:marRight w:val="0"/>
      <w:marTop w:val="0"/>
      <w:marBottom w:val="0"/>
      <w:divBdr>
        <w:top w:val="none" w:sz="0" w:space="0" w:color="auto"/>
        <w:left w:val="none" w:sz="0" w:space="0" w:color="auto"/>
        <w:bottom w:val="none" w:sz="0" w:space="0" w:color="auto"/>
        <w:right w:val="none" w:sz="0" w:space="0" w:color="auto"/>
      </w:divBdr>
    </w:div>
    <w:div w:id="761754351">
      <w:bodyDiv w:val="1"/>
      <w:marLeft w:val="0"/>
      <w:marRight w:val="0"/>
      <w:marTop w:val="0"/>
      <w:marBottom w:val="0"/>
      <w:divBdr>
        <w:top w:val="none" w:sz="0" w:space="0" w:color="auto"/>
        <w:left w:val="none" w:sz="0" w:space="0" w:color="auto"/>
        <w:bottom w:val="none" w:sz="0" w:space="0" w:color="auto"/>
        <w:right w:val="none" w:sz="0" w:space="0" w:color="auto"/>
      </w:divBdr>
    </w:div>
    <w:div w:id="781605477">
      <w:bodyDiv w:val="1"/>
      <w:marLeft w:val="0"/>
      <w:marRight w:val="0"/>
      <w:marTop w:val="0"/>
      <w:marBottom w:val="0"/>
      <w:divBdr>
        <w:top w:val="none" w:sz="0" w:space="0" w:color="auto"/>
        <w:left w:val="none" w:sz="0" w:space="0" w:color="auto"/>
        <w:bottom w:val="none" w:sz="0" w:space="0" w:color="auto"/>
        <w:right w:val="none" w:sz="0" w:space="0" w:color="auto"/>
      </w:divBdr>
    </w:div>
    <w:div w:id="979729119">
      <w:bodyDiv w:val="1"/>
      <w:marLeft w:val="0"/>
      <w:marRight w:val="0"/>
      <w:marTop w:val="0"/>
      <w:marBottom w:val="0"/>
      <w:divBdr>
        <w:top w:val="none" w:sz="0" w:space="0" w:color="auto"/>
        <w:left w:val="none" w:sz="0" w:space="0" w:color="auto"/>
        <w:bottom w:val="none" w:sz="0" w:space="0" w:color="auto"/>
        <w:right w:val="none" w:sz="0" w:space="0" w:color="auto"/>
      </w:divBdr>
    </w:div>
    <w:div w:id="1003165213">
      <w:bodyDiv w:val="1"/>
      <w:marLeft w:val="0"/>
      <w:marRight w:val="0"/>
      <w:marTop w:val="0"/>
      <w:marBottom w:val="0"/>
      <w:divBdr>
        <w:top w:val="none" w:sz="0" w:space="0" w:color="auto"/>
        <w:left w:val="none" w:sz="0" w:space="0" w:color="auto"/>
        <w:bottom w:val="none" w:sz="0" w:space="0" w:color="auto"/>
        <w:right w:val="none" w:sz="0" w:space="0" w:color="auto"/>
      </w:divBdr>
    </w:div>
    <w:div w:id="1011837095">
      <w:bodyDiv w:val="1"/>
      <w:marLeft w:val="0"/>
      <w:marRight w:val="0"/>
      <w:marTop w:val="0"/>
      <w:marBottom w:val="0"/>
      <w:divBdr>
        <w:top w:val="none" w:sz="0" w:space="0" w:color="auto"/>
        <w:left w:val="none" w:sz="0" w:space="0" w:color="auto"/>
        <w:bottom w:val="none" w:sz="0" w:space="0" w:color="auto"/>
        <w:right w:val="none" w:sz="0" w:space="0" w:color="auto"/>
      </w:divBdr>
    </w:div>
    <w:div w:id="1078405158">
      <w:bodyDiv w:val="1"/>
      <w:marLeft w:val="0"/>
      <w:marRight w:val="0"/>
      <w:marTop w:val="0"/>
      <w:marBottom w:val="0"/>
      <w:divBdr>
        <w:top w:val="none" w:sz="0" w:space="0" w:color="auto"/>
        <w:left w:val="none" w:sz="0" w:space="0" w:color="auto"/>
        <w:bottom w:val="none" w:sz="0" w:space="0" w:color="auto"/>
        <w:right w:val="none" w:sz="0" w:space="0" w:color="auto"/>
      </w:divBdr>
    </w:div>
    <w:div w:id="1216284111">
      <w:bodyDiv w:val="1"/>
      <w:marLeft w:val="120"/>
      <w:marRight w:val="120"/>
      <w:marTop w:val="0"/>
      <w:marBottom w:val="0"/>
      <w:divBdr>
        <w:top w:val="none" w:sz="0" w:space="0" w:color="auto"/>
        <w:left w:val="none" w:sz="0" w:space="0" w:color="auto"/>
        <w:bottom w:val="none" w:sz="0" w:space="0" w:color="auto"/>
        <w:right w:val="none" w:sz="0" w:space="0" w:color="auto"/>
      </w:divBdr>
    </w:div>
    <w:div w:id="1314456400">
      <w:bodyDiv w:val="1"/>
      <w:marLeft w:val="0"/>
      <w:marRight w:val="0"/>
      <w:marTop w:val="0"/>
      <w:marBottom w:val="0"/>
      <w:divBdr>
        <w:top w:val="none" w:sz="0" w:space="0" w:color="auto"/>
        <w:left w:val="none" w:sz="0" w:space="0" w:color="auto"/>
        <w:bottom w:val="none" w:sz="0" w:space="0" w:color="auto"/>
        <w:right w:val="none" w:sz="0" w:space="0" w:color="auto"/>
      </w:divBdr>
    </w:div>
    <w:div w:id="1323239273">
      <w:bodyDiv w:val="1"/>
      <w:marLeft w:val="0"/>
      <w:marRight w:val="0"/>
      <w:marTop w:val="0"/>
      <w:marBottom w:val="0"/>
      <w:divBdr>
        <w:top w:val="none" w:sz="0" w:space="0" w:color="auto"/>
        <w:left w:val="none" w:sz="0" w:space="0" w:color="auto"/>
        <w:bottom w:val="none" w:sz="0" w:space="0" w:color="auto"/>
        <w:right w:val="none" w:sz="0" w:space="0" w:color="auto"/>
      </w:divBdr>
    </w:div>
    <w:div w:id="1326938731">
      <w:bodyDiv w:val="1"/>
      <w:marLeft w:val="0"/>
      <w:marRight w:val="0"/>
      <w:marTop w:val="0"/>
      <w:marBottom w:val="0"/>
      <w:divBdr>
        <w:top w:val="none" w:sz="0" w:space="0" w:color="auto"/>
        <w:left w:val="none" w:sz="0" w:space="0" w:color="auto"/>
        <w:bottom w:val="none" w:sz="0" w:space="0" w:color="auto"/>
        <w:right w:val="none" w:sz="0" w:space="0" w:color="auto"/>
      </w:divBdr>
    </w:div>
    <w:div w:id="1574391522">
      <w:bodyDiv w:val="1"/>
      <w:marLeft w:val="0"/>
      <w:marRight w:val="0"/>
      <w:marTop w:val="0"/>
      <w:marBottom w:val="0"/>
      <w:divBdr>
        <w:top w:val="none" w:sz="0" w:space="0" w:color="auto"/>
        <w:left w:val="none" w:sz="0" w:space="0" w:color="auto"/>
        <w:bottom w:val="none" w:sz="0" w:space="0" w:color="auto"/>
        <w:right w:val="none" w:sz="0" w:space="0" w:color="auto"/>
      </w:divBdr>
    </w:div>
    <w:div w:id="1627002706">
      <w:bodyDiv w:val="1"/>
      <w:marLeft w:val="80"/>
      <w:marRight w:val="80"/>
      <w:marTop w:val="0"/>
      <w:marBottom w:val="0"/>
      <w:divBdr>
        <w:top w:val="none" w:sz="0" w:space="0" w:color="auto"/>
        <w:left w:val="none" w:sz="0" w:space="0" w:color="auto"/>
        <w:bottom w:val="none" w:sz="0" w:space="0" w:color="auto"/>
        <w:right w:val="none" w:sz="0" w:space="0" w:color="auto"/>
      </w:divBdr>
    </w:div>
    <w:div w:id="1746562859">
      <w:bodyDiv w:val="1"/>
      <w:marLeft w:val="0"/>
      <w:marRight w:val="0"/>
      <w:marTop w:val="0"/>
      <w:marBottom w:val="0"/>
      <w:divBdr>
        <w:top w:val="none" w:sz="0" w:space="0" w:color="auto"/>
        <w:left w:val="none" w:sz="0" w:space="0" w:color="auto"/>
        <w:bottom w:val="none" w:sz="0" w:space="0" w:color="auto"/>
        <w:right w:val="none" w:sz="0" w:space="0" w:color="auto"/>
      </w:divBdr>
    </w:div>
    <w:div w:id="21148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legalcode" TargetMode="External"/><Relationship Id="rId18" Type="http://schemas.openxmlformats.org/officeDocument/2006/relationships/footer" Target="footer2.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customXml" Target="../customXml/item4.xml"/><Relationship Id="rId10" Type="http://schemas.openxmlformats.org/officeDocument/2006/relationships/hyperlink" Target="http://www.deewr.gov.au/Employment/ResearchStatistics/ProgEval/Pages/Overview.aspx" TargetMode="External"/><Relationship Id="rId19" Type="http://schemas.openxmlformats.org/officeDocument/2006/relationships/header" Target="header3.xml"/><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yperlink" Target="http://www.deewr.gov.au/Employment/ResearchStatistics/ProgEval/Pages/Overview.aspx" TargetMode="External"/><Relationship Id="rId14" Type="http://schemas.openxmlformats.org/officeDocument/2006/relationships/hyperlink" Target="http://creativecommons.org/licenses/by/3.0/au/legalcode" TargetMode="External"/><Relationship Id="rId22" Type="http://schemas.openxmlformats.org/officeDocument/2006/relationships/hyperlink" Target="file://ACNSP010/DWPI/Evaluation/Job%20Services%20Australia/Evaluation%20projects/Good%20Practice%20Report/Qualitative%20References/Query%20Results/Queries%20on%20All%20Job%20Seekers/a5f420eb-c022-4ffd-99cd-9041f24bf75f" TargetMode="Externa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customXml" Target="../customXml/item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digenous xmlns="e72f731a-c9de-4f07-bfc3-6d1a61fe8bb2">false</Indigenous>
    <EarlyChildhood xmlns="e72f731a-c9de-4f07-bfc3-6d1a61fe8bb2">false</EarlyChildhood>
    <Employment xmlns="e72f731a-c9de-4f07-bfc3-6d1a61fe8bb2">true</Employment>
    <TheDepartment xmlns="e72f731a-c9de-4f07-bfc3-6d1a61fe8bb2">false</TheDepartment>
    <Youth xmlns="e72f731a-c9de-4f07-bfc3-6d1a61fe8bb2">false</Youth>
    <Schooling xmlns="e72f731a-c9de-4f07-bfc3-6d1a61fe8bb2">false</Schooling>
    <WorkplaceRelations xmlns="e72f731a-c9de-4f07-bfc3-6d1a61fe8bb2">false</WorkplaceRelations>
    <International xmlns="e72f731a-c9de-4f07-bfc3-6d1a61fe8bb2">false</International>
    <HigherEducation xmlns="e72f731a-c9de-4f07-bfc3-6d1a61fe8bb2">false</HigherEducation>
    <Skills xmlns="e72f731a-c9de-4f07-bfc3-6d1a61fe8bb2">false</Skills>
  </documentManagement>
</p:properties>
</file>

<file path=customXml/item2.xml><?xml version="1.0" encoding="utf-8"?>
<b:Sources xmlns:b="http://schemas.openxmlformats.org/officeDocument/2006/bibliography" xmlns="http://schemas.openxmlformats.org/officeDocument/2006/bibliography" SelectedStyle="\APA.XSL" StyleName="APA">
  <b:Source>
    <b:Tag>PPM10</b:Tag>
    <b:SourceType>Misc</b:SourceType>
    <b:Guid>{F8D864EF-B0BD-4D8D-8642-029558ECC92B}</b:Guid>
    <b:LCID>0</b:LCID>
    <b:Author>
      <b:Author>
        <b:Corporate>PPM</b:Corporate>
      </b:Author>
    </b:Author>
    <b:Title>Post Program Monitoring Survey</b:Title>
    <b:Year>2010</b:Year>
    <b:Publisher>Department of Education, Employment and Workplace Relations</b:Publisher>
    <b:RefOrder>2</b:RefOrder>
  </b:Source>
  <b:Source>
    <b:Tag>Emp10</b:Tag>
    <b:SourceType>Misc</b:SourceType>
    <b:Guid>{D73555F1-0E97-40CA-B112-CD9E63B49A6C}</b:Guid>
    <b:LCID>0</b:LCID>
    <b:Author>
      <b:Author>
        <b:Corporate>Employer survey</b:Corporate>
      </b:Author>
    </b:Author>
    <b:Title>Survey of employers</b:Title>
    <b:Year>2010</b:Year>
    <b:Publisher>Department of Education, Employment and Workplace Relations</b:Publisher>
    <b:RefOrder>3</b:RefOrder>
  </b:Source>
  <b:Source>
    <b:Tag>JSf10</b:Tag>
    <b:SourceType>Misc</b:SourceType>
    <b:Guid>{07781B1A-DC04-4C4D-8C09-592FACDF9B37}</b:Guid>
    <b:LCID>0</b:LCID>
    <b:Author>
      <b:Author>
        <b:Corporate>JS focus groups</b:Corporate>
      </b:Author>
    </b:Author>
    <b:Year>2010</b:Year>
    <b:Publisher>Department of Education, Employment and Workplace Relations</b:Publisher>
    <b:Title>Job seeker focus groups</b:Title>
    <b:RefOrder>4</b:RefOrder>
  </b:Source>
  <b:Source>
    <b:Tag>Bam06</b:Tag>
    <b:SourceType>Book</b:SourceType>
    <b:Guid>{FE566ED5-5549-41D5-A9B0-9E76A7074B84}</b:Guid>
    <b:LCID>0</b:LCID>
    <b:Author>
      <b:Author>
        <b:NameList>
          <b:Person>
            <b:Last>Bamberger</b:Last>
            <b:First>Michael</b:First>
          </b:Person>
          <b:Person>
            <b:Last>Rugh</b:Last>
            <b:First>Jim</b:First>
          </b:Person>
          <b:Person>
            <b:Last>Mabry</b:Last>
            <b:First>Linda</b:First>
          </b:Person>
        </b:NameList>
      </b:Author>
    </b:Author>
    <b:Title>Real World Evaluation: Working Under Budget, Time, Data, and Political Constraints</b:Title>
    <b:Year>2006</b:Year>
    <b:City>Thousand Oaks, London and New Delhi</b:City>
    <b:Publisher>Sage Publications Inc</b:Publisher>
    <b:RefOrder>5</b:RefOrder>
  </b:Source>
  <b:Source>
    <b:Tag>Placeholder1</b:Tag>
    <b:SourceType>Misc</b:SourceType>
    <b:Guid>{18F3D281-BB51-407F-8173-85964D2A34A5}</b:Guid>
    <b:LCID>0</b:LCID>
    <b:Author>
      <b:Author>
        <b:Corporate>Service Provider Survey</b:Corporate>
      </b:Author>
    </b:Author>
    <b:Title>2010 Provider Survey</b:Title>
    <b:PublicationTitle>2010 Employment Service Providers Survey</b:PublicationTitle>
    <b:Year>2010</b:Year>
    <b:Publisher>Department of Education, Employment and Workplace Relations</b:Publisher>
    <b:RefOrder>6</b:RefOrder>
  </b:Source>
  <b:Source>
    <b:Tag>DEE07</b:Tag>
    <b:SourceType>Book</b:SourceType>
    <b:Guid>{EE4A288F-02B7-4FDD-904A-572634241B40}</b:Guid>
    <b:LCID>0</b:LCID>
    <b:Author>
      <b:Author>
        <b:Corporate>DEEWR</b:Corporate>
      </b:Author>
    </b:Author>
    <b:Title>Active Participation Model Evaluation: July 2001 – June 2006</b:Title>
    <b:Year>2007</b:Year>
    <b:City>Canberra</b:City>
    <b:Publisher> Department of Education, Employment and Workplace Relations (DEEWR)</b:Publisher>
    <b:RefOrder>7</b:RefOrder>
  </b:Source>
  <b:Source>
    <b:Tag>Dis10</b:Tag>
    <b:SourceType>Misc</b:SourceType>
    <b:Guid>{2CA630FD-D8D1-4AF6-8E37-70CAB3F9EDE9}</b:Guid>
    <b:LCID>0</b:LCID>
    <b:Author>
      <b:Author>
        <b:Corporate>discussions with service providers</b:Corporate>
      </b:Author>
    </b:Author>
    <b:Year>2010</b:Year>
    <b:Publisher>Department of Education, Employment and Workplace Relations</b:Publisher>
    <b:RefOrder>8</b:RefOrder>
  </b:Source>
  <b:Source>
    <b:Tag>EAS11</b:Tag>
    <b:SourceType>Misc</b:SourceType>
    <b:Guid>{AB202E37-B250-4A1B-A5CE-476C58916661}</b:Guid>
    <b:LCID>0</b:LCID>
    <b:Author>
      <b:Author>
        <b:Corporate>EAS</b:Corporate>
      </b:Author>
    </b:Author>
    <b:Year>2011</b:Year>
    <b:Publisher>Department of Education, Employment and Workplace Relations (DEEWR)</b:Publisher>
    <b:Title>Employment Assistance Survey</b:Title>
    <b:RefOrder>9</b:RefOrder>
  </b:Source>
  <b:Source>
    <b:Tag>DEEWRCDS</b:Tag>
    <b:SourceType>Misc</b:SourceType>
    <b:Guid>{723A28E9-5F32-4FE9-9EAC-625040A81EB5}</b:Guid>
    <b:LCID>0</b:LCID>
    <b:Author>
      <b:Author>
        <b:Corporate>DEEWR CDS</b:Corporate>
      </b:Author>
    </b:Author>
    <b:Title>Corporate Data Set</b:Title>
    <b:Year>2011</b:Year>
    <b:Publisher>Department of Education, Employment and Workplace Relations (DEEWR)</b:Publisher>
    <b:RefOrder>10</b:RefOrder>
  </b:Source>
  <b:Source>
    <b:Tag>DAI</b:Tag>
    <b:SourceType>Book</b:SourceType>
    <b:Guid>{CE7A0757-EAA5-4CB4-9A8D-763838A3115C}</b:Guid>
    <b:LCID>0</b:LCID>
    <b:Author>
      <b:Author>
        <b:Corporate>DAISES</b:Corporate>
      </b:Author>
    </b:Author>
    <b:Title>The Dynamics of Australian Income Support &amp; Employment Services (DAISES)</b:Title>
    <b:Publisher>The Social Research Centre</b:Publisher>
    <b:Year>2011</b:Year>
    <b:RefOrder>11</b:RefOrder>
  </b:Source>
  <b:Source>
    <b:Tag>PS</b:Tag>
    <b:SourceType>Misc</b:SourceType>
    <b:Guid>{E4EFB786-6CA9-41DE-AB9B-7A1E96E5B5E4}</b:Guid>
    <b:LCID>0</b:LCID>
    <b:Author>
      <b:Author>
        <b:Corporate>Employment Service Provider Survey</b:Corporate>
      </b:Author>
    </b:Author>
    <b:Title>2010 Employment Service Providers Survey</b:Title>
    <b:Year>2010</b:Year>
    <b:Publisher>Department of Education, Employment and Workplace Relations</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AAC4508BFA2BCB47B9A863A38FD46111" ma:contentTypeVersion="4" ma:contentTypeDescription="" ma:contentTypeScope="" ma:versionID="254548036909e00ac89979aab5f8f14e">
  <xsd:schema xmlns:xsd="http://www.w3.org/2001/XMLSchema" xmlns:p="http://schemas.microsoft.com/office/2006/metadata/properties" xmlns:ns2="e72f731a-c9de-4f07-bfc3-6d1a61fe8bb2" targetNamespace="http://schemas.microsoft.com/office/2006/metadata/properties" ma:root="true" ma:fieldsID="18dd8343e2a73c4f2811e48c7b767ffc" ns2:_="">
    <xsd:import namespace="e72f731a-c9de-4f07-bfc3-6d1a61fe8bb2"/>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72f731a-c9de-4f07-bfc3-6d1a61fe8bb2" elementFormDefault="qualified">
    <xsd:import namespace="http://schemas.microsoft.com/office/2006/documentManagement/types"/>
    <xsd:element name="EarlyChildhood" ma:index="8" nillable="true" ma:displayName="Early Childhood" ma:internalName="EarlyChildhood">
      <xsd:simpleType>
        <xsd:restriction base="dms:Boolean"/>
      </xsd:simpleType>
    </xsd:element>
    <xsd:element name="Schooling" ma:index="9" nillable="true" ma:displayName="Schooling" ma:internalName="Schooling">
      <xsd:simpleType>
        <xsd:restriction base="dms:Boolean"/>
      </xsd:simpleType>
    </xsd:element>
    <xsd:element name="HigherEducation" ma:index="10" nillable="true" ma:displayName="Higher Education" ma:internalName="HigherEducation">
      <xsd:simpleType>
        <xsd:restriction base="dms:Boolean"/>
      </xsd:simpleType>
    </xsd:element>
    <xsd:element name="Skills" ma:index="11" nillable="true" ma:displayName="Skills" ma:internalName="Skills">
      <xsd:simpleType>
        <xsd:restriction base="dms:Boolean"/>
      </xsd:simpleType>
    </xsd:element>
    <xsd:element name="Youth" ma:index="12" nillable="true" ma:displayName="Youth" ma:internalName="Youth">
      <xsd:simpleType>
        <xsd:restriction base="dms:Boolean"/>
      </xsd:simpleType>
    </xsd:element>
    <xsd:element name="Employment" ma:index="13" nillable="true" ma:displayName="Employment" ma:default="1" ma:internalName="Employment">
      <xsd:simpleType>
        <xsd:restriction base="dms:Boolean"/>
      </xsd:simpleType>
    </xsd:element>
    <xsd:element name="WorkplaceRelations" ma:index="14" nillable="true" ma:displayName="Workplace Relations" ma:internalName="WorkplaceRelations">
      <xsd:simpleType>
        <xsd:restriction base="dms:Boolean"/>
      </xsd:simpleType>
    </xsd:element>
    <xsd:element name="TheDepartment" ma:index="15" nillable="true" ma:displayName="Department" ma:internalName="TheDepartment">
      <xsd:simpleType>
        <xsd:restriction base="dms:Boolean"/>
      </xsd:simpleType>
    </xsd:element>
    <xsd:element name="International" ma:index="16" nillable="true" ma:displayName="International" ma:internalName="International">
      <xsd:simpleType>
        <xsd:restriction base="dms:Boolean"/>
      </xsd:simpleType>
    </xsd:element>
    <xsd:element name="Indigenous" ma:index="17"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A3D26-350D-49BF-AC85-D290AC520C8E}"/>
</file>

<file path=customXml/itemProps2.xml><?xml version="1.0" encoding="utf-8"?>
<ds:datastoreItem xmlns:ds="http://schemas.openxmlformats.org/officeDocument/2006/customXml" ds:itemID="{F2FA7922-F3E8-4915-BEF5-A708033BF7D3}"/>
</file>

<file path=customXml/itemProps3.xml><?xml version="1.0" encoding="utf-8"?>
<ds:datastoreItem xmlns:ds="http://schemas.openxmlformats.org/officeDocument/2006/customXml" ds:itemID="{66D432F0-75EB-47BB-9FE8-4A8E1F180869}"/>
</file>

<file path=customXml/itemProps4.xml><?xml version="1.0" encoding="utf-8"?>
<ds:datastoreItem xmlns:ds="http://schemas.openxmlformats.org/officeDocument/2006/customXml" ds:itemID="{9CF44A27-9B87-409F-95C8-47FE9D2D5317}"/>
</file>

<file path=docProps/app.xml><?xml version="1.0" encoding="utf-8"?>
<Properties xmlns="http://schemas.openxmlformats.org/officeDocument/2006/extended-properties" xmlns:vt="http://schemas.openxmlformats.org/officeDocument/2006/docPropsVTypes">
  <Template>Normal.dotm</Template>
  <TotalTime>0</TotalTime>
  <Pages>41</Pages>
  <Words>12214</Words>
  <Characters>73702</Characters>
  <Application>Microsoft Office Word</Application>
  <DocSecurity>0</DocSecurity>
  <Lines>614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2012-06-06T06:40:00Z</dcterms:created>
  <dcterms:modified xsi:type="dcterms:W3CDTF">2012-06-07T04:38:00Z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0x010100A307F53EE80F4E9D9B7E4786A22684B700AAC4508BFA2BCB47B9A863A38FD46111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