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4F5CD" w14:textId="725F6B28" w:rsidR="009B69A3" w:rsidRDefault="009B69A3" w:rsidP="002640EF">
      <w:pPr>
        <w:pStyle w:val="Heading1"/>
        <w:jc w:val="right"/>
        <w:rPr>
          <w:noProof/>
        </w:rPr>
      </w:pPr>
      <w:bookmarkStart w:id="0" w:name="_GoBack"/>
      <w:bookmarkEnd w:id="0"/>
      <w:r>
        <w:rPr>
          <w:noProof/>
        </w:rPr>
        <w:drawing>
          <wp:inline distT="0" distB="0" distL="0" distR="0" wp14:anchorId="7E8146AA" wp14:editId="519ED1BF">
            <wp:extent cx="2018030" cy="739140"/>
            <wp:effectExtent l="0" t="0" r="1270" b="3810"/>
            <wp:docPr id="2" name="Picture 2" descr="JSA_inline_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A_inline_tag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8030" cy="739140"/>
                    </a:xfrm>
                    <a:prstGeom prst="rect">
                      <a:avLst/>
                    </a:prstGeom>
                    <a:noFill/>
                  </pic:spPr>
                </pic:pic>
              </a:graphicData>
            </a:graphic>
          </wp:inline>
        </w:drawing>
      </w:r>
    </w:p>
    <w:p w14:paraId="28EA5E62" w14:textId="1E0FB582" w:rsidR="00570756" w:rsidRPr="00820311" w:rsidRDefault="00A44B8C" w:rsidP="009F39DA">
      <w:pPr>
        <w:pStyle w:val="Heading1"/>
        <w:tabs>
          <w:tab w:val="left" w:pos="7938"/>
        </w:tabs>
        <w:spacing w:after="240"/>
        <w:ind w:right="2266"/>
      </w:pPr>
      <w:bookmarkStart w:id="1" w:name="Example"/>
      <w:r>
        <w:t>Job Services Australia Star Ratings Methodology</w:t>
      </w:r>
      <w:bookmarkEnd w:id="1"/>
      <w:r w:rsidR="005865F5" w:rsidRPr="00820311">
        <w:t xml:space="preserve"> </w:t>
      </w:r>
      <w:r>
        <w:t>From July 2012 To June 2015</w:t>
      </w:r>
    </w:p>
    <w:p w14:paraId="28EA5E63" w14:textId="67A6D876" w:rsidR="00570756" w:rsidRPr="00FC5402" w:rsidRDefault="00A44B8C" w:rsidP="009F39DA">
      <w:pPr>
        <w:pStyle w:val="Heading2"/>
        <w:spacing w:before="0" w:after="120"/>
      </w:pPr>
      <w:r>
        <w:t>Introduction</w:t>
      </w:r>
    </w:p>
    <w:p w14:paraId="413B2DEA" w14:textId="77777777" w:rsidR="00A44B8C" w:rsidRPr="0099201F" w:rsidRDefault="00A44B8C" w:rsidP="00A44B8C">
      <w:pPr>
        <w:autoSpaceDE w:val="0"/>
        <w:autoSpaceDN w:val="0"/>
        <w:adjustRightInd w:val="0"/>
        <w:rPr>
          <w:rFonts w:cs="Calibri"/>
          <w:color w:val="000000"/>
          <w:szCs w:val="22"/>
        </w:rPr>
      </w:pPr>
      <w:r w:rsidRPr="0099201F">
        <w:rPr>
          <w:rFonts w:cs="Calibri"/>
          <w:color w:val="000000"/>
          <w:szCs w:val="22"/>
        </w:rPr>
        <w:t xml:space="preserve">The </w:t>
      </w:r>
      <w:r>
        <w:rPr>
          <w:rFonts w:cs="Calibri"/>
          <w:color w:val="000000"/>
          <w:szCs w:val="22"/>
        </w:rPr>
        <w:t xml:space="preserve">Job Services Australia (JSA) </w:t>
      </w:r>
      <w:r w:rsidRPr="0099201F">
        <w:rPr>
          <w:rFonts w:cs="Calibri"/>
          <w:color w:val="000000"/>
          <w:szCs w:val="22"/>
        </w:rPr>
        <w:t xml:space="preserve">Star Ratings are used by: </w:t>
      </w:r>
    </w:p>
    <w:p w14:paraId="165D4D84" w14:textId="73178DA0" w:rsidR="00A44B8C" w:rsidRPr="00CD191A" w:rsidRDefault="00A44B8C" w:rsidP="00A44B8C">
      <w:pPr>
        <w:numPr>
          <w:ilvl w:val="0"/>
          <w:numId w:val="1"/>
        </w:numPr>
        <w:autoSpaceDE w:val="0"/>
        <w:autoSpaceDN w:val="0"/>
        <w:adjustRightInd w:val="0"/>
      </w:pPr>
      <w:r w:rsidRPr="00CD191A">
        <w:t>job seekers to assess the comparative performance o</w:t>
      </w:r>
      <w:r>
        <w:t>f providers in their local area;</w:t>
      </w:r>
    </w:p>
    <w:p w14:paraId="14737CD3" w14:textId="69A1241D" w:rsidR="00A44B8C" w:rsidRPr="00CD191A" w:rsidRDefault="00A44B8C" w:rsidP="00A44B8C">
      <w:pPr>
        <w:numPr>
          <w:ilvl w:val="0"/>
          <w:numId w:val="1"/>
        </w:numPr>
        <w:autoSpaceDE w:val="0"/>
        <w:autoSpaceDN w:val="0"/>
        <w:adjustRightInd w:val="0"/>
      </w:pPr>
      <w:r w:rsidRPr="00CD191A">
        <w:t>providers as a measure of their contractual performance</w:t>
      </w:r>
      <w:r>
        <w:t>; and</w:t>
      </w:r>
      <w:r w:rsidRPr="00CD191A">
        <w:t xml:space="preserve"> </w:t>
      </w:r>
    </w:p>
    <w:p w14:paraId="2D886326" w14:textId="77777777" w:rsidR="00A44B8C" w:rsidRDefault="00A44B8C" w:rsidP="00A44B8C">
      <w:pPr>
        <w:numPr>
          <w:ilvl w:val="0"/>
          <w:numId w:val="1"/>
        </w:numPr>
        <w:autoSpaceDE w:val="0"/>
        <w:autoSpaceDN w:val="0"/>
        <w:adjustRightInd w:val="0"/>
      </w:pPr>
      <w:r w:rsidRPr="00CD191A">
        <w:t xml:space="preserve">the department to drive improved performance and allocate business share to providers. </w:t>
      </w:r>
    </w:p>
    <w:p w14:paraId="645080FE" w14:textId="77777777" w:rsidR="00A44B8C" w:rsidRDefault="00A44B8C" w:rsidP="00A44B8C">
      <w:pPr>
        <w:autoSpaceDE w:val="0"/>
        <w:autoSpaceDN w:val="0"/>
        <w:adjustRightInd w:val="0"/>
      </w:pPr>
    </w:p>
    <w:p w14:paraId="7F718874" w14:textId="77777777" w:rsidR="00A44B8C" w:rsidRPr="00C559AD" w:rsidRDefault="00A44B8C" w:rsidP="00A44B8C">
      <w:pPr>
        <w:autoSpaceDE w:val="0"/>
        <w:autoSpaceDN w:val="0"/>
        <w:adjustRightInd w:val="0"/>
        <w:rPr>
          <w:rFonts w:cs="Calibri"/>
          <w:color w:val="000000"/>
          <w:szCs w:val="22"/>
        </w:rPr>
      </w:pPr>
      <w:r w:rsidRPr="00C559AD">
        <w:rPr>
          <w:rFonts w:cs="Calibri"/>
          <w:color w:val="000000"/>
          <w:szCs w:val="22"/>
        </w:rPr>
        <w:t xml:space="preserve">The ratings measure the relative performance of providers against two contractual </w:t>
      </w:r>
      <w:r>
        <w:rPr>
          <w:rFonts w:cs="Calibri"/>
          <w:color w:val="000000"/>
          <w:szCs w:val="22"/>
        </w:rPr>
        <w:t>K</w:t>
      </w:r>
      <w:r w:rsidRPr="00C559AD">
        <w:rPr>
          <w:rFonts w:cs="Calibri"/>
          <w:color w:val="000000"/>
          <w:szCs w:val="22"/>
        </w:rPr>
        <w:t xml:space="preserve">ey </w:t>
      </w:r>
      <w:r>
        <w:rPr>
          <w:rFonts w:cs="Calibri"/>
          <w:color w:val="000000"/>
          <w:szCs w:val="22"/>
        </w:rPr>
        <w:t>P</w:t>
      </w:r>
      <w:r w:rsidRPr="00C559AD">
        <w:rPr>
          <w:rFonts w:cs="Calibri"/>
          <w:color w:val="000000"/>
          <w:szCs w:val="22"/>
        </w:rPr>
        <w:t xml:space="preserve">erformance </w:t>
      </w:r>
      <w:r>
        <w:rPr>
          <w:rFonts w:cs="Calibri"/>
          <w:color w:val="000000"/>
          <w:szCs w:val="22"/>
        </w:rPr>
        <w:t>I</w:t>
      </w:r>
      <w:r w:rsidRPr="00C559AD">
        <w:rPr>
          <w:rFonts w:cs="Calibri"/>
          <w:color w:val="000000"/>
          <w:szCs w:val="22"/>
        </w:rPr>
        <w:t>ndicators</w:t>
      </w:r>
      <w:r>
        <w:rPr>
          <w:rFonts w:cs="Calibri"/>
          <w:color w:val="000000"/>
          <w:szCs w:val="22"/>
        </w:rPr>
        <w:t xml:space="preserve"> (KPIs) over the most recent three year period</w:t>
      </w:r>
      <w:r w:rsidRPr="00C559AD">
        <w:rPr>
          <w:rFonts w:cs="Calibri"/>
          <w:color w:val="000000"/>
          <w:szCs w:val="22"/>
        </w:rPr>
        <w:t xml:space="preserve">: </w:t>
      </w:r>
    </w:p>
    <w:p w14:paraId="418CD7D5" w14:textId="77777777" w:rsidR="00A44B8C" w:rsidRPr="00C559AD" w:rsidRDefault="00A44B8C" w:rsidP="00A44B8C">
      <w:pPr>
        <w:numPr>
          <w:ilvl w:val="0"/>
          <w:numId w:val="25"/>
        </w:numPr>
        <w:autoSpaceDE w:val="0"/>
        <w:autoSpaceDN w:val="0"/>
        <w:adjustRightInd w:val="0"/>
        <w:spacing w:after="30"/>
        <w:contextualSpacing w:val="0"/>
        <w:rPr>
          <w:rFonts w:cs="Calibri"/>
          <w:color w:val="000000"/>
          <w:szCs w:val="22"/>
        </w:rPr>
      </w:pPr>
      <w:r w:rsidRPr="002C4F0A">
        <w:rPr>
          <w:rFonts w:cs="Calibri"/>
          <w:b/>
          <w:color w:val="000000"/>
          <w:szCs w:val="22"/>
        </w:rPr>
        <w:t>KPI1 Efficiency</w:t>
      </w:r>
      <w:r w:rsidRPr="00C559AD">
        <w:rPr>
          <w:rFonts w:cs="Calibri"/>
          <w:color w:val="000000"/>
          <w:szCs w:val="22"/>
        </w:rPr>
        <w:t xml:space="preserve"> - the average time taken by providers in comparison with other providers to assist relevant participants into employment. </w:t>
      </w:r>
    </w:p>
    <w:p w14:paraId="7CC434F3" w14:textId="5340CC70" w:rsidR="00FF40CE" w:rsidRPr="00145FB2" w:rsidRDefault="00A44B8C" w:rsidP="003D3E9A">
      <w:pPr>
        <w:pStyle w:val="ListParagraph"/>
        <w:numPr>
          <w:ilvl w:val="0"/>
          <w:numId w:val="25"/>
        </w:numPr>
        <w:spacing w:after="240"/>
        <w:ind w:left="748" w:hanging="357"/>
      </w:pPr>
      <w:r w:rsidRPr="00A44B8C">
        <w:rPr>
          <w:rFonts w:cs="Calibri"/>
          <w:b/>
          <w:color w:val="000000"/>
          <w:szCs w:val="22"/>
        </w:rPr>
        <w:t>KPI2 Effectiveness</w:t>
      </w:r>
      <w:r w:rsidRPr="00A44B8C">
        <w:rPr>
          <w:rFonts w:cs="Calibri"/>
          <w:color w:val="000000"/>
          <w:szCs w:val="22"/>
        </w:rPr>
        <w:t xml:space="preserve"> – the proportions of relevant participants for whom placements and outcomes are achieved, including social outcomes for Stream 4 participants.</w:t>
      </w:r>
    </w:p>
    <w:p w14:paraId="2A633719" w14:textId="574B1BC3" w:rsidR="00A44B8C" w:rsidRPr="00FC5402" w:rsidRDefault="00A44B8C" w:rsidP="009F39DA">
      <w:pPr>
        <w:pStyle w:val="Heading2"/>
        <w:spacing w:before="0" w:after="120"/>
      </w:pPr>
      <w:r>
        <w:t>Performance Measures and Weightings</w:t>
      </w:r>
    </w:p>
    <w:p w14:paraId="629F423B" w14:textId="3C6EA415" w:rsidR="00A44B8C" w:rsidRDefault="00A44B8C" w:rsidP="00A44B8C">
      <w:pPr>
        <w:rPr>
          <w:rFonts w:cs="Calibri"/>
          <w:color w:val="000000"/>
          <w:szCs w:val="22"/>
        </w:rPr>
      </w:pPr>
      <w:r w:rsidRPr="00A44B8C">
        <w:rPr>
          <w:rFonts w:cs="Calibri"/>
          <w:color w:val="000000"/>
          <w:szCs w:val="22"/>
        </w:rPr>
        <w:t xml:space="preserve">A set of performance measures for each JSA Stream enables the assessment of the KPIs. These are shown in the table below along with their relative weightings. Overall JSA ratings are calculated by aggregating the individual Stream ratings with Stream 4 contributing 40%, Stream 3 30%, Stream 2 20% and Stream 1 10%. </w:t>
      </w:r>
    </w:p>
    <w:p w14:paraId="74AEAE35" w14:textId="77777777" w:rsidR="009F39DA" w:rsidRPr="00145FB2" w:rsidRDefault="009F39DA" w:rsidP="00A44B8C"/>
    <w:tbl>
      <w:tblPr>
        <w:tblW w:w="7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1134"/>
        <w:gridCol w:w="1134"/>
        <w:gridCol w:w="1134"/>
        <w:gridCol w:w="1134"/>
      </w:tblGrid>
      <w:tr w:rsidR="00A44B8C" w:rsidRPr="00587422" w14:paraId="37D2D664" w14:textId="77777777" w:rsidTr="009F39DA">
        <w:tc>
          <w:tcPr>
            <w:tcW w:w="3364" w:type="dxa"/>
            <w:tcBorders>
              <w:bottom w:val="nil"/>
            </w:tcBorders>
            <w:shd w:val="clear" w:color="auto" w:fill="D9D9D9" w:themeFill="background1" w:themeFillShade="D9"/>
          </w:tcPr>
          <w:p w14:paraId="57EC1C5F" w14:textId="77777777" w:rsidR="00A44B8C" w:rsidRPr="00587422" w:rsidRDefault="00A44B8C" w:rsidP="005073E8">
            <w:pPr>
              <w:spacing w:after="0"/>
              <w:rPr>
                <w:b/>
                <w:sz w:val="20"/>
                <w:szCs w:val="20"/>
              </w:rPr>
            </w:pPr>
            <w:r w:rsidRPr="00587422">
              <w:rPr>
                <w:b/>
                <w:sz w:val="20"/>
                <w:szCs w:val="20"/>
              </w:rPr>
              <w:t>Performance</w:t>
            </w:r>
          </w:p>
        </w:tc>
        <w:tc>
          <w:tcPr>
            <w:tcW w:w="4536" w:type="dxa"/>
            <w:gridSpan w:val="4"/>
            <w:shd w:val="clear" w:color="auto" w:fill="D9D9D9" w:themeFill="background1" w:themeFillShade="D9"/>
          </w:tcPr>
          <w:p w14:paraId="18094CC5" w14:textId="77777777" w:rsidR="00A44B8C" w:rsidRPr="00587422" w:rsidRDefault="00A44B8C" w:rsidP="005073E8">
            <w:pPr>
              <w:spacing w:after="0"/>
              <w:jc w:val="center"/>
              <w:rPr>
                <w:b/>
                <w:sz w:val="20"/>
                <w:szCs w:val="20"/>
              </w:rPr>
            </w:pPr>
            <w:r w:rsidRPr="00587422">
              <w:rPr>
                <w:b/>
                <w:sz w:val="20"/>
                <w:szCs w:val="20"/>
              </w:rPr>
              <w:t>Weightings in JSA Star Ratings Model</w:t>
            </w:r>
          </w:p>
        </w:tc>
      </w:tr>
      <w:tr w:rsidR="009F39DA" w:rsidRPr="00587422" w14:paraId="47E6621B" w14:textId="77777777" w:rsidTr="009F39DA">
        <w:tc>
          <w:tcPr>
            <w:tcW w:w="3364" w:type="dxa"/>
            <w:tcBorders>
              <w:top w:val="nil"/>
              <w:bottom w:val="single" w:sz="4" w:space="0" w:color="auto"/>
            </w:tcBorders>
            <w:shd w:val="clear" w:color="auto" w:fill="D9D9D9" w:themeFill="background1" w:themeFillShade="D9"/>
          </w:tcPr>
          <w:p w14:paraId="2E779657" w14:textId="77777777" w:rsidR="00A44B8C" w:rsidRPr="00587422" w:rsidRDefault="00A44B8C" w:rsidP="005073E8">
            <w:pPr>
              <w:spacing w:after="0"/>
              <w:rPr>
                <w:b/>
                <w:sz w:val="20"/>
                <w:szCs w:val="20"/>
              </w:rPr>
            </w:pPr>
            <w:r w:rsidRPr="00587422">
              <w:rPr>
                <w:b/>
                <w:sz w:val="20"/>
                <w:szCs w:val="20"/>
              </w:rPr>
              <w:t>Measure</w:t>
            </w:r>
          </w:p>
        </w:tc>
        <w:tc>
          <w:tcPr>
            <w:tcW w:w="1134" w:type="dxa"/>
            <w:tcBorders>
              <w:bottom w:val="single" w:sz="4" w:space="0" w:color="auto"/>
            </w:tcBorders>
            <w:shd w:val="clear" w:color="auto" w:fill="D9D9D9" w:themeFill="background1" w:themeFillShade="D9"/>
          </w:tcPr>
          <w:p w14:paraId="3CCF638B" w14:textId="77777777" w:rsidR="00A44B8C" w:rsidRPr="00587422" w:rsidRDefault="00A44B8C" w:rsidP="005073E8">
            <w:pPr>
              <w:spacing w:after="0"/>
              <w:jc w:val="center"/>
              <w:rPr>
                <w:b/>
                <w:sz w:val="20"/>
                <w:szCs w:val="20"/>
              </w:rPr>
            </w:pPr>
            <w:r w:rsidRPr="00587422">
              <w:rPr>
                <w:b/>
                <w:sz w:val="20"/>
                <w:szCs w:val="20"/>
              </w:rPr>
              <w:t>Stream 4</w:t>
            </w:r>
          </w:p>
          <w:p w14:paraId="7B2AA076" w14:textId="77777777" w:rsidR="00A44B8C" w:rsidRPr="00587422" w:rsidRDefault="00A44B8C" w:rsidP="005073E8">
            <w:pPr>
              <w:spacing w:after="0"/>
              <w:jc w:val="center"/>
              <w:rPr>
                <w:b/>
                <w:sz w:val="20"/>
                <w:szCs w:val="20"/>
              </w:rPr>
            </w:pPr>
            <w:r w:rsidRPr="00587422">
              <w:rPr>
                <w:b/>
                <w:sz w:val="20"/>
                <w:szCs w:val="20"/>
              </w:rPr>
              <w:t>40%</w:t>
            </w:r>
          </w:p>
        </w:tc>
        <w:tc>
          <w:tcPr>
            <w:tcW w:w="1134" w:type="dxa"/>
            <w:tcBorders>
              <w:bottom w:val="single" w:sz="4" w:space="0" w:color="auto"/>
            </w:tcBorders>
            <w:shd w:val="clear" w:color="auto" w:fill="D9D9D9" w:themeFill="background1" w:themeFillShade="D9"/>
          </w:tcPr>
          <w:p w14:paraId="2D5ACE52" w14:textId="77777777" w:rsidR="00A44B8C" w:rsidRPr="00587422" w:rsidRDefault="00A44B8C" w:rsidP="005073E8">
            <w:pPr>
              <w:spacing w:after="0"/>
              <w:jc w:val="center"/>
              <w:rPr>
                <w:b/>
                <w:sz w:val="20"/>
                <w:szCs w:val="20"/>
              </w:rPr>
            </w:pPr>
            <w:r w:rsidRPr="00587422">
              <w:rPr>
                <w:b/>
                <w:sz w:val="20"/>
                <w:szCs w:val="20"/>
              </w:rPr>
              <w:t>Stream 3</w:t>
            </w:r>
          </w:p>
          <w:p w14:paraId="0FA9F895" w14:textId="77777777" w:rsidR="00A44B8C" w:rsidRPr="00587422" w:rsidRDefault="00A44B8C" w:rsidP="005073E8">
            <w:pPr>
              <w:spacing w:after="0"/>
              <w:jc w:val="center"/>
              <w:rPr>
                <w:b/>
                <w:sz w:val="20"/>
                <w:szCs w:val="20"/>
              </w:rPr>
            </w:pPr>
            <w:r w:rsidRPr="00587422">
              <w:rPr>
                <w:b/>
                <w:sz w:val="20"/>
                <w:szCs w:val="20"/>
              </w:rPr>
              <w:t>30%</w:t>
            </w:r>
          </w:p>
        </w:tc>
        <w:tc>
          <w:tcPr>
            <w:tcW w:w="1134" w:type="dxa"/>
            <w:tcBorders>
              <w:bottom w:val="single" w:sz="4" w:space="0" w:color="auto"/>
            </w:tcBorders>
            <w:shd w:val="clear" w:color="auto" w:fill="D9D9D9" w:themeFill="background1" w:themeFillShade="D9"/>
          </w:tcPr>
          <w:p w14:paraId="06B228F9" w14:textId="77777777" w:rsidR="00A44B8C" w:rsidRPr="00587422" w:rsidRDefault="00A44B8C" w:rsidP="005073E8">
            <w:pPr>
              <w:spacing w:after="0"/>
              <w:jc w:val="center"/>
              <w:rPr>
                <w:b/>
                <w:sz w:val="20"/>
                <w:szCs w:val="20"/>
              </w:rPr>
            </w:pPr>
            <w:r w:rsidRPr="00587422">
              <w:rPr>
                <w:b/>
                <w:sz w:val="20"/>
                <w:szCs w:val="20"/>
              </w:rPr>
              <w:t>Stream 2</w:t>
            </w:r>
          </w:p>
          <w:p w14:paraId="7BDA9ED0" w14:textId="77777777" w:rsidR="00A44B8C" w:rsidRPr="00587422" w:rsidRDefault="00A44B8C" w:rsidP="005073E8">
            <w:pPr>
              <w:spacing w:after="0"/>
              <w:jc w:val="center"/>
              <w:rPr>
                <w:b/>
                <w:sz w:val="20"/>
                <w:szCs w:val="20"/>
              </w:rPr>
            </w:pPr>
            <w:r w:rsidRPr="00587422">
              <w:rPr>
                <w:b/>
                <w:sz w:val="20"/>
                <w:szCs w:val="20"/>
              </w:rPr>
              <w:t>20%</w:t>
            </w:r>
          </w:p>
        </w:tc>
        <w:tc>
          <w:tcPr>
            <w:tcW w:w="1134" w:type="dxa"/>
            <w:tcBorders>
              <w:bottom w:val="single" w:sz="4" w:space="0" w:color="auto"/>
            </w:tcBorders>
            <w:shd w:val="clear" w:color="auto" w:fill="D9D9D9" w:themeFill="background1" w:themeFillShade="D9"/>
          </w:tcPr>
          <w:p w14:paraId="0D0B80E9" w14:textId="77777777" w:rsidR="00A44B8C" w:rsidRPr="00587422" w:rsidRDefault="00A44B8C" w:rsidP="005073E8">
            <w:pPr>
              <w:spacing w:after="0"/>
              <w:jc w:val="center"/>
              <w:rPr>
                <w:b/>
                <w:sz w:val="20"/>
                <w:szCs w:val="20"/>
              </w:rPr>
            </w:pPr>
            <w:r w:rsidRPr="00587422">
              <w:rPr>
                <w:b/>
                <w:sz w:val="20"/>
                <w:szCs w:val="20"/>
              </w:rPr>
              <w:t>Stream 1</w:t>
            </w:r>
          </w:p>
          <w:p w14:paraId="0D5D1B20" w14:textId="77777777" w:rsidR="00A44B8C" w:rsidRPr="00587422" w:rsidRDefault="00A44B8C" w:rsidP="005073E8">
            <w:pPr>
              <w:spacing w:after="0"/>
              <w:jc w:val="center"/>
              <w:rPr>
                <w:b/>
                <w:sz w:val="20"/>
                <w:szCs w:val="20"/>
              </w:rPr>
            </w:pPr>
            <w:r w:rsidRPr="00587422">
              <w:rPr>
                <w:b/>
                <w:sz w:val="20"/>
                <w:szCs w:val="20"/>
              </w:rPr>
              <w:t>10%</w:t>
            </w:r>
          </w:p>
        </w:tc>
      </w:tr>
      <w:tr w:rsidR="00A44B8C" w:rsidRPr="00587422" w14:paraId="74BBF008" w14:textId="77777777" w:rsidTr="009F39DA">
        <w:tc>
          <w:tcPr>
            <w:tcW w:w="3364" w:type="dxa"/>
            <w:tcBorders>
              <w:bottom w:val="nil"/>
            </w:tcBorders>
          </w:tcPr>
          <w:p w14:paraId="5247F602" w14:textId="1084C737" w:rsidR="00A44B8C" w:rsidRPr="00587422" w:rsidRDefault="00A44B8C" w:rsidP="005073E8">
            <w:pPr>
              <w:spacing w:after="0"/>
              <w:rPr>
                <w:sz w:val="20"/>
                <w:szCs w:val="20"/>
              </w:rPr>
            </w:pPr>
            <w:r w:rsidRPr="00587422">
              <w:rPr>
                <w:sz w:val="20"/>
                <w:szCs w:val="20"/>
              </w:rPr>
              <w:t>13 Week Full Outcomes</w:t>
            </w:r>
          </w:p>
        </w:tc>
        <w:tc>
          <w:tcPr>
            <w:tcW w:w="1134" w:type="dxa"/>
            <w:tcBorders>
              <w:bottom w:val="nil"/>
            </w:tcBorders>
          </w:tcPr>
          <w:p w14:paraId="2DB57EDF" w14:textId="77777777" w:rsidR="00A44B8C" w:rsidRPr="00587422" w:rsidRDefault="00A44B8C" w:rsidP="005073E8">
            <w:pPr>
              <w:spacing w:after="0"/>
              <w:jc w:val="center"/>
              <w:rPr>
                <w:sz w:val="20"/>
                <w:szCs w:val="20"/>
              </w:rPr>
            </w:pPr>
            <w:r>
              <w:rPr>
                <w:sz w:val="20"/>
                <w:szCs w:val="20"/>
              </w:rPr>
              <w:t>20</w:t>
            </w:r>
            <w:r w:rsidRPr="00587422">
              <w:rPr>
                <w:sz w:val="20"/>
                <w:szCs w:val="20"/>
              </w:rPr>
              <w:t>%</w:t>
            </w:r>
          </w:p>
        </w:tc>
        <w:tc>
          <w:tcPr>
            <w:tcW w:w="1134" w:type="dxa"/>
            <w:tcBorders>
              <w:bottom w:val="nil"/>
            </w:tcBorders>
          </w:tcPr>
          <w:p w14:paraId="26D10A2E" w14:textId="77777777" w:rsidR="00A44B8C" w:rsidRPr="00587422" w:rsidRDefault="00A44B8C" w:rsidP="005073E8">
            <w:pPr>
              <w:spacing w:after="0"/>
              <w:jc w:val="center"/>
              <w:rPr>
                <w:sz w:val="20"/>
                <w:szCs w:val="20"/>
              </w:rPr>
            </w:pPr>
            <w:r w:rsidRPr="00587422">
              <w:rPr>
                <w:sz w:val="20"/>
                <w:szCs w:val="20"/>
              </w:rPr>
              <w:t>2</w:t>
            </w:r>
            <w:r>
              <w:rPr>
                <w:sz w:val="20"/>
                <w:szCs w:val="20"/>
              </w:rPr>
              <w:t>0</w:t>
            </w:r>
            <w:r w:rsidRPr="00587422">
              <w:rPr>
                <w:sz w:val="20"/>
                <w:szCs w:val="20"/>
              </w:rPr>
              <w:t>%</w:t>
            </w:r>
          </w:p>
        </w:tc>
        <w:tc>
          <w:tcPr>
            <w:tcW w:w="1134" w:type="dxa"/>
            <w:tcBorders>
              <w:bottom w:val="nil"/>
            </w:tcBorders>
          </w:tcPr>
          <w:p w14:paraId="3C804008" w14:textId="77777777" w:rsidR="00A44B8C" w:rsidRPr="00587422" w:rsidRDefault="00A44B8C" w:rsidP="005073E8">
            <w:pPr>
              <w:spacing w:after="0"/>
              <w:jc w:val="center"/>
              <w:rPr>
                <w:sz w:val="20"/>
                <w:szCs w:val="20"/>
              </w:rPr>
            </w:pPr>
            <w:r w:rsidRPr="00587422">
              <w:rPr>
                <w:sz w:val="20"/>
                <w:szCs w:val="20"/>
              </w:rPr>
              <w:t>2</w:t>
            </w:r>
            <w:r>
              <w:rPr>
                <w:sz w:val="20"/>
                <w:szCs w:val="20"/>
              </w:rPr>
              <w:t>0</w:t>
            </w:r>
            <w:r w:rsidRPr="00587422">
              <w:rPr>
                <w:sz w:val="20"/>
                <w:szCs w:val="20"/>
              </w:rPr>
              <w:t>%</w:t>
            </w:r>
          </w:p>
        </w:tc>
        <w:tc>
          <w:tcPr>
            <w:tcW w:w="1134" w:type="dxa"/>
            <w:tcBorders>
              <w:bottom w:val="nil"/>
            </w:tcBorders>
            <w:shd w:val="clear" w:color="auto" w:fill="FFFFFF" w:themeFill="background1"/>
          </w:tcPr>
          <w:p w14:paraId="1F254B06" w14:textId="77777777" w:rsidR="00A44B8C" w:rsidRPr="00587422" w:rsidRDefault="00A44B8C" w:rsidP="005073E8">
            <w:pPr>
              <w:spacing w:after="0"/>
              <w:jc w:val="center"/>
              <w:rPr>
                <w:sz w:val="20"/>
                <w:szCs w:val="20"/>
              </w:rPr>
            </w:pPr>
            <w:r w:rsidRPr="00587422">
              <w:rPr>
                <w:sz w:val="20"/>
                <w:szCs w:val="20"/>
              </w:rPr>
              <w:t>10%</w:t>
            </w:r>
          </w:p>
        </w:tc>
      </w:tr>
      <w:tr w:rsidR="00A44B8C" w:rsidRPr="00587422" w14:paraId="0C94635D" w14:textId="77777777" w:rsidTr="009F39DA">
        <w:tc>
          <w:tcPr>
            <w:tcW w:w="3364" w:type="dxa"/>
            <w:tcBorders>
              <w:top w:val="nil"/>
              <w:bottom w:val="nil"/>
            </w:tcBorders>
          </w:tcPr>
          <w:p w14:paraId="68F44E5A" w14:textId="62E9EB1C" w:rsidR="00A44B8C" w:rsidRPr="00587422" w:rsidRDefault="00A44B8C" w:rsidP="005073E8">
            <w:pPr>
              <w:spacing w:after="0"/>
              <w:rPr>
                <w:sz w:val="20"/>
                <w:szCs w:val="20"/>
              </w:rPr>
            </w:pPr>
            <w:r w:rsidRPr="00587422">
              <w:rPr>
                <w:sz w:val="20"/>
                <w:szCs w:val="20"/>
              </w:rPr>
              <w:t>13 Week Pathway Outcomes</w:t>
            </w:r>
          </w:p>
        </w:tc>
        <w:tc>
          <w:tcPr>
            <w:tcW w:w="1134" w:type="dxa"/>
            <w:tcBorders>
              <w:top w:val="nil"/>
              <w:bottom w:val="nil"/>
            </w:tcBorders>
          </w:tcPr>
          <w:p w14:paraId="7F6EBED0" w14:textId="77777777" w:rsidR="00A44B8C" w:rsidRPr="00587422" w:rsidRDefault="00A44B8C" w:rsidP="005073E8">
            <w:pPr>
              <w:spacing w:after="0"/>
              <w:jc w:val="center"/>
              <w:rPr>
                <w:sz w:val="20"/>
                <w:szCs w:val="20"/>
              </w:rPr>
            </w:pPr>
            <w:r>
              <w:rPr>
                <w:sz w:val="20"/>
                <w:szCs w:val="20"/>
              </w:rPr>
              <w:t>10</w:t>
            </w:r>
            <w:r w:rsidRPr="00587422">
              <w:rPr>
                <w:sz w:val="20"/>
                <w:szCs w:val="20"/>
              </w:rPr>
              <w:t>%</w:t>
            </w:r>
          </w:p>
        </w:tc>
        <w:tc>
          <w:tcPr>
            <w:tcW w:w="1134" w:type="dxa"/>
            <w:tcBorders>
              <w:top w:val="nil"/>
              <w:bottom w:val="nil"/>
            </w:tcBorders>
          </w:tcPr>
          <w:p w14:paraId="569B35E3" w14:textId="77777777" w:rsidR="00A44B8C" w:rsidRPr="00587422" w:rsidRDefault="00A44B8C" w:rsidP="005073E8">
            <w:pPr>
              <w:spacing w:after="0"/>
              <w:jc w:val="center"/>
              <w:rPr>
                <w:sz w:val="20"/>
                <w:szCs w:val="20"/>
              </w:rPr>
            </w:pPr>
            <w:r w:rsidRPr="00587422">
              <w:rPr>
                <w:sz w:val="20"/>
                <w:szCs w:val="20"/>
              </w:rPr>
              <w:t>10%</w:t>
            </w:r>
          </w:p>
        </w:tc>
        <w:tc>
          <w:tcPr>
            <w:tcW w:w="1134" w:type="dxa"/>
            <w:tcBorders>
              <w:top w:val="nil"/>
              <w:bottom w:val="nil"/>
            </w:tcBorders>
          </w:tcPr>
          <w:p w14:paraId="1B6F16EA" w14:textId="77777777" w:rsidR="00A44B8C" w:rsidRPr="00587422" w:rsidRDefault="00A44B8C" w:rsidP="005073E8">
            <w:pPr>
              <w:spacing w:after="0"/>
              <w:jc w:val="center"/>
              <w:rPr>
                <w:sz w:val="20"/>
                <w:szCs w:val="20"/>
              </w:rPr>
            </w:pPr>
            <w:r w:rsidRPr="00587422">
              <w:rPr>
                <w:sz w:val="20"/>
                <w:szCs w:val="20"/>
              </w:rPr>
              <w:t>10%</w:t>
            </w:r>
          </w:p>
        </w:tc>
        <w:tc>
          <w:tcPr>
            <w:tcW w:w="1134" w:type="dxa"/>
            <w:tcBorders>
              <w:top w:val="nil"/>
              <w:bottom w:val="nil"/>
            </w:tcBorders>
            <w:shd w:val="clear" w:color="auto" w:fill="FFFFFF" w:themeFill="background1"/>
          </w:tcPr>
          <w:p w14:paraId="0FCED37F" w14:textId="77777777" w:rsidR="00A44B8C" w:rsidRPr="00587422" w:rsidRDefault="00A44B8C" w:rsidP="005073E8">
            <w:pPr>
              <w:spacing w:after="0"/>
              <w:jc w:val="center"/>
              <w:rPr>
                <w:sz w:val="20"/>
                <w:szCs w:val="20"/>
              </w:rPr>
            </w:pPr>
            <w:r w:rsidRPr="00587422">
              <w:rPr>
                <w:sz w:val="20"/>
                <w:szCs w:val="20"/>
              </w:rPr>
              <w:t>5%</w:t>
            </w:r>
          </w:p>
        </w:tc>
      </w:tr>
      <w:tr w:rsidR="00A44B8C" w:rsidRPr="00587422" w14:paraId="1CD0BB20" w14:textId="77777777" w:rsidTr="009F39DA">
        <w:tc>
          <w:tcPr>
            <w:tcW w:w="3364" w:type="dxa"/>
            <w:tcBorders>
              <w:top w:val="nil"/>
              <w:bottom w:val="nil"/>
            </w:tcBorders>
          </w:tcPr>
          <w:p w14:paraId="33B4B16A" w14:textId="332C6949" w:rsidR="00A44B8C" w:rsidRPr="00587422" w:rsidRDefault="00A44B8C" w:rsidP="005073E8">
            <w:pPr>
              <w:spacing w:after="0"/>
              <w:rPr>
                <w:sz w:val="20"/>
                <w:szCs w:val="20"/>
              </w:rPr>
            </w:pPr>
            <w:r w:rsidRPr="00587422">
              <w:rPr>
                <w:sz w:val="20"/>
                <w:szCs w:val="20"/>
              </w:rPr>
              <w:t>13 Week Bonus Outcomes</w:t>
            </w:r>
          </w:p>
        </w:tc>
        <w:tc>
          <w:tcPr>
            <w:tcW w:w="1134" w:type="dxa"/>
            <w:tcBorders>
              <w:top w:val="nil"/>
              <w:bottom w:val="nil"/>
            </w:tcBorders>
          </w:tcPr>
          <w:p w14:paraId="3607060D" w14:textId="77777777" w:rsidR="00A44B8C" w:rsidRPr="00587422" w:rsidRDefault="00A44B8C" w:rsidP="005073E8">
            <w:pPr>
              <w:spacing w:after="0"/>
              <w:jc w:val="center"/>
              <w:rPr>
                <w:sz w:val="20"/>
                <w:szCs w:val="20"/>
              </w:rPr>
            </w:pPr>
            <w:r w:rsidRPr="00587422">
              <w:rPr>
                <w:sz w:val="20"/>
                <w:szCs w:val="20"/>
              </w:rPr>
              <w:t>1</w:t>
            </w:r>
            <w:r>
              <w:rPr>
                <w:sz w:val="20"/>
                <w:szCs w:val="20"/>
              </w:rPr>
              <w:t>5</w:t>
            </w:r>
            <w:r w:rsidRPr="00587422">
              <w:rPr>
                <w:sz w:val="20"/>
                <w:szCs w:val="20"/>
              </w:rPr>
              <w:t>%</w:t>
            </w:r>
          </w:p>
        </w:tc>
        <w:tc>
          <w:tcPr>
            <w:tcW w:w="1134" w:type="dxa"/>
            <w:tcBorders>
              <w:top w:val="nil"/>
              <w:bottom w:val="nil"/>
            </w:tcBorders>
          </w:tcPr>
          <w:p w14:paraId="467FF2B2" w14:textId="77777777" w:rsidR="00A44B8C" w:rsidRPr="00587422" w:rsidRDefault="00A44B8C" w:rsidP="005073E8">
            <w:pPr>
              <w:spacing w:after="0"/>
              <w:jc w:val="center"/>
              <w:rPr>
                <w:sz w:val="20"/>
                <w:szCs w:val="20"/>
              </w:rPr>
            </w:pPr>
            <w:r w:rsidRPr="00587422">
              <w:rPr>
                <w:sz w:val="20"/>
                <w:szCs w:val="20"/>
              </w:rPr>
              <w:t>1</w:t>
            </w:r>
            <w:r>
              <w:rPr>
                <w:sz w:val="20"/>
                <w:szCs w:val="20"/>
              </w:rPr>
              <w:t>5</w:t>
            </w:r>
            <w:r w:rsidRPr="00587422">
              <w:rPr>
                <w:sz w:val="20"/>
                <w:szCs w:val="20"/>
              </w:rPr>
              <w:t>%</w:t>
            </w:r>
          </w:p>
        </w:tc>
        <w:tc>
          <w:tcPr>
            <w:tcW w:w="1134" w:type="dxa"/>
            <w:tcBorders>
              <w:top w:val="nil"/>
              <w:bottom w:val="nil"/>
            </w:tcBorders>
          </w:tcPr>
          <w:p w14:paraId="358E6591" w14:textId="77777777" w:rsidR="00A44B8C" w:rsidRPr="00587422" w:rsidRDefault="00A44B8C" w:rsidP="005073E8">
            <w:pPr>
              <w:spacing w:after="0"/>
              <w:jc w:val="center"/>
              <w:rPr>
                <w:sz w:val="20"/>
                <w:szCs w:val="20"/>
              </w:rPr>
            </w:pPr>
            <w:r w:rsidRPr="00587422">
              <w:rPr>
                <w:sz w:val="20"/>
                <w:szCs w:val="20"/>
              </w:rPr>
              <w:t>1</w:t>
            </w:r>
            <w:r>
              <w:rPr>
                <w:sz w:val="20"/>
                <w:szCs w:val="20"/>
              </w:rPr>
              <w:t>5</w:t>
            </w:r>
            <w:r w:rsidRPr="00587422">
              <w:rPr>
                <w:sz w:val="20"/>
                <w:szCs w:val="20"/>
              </w:rPr>
              <w:t>%</w:t>
            </w:r>
          </w:p>
        </w:tc>
        <w:tc>
          <w:tcPr>
            <w:tcW w:w="1134" w:type="dxa"/>
            <w:tcBorders>
              <w:top w:val="nil"/>
              <w:bottom w:val="nil"/>
            </w:tcBorders>
            <w:shd w:val="clear" w:color="auto" w:fill="FFFFFF" w:themeFill="background1"/>
          </w:tcPr>
          <w:p w14:paraId="32DB296B" w14:textId="77777777" w:rsidR="00A44B8C" w:rsidRPr="00587422" w:rsidRDefault="00A44B8C" w:rsidP="005073E8">
            <w:pPr>
              <w:spacing w:after="0"/>
              <w:jc w:val="center"/>
              <w:rPr>
                <w:sz w:val="20"/>
                <w:szCs w:val="20"/>
              </w:rPr>
            </w:pPr>
            <w:r w:rsidRPr="00587422">
              <w:rPr>
                <w:sz w:val="20"/>
                <w:szCs w:val="20"/>
              </w:rPr>
              <w:t>10%</w:t>
            </w:r>
          </w:p>
        </w:tc>
      </w:tr>
      <w:tr w:rsidR="00A44B8C" w:rsidRPr="00587422" w14:paraId="226D2EF1" w14:textId="77777777" w:rsidTr="009F39DA">
        <w:tc>
          <w:tcPr>
            <w:tcW w:w="3364" w:type="dxa"/>
            <w:tcBorders>
              <w:top w:val="nil"/>
              <w:bottom w:val="single" w:sz="4" w:space="0" w:color="auto"/>
            </w:tcBorders>
          </w:tcPr>
          <w:p w14:paraId="0EA77885" w14:textId="5C01289A" w:rsidR="00A44B8C" w:rsidRPr="00587422" w:rsidRDefault="00A44B8C" w:rsidP="005073E8">
            <w:pPr>
              <w:spacing w:after="0"/>
              <w:rPr>
                <w:sz w:val="20"/>
                <w:szCs w:val="20"/>
              </w:rPr>
            </w:pPr>
            <w:r w:rsidRPr="00587422">
              <w:rPr>
                <w:sz w:val="20"/>
                <w:szCs w:val="20"/>
              </w:rPr>
              <w:t>Speed to 13 week Full Outcomes</w:t>
            </w:r>
          </w:p>
        </w:tc>
        <w:tc>
          <w:tcPr>
            <w:tcW w:w="1134" w:type="dxa"/>
            <w:tcBorders>
              <w:top w:val="nil"/>
              <w:bottom w:val="single" w:sz="4" w:space="0" w:color="auto"/>
            </w:tcBorders>
          </w:tcPr>
          <w:p w14:paraId="49C73B24"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7B34B016" w14:textId="77777777" w:rsidR="00A44B8C" w:rsidRPr="00587422" w:rsidRDefault="00A44B8C" w:rsidP="005073E8">
            <w:pPr>
              <w:spacing w:after="0"/>
              <w:jc w:val="center"/>
              <w:rPr>
                <w:sz w:val="20"/>
                <w:szCs w:val="20"/>
              </w:rPr>
            </w:pPr>
            <w:r w:rsidRPr="00587422">
              <w:rPr>
                <w:sz w:val="20"/>
                <w:szCs w:val="20"/>
              </w:rPr>
              <w:t>5%</w:t>
            </w:r>
          </w:p>
        </w:tc>
        <w:tc>
          <w:tcPr>
            <w:tcW w:w="1134" w:type="dxa"/>
            <w:tcBorders>
              <w:top w:val="nil"/>
              <w:bottom w:val="single" w:sz="4" w:space="0" w:color="auto"/>
            </w:tcBorders>
          </w:tcPr>
          <w:p w14:paraId="2F543E4B" w14:textId="77777777" w:rsidR="00A44B8C" w:rsidRPr="00587422" w:rsidRDefault="00A44B8C" w:rsidP="005073E8">
            <w:pPr>
              <w:spacing w:after="0"/>
              <w:jc w:val="center"/>
              <w:rPr>
                <w:sz w:val="20"/>
                <w:szCs w:val="20"/>
              </w:rPr>
            </w:pPr>
            <w:r>
              <w:rPr>
                <w:sz w:val="20"/>
                <w:szCs w:val="20"/>
              </w:rPr>
              <w:t>5</w:t>
            </w:r>
            <w:r w:rsidRPr="00587422">
              <w:rPr>
                <w:sz w:val="20"/>
                <w:szCs w:val="20"/>
              </w:rPr>
              <w:t>%</w:t>
            </w:r>
          </w:p>
        </w:tc>
        <w:tc>
          <w:tcPr>
            <w:tcW w:w="1134" w:type="dxa"/>
            <w:tcBorders>
              <w:top w:val="nil"/>
              <w:bottom w:val="single" w:sz="4" w:space="0" w:color="auto"/>
            </w:tcBorders>
            <w:shd w:val="clear" w:color="auto" w:fill="FFFFFF" w:themeFill="background1"/>
          </w:tcPr>
          <w:p w14:paraId="4DE6984A" w14:textId="77777777" w:rsidR="00A44B8C" w:rsidRPr="00587422" w:rsidRDefault="00A44B8C" w:rsidP="005073E8">
            <w:pPr>
              <w:spacing w:after="0"/>
              <w:jc w:val="center"/>
              <w:rPr>
                <w:sz w:val="20"/>
                <w:szCs w:val="20"/>
              </w:rPr>
            </w:pPr>
          </w:p>
        </w:tc>
      </w:tr>
      <w:tr w:rsidR="009F39DA" w:rsidRPr="00587422" w14:paraId="35699F22" w14:textId="77777777" w:rsidTr="009F39DA">
        <w:tc>
          <w:tcPr>
            <w:tcW w:w="3364" w:type="dxa"/>
            <w:shd w:val="clear" w:color="auto" w:fill="D9D9D9" w:themeFill="background1" w:themeFillShade="D9"/>
          </w:tcPr>
          <w:p w14:paraId="51AEA825" w14:textId="77777777" w:rsidR="00A44B8C" w:rsidRPr="00587422" w:rsidRDefault="00A44B8C" w:rsidP="005073E8">
            <w:pPr>
              <w:spacing w:after="0"/>
              <w:jc w:val="right"/>
              <w:rPr>
                <w:b/>
                <w:sz w:val="20"/>
                <w:szCs w:val="20"/>
              </w:rPr>
            </w:pPr>
            <w:r w:rsidRPr="00587422">
              <w:rPr>
                <w:b/>
                <w:sz w:val="20"/>
                <w:szCs w:val="20"/>
              </w:rPr>
              <w:t>13 Week Outcomes Total</w:t>
            </w:r>
          </w:p>
        </w:tc>
        <w:tc>
          <w:tcPr>
            <w:tcW w:w="1134" w:type="dxa"/>
            <w:shd w:val="clear" w:color="auto" w:fill="D9D9D9" w:themeFill="background1" w:themeFillShade="D9"/>
          </w:tcPr>
          <w:p w14:paraId="3475700E" w14:textId="77777777" w:rsidR="00A44B8C" w:rsidRPr="00587422" w:rsidRDefault="00A44B8C" w:rsidP="005073E8">
            <w:pPr>
              <w:spacing w:after="0"/>
              <w:jc w:val="center"/>
              <w:rPr>
                <w:b/>
                <w:sz w:val="20"/>
                <w:szCs w:val="20"/>
              </w:rPr>
            </w:pPr>
            <w:r w:rsidRPr="00587422">
              <w:rPr>
                <w:b/>
                <w:sz w:val="20"/>
                <w:szCs w:val="20"/>
              </w:rPr>
              <w:t>4</w:t>
            </w:r>
            <w:r>
              <w:rPr>
                <w:b/>
                <w:sz w:val="20"/>
                <w:szCs w:val="20"/>
              </w:rPr>
              <w:t>5</w:t>
            </w:r>
            <w:r w:rsidRPr="00587422">
              <w:rPr>
                <w:b/>
                <w:sz w:val="20"/>
                <w:szCs w:val="20"/>
              </w:rPr>
              <w:t>%</w:t>
            </w:r>
          </w:p>
        </w:tc>
        <w:tc>
          <w:tcPr>
            <w:tcW w:w="1134" w:type="dxa"/>
            <w:shd w:val="clear" w:color="auto" w:fill="D9D9D9" w:themeFill="background1" w:themeFillShade="D9"/>
          </w:tcPr>
          <w:p w14:paraId="1858900C" w14:textId="77777777" w:rsidR="00A44B8C" w:rsidRPr="00587422" w:rsidRDefault="00A44B8C" w:rsidP="005073E8">
            <w:pPr>
              <w:spacing w:after="0"/>
              <w:jc w:val="center"/>
              <w:rPr>
                <w:b/>
                <w:sz w:val="20"/>
                <w:szCs w:val="20"/>
              </w:rPr>
            </w:pPr>
            <w:r w:rsidRPr="00587422">
              <w:rPr>
                <w:b/>
                <w:sz w:val="20"/>
                <w:szCs w:val="20"/>
              </w:rPr>
              <w:t>50%</w:t>
            </w:r>
          </w:p>
        </w:tc>
        <w:tc>
          <w:tcPr>
            <w:tcW w:w="1134" w:type="dxa"/>
            <w:shd w:val="clear" w:color="auto" w:fill="D9D9D9" w:themeFill="background1" w:themeFillShade="D9"/>
          </w:tcPr>
          <w:p w14:paraId="189AD05D" w14:textId="77777777" w:rsidR="00A44B8C" w:rsidRPr="00587422" w:rsidRDefault="00A44B8C" w:rsidP="005073E8">
            <w:pPr>
              <w:spacing w:after="0"/>
              <w:jc w:val="center"/>
              <w:rPr>
                <w:b/>
                <w:sz w:val="20"/>
                <w:szCs w:val="20"/>
              </w:rPr>
            </w:pPr>
            <w:r w:rsidRPr="00587422">
              <w:rPr>
                <w:b/>
                <w:sz w:val="20"/>
                <w:szCs w:val="20"/>
              </w:rPr>
              <w:t>50%</w:t>
            </w:r>
          </w:p>
        </w:tc>
        <w:tc>
          <w:tcPr>
            <w:tcW w:w="1134" w:type="dxa"/>
            <w:tcBorders>
              <w:bottom w:val="single" w:sz="4" w:space="0" w:color="auto"/>
            </w:tcBorders>
            <w:shd w:val="clear" w:color="auto" w:fill="D9D9D9" w:themeFill="background1" w:themeFillShade="D9"/>
          </w:tcPr>
          <w:p w14:paraId="06383583" w14:textId="77777777" w:rsidR="00A44B8C" w:rsidRPr="00587422" w:rsidRDefault="00A44B8C" w:rsidP="005073E8">
            <w:pPr>
              <w:spacing w:after="0"/>
              <w:jc w:val="center"/>
              <w:rPr>
                <w:b/>
                <w:sz w:val="20"/>
                <w:szCs w:val="20"/>
              </w:rPr>
            </w:pPr>
            <w:r w:rsidRPr="00587422">
              <w:rPr>
                <w:b/>
                <w:sz w:val="20"/>
                <w:szCs w:val="20"/>
              </w:rPr>
              <w:t>25%</w:t>
            </w:r>
          </w:p>
        </w:tc>
      </w:tr>
      <w:tr w:rsidR="00A44B8C" w:rsidRPr="00587422" w14:paraId="0B5C785D" w14:textId="77777777" w:rsidTr="009F39DA">
        <w:tc>
          <w:tcPr>
            <w:tcW w:w="3364" w:type="dxa"/>
            <w:tcBorders>
              <w:bottom w:val="nil"/>
            </w:tcBorders>
          </w:tcPr>
          <w:p w14:paraId="0CD17780" w14:textId="3EDF6186" w:rsidR="00A44B8C" w:rsidRPr="00587422" w:rsidRDefault="00A44B8C" w:rsidP="005073E8">
            <w:pPr>
              <w:spacing w:after="0"/>
              <w:rPr>
                <w:sz w:val="20"/>
                <w:szCs w:val="20"/>
              </w:rPr>
            </w:pPr>
            <w:r w:rsidRPr="00587422">
              <w:rPr>
                <w:sz w:val="20"/>
                <w:szCs w:val="20"/>
              </w:rPr>
              <w:t>26 Week Full Outcomes</w:t>
            </w:r>
          </w:p>
        </w:tc>
        <w:tc>
          <w:tcPr>
            <w:tcW w:w="1134" w:type="dxa"/>
            <w:tcBorders>
              <w:bottom w:val="nil"/>
            </w:tcBorders>
          </w:tcPr>
          <w:p w14:paraId="5AE21AA7" w14:textId="77777777" w:rsidR="00A44B8C" w:rsidRPr="00587422" w:rsidRDefault="00A44B8C" w:rsidP="005073E8">
            <w:pPr>
              <w:spacing w:after="0"/>
              <w:jc w:val="center"/>
              <w:rPr>
                <w:sz w:val="20"/>
                <w:szCs w:val="20"/>
              </w:rPr>
            </w:pPr>
            <w:r w:rsidRPr="00587422">
              <w:rPr>
                <w:sz w:val="20"/>
                <w:szCs w:val="20"/>
              </w:rPr>
              <w:t>2</w:t>
            </w:r>
            <w:r>
              <w:rPr>
                <w:sz w:val="20"/>
                <w:szCs w:val="20"/>
              </w:rPr>
              <w:t>0</w:t>
            </w:r>
            <w:r w:rsidRPr="00587422">
              <w:rPr>
                <w:sz w:val="20"/>
                <w:szCs w:val="20"/>
              </w:rPr>
              <w:t>%</w:t>
            </w:r>
          </w:p>
        </w:tc>
        <w:tc>
          <w:tcPr>
            <w:tcW w:w="1134" w:type="dxa"/>
            <w:tcBorders>
              <w:bottom w:val="nil"/>
            </w:tcBorders>
          </w:tcPr>
          <w:p w14:paraId="2F255881" w14:textId="77777777" w:rsidR="00A44B8C" w:rsidRPr="00587422" w:rsidRDefault="00A44B8C" w:rsidP="005073E8">
            <w:pPr>
              <w:spacing w:after="0"/>
              <w:jc w:val="center"/>
              <w:rPr>
                <w:sz w:val="20"/>
                <w:szCs w:val="20"/>
              </w:rPr>
            </w:pPr>
            <w:r w:rsidRPr="00587422">
              <w:rPr>
                <w:sz w:val="20"/>
                <w:szCs w:val="20"/>
              </w:rPr>
              <w:t>30%</w:t>
            </w:r>
          </w:p>
        </w:tc>
        <w:tc>
          <w:tcPr>
            <w:tcW w:w="1134" w:type="dxa"/>
            <w:tcBorders>
              <w:bottom w:val="nil"/>
            </w:tcBorders>
          </w:tcPr>
          <w:p w14:paraId="46C10C8D" w14:textId="77777777" w:rsidR="00A44B8C" w:rsidRPr="00587422" w:rsidRDefault="00A44B8C" w:rsidP="005073E8">
            <w:pPr>
              <w:spacing w:after="0"/>
              <w:jc w:val="center"/>
              <w:rPr>
                <w:sz w:val="20"/>
                <w:szCs w:val="20"/>
              </w:rPr>
            </w:pPr>
            <w:r w:rsidRPr="00587422">
              <w:rPr>
                <w:sz w:val="20"/>
                <w:szCs w:val="20"/>
              </w:rPr>
              <w:t>30%</w:t>
            </w:r>
          </w:p>
        </w:tc>
        <w:tc>
          <w:tcPr>
            <w:tcW w:w="1134" w:type="dxa"/>
            <w:tcBorders>
              <w:bottom w:val="nil"/>
            </w:tcBorders>
            <w:shd w:val="clear" w:color="auto" w:fill="FFFFFF" w:themeFill="background1"/>
          </w:tcPr>
          <w:p w14:paraId="770B6632" w14:textId="77777777" w:rsidR="00A44B8C" w:rsidRPr="00587422" w:rsidRDefault="00A44B8C" w:rsidP="005073E8">
            <w:pPr>
              <w:spacing w:after="0"/>
              <w:jc w:val="center"/>
              <w:rPr>
                <w:sz w:val="20"/>
                <w:szCs w:val="20"/>
              </w:rPr>
            </w:pPr>
            <w:r w:rsidRPr="00587422">
              <w:rPr>
                <w:sz w:val="20"/>
                <w:szCs w:val="20"/>
              </w:rPr>
              <w:t>10%</w:t>
            </w:r>
          </w:p>
        </w:tc>
      </w:tr>
      <w:tr w:rsidR="00A44B8C" w:rsidRPr="00587422" w14:paraId="76B35496" w14:textId="77777777" w:rsidTr="009F39DA">
        <w:tc>
          <w:tcPr>
            <w:tcW w:w="3364" w:type="dxa"/>
            <w:tcBorders>
              <w:top w:val="nil"/>
              <w:bottom w:val="single" w:sz="4" w:space="0" w:color="auto"/>
            </w:tcBorders>
          </w:tcPr>
          <w:p w14:paraId="75824659" w14:textId="32B2E6FE" w:rsidR="00A44B8C" w:rsidRPr="00587422" w:rsidRDefault="00A44B8C" w:rsidP="005073E8">
            <w:pPr>
              <w:spacing w:after="0"/>
              <w:rPr>
                <w:sz w:val="20"/>
                <w:szCs w:val="20"/>
              </w:rPr>
            </w:pPr>
            <w:r w:rsidRPr="00587422">
              <w:rPr>
                <w:sz w:val="20"/>
                <w:szCs w:val="20"/>
              </w:rPr>
              <w:t>26 Week Pathway Outcomes</w:t>
            </w:r>
          </w:p>
        </w:tc>
        <w:tc>
          <w:tcPr>
            <w:tcW w:w="1134" w:type="dxa"/>
            <w:tcBorders>
              <w:top w:val="nil"/>
              <w:bottom w:val="single" w:sz="4" w:space="0" w:color="auto"/>
            </w:tcBorders>
          </w:tcPr>
          <w:p w14:paraId="21D1B7E0" w14:textId="77777777" w:rsidR="00A44B8C" w:rsidRPr="00587422" w:rsidRDefault="00A44B8C" w:rsidP="005073E8">
            <w:pPr>
              <w:spacing w:after="0"/>
              <w:jc w:val="center"/>
              <w:rPr>
                <w:sz w:val="20"/>
                <w:szCs w:val="20"/>
              </w:rPr>
            </w:pPr>
            <w:r>
              <w:rPr>
                <w:sz w:val="20"/>
                <w:szCs w:val="20"/>
              </w:rPr>
              <w:t>10</w:t>
            </w:r>
            <w:r w:rsidRPr="00587422">
              <w:rPr>
                <w:sz w:val="20"/>
                <w:szCs w:val="20"/>
              </w:rPr>
              <w:t>%</w:t>
            </w:r>
          </w:p>
        </w:tc>
        <w:tc>
          <w:tcPr>
            <w:tcW w:w="1134" w:type="dxa"/>
            <w:tcBorders>
              <w:top w:val="nil"/>
              <w:bottom w:val="single" w:sz="4" w:space="0" w:color="auto"/>
            </w:tcBorders>
          </w:tcPr>
          <w:p w14:paraId="0587C374" w14:textId="77777777" w:rsidR="00A44B8C" w:rsidRPr="00587422" w:rsidRDefault="00A44B8C" w:rsidP="005073E8">
            <w:pPr>
              <w:spacing w:after="0"/>
              <w:jc w:val="center"/>
              <w:rPr>
                <w:sz w:val="20"/>
                <w:szCs w:val="20"/>
              </w:rPr>
            </w:pPr>
            <w:r w:rsidRPr="00587422">
              <w:rPr>
                <w:sz w:val="20"/>
                <w:szCs w:val="20"/>
              </w:rPr>
              <w:t>10%</w:t>
            </w:r>
          </w:p>
        </w:tc>
        <w:tc>
          <w:tcPr>
            <w:tcW w:w="1134" w:type="dxa"/>
            <w:tcBorders>
              <w:top w:val="nil"/>
              <w:bottom w:val="single" w:sz="4" w:space="0" w:color="auto"/>
            </w:tcBorders>
          </w:tcPr>
          <w:p w14:paraId="4461D9A9" w14:textId="77777777" w:rsidR="00A44B8C" w:rsidRPr="00587422" w:rsidRDefault="00A44B8C" w:rsidP="005073E8">
            <w:pPr>
              <w:spacing w:after="0"/>
              <w:jc w:val="center"/>
              <w:rPr>
                <w:sz w:val="20"/>
                <w:szCs w:val="20"/>
              </w:rPr>
            </w:pPr>
            <w:r w:rsidRPr="00587422">
              <w:rPr>
                <w:sz w:val="20"/>
                <w:szCs w:val="20"/>
              </w:rPr>
              <w:t>10%</w:t>
            </w:r>
          </w:p>
        </w:tc>
        <w:tc>
          <w:tcPr>
            <w:tcW w:w="1134" w:type="dxa"/>
            <w:tcBorders>
              <w:top w:val="nil"/>
              <w:bottom w:val="single" w:sz="4" w:space="0" w:color="auto"/>
            </w:tcBorders>
            <w:shd w:val="clear" w:color="auto" w:fill="FFFFFF" w:themeFill="background1"/>
          </w:tcPr>
          <w:p w14:paraId="78E7FBC9" w14:textId="77777777" w:rsidR="00A44B8C" w:rsidRPr="00587422" w:rsidRDefault="00A44B8C" w:rsidP="005073E8">
            <w:pPr>
              <w:spacing w:after="0"/>
              <w:jc w:val="center"/>
              <w:rPr>
                <w:sz w:val="20"/>
                <w:szCs w:val="20"/>
              </w:rPr>
            </w:pPr>
            <w:r w:rsidRPr="00587422">
              <w:rPr>
                <w:sz w:val="20"/>
                <w:szCs w:val="20"/>
              </w:rPr>
              <w:t>5%</w:t>
            </w:r>
          </w:p>
        </w:tc>
      </w:tr>
      <w:tr w:rsidR="009F39DA" w:rsidRPr="00587422" w14:paraId="69306759" w14:textId="77777777" w:rsidTr="009F39DA">
        <w:tc>
          <w:tcPr>
            <w:tcW w:w="3364" w:type="dxa"/>
            <w:tcBorders>
              <w:bottom w:val="single" w:sz="4" w:space="0" w:color="auto"/>
            </w:tcBorders>
            <w:shd w:val="clear" w:color="auto" w:fill="D9D9D9" w:themeFill="background1" w:themeFillShade="D9"/>
          </w:tcPr>
          <w:p w14:paraId="58C10763" w14:textId="77777777" w:rsidR="00A44B8C" w:rsidRPr="00587422" w:rsidRDefault="00A44B8C" w:rsidP="005073E8">
            <w:pPr>
              <w:spacing w:after="0"/>
              <w:jc w:val="right"/>
              <w:rPr>
                <w:b/>
                <w:sz w:val="20"/>
                <w:szCs w:val="20"/>
              </w:rPr>
            </w:pPr>
            <w:r w:rsidRPr="00587422">
              <w:rPr>
                <w:b/>
                <w:sz w:val="20"/>
                <w:szCs w:val="20"/>
              </w:rPr>
              <w:t>26 Week Outcomes Total</w:t>
            </w:r>
          </w:p>
        </w:tc>
        <w:tc>
          <w:tcPr>
            <w:tcW w:w="1134" w:type="dxa"/>
            <w:tcBorders>
              <w:bottom w:val="single" w:sz="4" w:space="0" w:color="auto"/>
            </w:tcBorders>
            <w:shd w:val="clear" w:color="auto" w:fill="D9D9D9" w:themeFill="background1" w:themeFillShade="D9"/>
          </w:tcPr>
          <w:p w14:paraId="0045356A" w14:textId="77777777" w:rsidR="00A44B8C" w:rsidRPr="00587422" w:rsidRDefault="00A44B8C" w:rsidP="005073E8">
            <w:pPr>
              <w:spacing w:after="0"/>
              <w:jc w:val="center"/>
              <w:rPr>
                <w:b/>
                <w:sz w:val="20"/>
                <w:szCs w:val="20"/>
              </w:rPr>
            </w:pPr>
            <w:r w:rsidRPr="00587422">
              <w:rPr>
                <w:b/>
                <w:sz w:val="20"/>
                <w:szCs w:val="20"/>
              </w:rPr>
              <w:t>30%</w:t>
            </w:r>
          </w:p>
        </w:tc>
        <w:tc>
          <w:tcPr>
            <w:tcW w:w="1134" w:type="dxa"/>
            <w:tcBorders>
              <w:bottom w:val="single" w:sz="4" w:space="0" w:color="auto"/>
            </w:tcBorders>
            <w:shd w:val="clear" w:color="auto" w:fill="D9D9D9" w:themeFill="background1" w:themeFillShade="D9"/>
          </w:tcPr>
          <w:p w14:paraId="7A1ECBD1" w14:textId="77777777" w:rsidR="00A44B8C" w:rsidRPr="00587422" w:rsidRDefault="00A44B8C" w:rsidP="005073E8">
            <w:pPr>
              <w:spacing w:after="0"/>
              <w:jc w:val="center"/>
              <w:rPr>
                <w:b/>
                <w:sz w:val="20"/>
                <w:szCs w:val="20"/>
              </w:rPr>
            </w:pPr>
            <w:r w:rsidRPr="00587422">
              <w:rPr>
                <w:b/>
                <w:sz w:val="20"/>
                <w:szCs w:val="20"/>
              </w:rPr>
              <w:t>40%</w:t>
            </w:r>
          </w:p>
        </w:tc>
        <w:tc>
          <w:tcPr>
            <w:tcW w:w="1134" w:type="dxa"/>
            <w:tcBorders>
              <w:bottom w:val="single" w:sz="4" w:space="0" w:color="auto"/>
            </w:tcBorders>
            <w:shd w:val="clear" w:color="auto" w:fill="D9D9D9" w:themeFill="background1" w:themeFillShade="D9"/>
          </w:tcPr>
          <w:p w14:paraId="0A7E067E" w14:textId="77777777" w:rsidR="00A44B8C" w:rsidRPr="00587422" w:rsidRDefault="00A44B8C" w:rsidP="005073E8">
            <w:pPr>
              <w:spacing w:after="0"/>
              <w:jc w:val="center"/>
              <w:rPr>
                <w:b/>
                <w:sz w:val="20"/>
                <w:szCs w:val="20"/>
              </w:rPr>
            </w:pPr>
            <w:r w:rsidRPr="00587422">
              <w:rPr>
                <w:b/>
                <w:sz w:val="20"/>
                <w:szCs w:val="20"/>
              </w:rPr>
              <w:t>40%</w:t>
            </w:r>
          </w:p>
        </w:tc>
        <w:tc>
          <w:tcPr>
            <w:tcW w:w="1134" w:type="dxa"/>
            <w:tcBorders>
              <w:top w:val="single" w:sz="4" w:space="0" w:color="auto"/>
              <w:bottom w:val="single" w:sz="4" w:space="0" w:color="auto"/>
            </w:tcBorders>
            <w:shd w:val="clear" w:color="auto" w:fill="D9D9D9" w:themeFill="background1" w:themeFillShade="D9"/>
          </w:tcPr>
          <w:p w14:paraId="1FCBD17D" w14:textId="77777777" w:rsidR="00A44B8C" w:rsidRPr="00587422" w:rsidRDefault="00A44B8C" w:rsidP="005073E8">
            <w:pPr>
              <w:spacing w:after="0"/>
              <w:jc w:val="center"/>
              <w:rPr>
                <w:b/>
                <w:sz w:val="20"/>
                <w:szCs w:val="20"/>
              </w:rPr>
            </w:pPr>
            <w:r w:rsidRPr="00587422">
              <w:rPr>
                <w:b/>
                <w:sz w:val="20"/>
                <w:szCs w:val="20"/>
              </w:rPr>
              <w:t>15%</w:t>
            </w:r>
          </w:p>
        </w:tc>
      </w:tr>
      <w:tr w:rsidR="00A44B8C" w:rsidRPr="00587422" w14:paraId="4F071262" w14:textId="77777777" w:rsidTr="009F39DA">
        <w:tc>
          <w:tcPr>
            <w:tcW w:w="3364" w:type="dxa"/>
            <w:tcBorders>
              <w:bottom w:val="nil"/>
            </w:tcBorders>
          </w:tcPr>
          <w:p w14:paraId="622E9D5D" w14:textId="4B9ABD2E" w:rsidR="00A44B8C" w:rsidRPr="00587422" w:rsidRDefault="00A44B8C" w:rsidP="005073E8">
            <w:pPr>
              <w:spacing w:after="0"/>
              <w:rPr>
                <w:sz w:val="20"/>
                <w:szCs w:val="20"/>
              </w:rPr>
            </w:pPr>
            <w:r>
              <w:rPr>
                <w:sz w:val="20"/>
                <w:szCs w:val="20"/>
              </w:rPr>
              <w:t>Barriers Serviced</w:t>
            </w:r>
          </w:p>
        </w:tc>
        <w:tc>
          <w:tcPr>
            <w:tcW w:w="1134" w:type="dxa"/>
            <w:tcBorders>
              <w:bottom w:val="nil"/>
            </w:tcBorders>
          </w:tcPr>
          <w:p w14:paraId="3157E98E" w14:textId="77777777" w:rsidR="00A44B8C" w:rsidRPr="00587422" w:rsidRDefault="00A44B8C" w:rsidP="005073E8">
            <w:pPr>
              <w:spacing w:after="0"/>
              <w:jc w:val="center"/>
              <w:rPr>
                <w:sz w:val="20"/>
                <w:szCs w:val="20"/>
              </w:rPr>
            </w:pPr>
            <w:r w:rsidRPr="00587422">
              <w:rPr>
                <w:sz w:val="20"/>
                <w:szCs w:val="20"/>
              </w:rPr>
              <w:t>15%</w:t>
            </w:r>
          </w:p>
        </w:tc>
        <w:tc>
          <w:tcPr>
            <w:tcW w:w="1134" w:type="dxa"/>
            <w:tcBorders>
              <w:bottom w:val="nil"/>
            </w:tcBorders>
          </w:tcPr>
          <w:p w14:paraId="14A7AE3A" w14:textId="77777777" w:rsidR="00A44B8C" w:rsidRPr="00587422" w:rsidRDefault="00A44B8C" w:rsidP="005073E8">
            <w:pPr>
              <w:spacing w:after="0"/>
              <w:jc w:val="center"/>
              <w:rPr>
                <w:sz w:val="20"/>
                <w:szCs w:val="20"/>
              </w:rPr>
            </w:pPr>
          </w:p>
        </w:tc>
        <w:tc>
          <w:tcPr>
            <w:tcW w:w="1134" w:type="dxa"/>
            <w:tcBorders>
              <w:bottom w:val="nil"/>
            </w:tcBorders>
          </w:tcPr>
          <w:p w14:paraId="7FD39F0A" w14:textId="77777777" w:rsidR="00A44B8C" w:rsidRPr="00587422" w:rsidRDefault="00A44B8C" w:rsidP="005073E8">
            <w:pPr>
              <w:spacing w:after="0"/>
              <w:jc w:val="center"/>
              <w:rPr>
                <w:sz w:val="20"/>
                <w:szCs w:val="20"/>
              </w:rPr>
            </w:pPr>
          </w:p>
        </w:tc>
        <w:tc>
          <w:tcPr>
            <w:tcW w:w="1134" w:type="dxa"/>
            <w:tcBorders>
              <w:bottom w:val="nil"/>
            </w:tcBorders>
          </w:tcPr>
          <w:p w14:paraId="748936C5" w14:textId="77777777" w:rsidR="00A44B8C" w:rsidRPr="00587422" w:rsidRDefault="00A44B8C" w:rsidP="005073E8">
            <w:pPr>
              <w:spacing w:after="0"/>
              <w:jc w:val="center"/>
              <w:rPr>
                <w:sz w:val="20"/>
                <w:szCs w:val="20"/>
              </w:rPr>
            </w:pPr>
          </w:p>
        </w:tc>
      </w:tr>
      <w:tr w:rsidR="009F39DA" w:rsidRPr="00587422" w14:paraId="7F86B58D" w14:textId="77777777" w:rsidTr="009F39DA">
        <w:tc>
          <w:tcPr>
            <w:tcW w:w="3364" w:type="dxa"/>
            <w:tcBorders>
              <w:bottom w:val="single" w:sz="4" w:space="0" w:color="auto"/>
            </w:tcBorders>
            <w:shd w:val="clear" w:color="auto" w:fill="D9D9D9" w:themeFill="background1" w:themeFillShade="D9"/>
          </w:tcPr>
          <w:p w14:paraId="5D592C51" w14:textId="77777777" w:rsidR="00A44B8C" w:rsidRPr="00587422" w:rsidRDefault="00A44B8C" w:rsidP="005073E8">
            <w:pPr>
              <w:spacing w:after="0"/>
              <w:jc w:val="right"/>
              <w:rPr>
                <w:b/>
                <w:sz w:val="20"/>
                <w:szCs w:val="20"/>
              </w:rPr>
            </w:pPr>
            <w:r w:rsidRPr="00587422">
              <w:rPr>
                <w:b/>
                <w:sz w:val="20"/>
                <w:szCs w:val="20"/>
              </w:rPr>
              <w:t>Social Outcomes Total</w:t>
            </w:r>
          </w:p>
        </w:tc>
        <w:tc>
          <w:tcPr>
            <w:tcW w:w="1134" w:type="dxa"/>
            <w:tcBorders>
              <w:bottom w:val="single" w:sz="4" w:space="0" w:color="auto"/>
            </w:tcBorders>
            <w:shd w:val="clear" w:color="auto" w:fill="D9D9D9" w:themeFill="background1" w:themeFillShade="D9"/>
          </w:tcPr>
          <w:p w14:paraId="4105FCC9" w14:textId="77777777" w:rsidR="00A44B8C" w:rsidRPr="00587422" w:rsidRDefault="00A44B8C" w:rsidP="005073E8">
            <w:pPr>
              <w:spacing w:after="0"/>
              <w:jc w:val="center"/>
              <w:rPr>
                <w:b/>
                <w:sz w:val="20"/>
                <w:szCs w:val="20"/>
              </w:rPr>
            </w:pPr>
            <w:r>
              <w:rPr>
                <w:b/>
                <w:sz w:val="20"/>
                <w:szCs w:val="20"/>
              </w:rPr>
              <w:t>15</w:t>
            </w:r>
            <w:r w:rsidRPr="00587422">
              <w:rPr>
                <w:b/>
                <w:sz w:val="20"/>
                <w:szCs w:val="20"/>
              </w:rPr>
              <w:t>%</w:t>
            </w:r>
          </w:p>
        </w:tc>
        <w:tc>
          <w:tcPr>
            <w:tcW w:w="1134" w:type="dxa"/>
            <w:tcBorders>
              <w:bottom w:val="single" w:sz="4" w:space="0" w:color="auto"/>
            </w:tcBorders>
            <w:shd w:val="clear" w:color="auto" w:fill="D9D9D9" w:themeFill="background1" w:themeFillShade="D9"/>
          </w:tcPr>
          <w:p w14:paraId="1DBF914D" w14:textId="77777777" w:rsidR="00A44B8C" w:rsidRPr="00587422" w:rsidRDefault="00A44B8C" w:rsidP="005073E8">
            <w:pPr>
              <w:spacing w:after="0"/>
              <w:jc w:val="center"/>
              <w:rPr>
                <w:b/>
                <w:sz w:val="20"/>
                <w:szCs w:val="20"/>
              </w:rPr>
            </w:pPr>
          </w:p>
        </w:tc>
        <w:tc>
          <w:tcPr>
            <w:tcW w:w="1134" w:type="dxa"/>
            <w:tcBorders>
              <w:bottom w:val="single" w:sz="4" w:space="0" w:color="auto"/>
            </w:tcBorders>
            <w:shd w:val="clear" w:color="auto" w:fill="D9D9D9" w:themeFill="background1" w:themeFillShade="D9"/>
          </w:tcPr>
          <w:p w14:paraId="5935E820" w14:textId="77777777" w:rsidR="00A44B8C" w:rsidRPr="00587422" w:rsidRDefault="00A44B8C" w:rsidP="005073E8">
            <w:pPr>
              <w:spacing w:after="0"/>
              <w:jc w:val="center"/>
              <w:rPr>
                <w:b/>
                <w:sz w:val="20"/>
                <w:szCs w:val="20"/>
              </w:rPr>
            </w:pPr>
          </w:p>
        </w:tc>
        <w:tc>
          <w:tcPr>
            <w:tcW w:w="1134" w:type="dxa"/>
            <w:tcBorders>
              <w:bottom w:val="single" w:sz="4" w:space="0" w:color="auto"/>
            </w:tcBorders>
            <w:shd w:val="clear" w:color="auto" w:fill="D9D9D9" w:themeFill="background1" w:themeFillShade="D9"/>
          </w:tcPr>
          <w:p w14:paraId="0416F376" w14:textId="77777777" w:rsidR="00A44B8C" w:rsidRPr="00587422" w:rsidRDefault="00A44B8C" w:rsidP="005073E8">
            <w:pPr>
              <w:spacing w:after="0"/>
              <w:jc w:val="center"/>
              <w:rPr>
                <w:b/>
                <w:sz w:val="20"/>
                <w:szCs w:val="20"/>
              </w:rPr>
            </w:pPr>
          </w:p>
        </w:tc>
      </w:tr>
      <w:tr w:rsidR="00A44B8C" w:rsidRPr="00587422" w14:paraId="227BA3AD" w14:textId="77777777" w:rsidTr="009F39DA">
        <w:tc>
          <w:tcPr>
            <w:tcW w:w="3364" w:type="dxa"/>
            <w:tcBorders>
              <w:bottom w:val="nil"/>
            </w:tcBorders>
          </w:tcPr>
          <w:p w14:paraId="3C406E5E" w14:textId="45D923D9" w:rsidR="00A44B8C" w:rsidRPr="00587422" w:rsidRDefault="00A44B8C" w:rsidP="005073E8">
            <w:pPr>
              <w:spacing w:after="0"/>
              <w:rPr>
                <w:sz w:val="20"/>
                <w:szCs w:val="20"/>
              </w:rPr>
            </w:pPr>
            <w:r w:rsidRPr="00587422">
              <w:rPr>
                <w:sz w:val="20"/>
                <w:szCs w:val="20"/>
              </w:rPr>
              <w:t>Paid Placements</w:t>
            </w:r>
          </w:p>
        </w:tc>
        <w:tc>
          <w:tcPr>
            <w:tcW w:w="1134" w:type="dxa"/>
            <w:tcBorders>
              <w:bottom w:val="nil"/>
            </w:tcBorders>
          </w:tcPr>
          <w:p w14:paraId="0ED6D8E1" w14:textId="77777777" w:rsidR="00A44B8C" w:rsidRPr="00587422" w:rsidRDefault="00A44B8C" w:rsidP="005073E8">
            <w:pPr>
              <w:spacing w:after="0"/>
              <w:jc w:val="center"/>
              <w:rPr>
                <w:sz w:val="20"/>
                <w:szCs w:val="20"/>
              </w:rPr>
            </w:pPr>
            <w:r w:rsidRPr="00587422">
              <w:rPr>
                <w:sz w:val="20"/>
                <w:szCs w:val="20"/>
              </w:rPr>
              <w:t>10%</w:t>
            </w:r>
          </w:p>
        </w:tc>
        <w:tc>
          <w:tcPr>
            <w:tcW w:w="1134" w:type="dxa"/>
            <w:tcBorders>
              <w:bottom w:val="nil"/>
            </w:tcBorders>
          </w:tcPr>
          <w:p w14:paraId="634AE336" w14:textId="77777777" w:rsidR="00A44B8C" w:rsidRPr="00587422" w:rsidRDefault="00A44B8C" w:rsidP="005073E8">
            <w:pPr>
              <w:spacing w:after="0"/>
              <w:jc w:val="center"/>
              <w:rPr>
                <w:sz w:val="20"/>
                <w:szCs w:val="20"/>
              </w:rPr>
            </w:pPr>
            <w:r w:rsidRPr="00587422">
              <w:rPr>
                <w:sz w:val="20"/>
                <w:szCs w:val="20"/>
              </w:rPr>
              <w:t>10%</w:t>
            </w:r>
          </w:p>
        </w:tc>
        <w:tc>
          <w:tcPr>
            <w:tcW w:w="1134" w:type="dxa"/>
            <w:tcBorders>
              <w:bottom w:val="nil"/>
            </w:tcBorders>
          </w:tcPr>
          <w:p w14:paraId="4AFB86A7" w14:textId="77777777" w:rsidR="00A44B8C" w:rsidRPr="00587422" w:rsidRDefault="00A44B8C" w:rsidP="005073E8">
            <w:pPr>
              <w:spacing w:after="0"/>
              <w:jc w:val="center"/>
              <w:rPr>
                <w:sz w:val="20"/>
                <w:szCs w:val="20"/>
              </w:rPr>
            </w:pPr>
            <w:r w:rsidRPr="00587422">
              <w:rPr>
                <w:sz w:val="20"/>
                <w:szCs w:val="20"/>
              </w:rPr>
              <w:t>10%</w:t>
            </w:r>
          </w:p>
        </w:tc>
        <w:tc>
          <w:tcPr>
            <w:tcW w:w="1134" w:type="dxa"/>
            <w:tcBorders>
              <w:bottom w:val="nil"/>
            </w:tcBorders>
          </w:tcPr>
          <w:p w14:paraId="2E698E0F" w14:textId="77777777" w:rsidR="00A44B8C" w:rsidRPr="00587422" w:rsidRDefault="00A44B8C" w:rsidP="005073E8">
            <w:pPr>
              <w:spacing w:after="0"/>
              <w:jc w:val="center"/>
              <w:rPr>
                <w:sz w:val="20"/>
                <w:szCs w:val="20"/>
              </w:rPr>
            </w:pPr>
            <w:r>
              <w:rPr>
                <w:sz w:val="20"/>
                <w:szCs w:val="20"/>
              </w:rPr>
              <w:t>30</w:t>
            </w:r>
            <w:r w:rsidRPr="00587422">
              <w:rPr>
                <w:sz w:val="20"/>
                <w:szCs w:val="20"/>
              </w:rPr>
              <w:t>%</w:t>
            </w:r>
          </w:p>
        </w:tc>
      </w:tr>
      <w:tr w:rsidR="00A44B8C" w:rsidRPr="00587422" w14:paraId="12CD8EF1" w14:textId="77777777" w:rsidTr="009F39DA">
        <w:tc>
          <w:tcPr>
            <w:tcW w:w="3364" w:type="dxa"/>
            <w:tcBorders>
              <w:top w:val="nil"/>
              <w:bottom w:val="single" w:sz="4" w:space="0" w:color="auto"/>
            </w:tcBorders>
          </w:tcPr>
          <w:p w14:paraId="7C42EF99" w14:textId="059BDCCB" w:rsidR="00A44B8C" w:rsidRPr="00587422" w:rsidRDefault="00A44B8C" w:rsidP="005073E8">
            <w:pPr>
              <w:spacing w:after="0"/>
              <w:rPr>
                <w:sz w:val="20"/>
                <w:szCs w:val="20"/>
              </w:rPr>
            </w:pPr>
            <w:r w:rsidRPr="00587422">
              <w:rPr>
                <w:sz w:val="20"/>
                <w:szCs w:val="20"/>
              </w:rPr>
              <w:t>Speed to Job Placements</w:t>
            </w:r>
          </w:p>
        </w:tc>
        <w:tc>
          <w:tcPr>
            <w:tcW w:w="1134" w:type="dxa"/>
            <w:tcBorders>
              <w:top w:val="nil"/>
              <w:bottom w:val="single" w:sz="4" w:space="0" w:color="auto"/>
            </w:tcBorders>
          </w:tcPr>
          <w:p w14:paraId="2EEEB2ED"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1652E8C5"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05B889AA"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1385E5CC" w14:textId="77777777" w:rsidR="00A44B8C" w:rsidRPr="00587422" w:rsidRDefault="00A44B8C" w:rsidP="005073E8">
            <w:pPr>
              <w:spacing w:after="0"/>
              <w:jc w:val="center"/>
              <w:rPr>
                <w:sz w:val="20"/>
                <w:szCs w:val="20"/>
              </w:rPr>
            </w:pPr>
            <w:r>
              <w:rPr>
                <w:sz w:val="20"/>
                <w:szCs w:val="20"/>
              </w:rPr>
              <w:t>10</w:t>
            </w:r>
            <w:r w:rsidRPr="00587422">
              <w:rPr>
                <w:sz w:val="20"/>
                <w:szCs w:val="20"/>
              </w:rPr>
              <w:t>%</w:t>
            </w:r>
          </w:p>
        </w:tc>
      </w:tr>
      <w:tr w:rsidR="009F39DA" w:rsidRPr="00587422" w14:paraId="5E1C0F7F" w14:textId="77777777" w:rsidTr="009F39DA">
        <w:tc>
          <w:tcPr>
            <w:tcW w:w="3364" w:type="dxa"/>
            <w:shd w:val="clear" w:color="auto" w:fill="D9D9D9" w:themeFill="background1" w:themeFillShade="D9"/>
          </w:tcPr>
          <w:p w14:paraId="72F16021" w14:textId="77777777" w:rsidR="00A44B8C" w:rsidRPr="00587422" w:rsidRDefault="00A44B8C" w:rsidP="005073E8">
            <w:pPr>
              <w:spacing w:after="0"/>
              <w:jc w:val="right"/>
              <w:rPr>
                <w:b/>
                <w:sz w:val="20"/>
                <w:szCs w:val="20"/>
              </w:rPr>
            </w:pPr>
            <w:r w:rsidRPr="00587422">
              <w:rPr>
                <w:b/>
                <w:sz w:val="20"/>
                <w:szCs w:val="20"/>
              </w:rPr>
              <w:t>Job Placements Total</w:t>
            </w:r>
          </w:p>
        </w:tc>
        <w:tc>
          <w:tcPr>
            <w:tcW w:w="1134" w:type="dxa"/>
            <w:shd w:val="clear" w:color="auto" w:fill="D9D9D9" w:themeFill="background1" w:themeFillShade="D9"/>
          </w:tcPr>
          <w:p w14:paraId="3101D51D" w14:textId="77777777" w:rsidR="00A44B8C" w:rsidRPr="00587422" w:rsidRDefault="00A44B8C" w:rsidP="005073E8">
            <w:pPr>
              <w:spacing w:after="0"/>
              <w:jc w:val="center"/>
              <w:rPr>
                <w:b/>
                <w:sz w:val="20"/>
                <w:szCs w:val="20"/>
              </w:rPr>
            </w:pPr>
            <w:r w:rsidRPr="00587422">
              <w:rPr>
                <w:b/>
                <w:sz w:val="20"/>
                <w:szCs w:val="20"/>
              </w:rPr>
              <w:t>10%</w:t>
            </w:r>
          </w:p>
        </w:tc>
        <w:tc>
          <w:tcPr>
            <w:tcW w:w="1134" w:type="dxa"/>
            <w:shd w:val="clear" w:color="auto" w:fill="D9D9D9" w:themeFill="background1" w:themeFillShade="D9"/>
          </w:tcPr>
          <w:p w14:paraId="2E598E95" w14:textId="77777777" w:rsidR="00A44B8C" w:rsidRPr="00587422" w:rsidRDefault="00A44B8C" w:rsidP="005073E8">
            <w:pPr>
              <w:spacing w:after="0"/>
              <w:jc w:val="center"/>
              <w:rPr>
                <w:b/>
                <w:sz w:val="20"/>
                <w:szCs w:val="20"/>
              </w:rPr>
            </w:pPr>
            <w:r w:rsidRPr="00587422">
              <w:rPr>
                <w:b/>
                <w:sz w:val="20"/>
                <w:szCs w:val="20"/>
              </w:rPr>
              <w:t>10%</w:t>
            </w:r>
          </w:p>
        </w:tc>
        <w:tc>
          <w:tcPr>
            <w:tcW w:w="1134" w:type="dxa"/>
            <w:shd w:val="clear" w:color="auto" w:fill="D9D9D9" w:themeFill="background1" w:themeFillShade="D9"/>
          </w:tcPr>
          <w:p w14:paraId="3CBFA3D3" w14:textId="77777777" w:rsidR="00A44B8C" w:rsidRPr="00587422" w:rsidRDefault="00A44B8C" w:rsidP="005073E8">
            <w:pPr>
              <w:spacing w:after="0"/>
              <w:jc w:val="center"/>
              <w:rPr>
                <w:b/>
                <w:sz w:val="20"/>
                <w:szCs w:val="20"/>
              </w:rPr>
            </w:pPr>
            <w:r w:rsidRPr="00587422">
              <w:rPr>
                <w:b/>
                <w:sz w:val="20"/>
                <w:szCs w:val="20"/>
              </w:rPr>
              <w:t>10%</w:t>
            </w:r>
          </w:p>
        </w:tc>
        <w:tc>
          <w:tcPr>
            <w:tcW w:w="1134" w:type="dxa"/>
            <w:shd w:val="clear" w:color="auto" w:fill="D9D9D9" w:themeFill="background1" w:themeFillShade="D9"/>
          </w:tcPr>
          <w:p w14:paraId="1EFCAA40" w14:textId="77777777" w:rsidR="00A44B8C" w:rsidRPr="00587422" w:rsidRDefault="00A44B8C" w:rsidP="005073E8">
            <w:pPr>
              <w:spacing w:after="0"/>
              <w:jc w:val="center"/>
              <w:rPr>
                <w:b/>
                <w:sz w:val="20"/>
                <w:szCs w:val="20"/>
              </w:rPr>
            </w:pPr>
            <w:r w:rsidRPr="00587422">
              <w:rPr>
                <w:b/>
                <w:sz w:val="20"/>
                <w:szCs w:val="20"/>
              </w:rPr>
              <w:t>40%</w:t>
            </w:r>
          </w:p>
        </w:tc>
      </w:tr>
      <w:tr w:rsidR="00A44B8C" w:rsidRPr="00587422" w14:paraId="3B8A8A91" w14:textId="77777777" w:rsidTr="009F39DA">
        <w:tc>
          <w:tcPr>
            <w:tcW w:w="3364" w:type="dxa"/>
            <w:tcBorders>
              <w:bottom w:val="nil"/>
            </w:tcBorders>
          </w:tcPr>
          <w:p w14:paraId="7C7FB68F" w14:textId="1712B47C" w:rsidR="00A44B8C" w:rsidRPr="00587422" w:rsidRDefault="00A44B8C" w:rsidP="005073E8">
            <w:pPr>
              <w:spacing w:after="0"/>
              <w:rPr>
                <w:sz w:val="20"/>
                <w:szCs w:val="20"/>
              </w:rPr>
            </w:pPr>
            <w:r w:rsidRPr="00587422">
              <w:rPr>
                <w:sz w:val="20"/>
                <w:szCs w:val="20"/>
              </w:rPr>
              <w:t>Off Benefit</w:t>
            </w:r>
          </w:p>
        </w:tc>
        <w:tc>
          <w:tcPr>
            <w:tcW w:w="1134" w:type="dxa"/>
            <w:tcBorders>
              <w:bottom w:val="nil"/>
            </w:tcBorders>
          </w:tcPr>
          <w:p w14:paraId="4A8B98AA" w14:textId="77777777" w:rsidR="00A44B8C" w:rsidRPr="00587422" w:rsidRDefault="00A44B8C" w:rsidP="005073E8">
            <w:pPr>
              <w:spacing w:after="0"/>
              <w:jc w:val="center"/>
              <w:rPr>
                <w:sz w:val="20"/>
                <w:szCs w:val="20"/>
              </w:rPr>
            </w:pPr>
          </w:p>
        </w:tc>
        <w:tc>
          <w:tcPr>
            <w:tcW w:w="1134" w:type="dxa"/>
            <w:tcBorders>
              <w:bottom w:val="nil"/>
            </w:tcBorders>
          </w:tcPr>
          <w:p w14:paraId="686C9064" w14:textId="77777777" w:rsidR="00A44B8C" w:rsidRPr="00587422" w:rsidRDefault="00A44B8C" w:rsidP="005073E8">
            <w:pPr>
              <w:spacing w:after="0"/>
              <w:jc w:val="center"/>
              <w:rPr>
                <w:sz w:val="20"/>
                <w:szCs w:val="20"/>
              </w:rPr>
            </w:pPr>
          </w:p>
        </w:tc>
        <w:tc>
          <w:tcPr>
            <w:tcW w:w="1134" w:type="dxa"/>
            <w:tcBorders>
              <w:bottom w:val="nil"/>
            </w:tcBorders>
          </w:tcPr>
          <w:p w14:paraId="27EC35FB" w14:textId="77777777" w:rsidR="00A44B8C" w:rsidRPr="00587422" w:rsidRDefault="00A44B8C" w:rsidP="005073E8">
            <w:pPr>
              <w:spacing w:after="0"/>
              <w:jc w:val="center"/>
              <w:rPr>
                <w:sz w:val="20"/>
                <w:szCs w:val="20"/>
              </w:rPr>
            </w:pPr>
          </w:p>
        </w:tc>
        <w:tc>
          <w:tcPr>
            <w:tcW w:w="1134" w:type="dxa"/>
            <w:tcBorders>
              <w:bottom w:val="nil"/>
            </w:tcBorders>
          </w:tcPr>
          <w:p w14:paraId="2BDF9602" w14:textId="77777777" w:rsidR="00A44B8C" w:rsidRPr="00587422" w:rsidRDefault="00A44B8C" w:rsidP="005073E8">
            <w:pPr>
              <w:spacing w:after="0"/>
              <w:jc w:val="center"/>
              <w:rPr>
                <w:sz w:val="20"/>
                <w:szCs w:val="20"/>
              </w:rPr>
            </w:pPr>
            <w:r w:rsidRPr="00587422">
              <w:rPr>
                <w:sz w:val="20"/>
                <w:szCs w:val="20"/>
              </w:rPr>
              <w:t>1</w:t>
            </w:r>
            <w:r>
              <w:rPr>
                <w:sz w:val="20"/>
                <w:szCs w:val="20"/>
              </w:rPr>
              <w:t>5</w:t>
            </w:r>
            <w:r w:rsidRPr="00587422">
              <w:rPr>
                <w:sz w:val="20"/>
                <w:szCs w:val="20"/>
              </w:rPr>
              <w:t>%</w:t>
            </w:r>
          </w:p>
        </w:tc>
      </w:tr>
      <w:tr w:rsidR="00A44B8C" w:rsidRPr="00587422" w14:paraId="584774E2" w14:textId="77777777" w:rsidTr="009F39DA">
        <w:tc>
          <w:tcPr>
            <w:tcW w:w="3364" w:type="dxa"/>
            <w:tcBorders>
              <w:top w:val="nil"/>
              <w:bottom w:val="single" w:sz="4" w:space="0" w:color="auto"/>
            </w:tcBorders>
          </w:tcPr>
          <w:p w14:paraId="4CF2AD39" w14:textId="628200E3" w:rsidR="00A44B8C" w:rsidRPr="00587422" w:rsidRDefault="00A44B8C" w:rsidP="005073E8">
            <w:pPr>
              <w:spacing w:after="0"/>
              <w:rPr>
                <w:sz w:val="20"/>
                <w:szCs w:val="20"/>
              </w:rPr>
            </w:pPr>
            <w:r w:rsidRPr="00587422">
              <w:rPr>
                <w:sz w:val="20"/>
                <w:szCs w:val="20"/>
              </w:rPr>
              <w:t>Speed to Going Off Benefit</w:t>
            </w:r>
          </w:p>
        </w:tc>
        <w:tc>
          <w:tcPr>
            <w:tcW w:w="1134" w:type="dxa"/>
            <w:tcBorders>
              <w:top w:val="nil"/>
              <w:bottom w:val="single" w:sz="4" w:space="0" w:color="auto"/>
            </w:tcBorders>
          </w:tcPr>
          <w:p w14:paraId="14EC47AA"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47860412"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7B571308" w14:textId="77777777" w:rsidR="00A44B8C" w:rsidRPr="00587422" w:rsidRDefault="00A44B8C" w:rsidP="005073E8">
            <w:pPr>
              <w:spacing w:after="0"/>
              <w:jc w:val="center"/>
              <w:rPr>
                <w:sz w:val="20"/>
                <w:szCs w:val="20"/>
              </w:rPr>
            </w:pPr>
          </w:p>
        </w:tc>
        <w:tc>
          <w:tcPr>
            <w:tcW w:w="1134" w:type="dxa"/>
            <w:tcBorders>
              <w:top w:val="nil"/>
              <w:bottom w:val="single" w:sz="4" w:space="0" w:color="auto"/>
            </w:tcBorders>
          </w:tcPr>
          <w:p w14:paraId="56821AB5" w14:textId="77777777" w:rsidR="00A44B8C" w:rsidRPr="00587422" w:rsidRDefault="00A44B8C" w:rsidP="005073E8">
            <w:pPr>
              <w:spacing w:after="0"/>
              <w:jc w:val="center"/>
              <w:rPr>
                <w:sz w:val="20"/>
                <w:szCs w:val="20"/>
              </w:rPr>
            </w:pPr>
            <w:r>
              <w:rPr>
                <w:sz w:val="20"/>
                <w:szCs w:val="20"/>
              </w:rPr>
              <w:t>5</w:t>
            </w:r>
            <w:r w:rsidRPr="00587422">
              <w:rPr>
                <w:sz w:val="20"/>
                <w:szCs w:val="20"/>
              </w:rPr>
              <w:t>%</w:t>
            </w:r>
          </w:p>
        </w:tc>
      </w:tr>
      <w:tr w:rsidR="009F39DA" w:rsidRPr="00587422" w14:paraId="763D1D3D" w14:textId="77777777" w:rsidTr="009F39DA">
        <w:tc>
          <w:tcPr>
            <w:tcW w:w="3364" w:type="dxa"/>
            <w:shd w:val="clear" w:color="auto" w:fill="D9D9D9" w:themeFill="background1" w:themeFillShade="D9"/>
          </w:tcPr>
          <w:p w14:paraId="485BE7DB" w14:textId="77777777" w:rsidR="00A44B8C" w:rsidRPr="00587422" w:rsidRDefault="00A44B8C" w:rsidP="005073E8">
            <w:pPr>
              <w:spacing w:after="0"/>
              <w:jc w:val="right"/>
              <w:rPr>
                <w:b/>
                <w:sz w:val="20"/>
                <w:szCs w:val="20"/>
              </w:rPr>
            </w:pPr>
            <w:r w:rsidRPr="00587422">
              <w:rPr>
                <w:b/>
                <w:sz w:val="20"/>
                <w:szCs w:val="20"/>
              </w:rPr>
              <w:t>Off Benefit Total</w:t>
            </w:r>
          </w:p>
        </w:tc>
        <w:tc>
          <w:tcPr>
            <w:tcW w:w="1134" w:type="dxa"/>
            <w:shd w:val="clear" w:color="auto" w:fill="D9D9D9" w:themeFill="background1" w:themeFillShade="D9"/>
          </w:tcPr>
          <w:p w14:paraId="08DA89AA" w14:textId="77777777" w:rsidR="00A44B8C" w:rsidRPr="00587422" w:rsidRDefault="00A44B8C" w:rsidP="005073E8">
            <w:pPr>
              <w:spacing w:after="0"/>
              <w:jc w:val="center"/>
              <w:rPr>
                <w:b/>
                <w:sz w:val="20"/>
                <w:szCs w:val="20"/>
              </w:rPr>
            </w:pPr>
          </w:p>
        </w:tc>
        <w:tc>
          <w:tcPr>
            <w:tcW w:w="1134" w:type="dxa"/>
            <w:shd w:val="clear" w:color="auto" w:fill="D9D9D9" w:themeFill="background1" w:themeFillShade="D9"/>
          </w:tcPr>
          <w:p w14:paraId="42DFEEB6" w14:textId="77777777" w:rsidR="00A44B8C" w:rsidRPr="00587422" w:rsidRDefault="00A44B8C" w:rsidP="005073E8">
            <w:pPr>
              <w:spacing w:after="0"/>
              <w:jc w:val="center"/>
              <w:rPr>
                <w:b/>
                <w:sz w:val="20"/>
                <w:szCs w:val="20"/>
              </w:rPr>
            </w:pPr>
          </w:p>
        </w:tc>
        <w:tc>
          <w:tcPr>
            <w:tcW w:w="1134" w:type="dxa"/>
            <w:shd w:val="clear" w:color="auto" w:fill="D9D9D9" w:themeFill="background1" w:themeFillShade="D9"/>
          </w:tcPr>
          <w:p w14:paraId="23D59F8D" w14:textId="77777777" w:rsidR="00A44B8C" w:rsidRPr="00587422" w:rsidRDefault="00A44B8C" w:rsidP="005073E8">
            <w:pPr>
              <w:spacing w:after="0"/>
              <w:jc w:val="center"/>
              <w:rPr>
                <w:b/>
                <w:sz w:val="20"/>
                <w:szCs w:val="20"/>
              </w:rPr>
            </w:pPr>
          </w:p>
        </w:tc>
        <w:tc>
          <w:tcPr>
            <w:tcW w:w="1134" w:type="dxa"/>
            <w:shd w:val="clear" w:color="auto" w:fill="D9D9D9" w:themeFill="background1" w:themeFillShade="D9"/>
          </w:tcPr>
          <w:p w14:paraId="5556991F" w14:textId="77777777" w:rsidR="00A44B8C" w:rsidRPr="00587422" w:rsidRDefault="00A44B8C" w:rsidP="005073E8">
            <w:pPr>
              <w:spacing w:after="0"/>
              <w:jc w:val="center"/>
              <w:rPr>
                <w:b/>
                <w:sz w:val="20"/>
                <w:szCs w:val="20"/>
              </w:rPr>
            </w:pPr>
            <w:r w:rsidRPr="00587422">
              <w:rPr>
                <w:b/>
                <w:sz w:val="20"/>
                <w:szCs w:val="20"/>
              </w:rPr>
              <w:t>20%</w:t>
            </w:r>
          </w:p>
        </w:tc>
      </w:tr>
    </w:tbl>
    <w:p w14:paraId="22AFE3FE" w14:textId="77777777" w:rsidR="006B7A84" w:rsidRPr="006B7A84" w:rsidRDefault="006B7A84" w:rsidP="00A44B8C">
      <w:pPr>
        <w:pStyle w:val="Default"/>
        <w:rPr>
          <w:iCs/>
          <w:sz w:val="18"/>
          <w:szCs w:val="18"/>
        </w:rPr>
      </w:pPr>
    </w:p>
    <w:p w14:paraId="2197AB57" w14:textId="77777777" w:rsidR="00A44B8C" w:rsidRPr="0015471D" w:rsidRDefault="00A44B8C" w:rsidP="00A44B8C">
      <w:pPr>
        <w:pStyle w:val="Default"/>
        <w:rPr>
          <w:sz w:val="18"/>
          <w:szCs w:val="18"/>
        </w:rPr>
      </w:pPr>
      <w:r w:rsidRPr="0015471D">
        <w:rPr>
          <w:i/>
          <w:iCs/>
          <w:sz w:val="18"/>
          <w:szCs w:val="18"/>
        </w:rPr>
        <w:t xml:space="preserve">Notes: </w:t>
      </w:r>
    </w:p>
    <w:p w14:paraId="5294FDF3" w14:textId="707EE64B" w:rsidR="00A44B8C" w:rsidRPr="0015471D" w:rsidRDefault="00A44B8C" w:rsidP="00A44B8C">
      <w:pPr>
        <w:pStyle w:val="Default"/>
        <w:rPr>
          <w:sz w:val="18"/>
          <w:szCs w:val="18"/>
        </w:rPr>
      </w:pPr>
      <w:r w:rsidRPr="0015471D">
        <w:rPr>
          <w:b/>
          <w:bCs/>
          <w:sz w:val="18"/>
          <w:szCs w:val="18"/>
        </w:rPr>
        <w:t xml:space="preserve">1. </w:t>
      </w:r>
      <w:r w:rsidR="003D3E9A">
        <w:rPr>
          <w:sz w:val="18"/>
          <w:szCs w:val="18"/>
        </w:rPr>
        <w:t>F</w:t>
      </w:r>
      <w:r w:rsidR="003D3E9A" w:rsidRPr="003D3E9A">
        <w:rPr>
          <w:sz w:val="18"/>
          <w:szCs w:val="18"/>
        </w:rPr>
        <w:t>or the September and December 2012 releases, performance data were not available for the Barriers Serviced measure and the weighting for this measure was required to be redistributed to the other measures</w:t>
      </w:r>
      <w:r w:rsidRPr="0015471D">
        <w:rPr>
          <w:sz w:val="18"/>
          <w:szCs w:val="18"/>
        </w:rPr>
        <w:t xml:space="preserve">. </w:t>
      </w:r>
    </w:p>
    <w:p w14:paraId="38DF28D9" w14:textId="03BEB434" w:rsidR="00A44B8C" w:rsidRDefault="00A44B8C" w:rsidP="00A44B8C">
      <w:pPr>
        <w:pStyle w:val="Default"/>
        <w:rPr>
          <w:sz w:val="18"/>
          <w:szCs w:val="18"/>
        </w:rPr>
      </w:pPr>
      <w:r w:rsidRPr="0015471D">
        <w:rPr>
          <w:b/>
          <w:bCs/>
          <w:sz w:val="18"/>
          <w:szCs w:val="18"/>
        </w:rPr>
        <w:t xml:space="preserve">2. </w:t>
      </w:r>
      <w:r w:rsidR="003D3E9A" w:rsidRPr="0015471D">
        <w:rPr>
          <w:sz w:val="18"/>
          <w:szCs w:val="18"/>
        </w:rPr>
        <w:t>The 13 Week Pathway Outcomes performance measure also includes Remote Educational Achievement Outcomes and Remote Foundation Skills Outcomes</w:t>
      </w:r>
      <w:r w:rsidRPr="0015471D">
        <w:rPr>
          <w:sz w:val="18"/>
          <w:szCs w:val="18"/>
        </w:rPr>
        <w:t xml:space="preserve">. </w:t>
      </w:r>
    </w:p>
    <w:p w14:paraId="7F81C6A4" w14:textId="30AE6BC1" w:rsidR="000B414E" w:rsidRDefault="003D3E9A" w:rsidP="00F8481C">
      <w:r>
        <w:rPr>
          <w:b/>
          <w:bCs/>
          <w:sz w:val="18"/>
          <w:szCs w:val="18"/>
        </w:rPr>
        <w:t>3</w:t>
      </w:r>
      <w:r w:rsidRPr="0015471D">
        <w:rPr>
          <w:b/>
          <w:bCs/>
          <w:sz w:val="18"/>
          <w:szCs w:val="18"/>
        </w:rPr>
        <w:t xml:space="preserve">. </w:t>
      </w:r>
      <w:r w:rsidRPr="0015471D">
        <w:rPr>
          <w:sz w:val="18"/>
          <w:szCs w:val="18"/>
        </w:rPr>
        <w:t>The ‘13 Week Bonus Outcomes’ measure also includes outcomes which were for Indigenous job seekers</w:t>
      </w:r>
      <w:r>
        <w:rPr>
          <w:sz w:val="18"/>
          <w:szCs w:val="18"/>
        </w:rPr>
        <w:t xml:space="preserve"> or which were the result of out of area placements</w:t>
      </w:r>
      <w:r w:rsidRPr="0015471D">
        <w:rPr>
          <w:sz w:val="18"/>
          <w:szCs w:val="18"/>
        </w:rPr>
        <w:t>.</w:t>
      </w:r>
      <w:r w:rsidR="000B414E" w:rsidRPr="000B414E">
        <w:t xml:space="preserve"> </w:t>
      </w:r>
    </w:p>
    <w:p w14:paraId="164E3F79" w14:textId="77777777" w:rsidR="00F8481C" w:rsidRDefault="00F8481C" w:rsidP="00F8481C">
      <w:pPr>
        <w:pStyle w:val="Heading2"/>
        <w:spacing w:after="120"/>
      </w:pPr>
    </w:p>
    <w:p w14:paraId="28EA5E77" w14:textId="7BA7D911" w:rsidR="00E276F9" w:rsidRDefault="009F39DA" w:rsidP="00F8481C">
      <w:pPr>
        <w:pStyle w:val="Heading2"/>
        <w:spacing w:after="120"/>
      </w:pPr>
      <w:r>
        <w:t>Allocation of Star Ratings</w:t>
      </w:r>
    </w:p>
    <w:p w14:paraId="39F19DD3" w14:textId="77777777" w:rsidR="000B414E" w:rsidRDefault="000B414E" w:rsidP="000B414E">
      <w:pPr>
        <w:autoSpaceDE w:val="0"/>
        <w:autoSpaceDN w:val="0"/>
        <w:adjustRightInd w:val="0"/>
        <w:rPr>
          <w:rFonts w:cs="Calibri"/>
          <w:color w:val="000000"/>
          <w:szCs w:val="22"/>
        </w:rPr>
      </w:pPr>
      <w:r>
        <w:rPr>
          <w:rFonts w:cs="Calibri"/>
          <w:color w:val="000000"/>
          <w:szCs w:val="22"/>
        </w:rPr>
        <w:t xml:space="preserve">The Star Ratings model calculates a performance score for each site across Australia using the performance measures and weightings previously described. </w:t>
      </w:r>
      <w:r w:rsidRPr="00C559AD">
        <w:rPr>
          <w:rFonts w:cs="Calibri"/>
          <w:color w:val="000000"/>
          <w:szCs w:val="22"/>
        </w:rPr>
        <w:t xml:space="preserve">From </w:t>
      </w:r>
      <w:r>
        <w:rPr>
          <w:rFonts w:cs="Calibri"/>
          <w:color w:val="000000"/>
          <w:szCs w:val="22"/>
        </w:rPr>
        <w:t xml:space="preserve">these scores, </w:t>
      </w:r>
      <w:r w:rsidRPr="00C559AD">
        <w:rPr>
          <w:rFonts w:cs="Calibri"/>
          <w:color w:val="000000"/>
          <w:szCs w:val="22"/>
        </w:rPr>
        <w:t xml:space="preserve">a national average performance score is calculated. </w:t>
      </w:r>
    </w:p>
    <w:p w14:paraId="0540731C" w14:textId="77777777" w:rsidR="000B414E" w:rsidRDefault="000B414E" w:rsidP="000B414E">
      <w:pPr>
        <w:autoSpaceDE w:val="0"/>
        <w:autoSpaceDN w:val="0"/>
        <w:adjustRightInd w:val="0"/>
        <w:rPr>
          <w:rFonts w:cs="Calibri"/>
          <w:color w:val="000000"/>
          <w:szCs w:val="22"/>
        </w:rPr>
      </w:pPr>
    </w:p>
    <w:p w14:paraId="65C48593" w14:textId="7FD1B590" w:rsidR="000B414E" w:rsidRDefault="000B414E" w:rsidP="000B414E">
      <w:pPr>
        <w:autoSpaceDE w:val="0"/>
        <w:autoSpaceDN w:val="0"/>
        <w:adjustRightInd w:val="0"/>
        <w:rPr>
          <w:rFonts w:cs="Calibri"/>
          <w:color w:val="000000"/>
          <w:szCs w:val="22"/>
        </w:rPr>
      </w:pPr>
      <w:r w:rsidRPr="000B414E">
        <w:rPr>
          <w:rFonts w:cs="Calibri"/>
          <w:color w:val="000000"/>
          <w:szCs w:val="22"/>
        </w:rPr>
        <w:t xml:space="preserve">The Star Ratings are then allocated on the basis of the comparison of individual site performance scores to the national average site performance score. For example, all sites which are 40 per cent or more above the national average are allocated 5-Stars. The Star Ratings and their associated Star Percentages are detailed in the table below.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2"/>
      </w:tblGrid>
      <w:tr w:rsidR="000B414E" w14:paraId="513771BF" w14:textId="77777777" w:rsidTr="005073E8">
        <w:tc>
          <w:tcPr>
            <w:tcW w:w="1418" w:type="dxa"/>
            <w:shd w:val="pct10" w:color="auto" w:fill="auto"/>
          </w:tcPr>
          <w:p w14:paraId="3F453A56"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b/>
                <w:bCs/>
                <w:color w:val="000000"/>
                <w:sz w:val="20"/>
                <w:szCs w:val="20"/>
              </w:rPr>
              <w:t>Star Rating</w:t>
            </w:r>
          </w:p>
        </w:tc>
        <w:tc>
          <w:tcPr>
            <w:tcW w:w="4252" w:type="dxa"/>
            <w:shd w:val="pct10" w:color="auto" w:fill="auto"/>
          </w:tcPr>
          <w:p w14:paraId="5DDBB83A"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b/>
                <w:bCs/>
                <w:color w:val="000000"/>
                <w:sz w:val="20"/>
                <w:szCs w:val="20"/>
              </w:rPr>
              <w:t>Star Percentage</w:t>
            </w:r>
            <w:r>
              <w:rPr>
                <w:rFonts w:cs="Calibri"/>
                <w:b/>
                <w:bCs/>
                <w:color w:val="000000"/>
                <w:sz w:val="20"/>
                <w:szCs w:val="20"/>
              </w:rPr>
              <w:t>s</w:t>
            </w:r>
          </w:p>
        </w:tc>
      </w:tr>
      <w:tr w:rsidR="000B414E" w14:paraId="30993A4D" w14:textId="77777777" w:rsidTr="005073E8">
        <w:tc>
          <w:tcPr>
            <w:tcW w:w="1418" w:type="dxa"/>
          </w:tcPr>
          <w:p w14:paraId="57137CB5"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5 Stars</w:t>
            </w:r>
          </w:p>
        </w:tc>
        <w:tc>
          <w:tcPr>
            <w:tcW w:w="4252" w:type="dxa"/>
          </w:tcPr>
          <w:p w14:paraId="21A4212B"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40% or more above the average.</w:t>
            </w:r>
          </w:p>
        </w:tc>
      </w:tr>
      <w:tr w:rsidR="000B414E" w14:paraId="5BB29F95" w14:textId="77777777" w:rsidTr="005073E8">
        <w:tc>
          <w:tcPr>
            <w:tcW w:w="1418" w:type="dxa"/>
          </w:tcPr>
          <w:p w14:paraId="015E60FC"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4 Stars</w:t>
            </w:r>
          </w:p>
        </w:tc>
        <w:tc>
          <w:tcPr>
            <w:tcW w:w="4252" w:type="dxa"/>
          </w:tcPr>
          <w:p w14:paraId="1CBB6230"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Between 20% and 39% above the average.</w:t>
            </w:r>
          </w:p>
        </w:tc>
      </w:tr>
      <w:tr w:rsidR="000B414E" w14:paraId="63DE2CDB" w14:textId="77777777" w:rsidTr="005073E8">
        <w:tc>
          <w:tcPr>
            <w:tcW w:w="1418" w:type="dxa"/>
          </w:tcPr>
          <w:p w14:paraId="6EA0FBCB"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3 Stars</w:t>
            </w:r>
          </w:p>
        </w:tc>
        <w:tc>
          <w:tcPr>
            <w:tcW w:w="4252" w:type="dxa"/>
          </w:tcPr>
          <w:p w14:paraId="30E8890B"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Between 19% above and 19% below the average.</w:t>
            </w:r>
          </w:p>
        </w:tc>
      </w:tr>
      <w:tr w:rsidR="000B414E" w14:paraId="144982E6" w14:textId="77777777" w:rsidTr="005073E8">
        <w:tc>
          <w:tcPr>
            <w:tcW w:w="1418" w:type="dxa"/>
          </w:tcPr>
          <w:p w14:paraId="5D6BC0CC"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2 Stars</w:t>
            </w:r>
          </w:p>
        </w:tc>
        <w:tc>
          <w:tcPr>
            <w:tcW w:w="4252" w:type="dxa"/>
          </w:tcPr>
          <w:p w14:paraId="09D039E4"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Between 20% and 49% below the average.</w:t>
            </w:r>
          </w:p>
        </w:tc>
      </w:tr>
      <w:tr w:rsidR="000B414E" w14:paraId="75B36FB7" w14:textId="77777777" w:rsidTr="005073E8">
        <w:tc>
          <w:tcPr>
            <w:tcW w:w="1418" w:type="dxa"/>
          </w:tcPr>
          <w:p w14:paraId="632F6554"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1 Star</w:t>
            </w:r>
          </w:p>
        </w:tc>
        <w:tc>
          <w:tcPr>
            <w:tcW w:w="4252" w:type="dxa"/>
          </w:tcPr>
          <w:p w14:paraId="2C4F3510" w14:textId="77777777" w:rsidR="000B414E" w:rsidRPr="00872275" w:rsidRDefault="000B414E" w:rsidP="005073E8">
            <w:pPr>
              <w:autoSpaceDE w:val="0"/>
              <w:autoSpaceDN w:val="0"/>
              <w:adjustRightInd w:val="0"/>
              <w:spacing w:after="0"/>
              <w:rPr>
                <w:rFonts w:cs="Calibri"/>
                <w:color w:val="000000"/>
                <w:sz w:val="20"/>
                <w:szCs w:val="20"/>
              </w:rPr>
            </w:pPr>
            <w:r w:rsidRPr="00872275">
              <w:rPr>
                <w:rFonts w:cs="Calibri"/>
                <w:color w:val="000000"/>
                <w:sz w:val="20"/>
                <w:szCs w:val="20"/>
              </w:rPr>
              <w:t>50% or more below the average.</w:t>
            </w:r>
          </w:p>
        </w:tc>
      </w:tr>
    </w:tbl>
    <w:p w14:paraId="56FA7781" w14:textId="5377691C" w:rsidR="00F6154A" w:rsidRDefault="00F6154A" w:rsidP="000B414E">
      <w:pPr>
        <w:spacing w:after="240"/>
      </w:pPr>
    </w:p>
    <w:p w14:paraId="2089CEFD" w14:textId="7B08BC95" w:rsidR="00B80D77" w:rsidRDefault="000B414E" w:rsidP="000B414E">
      <w:pPr>
        <w:pStyle w:val="Heading2"/>
        <w:spacing w:before="0" w:after="120"/>
      </w:pPr>
      <w:r>
        <w:t>Three Year Rolling Assessment Period</w:t>
      </w:r>
    </w:p>
    <w:p w14:paraId="4BEF2A32" w14:textId="1B0484E1" w:rsidR="000B414E" w:rsidRDefault="000B414E" w:rsidP="000B414E">
      <w:pPr>
        <w:spacing w:after="240"/>
      </w:pPr>
      <w:r w:rsidRPr="00A8200C">
        <w:t>The Star Ratings assess performance over a three year rolling period. For example, the September 2012 ratings assess the three year period between October 2009 and September 2012 and the December 2012 ratings assess the period between January 2010 and December 2012</w:t>
      </w:r>
      <w:r w:rsidRPr="00A85CFD">
        <w:rPr>
          <w:rFonts w:cs="Calibri"/>
          <w:color w:val="000000"/>
          <w:szCs w:val="22"/>
        </w:rPr>
        <w:t>.</w:t>
      </w:r>
      <w:r w:rsidRPr="000B414E">
        <w:t xml:space="preserve"> </w:t>
      </w:r>
    </w:p>
    <w:p w14:paraId="31329AC1" w14:textId="26664481" w:rsidR="000B414E" w:rsidRDefault="000B414E" w:rsidP="000B414E">
      <w:pPr>
        <w:pStyle w:val="Heading2"/>
        <w:spacing w:before="0" w:after="120"/>
      </w:pPr>
      <w:r>
        <w:t>‘Imputed’ Star Ratings</w:t>
      </w:r>
    </w:p>
    <w:p w14:paraId="5A0FF7DD" w14:textId="77777777" w:rsidR="00F8481C" w:rsidRPr="00A85CFD" w:rsidRDefault="00F8481C" w:rsidP="00F8481C">
      <w:pPr>
        <w:autoSpaceDE w:val="0"/>
        <w:autoSpaceDN w:val="0"/>
        <w:adjustRightInd w:val="0"/>
        <w:rPr>
          <w:rFonts w:cs="Calibri"/>
          <w:color w:val="000000"/>
          <w:szCs w:val="22"/>
        </w:rPr>
      </w:pPr>
      <w:r w:rsidRPr="00A85CFD">
        <w:rPr>
          <w:rFonts w:cs="Calibri"/>
          <w:color w:val="000000"/>
          <w:szCs w:val="22"/>
        </w:rPr>
        <w:t xml:space="preserve">For each release, some sites will not have had sufficient performance data for the calculation of Star Ratings for one or more of the four Streams. The affected sites and streams can be identified in the public release listings by the absence of </w:t>
      </w:r>
      <w:r>
        <w:rPr>
          <w:rFonts w:cs="Calibri"/>
          <w:color w:val="000000"/>
          <w:szCs w:val="22"/>
        </w:rPr>
        <w:t xml:space="preserve">a </w:t>
      </w:r>
      <w:r w:rsidRPr="00A85CFD">
        <w:rPr>
          <w:rFonts w:cs="Calibri"/>
          <w:color w:val="000000"/>
          <w:szCs w:val="22"/>
        </w:rPr>
        <w:t xml:space="preserve">rating. </w:t>
      </w:r>
    </w:p>
    <w:p w14:paraId="31A4C675" w14:textId="77777777" w:rsidR="00F8481C" w:rsidRPr="00A85CFD" w:rsidRDefault="00F8481C" w:rsidP="00F8481C">
      <w:pPr>
        <w:autoSpaceDE w:val="0"/>
        <w:autoSpaceDN w:val="0"/>
        <w:adjustRightInd w:val="0"/>
        <w:rPr>
          <w:rFonts w:cs="Calibri"/>
          <w:color w:val="000000"/>
          <w:szCs w:val="22"/>
        </w:rPr>
      </w:pPr>
    </w:p>
    <w:p w14:paraId="195E42EF" w14:textId="77777777" w:rsidR="00F8481C" w:rsidRPr="00A85CFD" w:rsidRDefault="00F8481C" w:rsidP="00F8481C">
      <w:pPr>
        <w:autoSpaceDE w:val="0"/>
        <w:autoSpaceDN w:val="0"/>
        <w:adjustRightInd w:val="0"/>
        <w:rPr>
          <w:rFonts w:cs="Calibri"/>
          <w:color w:val="000000"/>
          <w:szCs w:val="22"/>
        </w:rPr>
      </w:pPr>
      <w:r w:rsidRPr="00A85CFD">
        <w:rPr>
          <w:rFonts w:cs="Calibri"/>
          <w:color w:val="000000"/>
          <w:szCs w:val="22"/>
        </w:rPr>
        <w:t>However, overall Star Ratings have still been published for these sites. These have been enabled via site level Stream ratings being imputed from the Contract level Stream ratings. For example, if a site has insufficient data for a rating for Stream 1, and the contract it belongs to has a Stream 1 rating of 3-Stars, then the site is allocated an imputed Stream 1 rating of 3-Stars</w:t>
      </w:r>
      <w:r>
        <w:rPr>
          <w:rFonts w:cs="Calibri"/>
          <w:color w:val="000000"/>
          <w:szCs w:val="22"/>
        </w:rPr>
        <w:t xml:space="preserve">, which is then </w:t>
      </w:r>
      <w:r w:rsidRPr="00A85CFD">
        <w:rPr>
          <w:rFonts w:cs="Calibri"/>
          <w:color w:val="000000"/>
          <w:szCs w:val="22"/>
        </w:rPr>
        <w:t xml:space="preserve">used for the calculation of the overall rating. </w:t>
      </w:r>
    </w:p>
    <w:p w14:paraId="503A88CA" w14:textId="77777777" w:rsidR="00F8481C" w:rsidRDefault="00F8481C" w:rsidP="00F8481C">
      <w:pPr>
        <w:autoSpaceDE w:val="0"/>
        <w:autoSpaceDN w:val="0"/>
        <w:adjustRightInd w:val="0"/>
        <w:rPr>
          <w:rFonts w:cs="Calibri"/>
          <w:color w:val="000000"/>
          <w:szCs w:val="22"/>
        </w:rPr>
      </w:pPr>
    </w:p>
    <w:p w14:paraId="15016093" w14:textId="3B6FAB31" w:rsidR="00F8481C" w:rsidRDefault="00F8481C" w:rsidP="00F8481C">
      <w:pPr>
        <w:spacing w:after="240"/>
      </w:pPr>
      <w:r>
        <w:rPr>
          <w:rFonts w:cs="Calibri"/>
          <w:color w:val="000000"/>
          <w:szCs w:val="22"/>
        </w:rPr>
        <w:t>There may be sites for which all four Stream level ratings and the overall JSA ratings are absent. These sites belong to contracts which have only recently started operating and have insufficient performance data for the calculation of ratings.</w:t>
      </w:r>
      <w:r w:rsidRPr="00F8481C">
        <w:t xml:space="preserve"> </w:t>
      </w:r>
    </w:p>
    <w:p w14:paraId="70E2B39A" w14:textId="3047719E" w:rsidR="00F8481C" w:rsidRDefault="00F8481C" w:rsidP="00F8481C">
      <w:pPr>
        <w:pStyle w:val="Heading2"/>
        <w:spacing w:before="0" w:after="120"/>
      </w:pPr>
      <w:r>
        <w:t>Accounting for Different Job Seeker Characteristics and Labour Market C</w:t>
      </w:r>
      <w:r w:rsidRPr="00AC6D1D">
        <w:t>onditions</w:t>
      </w:r>
      <w:r>
        <w:t xml:space="preserve"> </w:t>
      </w:r>
    </w:p>
    <w:p w14:paraId="2699B883" w14:textId="77777777" w:rsidR="00F8481C" w:rsidRDefault="00F8481C" w:rsidP="00F8481C">
      <w:pPr>
        <w:autoSpaceDE w:val="0"/>
        <w:autoSpaceDN w:val="0"/>
        <w:adjustRightInd w:val="0"/>
        <w:rPr>
          <w:rFonts w:cs="Calibri"/>
          <w:color w:val="000000"/>
          <w:szCs w:val="22"/>
        </w:rPr>
      </w:pPr>
      <w:r>
        <w:rPr>
          <w:rFonts w:cs="Calibri"/>
          <w:color w:val="000000"/>
          <w:szCs w:val="22"/>
        </w:rPr>
        <w:t>T</w:t>
      </w:r>
      <w:r w:rsidRPr="00C559AD">
        <w:rPr>
          <w:rFonts w:cs="Calibri"/>
          <w:color w:val="000000"/>
          <w:szCs w:val="22"/>
        </w:rPr>
        <w:t xml:space="preserve">he Star Ratings methodology uses proven statistical regression analysis to allow the comparison of provider performances across Australia. It does this by measuring the outcome levels of all providers for the job seekers they are assisting and then applying the results to a set of established job seeker and labour market characteristics which impact most on the achievement of job outcomes. </w:t>
      </w:r>
    </w:p>
    <w:p w14:paraId="724841F8" w14:textId="77777777" w:rsidR="00F8481C" w:rsidRDefault="00F8481C" w:rsidP="00F8481C">
      <w:pPr>
        <w:autoSpaceDE w:val="0"/>
        <w:autoSpaceDN w:val="0"/>
        <w:adjustRightInd w:val="0"/>
        <w:rPr>
          <w:rFonts w:cs="Calibri"/>
          <w:color w:val="000000"/>
          <w:szCs w:val="22"/>
        </w:rPr>
      </w:pPr>
    </w:p>
    <w:p w14:paraId="5917B2C4" w14:textId="77777777" w:rsidR="00F8481C" w:rsidRDefault="00F8481C" w:rsidP="00F8481C">
      <w:pPr>
        <w:autoSpaceDE w:val="0"/>
        <w:autoSpaceDN w:val="0"/>
        <w:adjustRightInd w:val="0"/>
        <w:rPr>
          <w:rFonts w:cs="Calibri"/>
          <w:color w:val="000000"/>
          <w:szCs w:val="22"/>
        </w:rPr>
      </w:pPr>
      <w:r w:rsidRPr="00C559AD">
        <w:rPr>
          <w:rFonts w:cs="Calibri"/>
          <w:color w:val="000000"/>
          <w:szCs w:val="22"/>
        </w:rPr>
        <w:t xml:space="preserve">This enables the Star Ratings model to calculate what providers could reasonably be expected to have achieved given the unique set of job seekers they have assisted in their specific labour market. </w:t>
      </w:r>
    </w:p>
    <w:p w14:paraId="7D31E3CA" w14:textId="77777777" w:rsidR="00F8481C" w:rsidRDefault="00F8481C" w:rsidP="00F8481C">
      <w:pPr>
        <w:autoSpaceDE w:val="0"/>
        <w:autoSpaceDN w:val="0"/>
        <w:adjustRightInd w:val="0"/>
        <w:rPr>
          <w:rFonts w:cs="Calibri"/>
          <w:color w:val="000000"/>
          <w:szCs w:val="22"/>
        </w:rPr>
      </w:pPr>
    </w:p>
    <w:p w14:paraId="7DFCAD5F" w14:textId="77777777" w:rsidR="00F8481C" w:rsidRDefault="00F8481C" w:rsidP="00F8481C">
      <w:pPr>
        <w:autoSpaceDE w:val="0"/>
        <w:autoSpaceDN w:val="0"/>
        <w:adjustRightInd w:val="0"/>
        <w:rPr>
          <w:rFonts w:cs="Calibri"/>
          <w:color w:val="000000"/>
          <w:szCs w:val="22"/>
        </w:rPr>
      </w:pPr>
      <w:r w:rsidRPr="00C559AD">
        <w:rPr>
          <w:rFonts w:cs="Calibri"/>
          <w:color w:val="000000"/>
          <w:szCs w:val="22"/>
        </w:rPr>
        <w:t xml:space="preserve">Scores for each performance measure are then calculated by comparing providers’ actual outcome rates with their expected outcome rates. The more that actual outcome rates exceed expected rates then the higher the performance score. </w:t>
      </w:r>
    </w:p>
    <w:p w14:paraId="6194126A" w14:textId="77777777" w:rsidR="00F8481C" w:rsidRDefault="00F8481C" w:rsidP="00F8481C">
      <w:pPr>
        <w:autoSpaceDE w:val="0"/>
        <w:autoSpaceDN w:val="0"/>
        <w:adjustRightInd w:val="0"/>
        <w:rPr>
          <w:rFonts w:cs="Calibri"/>
          <w:color w:val="000000"/>
          <w:szCs w:val="22"/>
        </w:rPr>
      </w:pPr>
    </w:p>
    <w:p w14:paraId="28EA5E85" w14:textId="089364EC" w:rsidR="00AA619C" w:rsidRDefault="00F8481C" w:rsidP="00F8481C">
      <w:pPr>
        <w:rPr>
          <w:rFonts w:cs="Calibri"/>
          <w:color w:val="000000"/>
          <w:szCs w:val="22"/>
        </w:rPr>
      </w:pPr>
      <w:r w:rsidRPr="00C559AD">
        <w:rPr>
          <w:rFonts w:cs="Calibri"/>
          <w:color w:val="000000"/>
          <w:szCs w:val="22"/>
        </w:rPr>
        <w:t>The following characteristics are accounted for in the Star Ratings model.</w:t>
      </w:r>
    </w:p>
    <w:p w14:paraId="5A8B850D" w14:textId="7E587F56" w:rsidR="00F8481C" w:rsidRDefault="00F8481C">
      <w:pPr>
        <w:spacing w:after="0"/>
        <w:contextualSpacing w:val="0"/>
        <w:rPr>
          <w:rFonts w:cs="Calibri"/>
          <w:color w:val="000000"/>
          <w:szCs w:val="22"/>
        </w:rPr>
      </w:pPr>
      <w:r>
        <w:rPr>
          <w:rFonts w:cs="Calibri"/>
          <w:color w:val="000000"/>
          <w:szCs w:val="22"/>
        </w:rPr>
        <w:br w:type="page"/>
      </w:r>
    </w:p>
    <w:p w14:paraId="241A0D0A" w14:textId="77777777" w:rsidR="00F8481C" w:rsidRDefault="00F8481C" w:rsidP="00F8481C">
      <w:pPr>
        <w:rPr>
          <w:rFonts w:cs="Calibri"/>
          <w:color w:val="000000"/>
          <w:szCs w:val="22"/>
        </w:rPr>
      </w:pPr>
    </w:p>
    <w:tbl>
      <w:tblPr>
        <w:tblW w:w="0" w:type="auto"/>
        <w:tblBorders>
          <w:top w:val="nil"/>
          <w:left w:val="nil"/>
          <w:bottom w:val="nil"/>
          <w:right w:val="nil"/>
        </w:tblBorders>
        <w:tblLayout w:type="fixed"/>
        <w:tblLook w:val="0000" w:firstRow="0" w:lastRow="0" w:firstColumn="0" w:lastColumn="0" w:noHBand="0" w:noVBand="0"/>
      </w:tblPr>
      <w:tblGrid>
        <w:gridCol w:w="3794"/>
        <w:gridCol w:w="6237"/>
      </w:tblGrid>
      <w:tr w:rsidR="00F8481C" w:rsidRPr="00C559AD" w14:paraId="086D6456" w14:textId="77777777" w:rsidTr="005073E8">
        <w:trPr>
          <w:trHeight w:val="110"/>
        </w:trPr>
        <w:tc>
          <w:tcPr>
            <w:tcW w:w="3794" w:type="dxa"/>
            <w:tcBorders>
              <w:top w:val="single" w:sz="4" w:space="0" w:color="auto"/>
              <w:left w:val="single" w:sz="4" w:space="0" w:color="auto"/>
              <w:bottom w:val="single" w:sz="4" w:space="0" w:color="auto"/>
              <w:right w:val="single" w:sz="4" w:space="0" w:color="auto"/>
            </w:tcBorders>
          </w:tcPr>
          <w:p w14:paraId="43B1AC5B" w14:textId="77777777" w:rsidR="00F8481C" w:rsidRPr="00646DC9" w:rsidRDefault="00F8481C" w:rsidP="005073E8">
            <w:pPr>
              <w:autoSpaceDE w:val="0"/>
              <w:autoSpaceDN w:val="0"/>
              <w:adjustRightInd w:val="0"/>
              <w:spacing w:after="0"/>
              <w:rPr>
                <w:rFonts w:cs="Calibri"/>
                <w:color w:val="31849B" w:themeColor="accent5" w:themeShade="BF"/>
                <w:szCs w:val="22"/>
              </w:rPr>
            </w:pPr>
            <w:r w:rsidRPr="00646DC9">
              <w:rPr>
                <w:b/>
                <w:bCs/>
                <w:color w:val="31849B" w:themeColor="accent5" w:themeShade="BF"/>
                <w:szCs w:val="22"/>
              </w:rPr>
              <w:t xml:space="preserve">Job Seeker Characteristics </w:t>
            </w:r>
          </w:p>
        </w:tc>
        <w:tc>
          <w:tcPr>
            <w:tcW w:w="6237" w:type="dxa"/>
            <w:tcBorders>
              <w:top w:val="single" w:sz="4" w:space="0" w:color="auto"/>
              <w:left w:val="single" w:sz="4" w:space="0" w:color="auto"/>
              <w:bottom w:val="single" w:sz="4" w:space="0" w:color="auto"/>
              <w:right w:val="single" w:sz="4" w:space="0" w:color="auto"/>
            </w:tcBorders>
          </w:tcPr>
          <w:p w14:paraId="122DF71A" w14:textId="77777777" w:rsidR="00F8481C" w:rsidRPr="00646DC9" w:rsidRDefault="00F8481C" w:rsidP="005073E8">
            <w:pPr>
              <w:autoSpaceDE w:val="0"/>
              <w:autoSpaceDN w:val="0"/>
              <w:adjustRightInd w:val="0"/>
              <w:spacing w:after="0"/>
              <w:rPr>
                <w:rFonts w:cs="Calibri"/>
                <w:color w:val="31849B" w:themeColor="accent5" w:themeShade="BF"/>
                <w:szCs w:val="22"/>
              </w:rPr>
            </w:pPr>
            <w:r w:rsidRPr="00646DC9">
              <w:rPr>
                <w:rFonts w:cs="Calibri"/>
                <w:b/>
                <w:bCs/>
                <w:color w:val="31849B" w:themeColor="accent5" w:themeShade="BF"/>
                <w:szCs w:val="22"/>
              </w:rPr>
              <w:t xml:space="preserve">Description </w:t>
            </w:r>
          </w:p>
        </w:tc>
      </w:tr>
      <w:tr w:rsidR="00F8481C" w:rsidRPr="00C559AD" w14:paraId="77ACDB9D"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67AEDA15"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Age </w:t>
            </w:r>
          </w:p>
        </w:tc>
        <w:tc>
          <w:tcPr>
            <w:tcW w:w="6237" w:type="dxa"/>
            <w:tcBorders>
              <w:top w:val="single" w:sz="4" w:space="0" w:color="auto"/>
              <w:left w:val="single" w:sz="4" w:space="0" w:color="auto"/>
              <w:bottom w:val="single" w:sz="4" w:space="0" w:color="auto"/>
              <w:right w:val="single" w:sz="4" w:space="0" w:color="auto"/>
            </w:tcBorders>
          </w:tcPr>
          <w:p w14:paraId="39F1433A"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Age at commencement. </w:t>
            </w:r>
          </w:p>
        </w:tc>
      </w:tr>
      <w:tr w:rsidR="00F8481C" w:rsidRPr="00C559AD" w14:paraId="47121BDC"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3D72042E"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Age of Youngest Child </w:t>
            </w:r>
          </w:p>
        </w:tc>
        <w:tc>
          <w:tcPr>
            <w:tcW w:w="6237" w:type="dxa"/>
            <w:tcBorders>
              <w:top w:val="single" w:sz="4" w:space="0" w:color="auto"/>
              <w:left w:val="single" w:sz="4" w:space="0" w:color="auto"/>
              <w:bottom w:val="single" w:sz="4" w:space="0" w:color="auto"/>
              <w:right w:val="single" w:sz="4" w:space="0" w:color="auto"/>
            </w:tcBorders>
          </w:tcPr>
          <w:p w14:paraId="5A173326"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The age of the youngest dependent child. </w:t>
            </w:r>
          </w:p>
        </w:tc>
      </w:tr>
      <w:tr w:rsidR="00F8481C" w:rsidRPr="00C559AD" w14:paraId="07C209C4"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1CC3A5B5"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Allowance Type </w:t>
            </w:r>
          </w:p>
        </w:tc>
        <w:tc>
          <w:tcPr>
            <w:tcW w:w="6237" w:type="dxa"/>
            <w:tcBorders>
              <w:top w:val="single" w:sz="4" w:space="0" w:color="auto"/>
              <w:left w:val="single" w:sz="4" w:space="0" w:color="auto"/>
              <w:bottom w:val="single" w:sz="4" w:space="0" w:color="auto"/>
              <w:right w:val="single" w:sz="4" w:space="0" w:color="auto"/>
            </w:tcBorders>
          </w:tcPr>
          <w:p w14:paraId="18B8E1FB"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Allowance type at commencement. </w:t>
            </w:r>
          </w:p>
        </w:tc>
      </w:tr>
      <w:tr w:rsidR="00F8481C" w:rsidRPr="00C559AD" w14:paraId="1A6E3D5C" w14:textId="77777777" w:rsidTr="005073E8">
        <w:trPr>
          <w:trHeight w:val="222"/>
        </w:trPr>
        <w:tc>
          <w:tcPr>
            <w:tcW w:w="3794" w:type="dxa"/>
            <w:tcBorders>
              <w:top w:val="single" w:sz="4" w:space="0" w:color="auto"/>
              <w:left w:val="single" w:sz="4" w:space="0" w:color="auto"/>
              <w:bottom w:val="single" w:sz="4" w:space="0" w:color="auto"/>
              <w:right w:val="single" w:sz="4" w:space="0" w:color="auto"/>
            </w:tcBorders>
          </w:tcPr>
          <w:p w14:paraId="39FD64CB" w14:textId="77777777" w:rsidR="00F8481C" w:rsidRPr="00C559AD" w:rsidRDefault="00F8481C" w:rsidP="005073E8">
            <w:pPr>
              <w:autoSpaceDE w:val="0"/>
              <w:autoSpaceDN w:val="0"/>
              <w:adjustRightInd w:val="0"/>
              <w:spacing w:after="0"/>
              <w:rPr>
                <w:rFonts w:cs="Calibri"/>
                <w:color w:val="000000"/>
                <w:sz w:val="20"/>
                <w:szCs w:val="20"/>
              </w:rPr>
            </w:pPr>
            <w:r w:rsidRPr="00C410D6">
              <w:rPr>
                <w:rFonts w:cs="Calibri"/>
                <w:color w:val="000000"/>
                <w:sz w:val="20"/>
                <w:szCs w:val="20"/>
              </w:rPr>
              <w:t>Cultura</w:t>
            </w:r>
            <w:r>
              <w:rPr>
                <w:rFonts w:cs="Calibri"/>
                <w:color w:val="000000"/>
                <w:sz w:val="20"/>
                <w:szCs w:val="20"/>
              </w:rPr>
              <w:t xml:space="preserve">lly and Linguistically Diverse </w:t>
            </w:r>
            <w:r w:rsidRPr="00C559AD">
              <w:rPr>
                <w:rFonts w:cs="Calibri"/>
                <w:color w:val="000000"/>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14:paraId="49108940"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Country of birth – two groups of medium and high level of disadvantage. </w:t>
            </w:r>
          </w:p>
        </w:tc>
      </w:tr>
      <w:tr w:rsidR="00F8481C" w:rsidRPr="00C559AD" w14:paraId="5D75A5B7"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1234B57C" w14:textId="77777777" w:rsidR="00F8481C" w:rsidRPr="00C410D6" w:rsidRDefault="00F8481C" w:rsidP="005073E8">
            <w:pPr>
              <w:autoSpaceDE w:val="0"/>
              <w:autoSpaceDN w:val="0"/>
              <w:adjustRightInd w:val="0"/>
              <w:spacing w:after="0"/>
              <w:rPr>
                <w:rFonts w:cs="Calibri"/>
                <w:color w:val="000000"/>
                <w:sz w:val="20"/>
                <w:szCs w:val="20"/>
              </w:rPr>
            </w:pPr>
            <w:r w:rsidRPr="00C410D6">
              <w:rPr>
                <w:rFonts w:cs="Calibri"/>
                <w:color w:val="000000"/>
                <w:sz w:val="20"/>
                <w:szCs w:val="20"/>
              </w:rPr>
              <w:t>Community Develop</w:t>
            </w:r>
            <w:r>
              <w:rPr>
                <w:rFonts w:cs="Calibri"/>
                <w:color w:val="000000"/>
                <w:sz w:val="20"/>
                <w:szCs w:val="20"/>
              </w:rPr>
              <w:t>ment Employment Projects program</w:t>
            </w:r>
            <w:r w:rsidRPr="00C410D6">
              <w:rPr>
                <w:rFonts w:cs="Calibri"/>
                <w:color w:val="000000"/>
                <w:sz w:val="20"/>
                <w:szCs w:val="20"/>
              </w:rPr>
              <w:t xml:space="preserve"> Participant </w:t>
            </w:r>
          </w:p>
        </w:tc>
        <w:tc>
          <w:tcPr>
            <w:tcW w:w="6237" w:type="dxa"/>
            <w:tcBorders>
              <w:top w:val="single" w:sz="4" w:space="0" w:color="auto"/>
              <w:left w:val="single" w:sz="4" w:space="0" w:color="auto"/>
              <w:bottom w:val="single" w:sz="4" w:space="0" w:color="auto"/>
              <w:right w:val="single" w:sz="4" w:space="0" w:color="auto"/>
            </w:tcBorders>
          </w:tcPr>
          <w:p w14:paraId="0B231F55" w14:textId="77777777" w:rsidR="00F8481C" w:rsidRPr="00C410D6" w:rsidRDefault="00F8481C" w:rsidP="005073E8">
            <w:pPr>
              <w:autoSpaceDE w:val="0"/>
              <w:autoSpaceDN w:val="0"/>
              <w:adjustRightInd w:val="0"/>
              <w:spacing w:after="0"/>
              <w:rPr>
                <w:rFonts w:cs="Calibri"/>
                <w:color w:val="000000"/>
                <w:sz w:val="20"/>
                <w:szCs w:val="20"/>
              </w:rPr>
            </w:pPr>
            <w:r w:rsidRPr="00C410D6">
              <w:rPr>
                <w:rFonts w:cs="Calibri"/>
                <w:color w:val="000000"/>
                <w:sz w:val="20"/>
                <w:szCs w:val="20"/>
              </w:rPr>
              <w:t>Has participated on a Community Developme</w:t>
            </w:r>
            <w:r>
              <w:rPr>
                <w:rFonts w:cs="Calibri"/>
                <w:color w:val="000000"/>
                <w:sz w:val="20"/>
                <w:szCs w:val="20"/>
              </w:rPr>
              <w:t>nt Employment Projects program</w:t>
            </w:r>
            <w:r w:rsidRPr="00C410D6">
              <w:rPr>
                <w:rFonts w:cs="Calibri"/>
                <w:color w:val="000000"/>
                <w:sz w:val="20"/>
                <w:szCs w:val="20"/>
              </w:rPr>
              <w:t xml:space="preserve"> project while in Stream Services. </w:t>
            </w:r>
          </w:p>
        </w:tc>
      </w:tr>
      <w:tr w:rsidR="00F8481C" w:rsidRPr="00C559AD" w14:paraId="5D58CF79" w14:textId="77777777" w:rsidTr="005073E8">
        <w:trPr>
          <w:trHeight w:val="221"/>
        </w:trPr>
        <w:tc>
          <w:tcPr>
            <w:tcW w:w="3794" w:type="dxa"/>
            <w:tcBorders>
              <w:top w:val="single" w:sz="4" w:space="0" w:color="auto"/>
              <w:left w:val="single" w:sz="4" w:space="0" w:color="auto"/>
              <w:bottom w:val="single" w:sz="4" w:space="0" w:color="auto"/>
              <w:right w:val="single" w:sz="4" w:space="0" w:color="auto"/>
            </w:tcBorders>
          </w:tcPr>
          <w:p w14:paraId="05635346"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Days Available </w:t>
            </w:r>
          </w:p>
        </w:tc>
        <w:tc>
          <w:tcPr>
            <w:tcW w:w="6237" w:type="dxa"/>
            <w:tcBorders>
              <w:top w:val="single" w:sz="4" w:space="0" w:color="auto"/>
              <w:left w:val="single" w:sz="4" w:space="0" w:color="auto"/>
              <w:bottom w:val="single" w:sz="4" w:space="0" w:color="auto"/>
              <w:right w:val="single" w:sz="4" w:space="0" w:color="auto"/>
            </w:tcBorders>
          </w:tcPr>
          <w:p w14:paraId="4E7E4639"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The number of days which the provider has had to place the job seeker. </w:t>
            </w:r>
          </w:p>
        </w:tc>
      </w:tr>
      <w:tr w:rsidR="00F8481C" w:rsidRPr="00C559AD" w14:paraId="1F91E006"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331C3BD6" w14:textId="77777777" w:rsidR="00F8481C" w:rsidRPr="00C410D6" w:rsidRDefault="00F8481C" w:rsidP="005073E8">
            <w:pPr>
              <w:autoSpaceDE w:val="0"/>
              <w:autoSpaceDN w:val="0"/>
              <w:adjustRightInd w:val="0"/>
              <w:spacing w:after="0"/>
              <w:rPr>
                <w:rFonts w:cs="Calibri"/>
                <w:color w:val="000000"/>
                <w:sz w:val="20"/>
                <w:szCs w:val="20"/>
              </w:rPr>
            </w:pPr>
            <w:r w:rsidRPr="00C410D6">
              <w:rPr>
                <w:rFonts w:cs="Calibri"/>
                <w:color w:val="000000"/>
                <w:sz w:val="20"/>
                <w:szCs w:val="20"/>
              </w:rPr>
              <w:t xml:space="preserve">Disability </w:t>
            </w:r>
          </w:p>
        </w:tc>
        <w:tc>
          <w:tcPr>
            <w:tcW w:w="6237" w:type="dxa"/>
            <w:tcBorders>
              <w:top w:val="single" w:sz="4" w:space="0" w:color="auto"/>
              <w:left w:val="single" w:sz="4" w:space="0" w:color="auto"/>
              <w:bottom w:val="single" w:sz="4" w:space="0" w:color="auto"/>
              <w:right w:val="single" w:sz="4" w:space="0" w:color="auto"/>
            </w:tcBorders>
          </w:tcPr>
          <w:p w14:paraId="5D304347" w14:textId="77777777" w:rsidR="00F8481C" w:rsidRPr="00C410D6" w:rsidRDefault="00F8481C" w:rsidP="005073E8">
            <w:pPr>
              <w:autoSpaceDE w:val="0"/>
              <w:autoSpaceDN w:val="0"/>
              <w:adjustRightInd w:val="0"/>
              <w:spacing w:after="0"/>
              <w:rPr>
                <w:rFonts w:cs="Calibri"/>
                <w:color w:val="000000"/>
                <w:sz w:val="20"/>
                <w:szCs w:val="20"/>
              </w:rPr>
            </w:pPr>
            <w:r w:rsidRPr="00C410D6">
              <w:rPr>
                <w:rFonts w:cs="Calibri"/>
                <w:color w:val="000000"/>
                <w:sz w:val="20"/>
                <w:szCs w:val="20"/>
              </w:rPr>
              <w:t>Identification of any disability through the Job Seeker Classification Instrument</w:t>
            </w:r>
            <w:r>
              <w:rPr>
                <w:rFonts w:cs="Calibri"/>
                <w:color w:val="000000"/>
                <w:sz w:val="20"/>
                <w:szCs w:val="20"/>
              </w:rPr>
              <w:t xml:space="preserve">. </w:t>
            </w:r>
          </w:p>
        </w:tc>
      </w:tr>
      <w:tr w:rsidR="00F8481C" w:rsidRPr="00C559AD" w14:paraId="30FA9196"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3A4C08DE"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Drought Force </w:t>
            </w:r>
          </w:p>
        </w:tc>
        <w:tc>
          <w:tcPr>
            <w:tcW w:w="6237" w:type="dxa"/>
            <w:tcBorders>
              <w:top w:val="single" w:sz="4" w:space="0" w:color="auto"/>
              <w:left w:val="single" w:sz="4" w:space="0" w:color="auto"/>
              <w:bottom w:val="single" w:sz="4" w:space="0" w:color="auto"/>
              <w:right w:val="single" w:sz="4" w:space="0" w:color="auto"/>
            </w:tcBorders>
          </w:tcPr>
          <w:p w14:paraId="11FCF974"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Has participated on a Drought Force project while in Stream Services. </w:t>
            </w:r>
          </w:p>
        </w:tc>
      </w:tr>
      <w:tr w:rsidR="00F8481C" w:rsidRPr="00C559AD" w14:paraId="6250838B"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17AFF50C"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Earn or Learn </w:t>
            </w:r>
          </w:p>
        </w:tc>
        <w:tc>
          <w:tcPr>
            <w:tcW w:w="6237" w:type="dxa"/>
            <w:tcBorders>
              <w:top w:val="single" w:sz="4" w:space="0" w:color="auto"/>
              <w:left w:val="single" w:sz="4" w:space="0" w:color="auto"/>
              <w:bottom w:val="single" w:sz="4" w:space="0" w:color="auto"/>
              <w:right w:val="single" w:sz="4" w:space="0" w:color="auto"/>
            </w:tcBorders>
          </w:tcPr>
          <w:p w14:paraId="545880C2"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Identified as ‘Earn or Learn’ job seekers. </w:t>
            </w:r>
          </w:p>
        </w:tc>
      </w:tr>
      <w:tr w:rsidR="00F8481C" w:rsidRPr="00C559AD" w14:paraId="278AC00B"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45D34902"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Education Level </w:t>
            </w:r>
          </w:p>
        </w:tc>
        <w:tc>
          <w:tcPr>
            <w:tcW w:w="6237" w:type="dxa"/>
            <w:tcBorders>
              <w:top w:val="single" w:sz="4" w:space="0" w:color="auto"/>
              <w:left w:val="single" w:sz="4" w:space="0" w:color="auto"/>
              <w:bottom w:val="single" w:sz="4" w:space="0" w:color="auto"/>
              <w:right w:val="single" w:sz="4" w:space="0" w:color="auto"/>
            </w:tcBorders>
          </w:tcPr>
          <w:p w14:paraId="55A49F93"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Highest education level (from current registration record). </w:t>
            </w:r>
          </w:p>
        </w:tc>
      </w:tr>
      <w:tr w:rsidR="00F8481C" w:rsidRPr="00C559AD" w14:paraId="7AE51C09"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10F62038"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Ex Offender </w:t>
            </w:r>
          </w:p>
        </w:tc>
        <w:tc>
          <w:tcPr>
            <w:tcW w:w="6237" w:type="dxa"/>
            <w:tcBorders>
              <w:top w:val="single" w:sz="4" w:space="0" w:color="auto"/>
              <w:left w:val="single" w:sz="4" w:space="0" w:color="auto"/>
              <w:bottom w:val="single" w:sz="4" w:space="0" w:color="auto"/>
              <w:right w:val="single" w:sz="4" w:space="0" w:color="auto"/>
            </w:tcBorders>
          </w:tcPr>
          <w:p w14:paraId="4D3EBCFD"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Identified as having had a custodial sentence. </w:t>
            </w:r>
          </w:p>
        </w:tc>
      </w:tr>
      <w:tr w:rsidR="00F8481C" w:rsidRPr="00C559AD" w14:paraId="491DAB58" w14:textId="77777777" w:rsidTr="005073E8">
        <w:trPr>
          <w:trHeight w:val="222"/>
        </w:trPr>
        <w:tc>
          <w:tcPr>
            <w:tcW w:w="3794" w:type="dxa"/>
            <w:tcBorders>
              <w:top w:val="single" w:sz="4" w:space="0" w:color="auto"/>
              <w:left w:val="single" w:sz="4" w:space="0" w:color="auto"/>
              <w:bottom w:val="single" w:sz="4" w:space="0" w:color="auto"/>
              <w:right w:val="single" w:sz="4" w:space="0" w:color="auto"/>
            </w:tcBorders>
          </w:tcPr>
          <w:p w14:paraId="42717536"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Flow </w:t>
            </w:r>
          </w:p>
        </w:tc>
        <w:tc>
          <w:tcPr>
            <w:tcW w:w="6237" w:type="dxa"/>
            <w:tcBorders>
              <w:top w:val="single" w:sz="4" w:space="0" w:color="auto"/>
              <w:left w:val="single" w:sz="4" w:space="0" w:color="auto"/>
              <w:bottom w:val="single" w:sz="4" w:space="0" w:color="auto"/>
              <w:right w:val="single" w:sz="4" w:space="0" w:color="auto"/>
            </w:tcBorders>
          </w:tcPr>
          <w:p w14:paraId="15AA80D8"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Identified as being an active job seeker at the start of the</w:t>
            </w:r>
            <w:r>
              <w:rPr>
                <w:rFonts w:cs="Calibri"/>
                <w:color w:val="000000"/>
                <w:sz w:val="20"/>
                <w:szCs w:val="20"/>
              </w:rPr>
              <w:t xml:space="preserve"> Job Services Australia </w:t>
            </w:r>
            <w:r w:rsidRPr="00EB4BA7">
              <w:rPr>
                <w:rFonts w:cs="Calibri"/>
                <w:color w:val="000000"/>
                <w:sz w:val="20"/>
                <w:szCs w:val="20"/>
              </w:rPr>
              <w:t xml:space="preserve">contract period. </w:t>
            </w:r>
          </w:p>
        </w:tc>
      </w:tr>
      <w:tr w:rsidR="00F8481C" w:rsidRPr="00C559AD" w14:paraId="5E4A5A10"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124336BF"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Gender </w:t>
            </w:r>
          </w:p>
        </w:tc>
        <w:tc>
          <w:tcPr>
            <w:tcW w:w="6237" w:type="dxa"/>
            <w:tcBorders>
              <w:top w:val="single" w:sz="4" w:space="0" w:color="auto"/>
              <w:left w:val="single" w:sz="4" w:space="0" w:color="auto"/>
              <w:bottom w:val="single" w:sz="4" w:space="0" w:color="auto"/>
              <w:right w:val="single" w:sz="4" w:space="0" w:color="auto"/>
            </w:tcBorders>
          </w:tcPr>
          <w:p w14:paraId="379806D1"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 xml:space="preserve">Gender. </w:t>
            </w:r>
          </w:p>
        </w:tc>
      </w:tr>
      <w:tr w:rsidR="00F8481C" w:rsidRPr="00C559AD" w14:paraId="7D7F5D3C"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656E055B"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Indigenous </w:t>
            </w:r>
          </w:p>
        </w:tc>
        <w:tc>
          <w:tcPr>
            <w:tcW w:w="6237" w:type="dxa"/>
            <w:tcBorders>
              <w:top w:val="single" w:sz="4" w:space="0" w:color="auto"/>
              <w:left w:val="single" w:sz="4" w:space="0" w:color="auto"/>
              <w:bottom w:val="single" w:sz="4" w:space="0" w:color="auto"/>
              <w:right w:val="single" w:sz="4" w:space="0" w:color="auto"/>
            </w:tcBorders>
          </w:tcPr>
          <w:p w14:paraId="48D06354"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Job seeker is Indigenous. </w:t>
            </w:r>
          </w:p>
        </w:tc>
      </w:tr>
      <w:tr w:rsidR="00F8481C" w:rsidRPr="00C559AD" w14:paraId="092EECE1" w14:textId="77777777" w:rsidTr="005073E8">
        <w:trPr>
          <w:trHeight w:val="220"/>
        </w:trPr>
        <w:tc>
          <w:tcPr>
            <w:tcW w:w="3794" w:type="dxa"/>
            <w:tcBorders>
              <w:top w:val="single" w:sz="4" w:space="0" w:color="auto"/>
              <w:left w:val="single" w:sz="4" w:space="0" w:color="auto"/>
              <w:bottom w:val="single" w:sz="4" w:space="0" w:color="auto"/>
              <w:right w:val="single" w:sz="4" w:space="0" w:color="auto"/>
            </w:tcBorders>
          </w:tcPr>
          <w:p w14:paraId="1A28D131"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Indigenous Metro </w:t>
            </w:r>
          </w:p>
        </w:tc>
        <w:tc>
          <w:tcPr>
            <w:tcW w:w="6237" w:type="dxa"/>
            <w:tcBorders>
              <w:top w:val="single" w:sz="4" w:space="0" w:color="auto"/>
              <w:left w:val="single" w:sz="4" w:space="0" w:color="auto"/>
              <w:bottom w:val="single" w:sz="4" w:space="0" w:color="auto"/>
              <w:right w:val="single" w:sz="4" w:space="0" w:color="auto"/>
            </w:tcBorders>
          </w:tcPr>
          <w:p w14:paraId="2AEE0B29"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Job seeker is Indigenous and is being assisted by a Metropolitan located site. </w:t>
            </w:r>
          </w:p>
        </w:tc>
      </w:tr>
      <w:tr w:rsidR="00F8481C" w:rsidRPr="00C559AD" w14:paraId="463492A6" w14:textId="77777777" w:rsidTr="005073E8">
        <w:trPr>
          <w:trHeight w:val="220"/>
        </w:trPr>
        <w:tc>
          <w:tcPr>
            <w:tcW w:w="3794" w:type="dxa"/>
            <w:tcBorders>
              <w:top w:val="single" w:sz="4" w:space="0" w:color="auto"/>
              <w:left w:val="single" w:sz="4" w:space="0" w:color="auto"/>
              <w:bottom w:val="single" w:sz="4" w:space="0" w:color="auto"/>
              <w:right w:val="single" w:sz="4" w:space="0" w:color="auto"/>
            </w:tcBorders>
          </w:tcPr>
          <w:p w14:paraId="68422411"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Long Term Income Support </w:t>
            </w:r>
          </w:p>
        </w:tc>
        <w:tc>
          <w:tcPr>
            <w:tcW w:w="6237" w:type="dxa"/>
            <w:tcBorders>
              <w:top w:val="single" w:sz="4" w:space="0" w:color="auto"/>
              <w:left w:val="single" w:sz="4" w:space="0" w:color="auto"/>
              <w:bottom w:val="single" w:sz="4" w:space="0" w:color="auto"/>
              <w:right w:val="single" w:sz="4" w:space="0" w:color="auto"/>
            </w:tcBorders>
          </w:tcPr>
          <w:p w14:paraId="4C6E8015"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Proportion of the preceding 10 years the job seeker was on income support (or from the age of 15 if they are under 25). </w:t>
            </w:r>
          </w:p>
        </w:tc>
      </w:tr>
      <w:tr w:rsidR="00F8481C" w:rsidRPr="00C559AD" w14:paraId="3501ACDA"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69EACF28"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Mature Age Volunteer </w:t>
            </w:r>
          </w:p>
        </w:tc>
        <w:tc>
          <w:tcPr>
            <w:tcW w:w="6237" w:type="dxa"/>
            <w:tcBorders>
              <w:top w:val="single" w:sz="4" w:space="0" w:color="auto"/>
              <w:left w:val="single" w:sz="4" w:space="0" w:color="auto"/>
              <w:bottom w:val="single" w:sz="4" w:space="0" w:color="auto"/>
              <w:right w:val="single" w:sz="4" w:space="0" w:color="auto"/>
            </w:tcBorders>
          </w:tcPr>
          <w:p w14:paraId="701A1E1A"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Identified as being aged 55+ and undertaking voluntary work. </w:t>
            </w:r>
          </w:p>
        </w:tc>
      </w:tr>
      <w:tr w:rsidR="00F8481C" w:rsidRPr="00C559AD" w14:paraId="1C9D2282"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1C510622"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Pre Release Prisoner </w:t>
            </w:r>
          </w:p>
        </w:tc>
        <w:tc>
          <w:tcPr>
            <w:tcW w:w="6237" w:type="dxa"/>
            <w:tcBorders>
              <w:top w:val="single" w:sz="4" w:space="0" w:color="auto"/>
              <w:left w:val="single" w:sz="4" w:space="0" w:color="auto"/>
              <w:bottom w:val="single" w:sz="4" w:space="0" w:color="auto"/>
              <w:right w:val="single" w:sz="4" w:space="0" w:color="auto"/>
            </w:tcBorders>
          </w:tcPr>
          <w:p w14:paraId="6B64FF25"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Has participated in a pre-release prisoner project. </w:t>
            </w:r>
          </w:p>
        </w:tc>
      </w:tr>
      <w:tr w:rsidR="00F8481C" w:rsidRPr="00C559AD" w14:paraId="37AAB5DE" w14:textId="77777777" w:rsidTr="005073E8">
        <w:trPr>
          <w:trHeight w:val="221"/>
        </w:trPr>
        <w:tc>
          <w:tcPr>
            <w:tcW w:w="3794" w:type="dxa"/>
            <w:tcBorders>
              <w:top w:val="single" w:sz="4" w:space="0" w:color="auto"/>
              <w:left w:val="single" w:sz="4" w:space="0" w:color="auto"/>
              <w:bottom w:val="single" w:sz="4" w:space="0" w:color="auto"/>
              <w:right w:val="single" w:sz="4" w:space="0" w:color="auto"/>
            </w:tcBorders>
          </w:tcPr>
          <w:p w14:paraId="534196A3"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Transient </w:t>
            </w:r>
          </w:p>
        </w:tc>
        <w:tc>
          <w:tcPr>
            <w:tcW w:w="6237" w:type="dxa"/>
            <w:tcBorders>
              <w:top w:val="single" w:sz="4" w:space="0" w:color="auto"/>
              <w:left w:val="single" w:sz="4" w:space="0" w:color="auto"/>
              <w:bottom w:val="single" w:sz="4" w:space="0" w:color="auto"/>
              <w:right w:val="single" w:sz="4" w:space="0" w:color="auto"/>
            </w:tcBorders>
          </w:tcPr>
          <w:p w14:paraId="163CDB03"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Number of moves to different postcodes and different</w:t>
            </w:r>
            <w:r>
              <w:rPr>
                <w:rFonts w:cs="Calibri"/>
                <w:color w:val="000000"/>
                <w:sz w:val="20"/>
                <w:szCs w:val="20"/>
              </w:rPr>
              <w:t xml:space="preserve"> Employment Service Areas</w:t>
            </w:r>
            <w:r w:rsidRPr="00EB4BA7">
              <w:rPr>
                <w:rFonts w:cs="Calibri"/>
                <w:color w:val="000000"/>
                <w:sz w:val="20"/>
                <w:szCs w:val="20"/>
              </w:rPr>
              <w:t xml:space="preserve"> during</w:t>
            </w:r>
            <w:r w:rsidRPr="00C559AD">
              <w:rPr>
                <w:rFonts w:cs="Calibri"/>
                <w:color w:val="000000"/>
                <w:sz w:val="20"/>
                <w:szCs w:val="20"/>
              </w:rPr>
              <w:t xml:space="preserve"> period of assistance. </w:t>
            </w:r>
          </w:p>
        </w:tc>
      </w:tr>
      <w:tr w:rsidR="00F8481C" w:rsidRPr="00C559AD" w14:paraId="4A10503E"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2B0FCCD5"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Unemployment Duration </w:t>
            </w:r>
          </w:p>
        </w:tc>
        <w:tc>
          <w:tcPr>
            <w:tcW w:w="6237" w:type="dxa"/>
            <w:tcBorders>
              <w:top w:val="single" w:sz="4" w:space="0" w:color="auto"/>
              <w:left w:val="single" w:sz="4" w:space="0" w:color="auto"/>
              <w:bottom w:val="single" w:sz="4" w:space="0" w:color="auto"/>
              <w:right w:val="single" w:sz="4" w:space="0" w:color="auto"/>
            </w:tcBorders>
          </w:tcPr>
          <w:p w14:paraId="1831D049"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Unemployment duration at commencement. </w:t>
            </w:r>
          </w:p>
        </w:tc>
      </w:tr>
      <w:tr w:rsidR="00F8481C" w:rsidRPr="00C559AD" w14:paraId="1BAC942D" w14:textId="77777777" w:rsidTr="005073E8">
        <w:trPr>
          <w:trHeight w:val="99"/>
        </w:trPr>
        <w:tc>
          <w:tcPr>
            <w:tcW w:w="3794" w:type="dxa"/>
            <w:tcBorders>
              <w:top w:val="single" w:sz="4" w:space="0" w:color="auto"/>
              <w:left w:val="single" w:sz="4" w:space="0" w:color="auto"/>
              <w:bottom w:val="single" w:sz="4" w:space="0" w:color="auto"/>
              <w:right w:val="single" w:sz="4" w:space="0" w:color="auto"/>
            </w:tcBorders>
          </w:tcPr>
          <w:p w14:paraId="6EE33E8D"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Unstable Accommodation </w:t>
            </w:r>
          </w:p>
        </w:tc>
        <w:tc>
          <w:tcPr>
            <w:tcW w:w="6237" w:type="dxa"/>
            <w:tcBorders>
              <w:top w:val="single" w:sz="4" w:space="0" w:color="auto"/>
              <w:left w:val="single" w:sz="4" w:space="0" w:color="auto"/>
              <w:bottom w:val="single" w:sz="4" w:space="0" w:color="auto"/>
              <w:right w:val="single" w:sz="4" w:space="0" w:color="auto"/>
            </w:tcBorders>
          </w:tcPr>
          <w:p w14:paraId="1EE393DF"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Identified as having unstable accommodation through the</w:t>
            </w:r>
            <w:r w:rsidRPr="002416E2">
              <w:rPr>
                <w:rFonts w:cs="Calibri"/>
                <w:color w:val="000000"/>
                <w:sz w:val="20"/>
                <w:szCs w:val="20"/>
              </w:rPr>
              <w:t xml:space="preserve"> Job Seeker Classification </w:t>
            </w:r>
            <w:r w:rsidRPr="00EB4BA7">
              <w:rPr>
                <w:rFonts w:cs="Calibri"/>
                <w:color w:val="000000"/>
                <w:sz w:val="20"/>
                <w:szCs w:val="20"/>
              </w:rPr>
              <w:t>Instrument</w:t>
            </w:r>
            <w:r>
              <w:rPr>
                <w:rFonts w:cs="Calibri"/>
                <w:color w:val="000000"/>
                <w:sz w:val="20"/>
                <w:szCs w:val="20"/>
              </w:rPr>
              <w:t xml:space="preserve">. </w:t>
            </w:r>
          </w:p>
        </w:tc>
      </w:tr>
      <w:tr w:rsidR="00F8481C" w:rsidRPr="00C559AD" w14:paraId="1149E6C9" w14:textId="77777777" w:rsidTr="005073E8">
        <w:trPr>
          <w:trHeight w:val="80"/>
        </w:trPr>
        <w:tc>
          <w:tcPr>
            <w:tcW w:w="3794" w:type="dxa"/>
            <w:tcBorders>
              <w:top w:val="single" w:sz="4" w:space="0" w:color="auto"/>
              <w:left w:val="single" w:sz="4" w:space="0" w:color="auto"/>
              <w:bottom w:val="single" w:sz="4" w:space="0" w:color="auto"/>
              <w:right w:val="single" w:sz="4" w:space="0" w:color="auto"/>
            </w:tcBorders>
          </w:tcPr>
          <w:p w14:paraId="46BD44BC"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Work Capacity Hours </w:t>
            </w:r>
          </w:p>
        </w:tc>
        <w:tc>
          <w:tcPr>
            <w:tcW w:w="6237" w:type="dxa"/>
            <w:tcBorders>
              <w:top w:val="single" w:sz="4" w:space="0" w:color="auto"/>
              <w:left w:val="single" w:sz="4" w:space="0" w:color="auto"/>
              <w:bottom w:val="single" w:sz="4" w:space="0" w:color="auto"/>
              <w:right w:val="single" w:sz="4" w:space="0" w:color="auto"/>
            </w:tcBorders>
          </w:tcPr>
          <w:p w14:paraId="6602B796"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The number of hours per week available for work as identified by the </w:t>
            </w:r>
            <w:r w:rsidRPr="002416E2">
              <w:rPr>
                <w:rFonts w:cs="Calibri"/>
                <w:color w:val="000000"/>
                <w:sz w:val="20"/>
                <w:szCs w:val="20"/>
              </w:rPr>
              <w:t xml:space="preserve">Job Capacity </w:t>
            </w:r>
            <w:r>
              <w:rPr>
                <w:rFonts w:cs="Calibri"/>
                <w:color w:val="000000"/>
                <w:sz w:val="20"/>
                <w:szCs w:val="20"/>
              </w:rPr>
              <w:t>Assessment</w:t>
            </w:r>
            <w:r w:rsidRPr="00EB4BA7">
              <w:rPr>
                <w:rFonts w:cs="Calibri"/>
                <w:color w:val="000000"/>
                <w:sz w:val="20"/>
                <w:szCs w:val="20"/>
              </w:rPr>
              <w:t>.</w:t>
            </w:r>
            <w:r w:rsidRPr="00C559AD">
              <w:rPr>
                <w:rFonts w:cs="Calibri"/>
                <w:color w:val="000000"/>
                <w:sz w:val="20"/>
                <w:szCs w:val="20"/>
              </w:rPr>
              <w:t xml:space="preserve"> </w:t>
            </w:r>
          </w:p>
        </w:tc>
      </w:tr>
    </w:tbl>
    <w:p w14:paraId="5B277912" w14:textId="77777777" w:rsidR="00F8481C" w:rsidRDefault="00F8481C" w:rsidP="00F8481C">
      <w:pPr>
        <w:spacing w:after="0"/>
      </w:pPr>
    </w:p>
    <w:p w14:paraId="145C8F65" w14:textId="77777777" w:rsidR="00F8481C" w:rsidRDefault="00F8481C" w:rsidP="00F8481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237"/>
      </w:tblGrid>
      <w:tr w:rsidR="00F8481C" w:rsidRPr="00C559AD" w14:paraId="18C1206A" w14:textId="77777777" w:rsidTr="005073E8">
        <w:trPr>
          <w:trHeight w:val="110"/>
        </w:trPr>
        <w:tc>
          <w:tcPr>
            <w:tcW w:w="3794" w:type="dxa"/>
          </w:tcPr>
          <w:p w14:paraId="3DF5BFBA" w14:textId="77777777" w:rsidR="00F8481C" w:rsidRPr="00646DC9" w:rsidRDefault="00F8481C" w:rsidP="005073E8">
            <w:pPr>
              <w:autoSpaceDE w:val="0"/>
              <w:autoSpaceDN w:val="0"/>
              <w:adjustRightInd w:val="0"/>
              <w:spacing w:after="0"/>
              <w:rPr>
                <w:rFonts w:cs="Calibri"/>
                <w:color w:val="31849B" w:themeColor="accent5" w:themeShade="BF"/>
                <w:szCs w:val="22"/>
              </w:rPr>
            </w:pPr>
            <w:r w:rsidRPr="00646DC9">
              <w:rPr>
                <w:b/>
                <w:bCs/>
                <w:color w:val="31849B" w:themeColor="accent5" w:themeShade="BF"/>
                <w:szCs w:val="22"/>
              </w:rPr>
              <w:t xml:space="preserve">Labour Market Characteristics </w:t>
            </w:r>
          </w:p>
        </w:tc>
        <w:tc>
          <w:tcPr>
            <w:tcW w:w="6237" w:type="dxa"/>
          </w:tcPr>
          <w:p w14:paraId="17C91897" w14:textId="77777777" w:rsidR="00F8481C" w:rsidRPr="00646DC9" w:rsidRDefault="00F8481C" w:rsidP="005073E8">
            <w:pPr>
              <w:autoSpaceDE w:val="0"/>
              <w:autoSpaceDN w:val="0"/>
              <w:adjustRightInd w:val="0"/>
              <w:spacing w:after="0"/>
              <w:rPr>
                <w:rFonts w:cs="Calibri"/>
                <w:color w:val="31849B" w:themeColor="accent5" w:themeShade="BF"/>
                <w:szCs w:val="22"/>
              </w:rPr>
            </w:pPr>
            <w:r w:rsidRPr="00646DC9">
              <w:rPr>
                <w:rFonts w:cs="Calibri"/>
                <w:b/>
                <w:bCs/>
                <w:color w:val="31849B" w:themeColor="accent5" w:themeShade="BF"/>
                <w:szCs w:val="22"/>
              </w:rPr>
              <w:t xml:space="preserve">Description </w:t>
            </w:r>
          </w:p>
        </w:tc>
      </w:tr>
      <w:tr w:rsidR="00F8481C" w:rsidRPr="00C559AD" w14:paraId="3D87D79A" w14:textId="77777777" w:rsidTr="005073E8">
        <w:trPr>
          <w:trHeight w:val="220"/>
        </w:trPr>
        <w:tc>
          <w:tcPr>
            <w:tcW w:w="3794" w:type="dxa"/>
          </w:tcPr>
          <w:p w14:paraId="440547E4"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Employment Growth </w:t>
            </w:r>
          </w:p>
        </w:tc>
        <w:tc>
          <w:tcPr>
            <w:tcW w:w="6237" w:type="dxa"/>
          </w:tcPr>
          <w:p w14:paraId="19A3D750"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The employment growth rate of the job seeker’s A</w:t>
            </w:r>
            <w:r>
              <w:rPr>
                <w:rFonts w:cs="Calibri"/>
                <w:color w:val="000000"/>
                <w:sz w:val="20"/>
                <w:szCs w:val="20"/>
              </w:rPr>
              <w:t>ustralian Bureau of Statistics</w:t>
            </w:r>
            <w:r w:rsidRPr="00EB4BA7">
              <w:rPr>
                <w:rFonts w:cs="Calibri"/>
                <w:color w:val="000000"/>
                <w:sz w:val="20"/>
                <w:szCs w:val="20"/>
              </w:rPr>
              <w:t xml:space="preserve"> Statistical Region. </w:t>
            </w:r>
          </w:p>
        </w:tc>
      </w:tr>
      <w:tr w:rsidR="00F8481C" w:rsidRPr="00C559AD" w14:paraId="6E9475F0" w14:textId="77777777" w:rsidTr="005073E8">
        <w:trPr>
          <w:trHeight w:val="222"/>
        </w:trPr>
        <w:tc>
          <w:tcPr>
            <w:tcW w:w="3794" w:type="dxa"/>
          </w:tcPr>
          <w:p w14:paraId="1F6709FC"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Industry Share </w:t>
            </w:r>
          </w:p>
        </w:tc>
        <w:tc>
          <w:tcPr>
            <w:tcW w:w="6237" w:type="dxa"/>
          </w:tcPr>
          <w:p w14:paraId="4EF6D69F"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Industry share of employment by 19 Industry Types based on A</w:t>
            </w:r>
            <w:r>
              <w:rPr>
                <w:rFonts w:cs="Calibri"/>
                <w:color w:val="000000"/>
                <w:sz w:val="20"/>
                <w:szCs w:val="20"/>
              </w:rPr>
              <w:t xml:space="preserve">ustralian Bureau of Statistics </w:t>
            </w:r>
            <w:r w:rsidRPr="00EB4BA7">
              <w:rPr>
                <w:rFonts w:cs="Calibri"/>
                <w:color w:val="000000"/>
                <w:sz w:val="20"/>
                <w:szCs w:val="20"/>
              </w:rPr>
              <w:t xml:space="preserve">Statistical Regions. </w:t>
            </w:r>
          </w:p>
        </w:tc>
      </w:tr>
      <w:tr w:rsidR="00F8481C" w:rsidRPr="00C559AD" w14:paraId="2234E198" w14:textId="77777777" w:rsidTr="005073E8">
        <w:trPr>
          <w:trHeight w:val="344"/>
        </w:trPr>
        <w:tc>
          <w:tcPr>
            <w:tcW w:w="3794" w:type="dxa"/>
          </w:tcPr>
          <w:p w14:paraId="507D72C5"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 xml:space="preserve">Jobs Available </w:t>
            </w:r>
          </w:p>
        </w:tc>
        <w:tc>
          <w:tcPr>
            <w:tcW w:w="6237" w:type="dxa"/>
          </w:tcPr>
          <w:p w14:paraId="77A8CFB2"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 xml:space="preserve">The monthly average number of jobs available to be filled in an </w:t>
            </w:r>
            <w:r>
              <w:rPr>
                <w:rFonts w:cs="Calibri"/>
                <w:color w:val="000000"/>
                <w:sz w:val="20"/>
                <w:szCs w:val="20"/>
              </w:rPr>
              <w:t>Employment Service Area</w:t>
            </w:r>
            <w:r w:rsidRPr="00EB4BA7">
              <w:rPr>
                <w:rFonts w:cs="Calibri"/>
                <w:color w:val="000000"/>
                <w:sz w:val="20"/>
                <w:szCs w:val="20"/>
              </w:rPr>
              <w:t xml:space="preserve"> while the job seeker was in assistance. It is calculated by dividing the number of jobs on </w:t>
            </w:r>
            <w:r>
              <w:rPr>
                <w:rFonts w:cs="Calibri"/>
                <w:color w:val="000000"/>
                <w:sz w:val="20"/>
                <w:szCs w:val="20"/>
              </w:rPr>
              <w:t>Australian Job Search</w:t>
            </w:r>
            <w:r w:rsidRPr="00EB4BA7">
              <w:rPr>
                <w:rFonts w:cs="Calibri"/>
                <w:color w:val="000000"/>
                <w:sz w:val="20"/>
                <w:szCs w:val="20"/>
              </w:rPr>
              <w:t xml:space="preserve"> by the number of active </w:t>
            </w:r>
            <w:r>
              <w:rPr>
                <w:rFonts w:cs="Calibri"/>
                <w:color w:val="000000"/>
                <w:sz w:val="20"/>
                <w:szCs w:val="20"/>
              </w:rPr>
              <w:t>Job Services Australia</w:t>
            </w:r>
            <w:r w:rsidRPr="00EB4BA7">
              <w:rPr>
                <w:rFonts w:cs="Calibri"/>
                <w:color w:val="000000"/>
                <w:sz w:val="20"/>
                <w:szCs w:val="20"/>
              </w:rPr>
              <w:t xml:space="preserve"> job seekers. </w:t>
            </w:r>
          </w:p>
        </w:tc>
      </w:tr>
      <w:tr w:rsidR="00F8481C" w:rsidRPr="00C559AD" w14:paraId="647D1361" w14:textId="77777777" w:rsidTr="005073E8">
        <w:trPr>
          <w:trHeight w:val="99"/>
        </w:trPr>
        <w:tc>
          <w:tcPr>
            <w:tcW w:w="3794" w:type="dxa"/>
          </w:tcPr>
          <w:p w14:paraId="61BF367E"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 xml:space="preserve">Metro </w:t>
            </w:r>
            <w:r>
              <w:rPr>
                <w:rFonts w:cs="Calibri"/>
                <w:color w:val="000000"/>
                <w:sz w:val="20"/>
                <w:szCs w:val="20"/>
              </w:rPr>
              <w:t xml:space="preserve">Employment Service Area </w:t>
            </w:r>
            <w:r w:rsidRPr="00EB4BA7">
              <w:rPr>
                <w:rFonts w:cs="Calibri"/>
                <w:color w:val="000000"/>
                <w:sz w:val="20"/>
                <w:szCs w:val="20"/>
              </w:rPr>
              <w:t xml:space="preserve"> </w:t>
            </w:r>
          </w:p>
        </w:tc>
        <w:tc>
          <w:tcPr>
            <w:tcW w:w="6237" w:type="dxa"/>
          </w:tcPr>
          <w:p w14:paraId="7F9A7B67"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 xml:space="preserve">Job seeker is being assisted by a Metropolitan located site. </w:t>
            </w:r>
          </w:p>
        </w:tc>
      </w:tr>
      <w:tr w:rsidR="00F8481C" w:rsidRPr="00C559AD" w14:paraId="3D27782F" w14:textId="77777777" w:rsidTr="005073E8">
        <w:trPr>
          <w:trHeight w:val="221"/>
        </w:trPr>
        <w:tc>
          <w:tcPr>
            <w:tcW w:w="3794" w:type="dxa"/>
          </w:tcPr>
          <w:p w14:paraId="2D5D5EE9" w14:textId="77777777" w:rsidR="00F8481C" w:rsidRPr="00EB4BA7" w:rsidRDefault="00F8481C" w:rsidP="005073E8">
            <w:pPr>
              <w:autoSpaceDE w:val="0"/>
              <w:autoSpaceDN w:val="0"/>
              <w:adjustRightInd w:val="0"/>
              <w:spacing w:after="0"/>
              <w:rPr>
                <w:rFonts w:cs="Calibri"/>
                <w:color w:val="000000"/>
                <w:sz w:val="20"/>
                <w:szCs w:val="20"/>
              </w:rPr>
            </w:pPr>
            <w:r>
              <w:rPr>
                <w:rFonts w:cs="Calibri"/>
                <w:color w:val="000000"/>
                <w:sz w:val="20"/>
                <w:szCs w:val="20"/>
              </w:rPr>
              <w:t xml:space="preserve">Statistical Local Area </w:t>
            </w:r>
            <w:r w:rsidRPr="00EB4BA7">
              <w:rPr>
                <w:rFonts w:cs="Calibri"/>
                <w:color w:val="000000"/>
                <w:sz w:val="20"/>
                <w:szCs w:val="20"/>
              </w:rPr>
              <w:t xml:space="preserve">Size </w:t>
            </w:r>
          </w:p>
        </w:tc>
        <w:tc>
          <w:tcPr>
            <w:tcW w:w="6237" w:type="dxa"/>
          </w:tcPr>
          <w:p w14:paraId="720ECEFB"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Job seeker lives in a Statistical Local Area which has an area of 2,000 or more square k</w:t>
            </w:r>
            <w:r>
              <w:rPr>
                <w:rFonts w:cs="Calibri"/>
                <w:color w:val="000000"/>
                <w:sz w:val="20"/>
                <w:szCs w:val="20"/>
              </w:rPr>
              <w:t>ilometres.</w:t>
            </w:r>
            <w:r w:rsidRPr="00EB4BA7">
              <w:rPr>
                <w:rFonts w:cs="Calibri"/>
                <w:color w:val="000000"/>
                <w:sz w:val="20"/>
                <w:szCs w:val="20"/>
              </w:rPr>
              <w:t xml:space="preserve"> </w:t>
            </w:r>
          </w:p>
        </w:tc>
      </w:tr>
      <w:tr w:rsidR="00F8481C" w:rsidRPr="00C559AD" w14:paraId="5A0B4B66" w14:textId="77777777" w:rsidTr="005073E8">
        <w:trPr>
          <w:trHeight w:val="217"/>
        </w:trPr>
        <w:tc>
          <w:tcPr>
            <w:tcW w:w="3794" w:type="dxa"/>
          </w:tcPr>
          <w:p w14:paraId="2E3A6670" w14:textId="77777777" w:rsidR="00F8481C" w:rsidRPr="00C559AD" w:rsidRDefault="00F8481C" w:rsidP="005073E8">
            <w:pPr>
              <w:autoSpaceDE w:val="0"/>
              <w:autoSpaceDN w:val="0"/>
              <w:adjustRightInd w:val="0"/>
              <w:spacing w:after="0"/>
              <w:rPr>
                <w:rFonts w:cs="Calibri"/>
                <w:color w:val="000000"/>
                <w:sz w:val="20"/>
                <w:szCs w:val="20"/>
              </w:rPr>
            </w:pPr>
            <w:r w:rsidRPr="00C559AD">
              <w:rPr>
                <w:rFonts w:cs="Calibri"/>
                <w:color w:val="000000"/>
                <w:sz w:val="20"/>
                <w:szCs w:val="20"/>
              </w:rPr>
              <w:t xml:space="preserve">Unemployment Rate </w:t>
            </w:r>
          </w:p>
        </w:tc>
        <w:tc>
          <w:tcPr>
            <w:tcW w:w="6237" w:type="dxa"/>
          </w:tcPr>
          <w:p w14:paraId="1178957B" w14:textId="77777777" w:rsidR="00F8481C" w:rsidRPr="00EB4BA7" w:rsidRDefault="00F8481C" w:rsidP="005073E8">
            <w:pPr>
              <w:autoSpaceDE w:val="0"/>
              <w:autoSpaceDN w:val="0"/>
              <w:adjustRightInd w:val="0"/>
              <w:spacing w:after="0"/>
              <w:rPr>
                <w:rFonts w:cs="Calibri"/>
                <w:color w:val="000000"/>
                <w:sz w:val="20"/>
                <w:szCs w:val="20"/>
              </w:rPr>
            </w:pPr>
            <w:r w:rsidRPr="00EB4BA7">
              <w:rPr>
                <w:rFonts w:cs="Calibri"/>
                <w:color w:val="000000"/>
                <w:sz w:val="20"/>
                <w:szCs w:val="20"/>
              </w:rPr>
              <w:t>The unemployment rate of the job seeker’s A</w:t>
            </w:r>
            <w:r>
              <w:rPr>
                <w:rFonts w:cs="Calibri"/>
                <w:color w:val="000000"/>
                <w:sz w:val="20"/>
                <w:szCs w:val="20"/>
              </w:rPr>
              <w:t>ustralian Bureau of Statistics</w:t>
            </w:r>
            <w:r w:rsidRPr="00EB4BA7">
              <w:rPr>
                <w:rFonts w:cs="Calibri"/>
                <w:color w:val="000000"/>
                <w:sz w:val="20"/>
                <w:szCs w:val="20"/>
              </w:rPr>
              <w:t xml:space="preserve"> Statistical Local Area. </w:t>
            </w:r>
          </w:p>
        </w:tc>
      </w:tr>
    </w:tbl>
    <w:p w14:paraId="357C25E1" w14:textId="77777777" w:rsidR="00F8481C" w:rsidRDefault="00F8481C" w:rsidP="00F8481C"/>
    <w:sectPr w:rsidR="00F8481C" w:rsidSect="00880BC5">
      <w:footerReference w:type="default" r:id="rId15"/>
      <w:type w:val="continuous"/>
      <w:pgSz w:w="11906" w:h="16838" w:code="9"/>
      <w:pgMar w:top="400" w:right="851" w:bottom="600" w:left="851" w:header="567" w:footer="850" w:gutter="0"/>
      <w:pgBorders w:offsetFrom="page">
        <w:top w:val="single" w:sz="12" w:space="24" w:color="482F92"/>
        <w:left w:val="single" w:sz="12" w:space="24" w:color="482F92"/>
        <w:bottom w:val="single" w:sz="12" w:space="24" w:color="482F92"/>
        <w:right w:val="single" w:sz="12" w:space="24" w:color="482F92"/>
      </w:pgBorders>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A5E8C" w14:textId="77777777" w:rsidR="00461C85" w:rsidRDefault="00461C85">
      <w:r>
        <w:separator/>
      </w:r>
    </w:p>
  </w:endnote>
  <w:endnote w:type="continuationSeparator" w:id="0">
    <w:p w14:paraId="28EA5E8D" w14:textId="77777777" w:rsidR="00461C85" w:rsidRDefault="004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A5E8F" w14:textId="2A3E1A15" w:rsidR="00461C85" w:rsidRPr="000B1FE5" w:rsidRDefault="009F39DA" w:rsidP="00880BC5">
    <w:pPr>
      <w:tabs>
        <w:tab w:val="right" w:pos="10206"/>
      </w:tabs>
      <w:spacing w:after="0"/>
      <w:rPr>
        <w:color w:val="808080"/>
        <w:sz w:val="20"/>
        <w:szCs w:val="20"/>
      </w:rPr>
    </w:pPr>
    <w:r>
      <w:rPr>
        <w:color w:val="808080"/>
        <w:sz w:val="20"/>
        <w:szCs w:val="20"/>
      </w:rPr>
      <w:t>Job Services Australia Star Ratings Methodology From July 2012 to June 2015 F</w:t>
    </w:r>
    <w:r w:rsidR="00461C85">
      <w:rPr>
        <w:color w:val="808080"/>
        <w:sz w:val="20"/>
        <w:szCs w:val="20"/>
      </w:rPr>
      <w:t>act 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A5E8A" w14:textId="77777777" w:rsidR="00461C85" w:rsidRDefault="00461C85">
      <w:r>
        <w:separator/>
      </w:r>
    </w:p>
  </w:footnote>
  <w:footnote w:type="continuationSeparator" w:id="0">
    <w:p w14:paraId="28EA5E8B" w14:textId="77777777" w:rsidR="00461C85" w:rsidRDefault="00461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DE10BA"/>
    <w:lvl w:ilvl="0">
      <w:start w:val="1"/>
      <w:numFmt w:val="decimal"/>
      <w:lvlText w:val="%1."/>
      <w:lvlJc w:val="left"/>
      <w:pPr>
        <w:tabs>
          <w:tab w:val="num" w:pos="1492"/>
        </w:tabs>
        <w:ind w:left="1492" w:hanging="360"/>
      </w:pPr>
    </w:lvl>
  </w:abstractNum>
  <w:abstractNum w:abstractNumId="1">
    <w:nsid w:val="FFFFFF7D"/>
    <w:multiLevelType w:val="singleLevel"/>
    <w:tmpl w:val="CA7EC496"/>
    <w:lvl w:ilvl="0">
      <w:start w:val="1"/>
      <w:numFmt w:val="decimal"/>
      <w:lvlText w:val="%1."/>
      <w:lvlJc w:val="left"/>
      <w:pPr>
        <w:tabs>
          <w:tab w:val="num" w:pos="1209"/>
        </w:tabs>
        <w:ind w:left="1209" w:hanging="360"/>
      </w:pPr>
    </w:lvl>
  </w:abstractNum>
  <w:abstractNum w:abstractNumId="2">
    <w:nsid w:val="FFFFFF7E"/>
    <w:multiLevelType w:val="singleLevel"/>
    <w:tmpl w:val="7AC2DBA8"/>
    <w:lvl w:ilvl="0">
      <w:start w:val="1"/>
      <w:numFmt w:val="decimal"/>
      <w:lvlText w:val="%1."/>
      <w:lvlJc w:val="left"/>
      <w:pPr>
        <w:tabs>
          <w:tab w:val="num" w:pos="926"/>
        </w:tabs>
        <w:ind w:left="926" w:hanging="360"/>
      </w:pPr>
    </w:lvl>
  </w:abstractNum>
  <w:abstractNum w:abstractNumId="3">
    <w:nsid w:val="FFFFFF7F"/>
    <w:multiLevelType w:val="singleLevel"/>
    <w:tmpl w:val="9DEC05E4"/>
    <w:lvl w:ilvl="0">
      <w:start w:val="1"/>
      <w:numFmt w:val="decimal"/>
      <w:lvlText w:val="%1."/>
      <w:lvlJc w:val="left"/>
      <w:pPr>
        <w:tabs>
          <w:tab w:val="num" w:pos="643"/>
        </w:tabs>
        <w:ind w:left="643" w:hanging="360"/>
      </w:pPr>
    </w:lvl>
  </w:abstractNum>
  <w:abstractNum w:abstractNumId="4">
    <w:nsid w:val="FFFFFF80"/>
    <w:multiLevelType w:val="singleLevel"/>
    <w:tmpl w:val="83F601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A622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9272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7E63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CA2BAE"/>
    <w:lvl w:ilvl="0">
      <w:start w:val="1"/>
      <w:numFmt w:val="decimal"/>
      <w:lvlText w:val="%1."/>
      <w:lvlJc w:val="left"/>
      <w:pPr>
        <w:tabs>
          <w:tab w:val="num" w:pos="360"/>
        </w:tabs>
        <w:ind w:left="360" w:hanging="360"/>
      </w:pPr>
    </w:lvl>
  </w:abstractNum>
  <w:abstractNum w:abstractNumId="9">
    <w:nsid w:val="FFFFFF89"/>
    <w:multiLevelType w:val="singleLevel"/>
    <w:tmpl w:val="690C7214"/>
    <w:lvl w:ilvl="0">
      <w:start w:val="1"/>
      <w:numFmt w:val="bullet"/>
      <w:lvlText w:val=""/>
      <w:lvlJc w:val="left"/>
      <w:pPr>
        <w:tabs>
          <w:tab w:val="num" w:pos="360"/>
        </w:tabs>
        <w:ind w:left="360" w:hanging="360"/>
      </w:pPr>
      <w:rPr>
        <w:rFonts w:ascii="Symbol" w:hAnsi="Symbol" w:hint="default"/>
      </w:rPr>
    </w:lvl>
  </w:abstractNum>
  <w:abstractNum w:abstractNumId="10">
    <w:nsid w:val="0A353999"/>
    <w:multiLevelType w:val="hybridMultilevel"/>
    <w:tmpl w:val="EFDC84F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1">
    <w:nsid w:val="10843EC0"/>
    <w:multiLevelType w:val="hybridMultilevel"/>
    <w:tmpl w:val="3298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847399"/>
    <w:multiLevelType w:val="hybridMultilevel"/>
    <w:tmpl w:val="E96431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407724D"/>
    <w:multiLevelType w:val="multilevel"/>
    <w:tmpl w:val="C5165640"/>
    <w:numStyleLink w:val="BulletList"/>
  </w:abstractNum>
  <w:abstractNum w:abstractNumId="14">
    <w:nsid w:val="19550674"/>
    <w:multiLevelType w:val="hybridMultilevel"/>
    <w:tmpl w:val="7854C058"/>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
    <w:nsid w:val="28115B7D"/>
    <w:multiLevelType w:val="hybridMultilevel"/>
    <w:tmpl w:val="429E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CF3538"/>
    <w:multiLevelType w:val="multilevel"/>
    <w:tmpl w:val="C5165640"/>
    <w:styleLink w:val="BulletList"/>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306488"/>
    <w:multiLevelType w:val="hybridMultilevel"/>
    <w:tmpl w:val="F802172A"/>
    <w:lvl w:ilvl="0" w:tplc="7FEAC5C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1313505"/>
    <w:multiLevelType w:val="hybridMultilevel"/>
    <w:tmpl w:val="99667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1C10F3"/>
    <w:multiLevelType w:val="hybridMultilevel"/>
    <w:tmpl w:val="F42CE236"/>
    <w:lvl w:ilvl="0" w:tplc="7FEAC5C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7FEAC5CE">
      <w:start w:val="1"/>
      <w:numFmt w:val="bullet"/>
      <w:lvlText w:val=""/>
      <w:lvlJc w:val="left"/>
      <w:pPr>
        <w:tabs>
          <w:tab w:val="num" w:pos="2160"/>
        </w:tabs>
        <w:ind w:left="2160" w:hanging="360"/>
      </w:pPr>
      <w:rPr>
        <w:rFonts w:ascii="Symbol" w:hAnsi="Symbol" w:hint="default"/>
        <w:color w:val="auto"/>
      </w:rPr>
    </w:lvl>
    <w:lvl w:ilvl="3" w:tplc="0C090017">
      <w:start w:val="1"/>
      <w:numFmt w:val="lowerLetter"/>
      <w:lvlText w:val="%4)"/>
      <w:lvlJc w:val="left"/>
      <w:pPr>
        <w:tabs>
          <w:tab w:val="num" w:pos="2880"/>
        </w:tabs>
        <w:ind w:left="2880" w:hanging="360"/>
      </w:pPr>
      <w:rPr>
        <w:rFonts w:hint="default"/>
        <w:color w:val="auto"/>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F222A4E"/>
    <w:multiLevelType w:val="multilevel"/>
    <w:tmpl w:val="5176946C"/>
    <w:numStyleLink w:val="NumberedList"/>
  </w:abstractNum>
  <w:abstractNum w:abstractNumId="21">
    <w:nsid w:val="7411747B"/>
    <w:multiLevelType w:val="multilevel"/>
    <w:tmpl w:val="1C02EB18"/>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EF95A2B"/>
    <w:multiLevelType w:val="multilevel"/>
    <w:tmpl w:val="1C02EB18"/>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F496719"/>
    <w:multiLevelType w:val="hybridMultilevel"/>
    <w:tmpl w:val="E6F6F00C"/>
    <w:lvl w:ilvl="0" w:tplc="0C09000F">
      <w:start w:val="1"/>
      <w:numFmt w:val="decimal"/>
      <w:lvlText w:val="%1."/>
      <w:lvlJc w:val="left"/>
      <w:pPr>
        <w:tabs>
          <w:tab w:val="num" w:pos="1080"/>
        </w:tabs>
        <w:ind w:left="1080" w:hanging="360"/>
      </w:p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3"/>
  </w:num>
  <w:num w:numId="2">
    <w:abstractNumId w:val="19"/>
  </w:num>
  <w:num w:numId="3">
    <w:abstractNumId w:val="17"/>
  </w:num>
  <w:num w:numId="4">
    <w:abstractNumId w:val="23"/>
  </w:num>
  <w:num w:numId="5">
    <w:abstractNumId w:val="24"/>
  </w:num>
  <w:num w:numId="6">
    <w:abstractNumId w:val="21"/>
  </w:num>
  <w:num w:numId="7">
    <w:abstractNumId w:val="16"/>
  </w:num>
  <w:num w:numId="8">
    <w:abstractNumId w:val="2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1"/>
  </w:num>
  <w:num w:numId="22">
    <w:abstractNumId w:val="12"/>
  </w:num>
  <w:num w:numId="23">
    <w:abstractNumId w:val="15"/>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39937">
      <o:colormru v:ext="edit" colors="#00988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BD"/>
    <w:rsid w:val="0000011A"/>
    <w:rsid w:val="00000B8C"/>
    <w:rsid w:val="0000319B"/>
    <w:rsid w:val="0000355A"/>
    <w:rsid w:val="00004D7F"/>
    <w:rsid w:val="00005494"/>
    <w:rsid w:val="00005783"/>
    <w:rsid w:val="00007100"/>
    <w:rsid w:val="00007512"/>
    <w:rsid w:val="00010B73"/>
    <w:rsid w:val="00012592"/>
    <w:rsid w:val="00012E80"/>
    <w:rsid w:val="00014135"/>
    <w:rsid w:val="00014420"/>
    <w:rsid w:val="00014802"/>
    <w:rsid w:val="000153FC"/>
    <w:rsid w:val="00015A08"/>
    <w:rsid w:val="00016F7D"/>
    <w:rsid w:val="00022FD0"/>
    <w:rsid w:val="000275A5"/>
    <w:rsid w:val="000313C4"/>
    <w:rsid w:val="00031FC8"/>
    <w:rsid w:val="00032058"/>
    <w:rsid w:val="00032AA6"/>
    <w:rsid w:val="000406DE"/>
    <w:rsid w:val="00042263"/>
    <w:rsid w:val="000430FE"/>
    <w:rsid w:val="00043FF4"/>
    <w:rsid w:val="00045899"/>
    <w:rsid w:val="00047579"/>
    <w:rsid w:val="0004779A"/>
    <w:rsid w:val="00051A0B"/>
    <w:rsid w:val="000534C0"/>
    <w:rsid w:val="000535DD"/>
    <w:rsid w:val="00053927"/>
    <w:rsid w:val="00053A6A"/>
    <w:rsid w:val="00054CF0"/>
    <w:rsid w:val="000558DE"/>
    <w:rsid w:val="000619C9"/>
    <w:rsid w:val="000634CF"/>
    <w:rsid w:val="00064342"/>
    <w:rsid w:val="00065618"/>
    <w:rsid w:val="00067284"/>
    <w:rsid w:val="00071BD3"/>
    <w:rsid w:val="00071D07"/>
    <w:rsid w:val="0007560D"/>
    <w:rsid w:val="00076EBA"/>
    <w:rsid w:val="00080787"/>
    <w:rsid w:val="00083BB6"/>
    <w:rsid w:val="00087158"/>
    <w:rsid w:val="00087D36"/>
    <w:rsid w:val="000924BC"/>
    <w:rsid w:val="00095070"/>
    <w:rsid w:val="00096241"/>
    <w:rsid w:val="000966C4"/>
    <w:rsid w:val="000A0FC0"/>
    <w:rsid w:val="000A29FA"/>
    <w:rsid w:val="000A6025"/>
    <w:rsid w:val="000A642C"/>
    <w:rsid w:val="000A6B7B"/>
    <w:rsid w:val="000A6F0E"/>
    <w:rsid w:val="000A7514"/>
    <w:rsid w:val="000B1FE5"/>
    <w:rsid w:val="000B414E"/>
    <w:rsid w:val="000B4346"/>
    <w:rsid w:val="000B6526"/>
    <w:rsid w:val="000B76A8"/>
    <w:rsid w:val="000C256A"/>
    <w:rsid w:val="000C390D"/>
    <w:rsid w:val="000C42EE"/>
    <w:rsid w:val="000C50C7"/>
    <w:rsid w:val="000D00F5"/>
    <w:rsid w:val="000D2CC7"/>
    <w:rsid w:val="000D3AB0"/>
    <w:rsid w:val="000D3C4C"/>
    <w:rsid w:val="000D4C58"/>
    <w:rsid w:val="000E038D"/>
    <w:rsid w:val="000E0837"/>
    <w:rsid w:val="000E29B6"/>
    <w:rsid w:val="000E2EA7"/>
    <w:rsid w:val="000E374B"/>
    <w:rsid w:val="000E5D92"/>
    <w:rsid w:val="000E6ADB"/>
    <w:rsid w:val="000F165E"/>
    <w:rsid w:val="000F1799"/>
    <w:rsid w:val="000F23AF"/>
    <w:rsid w:val="000F2838"/>
    <w:rsid w:val="000F2B64"/>
    <w:rsid w:val="000F3683"/>
    <w:rsid w:val="000F4426"/>
    <w:rsid w:val="000F4BF3"/>
    <w:rsid w:val="000F4BF8"/>
    <w:rsid w:val="000F7FDF"/>
    <w:rsid w:val="00100FC5"/>
    <w:rsid w:val="0010417F"/>
    <w:rsid w:val="00110B2B"/>
    <w:rsid w:val="0011123F"/>
    <w:rsid w:val="001164C8"/>
    <w:rsid w:val="00123191"/>
    <w:rsid w:val="001241A7"/>
    <w:rsid w:val="001249F9"/>
    <w:rsid w:val="00131148"/>
    <w:rsid w:val="00131A0F"/>
    <w:rsid w:val="00133599"/>
    <w:rsid w:val="00133BFC"/>
    <w:rsid w:val="00134A79"/>
    <w:rsid w:val="00137190"/>
    <w:rsid w:val="0014087C"/>
    <w:rsid w:val="00140E00"/>
    <w:rsid w:val="001410AE"/>
    <w:rsid w:val="0014115B"/>
    <w:rsid w:val="0014738A"/>
    <w:rsid w:val="00150ABB"/>
    <w:rsid w:val="00152345"/>
    <w:rsid w:val="001531BE"/>
    <w:rsid w:val="00154D64"/>
    <w:rsid w:val="00155882"/>
    <w:rsid w:val="001558F6"/>
    <w:rsid w:val="00157694"/>
    <w:rsid w:val="0016080D"/>
    <w:rsid w:val="00163927"/>
    <w:rsid w:val="00165943"/>
    <w:rsid w:val="001711C6"/>
    <w:rsid w:val="001720DD"/>
    <w:rsid w:val="00172646"/>
    <w:rsid w:val="0017268B"/>
    <w:rsid w:val="00175DE6"/>
    <w:rsid w:val="00176512"/>
    <w:rsid w:val="00176C7E"/>
    <w:rsid w:val="00182BF8"/>
    <w:rsid w:val="001834D6"/>
    <w:rsid w:val="001835B4"/>
    <w:rsid w:val="001836FD"/>
    <w:rsid w:val="00183BCA"/>
    <w:rsid w:val="00183E79"/>
    <w:rsid w:val="00185090"/>
    <w:rsid w:val="001854BD"/>
    <w:rsid w:val="00186EC8"/>
    <w:rsid w:val="00187EA0"/>
    <w:rsid w:val="00194806"/>
    <w:rsid w:val="00197A90"/>
    <w:rsid w:val="00197B33"/>
    <w:rsid w:val="001A0733"/>
    <w:rsid w:val="001A1245"/>
    <w:rsid w:val="001A43F2"/>
    <w:rsid w:val="001A59DF"/>
    <w:rsid w:val="001A59E1"/>
    <w:rsid w:val="001A676D"/>
    <w:rsid w:val="001A77CD"/>
    <w:rsid w:val="001B2367"/>
    <w:rsid w:val="001B25C5"/>
    <w:rsid w:val="001B2BF6"/>
    <w:rsid w:val="001B476E"/>
    <w:rsid w:val="001B4A5B"/>
    <w:rsid w:val="001B52C9"/>
    <w:rsid w:val="001B5CCE"/>
    <w:rsid w:val="001C01D2"/>
    <w:rsid w:val="001C2E79"/>
    <w:rsid w:val="001C3797"/>
    <w:rsid w:val="001C4509"/>
    <w:rsid w:val="001C7590"/>
    <w:rsid w:val="001C779C"/>
    <w:rsid w:val="001D10E2"/>
    <w:rsid w:val="001D2836"/>
    <w:rsid w:val="001D651D"/>
    <w:rsid w:val="001E0D33"/>
    <w:rsid w:val="001E2239"/>
    <w:rsid w:val="001E3618"/>
    <w:rsid w:val="001F555E"/>
    <w:rsid w:val="001F5BC3"/>
    <w:rsid w:val="002009F3"/>
    <w:rsid w:val="00200EF0"/>
    <w:rsid w:val="00201A2A"/>
    <w:rsid w:val="00201CD0"/>
    <w:rsid w:val="00203BE8"/>
    <w:rsid w:val="00203CC4"/>
    <w:rsid w:val="00206D5A"/>
    <w:rsid w:val="00206E24"/>
    <w:rsid w:val="00210ACD"/>
    <w:rsid w:val="00211DCF"/>
    <w:rsid w:val="00220325"/>
    <w:rsid w:val="00221320"/>
    <w:rsid w:val="00222A4C"/>
    <w:rsid w:val="0022370F"/>
    <w:rsid w:val="00224E14"/>
    <w:rsid w:val="00225370"/>
    <w:rsid w:val="00225561"/>
    <w:rsid w:val="002261C0"/>
    <w:rsid w:val="0022719E"/>
    <w:rsid w:val="0022726C"/>
    <w:rsid w:val="002300C7"/>
    <w:rsid w:val="0023085C"/>
    <w:rsid w:val="00230A97"/>
    <w:rsid w:val="00231576"/>
    <w:rsid w:val="00231939"/>
    <w:rsid w:val="00232B28"/>
    <w:rsid w:val="0023559A"/>
    <w:rsid w:val="00240B28"/>
    <w:rsid w:val="002414C2"/>
    <w:rsid w:val="002448A2"/>
    <w:rsid w:val="00246DC1"/>
    <w:rsid w:val="002474A4"/>
    <w:rsid w:val="0025025C"/>
    <w:rsid w:val="0025098F"/>
    <w:rsid w:val="0025275E"/>
    <w:rsid w:val="00253F04"/>
    <w:rsid w:val="0025479D"/>
    <w:rsid w:val="00255214"/>
    <w:rsid w:val="002561A2"/>
    <w:rsid w:val="00256F6D"/>
    <w:rsid w:val="002570F5"/>
    <w:rsid w:val="00260052"/>
    <w:rsid w:val="0026348B"/>
    <w:rsid w:val="002640EF"/>
    <w:rsid w:val="0026549F"/>
    <w:rsid w:val="00266B61"/>
    <w:rsid w:val="00270A8D"/>
    <w:rsid w:val="0027219B"/>
    <w:rsid w:val="00272354"/>
    <w:rsid w:val="00273403"/>
    <w:rsid w:val="002752E2"/>
    <w:rsid w:val="0028344C"/>
    <w:rsid w:val="00283530"/>
    <w:rsid w:val="00285562"/>
    <w:rsid w:val="002864F0"/>
    <w:rsid w:val="002903CA"/>
    <w:rsid w:val="00297414"/>
    <w:rsid w:val="00297B4A"/>
    <w:rsid w:val="002A17CC"/>
    <w:rsid w:val="002B2227"/>
    <w:rsid w:val="002B325D"/>
    <w:rsid w:val="002B3291"/>
    <w:rsid w:val="002B38CF"/>
    <w:rsid w:val="002B3EB3"/>
    <w:rsid w:val="002B53F1"/>
    <w:rsid w:val="002B55E4"/>
    <w:rsid w:val="002B5ECC"/>
    <w:rsid w:val="002B747D"/>
    <w:rsid w:val="002C151D"/>
    <w:rsid w:val="002C1B89"/>
    <w:rsid w:val="002C24D3"/>
    <w:rsid w:val="002C40F6"/>
    <w:rsid w:val="002C5C2E"/>
    <w:rsid w:val="002C65FA"/>
    <w:rsid w:val="002D042D"/>
    <w:rsid w:val="002D69F4"/>
    <w:rsid w:val="002E0833"/>
    <w:rsid w:val="002E3855"/>
    <w:rsid w:val="002E3AC3"/>
    <w:rsid w:val="002F1A77"/>
    <w:rsid w:val="002F4376"/>
    <w:rsid w:val="002F64AA"/>
    <w:rsid w:val="00300DE4"/>
    <w:rsid w:val="003027D3"/>
    <w:rsid w:val="00303F0C"/>
    <w:rsid w:val="00304DB1"/>
    <w:rsid w:val="003064BB"/>
    <w:rsid w:val="00306615"/>
    <w:rsid w:val="00307FEC"/>
    <w:rsid w:val="0031170D"/>
    <w:rsid w:val="003117F3"/>
    <w:rsid w:val="003120E1"/>
    <w:rsid w:val="00313469"/>
    <w:rsid w:val="00313976"/>
    <w:rsid w:val="003143D2"/>
    <w:rsid w:val="0031539A"/>
    <w:rsid w:val="003222EF"/>
    <w:rsid w:val="003236A5"/>
    <w:rsid w:val="00324C7F"/>
    <w:rsid w:val="0033096D"/>
    <w:rsid w:val="00331603"/>
    <w:rsid w:val="00333F6B"/>
    <w:rsid w:val="0033425C"/>
    <w:rsid w:val="0033509B"/>
    <w:rsid w:val="00336E17"/>
    <w:rsid w:val="00340534"/>
    <w:rsid w:val="00340688"/>
    <w:rsid w:val="003426D2"/>
    <w:rsid w:val="003429D6"/>
    <w:rsid w:val="0034458C"/>
    <w:rsid w:val="00345791"/>
    <w:rsid w:val="00347926"/>
    <w:rsid w:val="00347B92"/>
    <w:rsid w:val="00347C61"/>
    <w:rsid w:val="00350F02"/>
    <w:rsid w:val="003514CC"/>
    <w:rsid w:val="00353196"/>
    <w:rsid w:val="00355159"/>
    <w:rsid w:val="003557D0"/>
    <w:rsid w:val="00357E40"/>
    <w:rsid w:val="0036049A"/>
    <w:rsid w:val="00361580"/>
    <w:rsid w:val="00361EAB"/>
    <w:rsid w:val="003649A0"/>
    <w:rsid w:val="003676A9"/>
    <w:rsid w:val="003709A3"/>
    <w:rsid w:val="00373F08"/>
    <w:rsid w:val="003768E0"/>
    <w:rsid w:val="00377107"/>
    <w:rsid w:val="00380338"/>
    <w:rsid w:val="0038096B"/>
    <w:rsid w:val="00380DBE"/>
    <w:rsid w:val="003906BA"/>
    <w:rsid w:val="00390E77"/>
    <w:rsid w:val="003946F4"/>
    <w:rsid w:val="00394C09"/>
    <w:rsid w:val="00394EAB"/>
    <w:rsid w:val="003951F6"/>
    <w:rsid w:val="0039606B"/>
    <w:rsid w:val="0039608E"/>
    <w:rsid w:val="00396092"/>
    <w:rsid w:val="00396EA8"/>
    <w:rsid w:val="003A468F"/>
    <w:rsid w:val="003A6D56"/>
    <w:rsid w:val="003A7CA2"/>
    <w:rsid w:val="003B009A"/>
    <w:rsid w:val="003B00E0"/>
    <w:rsid w:val="003B038E"/>
    <w:rsid w:val="003B578E"/>
    <w:rsid w:val="003B6A6C"/>
    <w:rsid w:val="003C042D"/>
    <w:rsid w:val="003C0624"/>
    <w:rsid w:val="003C2B3E"/>
    <w:rsid w:val="003C7268"/>
    <w:rsid w:val="003D0B19"/>
    <w:rsid w:val="003D28FD"/>
    <w:rsid w:val="003D3E9A"/>
    <w:rsid w:val="003D73FE"/>
    <w:rsid w:val="003E1E39"/>
    <w:rsid w:val="003E5C6A"/>
    <w:rsid w:val="003E5D2B"/>
    <w:rsid w:val="003F10A5"/>
    <w:rsid w:val="003F77F7"/>
    <w:rsid w:val="00401932"/>
    <w:rsid w:val="00410B89"/>
    <w:rsid w:val="00412AAD"/>
    <w:rsid w:val="00414C34"/>
    <w:rsid w:val="00416D11"/>
    <w:rsid w:val="00420B3C"/>
    <w:rsid w:val="004225E6"/>
    <w:rsid w:val="0042529D"/>
    <w:rsid w:val="004306E4"/>
    <w:rsid w:val="00430E81"/>
    <w:rsid w:val="00432983"/>
    <w:rsid w:val="00435A21"/>
    <w:rsid w:val="00435D79"/>
    <w:rsid w:val="00436772"/>
    <w:rsid w:val="00442A01"/>
    <w:rsid w:val="00443526"/>
    <w:rsid w:val="0044546A"/>
    <w:rsid w:val="00447C51"/>
    <w:rsid w:val="00450355"/>
    <w:rsid w:val="004512EE"/>
    <w:rsid w:val="0045201B"/>
    <w:rsid w:val="00455145"/>
    <w:rsid w:val="00455FDC"/>
    <w:rsid w:val="004568EA"/>
    <w:rsid w:val="0046056C"/>
    <w:rsid w:val="00461C85"/>
    <w:rsid w:val="004638BA"/>
    <w:rsid w:val="00473836"/>
    <w:rsid w:val="00473B61"/>
    <w:rsid w:val="00473F45"/>
    <w:rsid w:val="00477102"/>
    <w:rsid w:val="00480FB0"/>
    <w:rsid w:val="00481743"/>
    <w:rsid w:val="004845C4"/>
    <w:rsid w:val="0049104F"/>
    <w:rsid w:val="004935F3"/>
    <w:rsid w:val="00493BAB"/>
    <w:rsid w:val="004963B6"/>
    <w:rsid w:val="00496DED"/>
    <w:rsid w:val="004A0704"/>
    <w:rsid w:val="004A10B3"/>
    <w:rsid w:val="004A432B"/>
    <w:rsid w:val="004A5069"/>
    <w:rsid w:val="004A6765"/>
    <w:rsid w:val="004B03A3"/>
    <w:rsid w:val="004B0791"/>
    <w:rsid w:val="004B0B5B"/>
    <w:rsid w:val="004B1CEB"/>
    <w:rsid w:val="004B44ED"/>
    <w:rsid w:val="004B6325"/>
    <w:rsid w:val="004C0187"/>
    <w:rsid w:val="004C4713"/>
    <w:rsid w:val="004C55E5"/>
    <w:rsid w:val="004C6C3A"/>
    <w:rsid w:val="004E1A7D"/>
    <w:rsid w:val="004E3CF2"/>
    <w:rsid w:val="004E618A"/>
    <w:rsid w:val="004F094B"/>
    <w:rsid w:val="004F4D0E"/>
    <w:rsid w:val="004F5F8E"/>
    <w:rsid w:val="004F6A9B"/>
    <w:rsid w:val="005026D7"/>
    <w:rsid w:val="00504B84"/>
    <w:rsid w:val="00511CA2"/>
    <w:rsid w:val="00512301"/>
    <w:rsid w:val="00512F92"/>
    <w:rsid w:val="00520B09"/>
    <w:rsid w:val="0052253F"/>
    <w:rsid w:val="00523669"/>
    <w:rsid w:val="0052693C"/>
    <w:rsid w:val="00530F90"/>
    <w:rsid w:val="00531C28"/>
    <w:rsid w:val="00531C83"/>
    <w:rsid w:val="0053699E"/>
    <w:rsid w:val="0054032D"/>
    <w:rsid w:val="00540BE9"/>
    <w:rsid w:val="00541B8A"/>
    <w:rsid w:val="0054216D"/>
    <w:rsid w:val="005422F3"/>
    <w:rsid w:val="00542B54"/>
    <w:rsid w:val="00545CC0"/>
    <w:rsid w:val="0054611C"/>
    <w:rsid w:val="00546505"/>
    <w:rsid w:val="00551364"/>
    <w:rsid w:val="0055215D"/>
    <w:rsid w:val="00552514"/>
    <w:rsid w:val="0055271B"/>
    <w:rsid w:val="005535E5"/>
    <w:rsid w:val="00553DA5"/>
    <w:rsid w:val="00554AC0"/>
    <w:rsid w:val="005569DB"/>
    <w:rsid w:val="00560217"/>
    <w:rsid w:val="00561DC5"/>
    <w:rsid w:val="00563482"/>
    <w:rsid w:val="00566F1A"/>
    <w:rsid w:val="00570756"/>
    <w:rsid w:val="00572627"/>
    <w:rsid w:val="00573534"/>
    <w:rsid w:val="005767BB"/>
    <w:rsid w:val="0057697D"/>
    <w:rsid w:val="00580869"/>
    <w:rsid w:val="0058094D"/>
    <w:rsid w:val="00582E33"/>
    <w:rsid w:val="005865F5"/>
    <w:rsid w:val="00586B91"/>
    <w:rsid w:val="00591F2D"/>
    <w:rsid w:val="0059465B"/>
    <w:rsid w:val="00595881"/>
    <w:rsid w:val="0059774F"/>
    <w:rsid w:val="005A1022"/>
    <w:rsid w:val="005A1B34"/>
    <w:rsid w:val="005A2A14"/>
    <w:rsid w:val="005A2EE2"/>
    <w:rsid w:val="005A4DD5"/>
    <w:rsid w:val="005A58CA"/>
    <w:rsid w:val="005A6390"/>
    <w:rsid w:val="005A713F"/>
    <w:rsid w:val="005B2405"/>
    <w:rsid w:val="005B56BC"/>
    <w:rsid w:val="005B5B56"/>
    <w:rsid w:val="005C0D7D"/>
    <w:rsid w:val="005C4B41"/>
    <w:rsid w:val="005C5A24"/>
    <w:rsid w:val="005C5AE7"/>
    <w:rsid w:val="005C6788"/>
    <w:rsid w:val="005D16E2"/>
    <w:rsid w:val="005D2313"/>
    <w:rsid w:val="005D2733"/>
    <w:rsid w:val="005D7FC7"/>
    <w:rsid w:val="005E0522"/>
    <w:rsid w:val="005E1487"/>
    <w:rsid w:val="005E67F0"/>
    <w:rsid w:val="005F253B"/>
    <w:rsid w:val="005F2D9B"/>
    <w:rsid w:val="005F38F7"/>
    <w:rsid w:val="005F3B14"/>
    <w:rsid w:val="005F4F4B"/>
    <w:rsid w:val="005F603E"/>
    <w:rsid w:val="005F6262"/>
    <w:rsid w:val="006012D1"/>
    <w:rsid w:val="00603ACE"/>
    <w:rsid w:val="00605088"/>
    <w:rsid w:val="00605E20"/>
    <w:rsid w:val="006064BB"/>
    <w:rsid w:val="0061085D"/>
    <w:rsid w:val="00614315"/>
    <w:rsid w:val="00617347"/>
    <w:rsid w:val="00617396"/>
    <w:rsid w:val="00620991"/>
    <w:rsid w:val="006209F4"/>
    <w:rsid w:val="00621EA8"/>
    <w:rsid w:val="00622DB1"/>
    <w:rsid w:val="00626984"/>
    <w:rsid w:val="00631717"/>
    <w:rsid w:val="00633496"/>
    <w:rsid w:val="006347A0"/>
    <w:rsid w:val="00635906"/>
    <w:rsid w:val="00635A21"/>
    <w:rsid w:val="0064240C"/>
    <w:rsid w:val="00644214"/>
    <w:rsid w:val="00645ACB"/>
    <w:rsid w:val="00645BB5"/>
    <w:rsid w:val="006464A8"/>
    <w:rsid w:val="0064704C"/>
    <w:rsid w:val="00651115"/>
    <w:rsid w:val="00651BCF"/>
    <w:rsid w:val="00651E02"/>
    <w:rsid w:val="006532B8"/>
    <w:rsid w:val="006533D9"/>
    <w:rsid w:val="006533E3"/>
    <w:rsid w:val="0065432C"/>
    <w:rsid w:val="00655B6F"/>
    <w:rsid w:val="00655E17"/>
    <w:rsid w:val="00657BF9"/>
    <w:rsid w:val="00661FAC"/>
    <w:rsid w:val="00662178"/>
    <w:rsid w:val="00662BB5"/>
    <w:rsid w:val="00663289"/>
    <w:rsid w:val="00663B24"/>
    <w:rsid w:val="0066460C"/>
    <w:rsid w:val="006729D2"/>
    <w:rsid w:val="00673A4C"/>
    <w:rsid w:val="00674687"/>
    <w:rsid w:val="00674CED"/>
    <w:rsid w:val="00675CFA"/>
    <w:rsid w:val="006760FF"/>
    <w:rsid w:val="0067611E"/>
    <w:rsid w:val="006761D8"/>
    <w:rsid w:val="006833B9"/>
    <w:rsid w:val="00684886"/>
    <w:rsid w:val="006856CC"/>
    <w:rsid w:val="00686E4A"/>
    <w:rsid w:val="00687794"/>
    <w:rsid w:val="00694408"/>
    <w:rsid w:val="00694ADC"/>
    <w:rsid w:val="00695DF8"/>
    <w:rsid w:val="00697210"/>
    <w:rsid w:val="006A023F"/>
    <w:rsid w:val="006A14AB"/>
    <w:rsid w:val="006A3869"/>
    <w:rsid w:val="006A4898"/>
    <w:rsid w:val="006A57EC"/>
    <w:rsid w:val="006A5FE1"/>
    <w:rsid w:val="006A7EAC"/>
    <w:rsid w:val="006B029D"/>
    <w:rsid w:val="006B2519"/>
    <w:rsid w:val="006B2A73"/>
    <w:rsid w:val="006B54E5"/>
    <w:rsid w:val="006B5BE9"/>
    <w:rsid w:val="006B7A84"/>
    <w:rsid w:val="006C0BCB"/>
    <w:rsid w:val="006C0C70"/>
    <w:rsid w:val="006C1AC7"/>
    <w:rsid w:val="006C288A"/>
    <w:rsid w:val="006C355D"/>
    <w:rsid w:val="006C3569"/>
    <w:rsid w:val="006D06A1"/>
    <w:rsid w:val="006D0ABA"/>
    <w:rsid w:val="006D0E8B"/>
    <w:rsid w:val="006D160A"/>
    <w:rsid w:val="006D3DD1"/>
    <w:rsid w:val="006D4477"/>
    <w:rsid w:val="006D4F87"/>
    <w:rsid w:val="006D5B1D"/>
    <w:rsid w:val="006D5B69"/>
    <w:rsid w:val="006D6036"/>
    <w:rsid w:val="006D7789"/>
    <w:rsid w:val="006D7CA7"/>
    <w:rsid w:val="006E07E8"/>
    <w:rsid w:val="006E39C1"/>
    <w:rsid w:val="006E66F9"/>
    <w:rsid w:val="006E6E17"/>
    <w:rsid w:val="006F12FD"/>
    <w:rsid w:val="006F3A53"/>
    <w:rsid w:val="006F5C35"/>
    <w:rsid w:val="00701211"/>
    <w:rsid w:val="007049BF"/>
    <w:rsid w:val="00705240"/>
    <w:rsid w:val="00714839"/>
    <w:rsid w:val="0071571D"/>
    <w:rsid w:val="00716342"/>
    <w:rsid w:val="0072146B"/>
    <w:rsid w:val="007233A1"/>
    <w:rsid w:val="00723594"/>
    <w:rsid w:val="00723F54"/>
    <w:rsid w:val="00724CC5"/>
    <w:rsid w:val="00726C37"/>
    <w:rsid w:val="007338DB"/>
    <w:rsid w:val="00740C30"/>
    <w:rsid w:val="007414F5"/>
    <w:rsid w:val="0074188B"/>
    <w:rsid w:val="007419A6"/>
    <w:rsid w:val="007432E7"/>
    <w:rsid w:val="00743995"/>
    <w:rsid w:val="007469EA"/>
    <w:rsid w:val="00746F39"/>
    <w:rsid w:val="007521A6"/>
    <w:rsid w:val="0075303D"/>
    <w:rsid w:val="00753D3B"/>
    <w:rsid w:val="007548F7"/>
    <w:rsid w:val="00757CDC"/>
    <w:rsid w:val="00757FDE"/>
    <w:rsid w:val="00762A73"/>
    <w:rsid w:val="007673E1"/>
    <w:rsid w:val="00767B2A"/>
    <w:rsid w:val="00772DA2"/>
    <w:rsid w:val="00774C50"/>
    <w:rsid w:val="00775DB3"/>
    <w:rsid w:val="00776965"/>
    <w:rsid w:val="0078342F"/>
    <w:rsid w:val="00783A13"/>
    <w:rsid w:val="00784E12"/>
    <w:rsid w:val="007853FD"/>
    <w:rsid w:val="007900BE"/>
    <w:rsid w:val="00792A8C"/>
    <w:rsid w:val="00795591"/>
    <w:rsid w:val="00796891"/>
    <w:rsid w:val="007A118B"/>
    <w:rsid w:val="007A25F2"/>
    <w:rsid w:val="007A3821"/>
    <w:rsid w:val="007A6096"/>
    <w:rsid w:val="007A7769"/>
    <w:rsid w:val="007B40F1"/>
    <w:rsid w:val="007B4288"/>
    <w:rsid w:val="007B6CD8"/>
    <w:rsid w:val="007C0DAC"/>
    <w:rsid w:val="007C15F4"/>
    <w:rsid w:val="007C1849"/>
    <w:rsid w:val="007C48ED"/>
    <w:rsid w:val="007D18B3"/>
    <w:rsid w:val="007D1FFD"/>
    <w:rsid w:val="007D2964"/>
    <w:rsid w:val="007D3E1E"/>
    <w:rsid w:val="007D3FFC"/>
    <w:rsid w:val="007D61F9"/>
    <w:rsid w:val="007E482C"/>
    <w:rsid w:val="007E57F5"/>
    <w:rsid w:val="007F2964"/>
    <w:rsid w:val="007F29AC"/>
    <w:rsid w:val="007F3EC0"/>
    <w:rsid w:val="007F4E94"/>
    <w:rsid w:val="008034E7"/>
    <w:rsid w:val="00805A5E"/>
    <w:rsid w:val="00806D62"/>
    <w:rsid w:val="0080776D"/>
    <w:rsid w:val="00812501"/>
    <w:rsid w:val="0081305D"/>
    <w:rsid w:val="008149E0"/>
    <w:rsid w:val="00820311"/>
    <w:rsid w:val="008208E0"/>
    <w:rsid w:val="00822215"/>
    <w:rsid w:val="00824EB7"/>
    <w:rsid w:val="00825A26"/>
    <w:rsid w:val="008273EE"/>
    <w:rsid w:val="008300D2"/>
    <w:rsid w:val="00830857"/>
    <w:rsid w:val="00832135"/>
    <w:rsid w:val="00835419"/>
    <w:rsid w:val="008410E6"/>
    <w:rsid w:val="00841610"/>
    <w:rsid w:val="008428CE"/>
    <w:rsid w:val="008435BB"/>
    <w:rsid w:val="00845111"/>
    <w:rsid w:val="008468DC"/>
    <w:rsid w:val="00852FE8"/>
    <w:rsid w:val="00853F76"/>
    <w:rsid w:val="00856F7B"/>
    <w:rsid w:val="00857DF8"/>
    <w:rsid w:val="008608EF"/>
    <w:rsid w:val="00861781"/>
    <w:rsid w:val="0086428A"/>
    <w:rsid w:val="008669DE"/>
    <w:rsid w:val="00866CDF"/>
    <w:rsid w:val="00870756"/>
    <w:rsid w:val="00870CA9"/>
    <w:rsid w:val="0087254A"/>
    <w:rsid w:val="0087350B"/>
    <w:rsid w:val="0087642D"/>
    <w:rsid w:val="00877076"/>
    <w:rsid w:val="00880BC5"/>
    <w:rsid w:val="008824EA"/>
    <w:rsid w:val="00882933"/>
    <w:rsid w:val="008864C0"/>
    <w:rsid w:val="0089006C"/>
    <w:rsid w:val="00890896"/>
    <w:rsid w:val="00891D96"/>
    <w:rsid w:val="00896022"/>
    <w:rsid w:val="008A3531"/>
    <w:rsid w:val="008A5AB1"/>
    <w:rsid w:val="008A74CE"/>
    <w:rsid w:val="008B15E4"/>
    <w:rsid w:val="008B3412"/>
    <w:rsid w:val="008B481E"/>
    <w:rsid w:val="008B6C33"/>
    <w:rsid w:val="008B74EC"/>
    <w:rsid w:val="008C05A8"/>
    <w:rsid w:val="008C3882"/>
    <w:rsid w:val="008C45E6"/>
    <w:rsid w:val="008C476D"/>
    <w:rsid w:val="008C4D52"/>
    <w:rsid w:val="008C520A"/>
    <w:rsid w:val="008C6198"/>
    <w:rsid w:val="008C683F"/>
    <w:rsid w:val="008C7784"/>
    <w:rsid w:val="008D09D8"/>
    <w:rsid w:val="008D5BFB"/>
    <w:rsid w:val="008D6A4F"/>
    <w:rsid w:val="008D729B"/>
    <w:rsid w:val="008E3BF0"/>
    <w:rsid w:val="008E44CE"/>
    <w:rsid w:val="008E4811"/>
    <w:rsid w:val="008E5257"/>
    <w:rsid w:val="008E7EC6"/>
    <w:rsid w:val="008F032E"/>
    <w:rsid w:val="008F0796"/>
    <w:rsid w:val="008F523D"/>
    <w:rsid w:val="008F5976"/>
    <w:rsid w:val="0090145E"/>
    <w:rsid w:val="009018F9"/>
    <w:rsid w:val="00901CCD"/>
    <w:rsid w:val="009034CB"/>
    <w:rsid w:val="009059F9"/>
    <w:rsid w:val="009065F4"/>
    <w:rsid w:val="00906CED"/>
    <w:rsid w:val="00910E27"/>
    <w:rsid w:val="0091565A"/>
    <w:rsid w:val="009169E9"/>
    <w:rsid w:val="009214BE"/>
    <w:rsid w:val="00921810"/>
    <w:rsid w:val="009219ED"/>
    <w:rsid w:val="009220FE"/>
    <w:rsid w:val="0092295F"/>
    <w:rsid w:val="0092401F"/>
    <w:rsid w:val="009254EE"/>
    <w:rsid w:val="0092621D"/>
    <w:rsid w:val="00930EFF"/>
    <w:rsid w:val="00931F1E"/>
    <w:rsid w:val="009320FC"/>
    <w:rsid w:val="009325A6"/>
    <w:rsid w:val="00935C6C"/>
    <w:rsid w:val="00936C91"/>
    <w:rsid w:val="00940203"/>
    <w:rsid w:val="009422E8"/>
    <w:rsid w:val="0094640B"/>
    <w:rsid w:val="009464E2"/>
    <w:rsid w:val="00946D91"/>
    <w:rsid w:val="00946E86"/>
    <w:rsid w:val="00947F0E"/>
    <w:rsid w:val="00947F65"/>
    <w:rsid w:val="00951B00"/>
    <w:rsid w:val="00953805"/>
    <w:rsid w:val="00954388"/>
    <w:rsid w:val="009545E7"/>
    <w:rsid w:val="009604A1"/>
    <w:rsid w:val="00960615"/>
    <w:rsid w:val="00960D5A"/>
    <w:rsid w:val="00960F1C"/>
    <w:rsid w:val="00963A8A"/>
    <w:rsid w:val="00967787"/>
    <w:rsid w:val="00970F6E"/>
    <w:rsid w:val="0097304F"/>
    <w:rsid w:val="00973834"/>
    <w:rsid w:val="00974D0C"/>
    <w:rsid w:val="009751AA"/>
    <w:rsid w:val="009811CD"/>
    <w:rsid w:val="0098479A"/>
    <w:rsid w:val="009874EF"/>
    <w:rsid w:val="009902FB"/>
    <w:rsid w:val="00992044"/>
    <w:rsid w:val="00992CBA"/>
    <w:rsid w:val="0099322A"/>
    <w:rsid w:val="00993A8D"/>
    <w:rsid w:val="0099449A"/>
    <w:rsid w:val="009975B0"/>
    <w:rsid w:val="009A0324"/>
    <w:rsid w:val="009A2018"/>
    <w:rsid w:val="009A57C7"/>
    <w:rsid w:val="009A6D31"/>
    <w:rsid w:val="009B3BB3"/>
    <w:rsid w:val="009B3DFC"/>
    <w:rsid w:val="009B4332"/>
    <w:rsid w:val="009B69A3"/>
    <w:rsid w:val="009B7B2A"/>
    <w:rsid w:val="009C62F7"/>
    <w:rsid w:val="009C770A"/>
    <w:rsid w:val="009D0B4C"/>
    <w:rsid w:val="009D17A2"/>
    <w:rsid w:val="009D17AC"/>
    <w:rsid w:val="009D1FFD"/>
    <w:rsid w:val="009E1232"/>
    <w:rsid w:val="009E2131"/>
    <w:rsid w:val="009E2144"/>
    <w:rsid w:val="009E7574"/>
    <w:rsid w:val="009F0E28"/>
    <w:rsid w:val="009F308D"/>
    <w:rsid w:val="009F33BC"/>
    <w:rsid w:val="009F3897"/>
    <w:rsid w:val="009F39DA"/>
    <w:rsid w:val="009F6085"/>
    <w:rsid w:val="009F66F8"/>
    <w:rsid w:val="009F743E"/>
    <w:rsid w:val="00A00BB7"/>
    <w:rsid w:val="00A02DCE"/>
    <w:rsid w:val="00A035A7"/>
    <w:rsid w:val="00A03AE4"/>
    <w:rsid w:val="00A057F3"/>
    <w:rsid w:val="00A10449"/>
    <w:rsid w:val="00A12966"/>
    <w:rsid w:val="00A13201"/>
    <w:rsid w:val="00A133FE"/>
    <w:rsid w:val="00A15B52"/>
    <w:rsid w:val="00A16424"/>
    <w:rsid w:val="00A179A5"/>
    <w:rsid w:val="00A17F37"/>
    <w:rsid w:val="00A20772"/>
    <w:rsid w:val="00A20EFE"/>
    <w:rsid w:val="00A24355"/>
    <w:rsid w:val="00A267CF"/>
    <w:rsid w:val="00A27765"/>
    <w:rsid w:val="00A30660"/>
    <w:rsid w:val="00A33A39"/>
    <w:rsid w:val="00A34BDD"/>
    <w:rsid w:val="00A35440"/>
    <w:rsid w:val="00A40552"/>
    <w:rsid w:val="00A411AA"/>
    <w:rsid w:val="00A41462"/>
    <w:rsid w:val="00A44B8C"/>
    <w:rsid w:val="00A45873"/>
    <w:rsid w:val="00A479EA"/>
    <w:rsid w:val="00A47BA9"/>
    <w:rsid w:val="00A47F6C"/>
    <w:rsid w:val="00A47F7A"/>
    <w:rsid w:val="00A51833"/>
    <w:rsid w:val="00A519B4"/>
    <w:rsid w:val="00A52160"/>
    <w:rsid w:val="00A56C96"/>
    <w:rsid w:val="00A624AC"/>
    <w:rsid w:val="00A62D42"/>
    <w:rsid w:val="00A6313B"/>
    <w:rsid w:val="00A63C13"/>
    <w:rsid w:val="00A659D7"/>
    <w:rsid w:val="00A6700D"/>
    <w:rsid w:val="00A716B5"/>
    <w:rsid w:val="00A71A51"/>
    <w:rsid w:val="00A73C88"/>
    <w:rsid w:val="00A74C2C"/>
    <w:rsid w:val="00A761C9"/>
    <w:rsid w:val="00A80EE4"/>
    <w:rsid w:val="00A832CC"/>
    <w:rsid w:val="00A834C4"/>
    <w:rsid w:val="00A85DE4"/>
    <w:rsid w:val="00A86B25"/>
    <w:rsid w:val="00A90142"/>
    <w:rsid w:val="00A92A9F"/>
    <w:rsid w:val="00A94A26"/>
    <w:rsid w:val="00A94CBD"/>
    <w:rsid w:val="00A95589"/>
    <w:rsid w:val="00AA0822"/>
    <w:rsid w:val="00AA08DC"/>
    <w:rsid w:val="00AA1A18"/>
    <w:rsid w:val="00AA5DEC"/>
    <w:rsid w:val="00AA619C"/>
    <w:rsid w:val="00AA7823"/>
    <w:rsid w:val="00AB2D06"/>
    <w:rsid w:val="00AB7406"/>
    <w:rsid w:val="00AB7FD1"/>
    <w:rsid w:val="00AC2B04"/>
    <w:rsid w:val="00AC66D5"/>
    <w:rsid w:val="00AD097A"/>
    <w:rsid w:val="00AD1F4D"/>
    <w:rsid w:val="00AD48F9"/>
    <w:rsid w:val="00AD5A44"/>
    <w:rsid w:val="00AD7D7D"/>
    <w:rsid w:val="00AE0807"/>
    <w:rsid w:val="00AE0D2E"/>
    <w:rsid w:val="00AE0D8C"/>
    <w:rsid w:val="00AE1294"/>
    <w:rsid w:val="00AE3A0D"/>
    <w:rsid w:val="00AE412C"/>
    <w:rsid w:val="00AE73C7"/>
    <w:rsid w:val="00B00335"/>
    <w:rsid w:val="00B01C82"/>
    <w:rsid w:val="00B01E5F"/>
    <w:rsid w:val="00B0336B"/>
    <w:rsid w:val="00B06A05"/>
    <w:rsid w:val="00B11D05"/>
    <w:rsid w:val="00B16759"/>
    <w:rsid w:val="00B21C26"/>
    <w:rsid w:val="00B22E8B"/>
    <w:rsid w:val="00B236EC"/>
    <w:rsid w:val="00B367B3"/>
    <w:rsid w:val="00B367BD"/>
    <w:rsid w:val="00B37658"/>
    <w:rsid w:val="00B43D2B"/>
    <w:rsid w:val="00B50146"/>
    <w:rsid w:val="00B50EF9"/>
    <w:rsid w:val="00B57064"/>
    <w:rsid w:val="00B61375"/>
    <w:rsid w:val="00B617EA"/>
    <w:rsid w:val="00B631D7"/>
    <w:rsid w:val="00B63A38"/>
    <w:rsid w:val="00B66588"/>
    <w:rsid w:val="00B66B91"/>
    <w:rsid w:val="00B67058"/>
    <w:rsid w:val="00B70396"/>
    <w:rsid w:val="00B7116B"/>
    <w:rsid w:val="00B73C09"/>
    <w:rsid w:val="00B77C01"/>
    <w:rsid w:val="00B77CB7"/>
    <w:rsid w:val="00B80D77"/>
    <w:rsid w:val="00B81CF9"/>
    <w:rsid w:val="00B81D74"/>
    <w:rsid w:val="00B8398C"/>
    <w:rsid w:val="00B84A12"/>
    <w:rsid w:val="00B854DE"/>
    <w:rsid w:val="00B85D8B"/>
    <w:rsid w:val="00B86D44"/>
    <w:rsid w:val="00B94467"/>
    <w:rsid w:val="00B949A1"/>
    <w:rsid w:val="00B953E6"/>
    <w:rsid w:val="00B95AE9"/>
    <w:rsid w:val="00B971A8"/>
    <w:rsid w:val="00BA0FF2"/>
    <w:rsid w:val="00BA1B5E"/>
    <w:rsid w:val="00BA2AF3"/>
    <w:rsid w:val="00BA52CA"/>
    <w:rsid w:val="00BB0B68"/>
    <w:rsid w:val="00BB1EAB"/>
    <w:rsid w:val="00BB57F9"/>
    <w:rsid w:val="00BB79D7"/>
    <w:rsid w:val="00BB7AA7"/>
    <w:rsid w:val="00BB7F70"/>
    <w:rsid w:val="00BC2E3F"/>
    <w:rsid w:val="00BC4183"/>
    <w:rsid w:val="00BC50C3"/>
    <w:rsid w:val="00BC5917"/>
    <w:rsid w:val="00BC6BFE"/>
    <w:rsid w:val="00BC7D83"/>
    <w:rsid w:val="00BD1945"/>
    <w:rsid w:val="00BD3062"/>
    <w:rsid w:val="00BD401E"/>
    <w:rsid w:val="00BE0EDF"/>
    <w:rsid w:val="00BE3565"/>
    <w:rsid w:val="00BE392D"/>
    <w:rsid w:val="00BE3D49"/>
    <w:rsid w:val="00BE49CE"/>
    <w:rsid w:val="00BE6D0E"/>
    <w:rsid w:val="00BF2323"/>
    <w:rsid w:val="00BF2B47"/>
    <w:rsid w:val="00BF4B74"/>
    <w:rsid w:val="00BF4FF3"/>
    <w:rsid w:val="00BF5C0E"/>
    <w:rsid w:val="00BF5C58"/>
    <w:rsid w:val="00BF5E12"/>
    <w:rsid w:val="00BF5EB7"/>
    <w:rsid w:val="00BF64D2"/>
    <w:rsid w:val="00BF6867"/>
    <w:rsid w:val="00C00F4C"/>
    <w:rsid w:val="00C0114B"/>
    <w:rsid w:val="00C012E3"/>
    <w:rsid w:val="00C04D60"/>
    <w:rsid w:val="00C053C1"/>
    <w:rsid w:val="00C07B27"/>
    <w:rsid w:val="00C07F34"/>
    <w:rsid w:val="00C12995"/>
    <w:rsid w:val="00C13BCF"/>
    <w:rsid w:val="00C1705E"/>
    <w:rsid w:val="00C17213"/>
    <w:rsid w:val="00C17431"/>
    <w:rsid w:val="00C179CF"/>
    <w:rsid w:val="00C240D5"/>
    <w:rsid w:val="00C24F3D"/>
    <w:rsid w:val="00C25152"/>
    <w:rsid w:val="00C25F9F"/>
    <w:rsid w:val="00C2723A"/>
    <w:rsid w:val="00C27252"/>
    <w:rsid w:val="00C274B0"/>
    <w:rsid w:val="00C3176B"/>
    <w:rsid w:val="00C349DE"/>
    <w:rsid w:val="00C35D98"/>
    <w:rsid w:val="00C469E9"/>
    <w:rsid w:val="00C55901"/>
    <w:rsid w:val="00C55CB4"/>
    <w:rsid w:val="00C56298"/>
    <w:rsid w:val="00C57F0A"/>
    <w:rsid w:val="00C61813"/>
    <w:rsid w:val="00C6378C"/>
    <w:rsid w:val="00C63BA6"/>
    <w:rsid w:val="00C640A7"/>
    <w:rsid w:val="00C66046"/>
    <w:rsid w:val="00C66AB7"/>
    <w:rsid w:val="00C726CF"/>
    <w:rsid w:val="00C743B9"/>
    <w:rsid w:val="00C75432"/>
    <w:rsid w:val="00C76D3B"/>
    <w:rsid w:val="00C811BA"/>
    <w:rsid w:val="00C811EF"/>
    <w:rsid w:val="00C81664"/>
    <w:rsid w:val="00C87B2F"/>
    <w:rsid w:val="00C9044D"/>
    <w:rsid w:val="00C91747"/>
    <w:rsid w:val="00C92B71"/>
    <w:rsid w:val="00C93260"/>
    <w:rsid w:val="00C96B55"/>
    <w:rsid w:val="00C96CEC"/>
    <w:rsid w:val="00CA14DC"/>
    <w:rsid w:val="00CA167D"/>
    <w:rsid w:val="00CA2842"/>
    <w:rsid w:val="00CA536D"/>
    <w:rsid w:val="00CA6B7F"/>
    <w:rsid w:val="00CA6D73"/>
    <w:rsid w:val="00CA79B9"/>
    <w:rsid w:val="00CB0E19"/>
    <w:rsid w:val="00CB1233"/>
    <w:rsid w:val="00CB29B4"/>
    <w:rsid w:val="00CB3356"/>
    <w:rsid w:val="00CB5A89"/>
    <w:rsid w:val="00CB65FA"/>
    <w:rsid w:val="00CB70E0"/>
    <w:rsid w:val="00CC0B33"/>
    <w:rsid w:val="00CC0F3D"/>
    <w:rsid w:val="00CC1273"/>
    <w:rsid w:val="00CC1BAE"/>
    <w:rsid w:val="00CC7009"/>
    <w:rsid w:val="00CC750F"/>
    <w:rsid w:val="00CD1BA4"/>
    <w:rsid w:val="00CD51AD"/>
    <w:rsid w:val="00CD56CB"/>
    <w:rsid w:val="00CE0939"/>
    <w:rsid w:val="00CE207A"/>
    <w:rsid w:val="00CE346B"/>
    <w:rsid w:val="00CE392E"/>
    <w:rsid w:val="00CE5872"/>
    <w:rsid w:val="00CE7AE4"/>
    <w:rsid w:val="00CF2B1D"/>
    <w:rsid w:val="00CF2DE0"/>
    <w:rsid w:val="00CF365A"/>
    <w:rsid w:val="00CF46CD"/>
    <w:rsid w:val="00CF7001"/>
    <w:rsid w:val="00D023B0"/>
    <w:rsid w:val="00D03740"/>
    <w:rsid w:val="00D03A97"/>
    <w:rsid w:val="00D050A4"/>
    <w:rsid w:val="00D054E6"/>
    <w:rsid w:val="00D05B71"/>
    <w:rsid w:val="00D066D4"/>
    <w:rsid w:val="00D115AF"/>
    <w:rsid w:val="00D11FC6"/>
    <w:rsid w:val="00D218DD"/>
    <w:rsid w:val="00D2199E"/>
    <w:rsid w:val="00D2278A"/>
    <w:rsid w:val="00D2428D"/>
    <w:rsid w:val="00D2485C"/>
    <w:rsid w:val="00D249A9"/>
    <w:rsid w:val="00D25FB6"/>
    <w:rsid w:val="00D26DAF"/>
    <w:rsid w:val="00D27983"/>
    <w:rsid w:val="00D33594"/>
    <w:rsid w:val="00D337E0"/>
    <w:rsid w:val="00D348E4"/>
    <w:rsid w:val="00D3516C"/>
    <w:rsid w:val="00D36F7C"/>
    <w:rsid w:val="00D458F9"/>
    <w:rsid w:val="00D521CC"/>
    <w:rsid w:val="00D566BC"/>
    <w:rsid w:val="00D618BF"/>
    <w:rsid w:val="00D61E0F"/>
    <w:rsid w:val="00D6770B"/>
    <w:rsid w:val="00D70DA1"/>
    <w:rsid w:val="00D71C83"/>
    <w:rsid w:val="00D7466B"/>
    <w:rsid w:val="00D759F6"/>
    <w:rsid w:val="00D767A0"/>
    <w:rsid w:val="00D771FE"/>
    <w:rsid w:val="00D807E7"/>
    <w:rsid w:val="00D8110E"/>
    <w:rsid w:val="00D81AE2"/>
    <w:rsid w:val="00D82211"/>
    <w:rsid w:val="00D83596"/>
    <w:rsid w:val="00D8597A"/>
    <w:rsid w:val="00D863DA"/>
    <w:rsid w:val="00D86E38"/>
    <w:rsid w:val="00D91508"/>
    <w:rsid w:val="00D91C7A"/>
    <w:rsid w:val="00D9274E"/>
    <w:rsid w:val="00D929F4"/>
    <w:rsid w:val="00D937B1"/>
    <w:rsid w:val="00D93D64"/>
    <w:rsid w:val="00D947A6"/>
    <w:rsid w:val="00D94865"/>
    <w:rsid w:val="00D94D4B"/>
    <w:rsid w:val="00DA0ADA"/>
    <w:rsid w:val="00DA6073"/>
    <w:rsid w:val="00DA711C"/>
    <w:rsid w:val="00DB1490"/>
    <w:rsid w:val="00DB5E95"/>
    <w:rsid w:val="00DB7094"/>
    <w:rsid w:val="00DB72B6"/>
    <w:rsid w:val="00DB7C66"/>
    <w:rsid w:val="00DB7F89"/>
    <w:rsid w:val="00DB7FFD"/>
    <w:rsid w:val="00DC44C8"/>
    <w:rsid w:val="00DC6327"/>
    <w:rsid w:val="00DC7C84"/>
    <w:rsid w:val="00DD0269"/>
    <w:rsid w:val="00DD09EE"/>
    <w:rsid w:val="00DD1431"/>
    <w:rsid w:val="00DD199D"/>
    <w:rsid w:val="00DD215D"/>
    <w:rsid w:val="00DD5749"/>
    <w:rsid w:val="00DD60AE"/>
    <w:rsid w:val="00DD6BA3"/>
    <w:rsid w:val="00DD7270"/>
    <w:rsid w:val="00DE2365"/>
    <w:rsid w:val="00DE5C5C"/>
    <w:rsid w:val="00DE6F09"/>
    <w:rsid w:val="00DF079F"/>
    <w:rsid w:val="00DF0A19"/>
    <w:rsid w:val="00DF1D81"/>
    <w:rsid w:val="00DF3EEA"/>
    <w:rsid w:val="00DF472D"/>
    <w:rsid w:val="00DF514F"/>
    <w:rsid w:val="00E012D3"/>
    <w:rsid w:val="00E02307"/>
    <w:rsid w:val="00E035AB"/>
    <w:rsid w:val="00E04BC1"/>
    <w:rsid w:val="00E06797"/>
    <w:rsid w:val="00E1050E"/>
    <w:rsid w:val="00E158E0"/>
    <w:rsid w:val="00E2059A"/>
    <w:rsid w:val="00E20F50"/>
    <w:rsid w:val="00E2211D"/>
    <w:rsid w:val="00E221F8"/>
    <w:rsid w:val="00E22CA8"/>
    <w:rsid w:val="00E260B4"/>
    <w:rsid w:val="00E272E3"/>
    <w:rsid w:val="00E276F9"/>
    <w:rsid w:val="00E27A9E"/>
    <w:rsid w:val="00E3172B"/>
    <w:rsid w:val="00E31F8D"/>
    <w:rsid w:val="00E340E3"/>
    <w:rsid w:val="00E35701"/>
    <w:rsid w:val="00E36B26"/>
    <w:rsid w:val="00E37268"/>
    <w:rsid w:val="00E40C13"/>
    <w:rsid w:val="00E40EBB"/>
    <w:rsid w:val="00E44744"/>
    <w:rsid w:val="00E457C1"/>
    <w:rsid w:val="00E60779"/>
    <w:rsid w:val="00E60F2F"/>
    <w:rsid w:val="00E71699"/>
    <w:rsid w:val="00E741F1"/>
    <w:rsid w:val="00E74D0D"/>
    <w:rsid w:val="00E76081"/>
    <w:rsid w:val="00E76F15"/>
    <w:rsid w:val="00E807AC"/>
    <w:rsid w:val="00E82CF4"/>
    <w:rsid w:val="00E833E3"/>
    <w:rsid w:val="00E91923"/>
    <w:rsid w:val="00E9196D"/>
    <w:rsid w:val="00E91B44"/>
    <w:rsid w:val="00E95F5C"/>
    <w:rsid w:val="00EA0A94"/>
    <w:rsid w:val="00EA3CB7"/>
    <w:rsid w:val="00EA5001"/>
    <w:rsid w:val="00EA6F22"/>
    <w:rsid w:val="00EB0C87"/>
    <w:rsid w:val="00EB2727"/>
    <w:rsid w:val="00EB2C3E"/>
    <w:rsid w:val="00EB3679"/>
    <w:rsid w:val="00EB50A0"/>
    <w:rsid w:val="00EB5D94"/>
    <w:rsid w:val="00EB6606"/>
    <w:rsid w:val="00EC0378"/>
    <w:rsid w:val="00EC3816"/>
    <w:rsid w:val="00EC3FEE"/>
    <w:rsid w:val="00EC4612"/>
    <w:rsid w:val="00EC4B14"/>
    <w:rsid w:val="00EC4D2C"/>
    <w:rsid w:val="00EC509F"/>
    <w:rsid w:val="00ED0927"/>
    <w:rsid w:val="00ED2EB1"/>
    <w:rsid w:val="00ED622B"/>
    <w:rsid w:val="00ED66FD"/>
    <w:rsid w:val="00ED7B78"/>
    <w:rsid w:val="00EE1EC2"/>
    <w:rsid w:val="00EE20A4"/>
    <w:rsid w:val="00EE464E"/>
    <w:rsid w:val="00EE5CD9"/>
    <w:rsid w:val="00EE628F"/>
    <w:rsid w:val="00EE7EB0"/>
    <w:rsid w:val="00EF4F81"/>
    <w:rsid w:val="00EF710E"/>
    <w:rsid w:val="00F0145A"/>
    <w:rsid w:val="00F0326A"/>
    <w:rsid w:val="00F03AB1"/>
    <w:rsid w:val="00F043E3"/>
    <w:rsid w:val="00F04CC0"/>
    <w:rsid w:val="00F0649D"/>
    <w:rsid w:val="00F06C76"/>
    <w:rsid w:val="00F06D9F"/>
    <w:rsid w:val="00F07DEB"/>
    <w:rsid w:val="00F12B61"/>
    <w:rsid w:val="00F1364F"/>
    <w:rsid w:val="00F13CB1"/>
    <w:rsid w:val="00F15DF4"/>
    <w:rsid w:val="00F17044"/>
    <w:rsid w:val="00F2490F"/>
    <w:rsid w:val="00F24BF0"/>
    <w:rsid w:val="00F25C93"/>
    <w:rsid w:val="00F273F8"/>
    <w:rsid w:val="00F30DE7"/>
    <w:rsid w:val="00F34EA7"/>
    <w:rsid w:val="00F36F91"/>
    <w:rsid w:val="00F37C93"/>
    <w:rsid w:val="00F407A9"/>
    <w:rsid w:val="00F43762"/>
    <w:rsid w:val="00F4597B"/>
    <w:rsid w:val="00F46CD5"/>
    <w:rsid w:val="00F46D11"/>
    <w:rsid w:val="00F47B42"/>
    <w:rsid w:val="00F579C2"/>
    <w:rsid w:val="00F6154A"/>
    <w:rsid w:val="00F6290B"/>
    <w:rsid w:val="00F62AF2"/>
    <w:rsid w:val="00F636C9"/>
    <w:rsid w:val="00F643BD"/>
    <w:rsid w:val="00F6611A"/>
    <w:rsid w:val="00F73225"/>
    <w:rsid w:val="00F7393D"/>
    <w:rsid w:val="00F74AD0"/>
    <w:rsid w:val="00F836C3"/>
    <w:rsid w:val="00F8481C"/>
    <w:rsid w:val="00F8499D"/>
    <w:rsid w:val="00F85374"/>
    <w:rsid w:val="00F901B9"/>
    <w:rsid w:val="00F91D38"/>
    <w:rsid w:val="00F92C13"/>
    <w:rsid w:val="00F92C65"/>
    <w:rsid w:val="00F9473D"/>
    <w:rsid w:val="00FA005F"/>
    <w:rsid w:val="00FA0A0C"/>
    <w:rsid w:val="00FA1F2C"/>
    <w:rsid w:val="00FA3CCE"/>
    <w:rsid w:val="00FA5504"/>
    <w:rsid w:val="00FA6610"/>
    <w:rsid w:val="00FA6645"/>
    <w:rsid w:val="00FA72F1"/>
    <w:rsid w:val="00FB2AD9"/>
    <w:rsid w:val="00FB3CF4"/>
    <w:rsid w:val="00FB454B"/>
    <w:rsid w:val="00FC1ED6"/>
    <w:rsid w:val="00FC20B2"/>
    <w:rsid w:val="00FC4EFF"/>
    <w:rsid w:val="00FC57E1"/>
    <w:rsid w:val="00FD109A"/>
    <w:rsid w:val="00FD1E2A"/>
    <w:rsid w:val="00FD3C6E"/>
    <w:rsid w:val="00FD5927"/>
    <w:rsid w:val="00FD65EE"/>
    <w:rsid w:val="00FD7547"/>
    <w:rsid w:val="00FD780B"/>
    <w:rsid w:val="00FE15B3"/>
    <w:rsid w:val="00FE31EA"/>
    <w:rsid w:val="00FE4A50"/>
    <w:rsid w:val="00FF19E1"/>
    <w:rsid w:val="00FF2051"/>
    <w:rsid w:val="00FF3C28"/>
    <w:rsid w:val="00FF40CE"/>
    <w:rsid w:val="00FF73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00988c"/>
    </o:shapedefaults>
    <o:shapelayout v:ext="edit">
      <o:idmap v:ext="edit" data="1"/>
    </o:shapelayout>
  </w:shapeDefaults>
  <w:decimalSymbol w:val="."/>
  <w:listSeparator w:val=","/>
  <w14:docId w14:val="28EA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A72F1"/>
    <w:pPr>
      <w:spacing w:after="480"/>
      <w:contextualSpacing/>
    </w:pPr>
    <w:rPr>
      <w:rFonts w:ascii="Calibri" w:hAnsi="Calibri"/>
      <w:sz w:val="22"/>
      <w:szCs w:val="24"/>
    </w:rPr>
  </w:style>
  <w:style w:type="paragraph" w:styleId="Heading1">
    <w:name w:val="heading 1"/>
    <w:basedOn w:val="Normal"/>
    <w:next w:val="Normal"/>
    <w:qFormat/>
    <w:rsid w:val="000B1FE5"/>
    <w:pPr>
      <w:spacing w:before="480"/>
      <w:outlineLvl w:val="0"/>
    </w:pPr>
    <w:rPr>
      <w:rFonts w:cs="Arial"/>
      <w:b/>
      <w:bCs/>
      <w:color w:val="009891"/>
      <w:sz w:val="36"/>
      <w:szCs w:val="36"/>
    </w:rPr>
  </w:style>
  <w:style w:type="paragraph" w:styleId="Heading2">
    <w:name w:val="heading 2"/>
    <w:basedOn w:val="Normal"/>
    <w:next w:val="Normal"/>
    <w:qFormat/>
    <w:rsid w:val="00414C34"/>
    <w:pPr>
      <w:keepNext/>
      <w:spacing w:before="480" w:after="240"/>
      <w:outlineLvl w:val="1"/>
    </w:pPr>
    <w:rPr>
      <w:rFonts w:cs="Arial"/>
      <w:b/>
      <w:bCs/>
      <w:iCs/>
      <w:color w:val="00988C"/>
      <w:sz w:val="24"/>
      <w:szCs w:val="28"/>
    </w:rPr>
  </w:style>
  <w:style w:type="paragraph" w:styleId="Heading3">
    <w:name w:val="heading 3"/>
    <w:basedOn w:val="Normal"/>
    <w:next w:val="Normal"/>
    <w:link w:val="Heading3Char"/>
    <w:qFormat/>
    <w:rsid w:val="00414C34"/>
    <w:pPr>
      <w:autoSpaceDE w:val="0"/>
      <w:autoSpaceDN w:val="0"/>
      <w:adjustRightInd w:val="0"/>
      <w:spacing w:before="240" w:after="0"/>
      <w:contextualSpacing w:val="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3D0B19"/>
    <w:pPr>
      <w:autoSpaceDE w:val="0"/>
      <w:autoSpaceDN w:val="0"/>
      <w:adjustRightInd w:val="0"/>
      <w:spacing w:before="60" w:after="60"/>
    </w:pPr>
    <w:rPr>
      <w:sz w:val="20"/>
    </w:rPr>
  </w:style>
  <w:style w:type="paragraph" w:customStyle="1" w:styleId="TableHeadingCentred">
    <w:name w:val="Table Heading Centred"/>
    <w:basedOn w:val="Tabletext"/>
    <w:rsid w:val="00570756"/>
    <w:pPr>
      <w:jc w:val="center"/>
    </w:pPr>
    <w:rPr>
      <w:b/>
      <w:bCs/>
      <w:color w:val="FFFFFF"/>
      <w:sz w:val="24"/>
    </w:rPr>
  </w:style>
  <w:style w:type="numbering" w:customStyle="1" w:styleId="BulletList">
    <w:name w:val="Bullet List"/>
    <w:basedOn w:val="NoList"/>
    <w:rsid w:val="005865F5"/>
    <w:pPr>
      <w:numPr>
        <w:numId w:val="7"/>
      </w:numPr>
    </w:pPr>
  </w:style>
  <w:style w:type="character" w:styleId="Hyperlink">
    <w:name w:val="Hyperlink"/>
    <w:basedOn w:val="DefaultParagraphFont"/>
    <w:rsid w:val="004C4713"/>
    <w:rPr>
      <w:color w:val="0000FF"/>
      <w:u w:val="single"/>
    </w:rPr>
  </w:style>
  <w:style w:type="character" w:customStyle="1" w:styleId="Heading3Char">
    <w:name w:val="Heading 3 Char"/>
    <w:basedOn w:val="DefaultParagraphFont"/>
    <w:link w:val="Heading3"/>
    <w:rsid w:val="00414C34"/>
    <w:rPr>
      <w:rFonts w:ascii="Calibri" w:hAnsi="Calibri"/>
      <w:b/>
      <w:color w:val="000000"/>
      <w:sz w:val="24"/>
      <w:szCs w:val="24"/>
      <w:lang w:val="en-AU" w:eastAsia="en-AU" w:bidi="ar-SA"/>
    </w:rPr>
  </w:style>
  <w:style w:type="paragraph" w:customStyle="1" w:styleId="NormalItalics">
    <w:name w:val="Normal Italics"/>
    <w:basedOn w:val="Normal"/>
    <w:link w:val="NormalItalicsChar"/>
    <w:rsid w:val="005865F5"/>
    <w:rPr>
      <w:i/>
    </w:rPr>
  </w:style>
  <w:style w:type="character" w:customStyle="1" w:styleId="NormalItalicsChar">
    <w:name w:val="Normal Italics Char"/>
    <w:basedOn w:val="DefaultParagraphFont"/>
    <w:link w:val="NormalItalics"/>
    <w:rsid w:val="005865F5"/>
    <w:rPr>
      <w:rFonts w:ascii="Calibri" w:hAnsi="Calibri"/>
      <w:i/>
      <w:sz w:val="22"/>
      <w:szCs w:val="24"/>
      <w:lang w:val="en-AU" w:eastAsia="en-AU" w:bidi="ar-SA"/>
    </w:rPr>
  </w:style>
  <w:style w:type="character" w:customStyle="1" w:styleId="NormalBoldChar">
    <w:name w:val="Normal Bold Char"/>
    <w:basedOn w:val="DefaultParagraphFont"/>
    <w:link w:val="NormalBold"/>
    <w:rsid w:val="005865F5"/>
    <w:rPr>
      <w:rFonts w:ascii="Calibri" w:hAnsi="Calibri"/>
      <w:b/>
      <w:sz w:val="22"/>
      <w:szCs w:val="24"/>
      <w:lang w:val="en-AU" w:eastAsia="en-AU" w:bidi="ar-SA"/>
    </w:rPr>
  </w:style>
  <w:style w:type="paragraph" w:customStyle="1" w:styleId="NormalBold">
    <w:name w:val="Normal Bold"/>
    <w:basedOn w:val="Normal"/>
    <w:link w:val="NormalBoldChar"/>
    <w:rsid w:val="005865F5"/>
    <w:pPr>
      <w:tabs>
        <w:tab w:val="left" w:pos="0"/>
      </w:tabs>
    </w:pPr>
    <w:rPr>
      <w:b/>
    </w:rPr>
  </w:style>
  <w:style w:type="paragraph" w:customStyle="1" w:styleId="TableTextCentred">
    <w:name w:val="Table Text Centred"/>
    <w:basedOn w:val="Tabletext"/>
    <w:rsid w:val="00283530"/>
    <w:pPr>
      <w:jc w:val="center"/>
    </w:pPr>
  </w:style>
  <w:style w:type="numbering" w:customStyle="1" w:styleId="NumberedList">
    <w:name w:val="Numbered List"/>
    <w:basedOn w:val="NoList"/>
    <w:rsid w:val="005865F5"/>
    <w:pPr>
      <w:numPr>
        <w:numId w:val="8"/>
      </w:numPr>
    </w:pPr>
  </w:style>
  <w:style w:type="paragraph" w:styleId="Footer">
    <w:name w:val="footer"/>
    <w:basedOn w:val="Normal"/>
    <w:rsid w:val="00E60779"/>
    <w:pPr>
      <w:tabs>
        <w:tab w:val="center" w:pos="4153"/>
        <w:tab w:val="right" w:pos="8306"/>
      </w:tabs>
      <w:spacing w:after="0"/>
      <w:contextualSpacing w:val="0"/>
    </w:pPr>
    <w:rPr>
      <w:color w:val="808080"/>
      <w:sz w:val="20"/>
    </w:rPr>
  </w:style>
  <w:style w:type="paragraph" w:customStyle="1" w:styleId="TableTextRightAligned">
    <w:name w:val="Table Text Right Aligned"/>
    <w:basedOn w:val="Tabletext"/>
    <w:rsid w:val="00283530"/>
    <w:pPr>
      <w:jc w:val="right"/>
    </w:pPr>
  </w:style>
  <w:style w:type="paragraph" w:customStyle="1" w:styleId="FooterRightAligned">
    <w:name w:val="Footer Right Aligned"/>
    <w:basedOn w:val="Footer"/>
    <w:rsid w:val="00E60779"/>
    <w:pPr>
      <w:jc w:val="right"/>
    </w:pPr>
    <w:rPr>
      <w:szCs w:val="20"/>
    </w:rPr>
  </w:style>
  <w:style w:type="paragraph" w:customStyle="1" w:styleId="FooterCentred">
    <w:name w:val="Footer Centred"/>
    <w:basedOn w:val="Footer"/>
    <w:rsid w:val="00582E33"/>
    <w:pPr>
      <w:jc w:val="center"/>
    </w:pPr>
  </w:style>
  <w:style w:type="paragraph" w:styleId="Header">
    <w:name w:val="header"/>
    <w:basedOn w:val="Normal"/>
    <w:rsid w:val="00582E33"/>
    <w:pPr>
      <w:tabs>
        <w:tab w:val="center" w:pos="4153"/>
        <w:tab w:val="right" w:pos="8306"/>
      </w:tabs>
    </w:pPr>
  </w:style>
  <w:style w:type="paragraph" w:styleId="BalloonText">
    <w:name w:val="Balloon Text"/>
    <w:basedOn w:val="Normal"/>
    <w:link w:val="BalloonTextChar"/>
    <w:rsid w:val="00481743"/>
    <w:pPr>
      <w:spacing w:after="0"/>
    </w:pPr>
    <w:rPr>
      <w:rFonts w:ascii="Tahoma" w:hAnsi="Tahoma" w:cs="Tahoma"/>
      <w:sz w:val="16"/>
      <w:szCs w:val="16"/>
    </w:rPr>
  </w:style>
  <w:style w:type="character" w:customStyle="1" w:styleId="BalloonTextChar">
    <w:name w:val="Balloon Text Char"/>
    <w:basedOn w:val="DefaultParagraphFont"/>
    <w:link w:val="BalloonText"/>
    <w:rsid w:val="00481743"/>
    <w:rPr>
      <w:rFonts w:ascii="Tahoma" w:hAnsi="Tahoma" w:cs="Tahoma"/>
      <w:sz w:val="16"/>
      <w:szCs w:val="16"/>
    </w:rPr>
  </w:style>
  <w:style w:type="paragraph" w:styleId="ListParagraph">
    <w:name w:val="List Paragraph"/>
    <w:basedOn w:val="Normal"/>
    <w:uiPriority w:val="34"/>
    <w:qFormat/>
    <w:rsid w:val="00655E17"/>
    <w:pPr>
      <w:ind w:left="720"/>
    </w:pPr>
  </w:style>
  <w:style w:type="character" w:styleId="CommentReference">
    <w:name w:val="annotation reference"/>
    <w:basedOn w:val="DefaultParagraphFont"/>
    <w:rsid w:val="00F9473D"/>
    <w:rPr>
      <w:sz w:val="16"/>
      <w:szCs w:val="16"/>
    </w:rPr>
  </w:style>
  <w:style w:type="paragraph" w:styleId="CommentText">
    <w:name w:val="annotation text"/>
    <w:basedOn w:val="Normal"/>
    <w:link w:val="CommentTextChar"/>
    <w:rsid w:val="00F9473D"/>
    <w:rPr>
      <w:sz w:val="20"/>
      <w:szCs w:val="20"/>
    </w:rPr>
  </w:style>
  <w:style w:type="character" w:customStyle="1" w:styleId="CommentTextChar">
    <w:name w:val="Comment Text Char"/>
    <w:basedOn w:val="DefaultParagraphFont"/>
    <w:link w:val="CommentText"/>
    <w:rsid w:val="00F9473D"/>
    <w:rPr>
      <w:rFonts w:ascii="Calibri" w:hAnsi="Calibri"/>
    </w:rPr>
  </w:style>
  <w:style w:type="paragraph" w:styleId="CommentSubject">
    <w:name w:val="annotation subject"/>
    <w:basedOn w:val="CommentText"/>
    <w:next w:val="CommentText"/>
    <w:link w:val="CommentSubjectChar"/>
    <w:rsid w:val="00F9473D"/>
    <w:rPr>
      <w:b/>
      <w:bCs/>
    </w:rPr>
  </w:style>
  <w:style w:type="character" w:customStyle="1" w:styleId="CommentSubjectChar">
    <w:name w:val="Comment Subject Char"/>
    <w:basedOn w:val="CommentTextChar"/>
    <w:link w:val="CommentSubject"/>
    <w:rsid w:val="00F9473D"/>
    <w:rPr>
      <w:rFonts w:ascii="Calibri" w:hAnsi="Calibri"/>
      <w:b/>
      <w:bCs/>
    </w:rPr>
  </w:style>
  <w:style w:type="character" w:styleId="FollowedHyperlink">
    <w:name w:val="FollowedHyperlink"/>
    <w:basedOn w:val="DefaultParagraphFont"/>
    <w:rsid w:val="00A34BDD"/>
    <w:rPr>
      <w:color w:val="800080" w:themeColor="followedHyperlink"/>
      <w:u w:val="single"/>
    </w:rPr>
  </w:style>
  <w:style w:type="paragraph" w:customStyle="1" w:styleId="Default">
    <w:name w:val="Default"/>
    <w:rsid w:val="00A44B8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A72F1"/>
    <w:pPr>
      <w:spacing w:after="480"/>
      <w:contextualSpacing/>
    </w:pPr>
    <w:rPr>
      <w:rFonts w:ascii="Calibri" w:hAnsi="Calibri"/>
      <w:sz w:val="22"/>
      <w:szCs w:val="24"/>
    </w:rPr>
  </w:style>
  <w:style w:type="paragraph" w:styleId="Heading1">
    <w:name w:val="heading 1"/>
    <w:basedOn w:val="Normal"/>
    <w:next w:val="Normal"/>
    <w:qFormat/>
    <w:rsid w:val="000B1FE5"/>
    <w:pPr>
      <w:spacing w:before="480"/>
      <w:outlineLvl w:val="0"/>
    </w:pPr>
    <w:rPr>
      <w:rFonts w:cs="Arial"/>
      <w:b/>
      <w:bCs/>
      <w:color w:val="009891"/>
      <w:sz w:val="36"/>
      <w:szCs w:val="36"/>
    </w:rPr>
  </w:style>
  <w:style w:type="paragraph" w:styleId="Heading2">
    <w:name w:val="heading 2"/>
    <w:basedOn w:val="Normal"/>
    <w:next w:val="Normal"/>
    <w:qFormat/>
    <w:rsid w:val="00414C34"/>
    <w:pPr>
      <w:keepNext/>
      <w:spacing w:before="480" w:after="240"/>
      <w:outlineLvl w:val="1"/>
    </w:pPr>
    <w:rPr>
      <w:rFonts w:cs="Arial"/>
      <w:b/>
      <w:bCs/>
      <w:iCs/>
      <w:color w:val="00988C"/>
      <w:sz w:val="24"/>
      <w:szCs w:val="28"/>
    </w:rPr>
  </w:style>
  <w:style w:type="paragraph" w:styleId="Heading3">
    <w:name w:val="heading 3"/>
    <w:basedOn w:val="Normal"/>
    <w:next w:val="Normal"/>
    <w:link w:val="Heading3Char"/>
    <w:qFormat/>
    <w:rsid w:val="00414C34"/>
    <w:pPr>
      <w:autoSpaceDE w:val="0"/>
      <w:autoSpaceDN w:val="0"/>
      <w:adjustRightInd w:val="0"/>
      <w:spacing w:before="240" w:after="0"/>
      <w:contextualSpacing w:val="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3D0B19"/>
    <w:pPr>
      <w:autoSpaceDE w:val="0"/>
      <w:autoSpaceDN w:val="0"/>
      <w:adjustRightInd w:val="0"/>
      <w:spacing w:before="60" w:after="60"/>
    </w:pPr>
    <w:rPr>
      <w:sz w:val="20"/>
    </w:rPr>
  </w:style>
  <w:style w:type="paragraph" w:customStyle="1" w:styleId="TableHeadingCentred">
    <w:name w:val="Table Heading Centred"/>
    <w:basedOn w:val="Tabletext"/>
    <w:rsid w:val="00570756"/>
    <w:pPr>
      <w:jc w:val="center"/>
    </w:pPr>
    <w:rPr>
      <w:b/>
      <w:bCs/>
      <w:color w:val="FFFFFF"/>
      <w:sz w:val="24"/>
    </w:rPr>
  </w:style>
  <w:style w:type="numbering" w:customStyle="1" w:styleId="BulletList">
    <w:name w:val="Bullet List"/>
    <w:basedOn w:val="NoList"/>
    <w:rsid w:val="005865F5"/>
    <w:pPr>
      <w:numPr>
        <w:numId w:val="7"/>
      </w:numPr>
    </w:pPr>
  </w:style>
  <w:style w:type="character" w:styleId="Hyperlink">
    <w:name w:val="Hyperlink"/>
    <w:basedOn w:val="DefaultParagraphFont"/>
    <w:rsid w:val="004C4713"/>
    <w:rPr>
      <w:color w:val="0000FF"/>
      <w:u w:val="single"/>
    </w:rPr>
  </w:style>
  <w:style w:type="character" w:customStyle="1" w:styleId="Heading3Char">
    <w:name w:val="Heading 3 Char"/>
    <w:basedOn w:val="DefaultParagraphFont"/>
    <w:link w:val="Heading3"/>
    <w:rsid w:val="00414C34"/>
    <w:rPr>
      <w:rFonts w:ascii="Calibri" w:hAnsi="Calibri"/>
      <w:b/>
      <w:color w:val="000000"/>
      <w:sz w:val="24"/>
      <w:szCs w:val="24"/>
      <w:lang w:val="en-AU" w:eastAsia="en-AU" w:bidi="ar-SA"/>
    </w:rPr>
  </w:style>
  <w:style w:type="paragraph" w:customStyle="1" w:styleId="NormalItalics">
    <w:name w:val="Normal Italics"/>
    <w:basedOn w:val="Normal"/>
    <w:link w:val="NormalItalicsChar"/>
    <w:rsid w:val="005865F5"/>
    <w:rPr>
      <w:i/>
    </w:rPr>
  </w:style>
  <w:style w:type="character" w:customStyle="1" w:styleId="NormalItalicsChar">
    <w:name w:val="Normal Italics Char"/>
    <w:basedOn w:val="DefaultParagraphFont"/>
    <w:link w:val="NormalItalics"/>
    <w:rsid w:val="005865F5"/>
    <w:rPr>
      <w:rFonts w:ascii="Calibri" w:hAnsi="Calibri"/>
      <w:i/>
      <w:sz w:val="22"/>
      <w:szCs w:val="24"/>
      <w:lang w:val="en-AU" w:eastAsia="en-AU" w:bidi="ar-SA"/>
    </w:rPr>
  </w:style>
  <w:style w:type="character" w:customStyle="1" w:styleId="NormalBoldChar">
    <w:name w:val="Normal Bold Char"/>
    <w:basedOn w:val="DefaultParagraphFont"/>
    <w:link w:val="NormalBold"/>
    <w:rsid w:val="005865F5"/>
    <w:rPr>
      <w:rFonts w:ascii="Calibri" w:hAnsi="Calibri"/>
      <w:b/>
      <w:sz w:val="22"/>
      <w:szCs w:val="24"/>
      <w:lang w:val="en-AU" w:eastAsia="en-AU" w:bidi="ar-SA"/>
    </w:rPr>
  </w:style>
  <w:style w:type="paragraph" w:customStyle="1" w:styleId="NormalBold">
    <w:name w:val="Normal Bold"/>
    <w:basedOn w:val="Normal"/>
    <w:link w:val="NormalBoldChar"/>
    <w:rsid w:val="005865F5"/>
    <w:pPr>
      <w:tabs>
        <w:tab w:val="left" w:pos="0"/>
      </w:tabs>
    </w:pPr>
    <w:rPr>
      <w:b/>
    </w:rPr>
  </w:style>
  <w:style w:type="paragraph" w:customStyle="1" w:styleId="TableTextCentred">
    <w:name w:val="Table Text Centred"/>
    <w:basedOn w:val="Tabletext"/>
    <w:rsid w:val="00283530"/>
    <w:pPr>
      <w:jc w:val="center"/>
    </w:pPr>
  </w:style>
  <w:style w:type="numbering" w:customStyle="1" w:styleId="NumberedList">
    <w:name w:val="Numbered List"/>
    <w:basedOn w:val="NoList"/>
    <w:rsid w:val="005865F5"/>
    <w:pPr>
      <w:numPr>
        <w:numId w:val="8"/>
      </w:numPr>
    </w:pPr>
  </w:style>
  <w:style w:type="paragraph" w:styleId="Footer">
    <w:name w:val="footer"/>
    <w:basedOn w:val="Normal"/>
    <w:rsid w:val="00E60779"/>
    <w:pPr>
      <w:tabs>
        <w:tab w:val="center" w:pos="4153"/>
        <w:tab w:val="right" w:pos="8306"/>
      </w:tabs>
      <w:spacing w:after="0"/>
      <w:contextualSpacing w:val="0"/>
    </w:pPr>
    <w:rPr>
      <w:color w:val="808080"/>
      <w:sz w:val="20"/>
    </w:rPr>
  </w:style>
  <w:style w:type="paragraph" w:customStyle="1" w:styleId="TableTextRightAligned">
    <w:name w:val="Table Text Right Aligned"/>
    <w:basedOn w:val="Tabletext"/>
    <w:rsid w:val="00283530"/>
    <w:pPr>
      <w:jc w:val="right"/>
    </w:pPr>
  </w:style>
  <w:style w:type="paragraph" w:customStyle="1" w:styleId="FooterRightAligned">
    <w:name w:val="Footer Right Aligned"/>
    <w:basedOn w:val="Footer"/>
    <w:rsid w:val="00E60779"/>
    <w:pPr>
      <w:jc w:val="right"/>
    </w:pPr>
    <w:rPr>
      <w:szCs w:val="20"/>
    </w:rPr>
  </w:style>
  <w:style w:type="paragraph" w:customStyle="1" w:styleId="FooterCentred">
    <w:name w:val="Footer Centred"/>
    <w:basedOn w:val="Footer"/>
    <w:rsid w:val="00582E33"/>
    <w:pPr>
      <w:jc w:val="center"/>
    </w:pPr>
  </w:style>
  <w:style w:type="paragraph" w:styleId="Header">
    <w:name w:val="header"/>
    <w:basedOn w:val="Normal"/>
    <w:rsid w:val="00582E33"/>
    <w:pPr>
      <w:tabs>
        <w:tab w:val="center" w:pos="4153"/>
        <w:tab w:val="right" w:pos="8306"/>
      </w:tabs>
    </w:pPr>
  </w:style>
  <w:style w:type="paragraph" w:styleId="BalloonText">
    <w:name w:val="Balloon Text"/>
    <w:basedOn w:val="Normal"/>
    <w:link w:val="BalloonTextChar"/>
    <w:rsid w:val="00481743"/>
    <w:pPr>
      <w:spacing w:after="0"/>
    </w:pPr>
    <w:rPr>
      <w:rFonts w:ascii="Tahoma" w:hAnsi="Tahoma" w:cs="Tahoma"/>
      <w:sz w:val="16"/>
      <w:szCs w:val="16"/>
    </w:rPr>
  </w:style>
  <w:style w:type="character" w:customStyle="1" w:styleId="BalloonTextChar">
    <w:name w:val="Balloon Text Char"/>
    <w:basedOn w:val="DefaultParagraphFont"/>
    <w:link w:val="BalloonText"/>
    <w:rsid w:val="00481743"/>
    <w:rPr>
      <w:rFonts w:ascii="Tahoma" w:hAnsi="Tahoma" w:cs="Tahoma"/>
      <w:sz w:val="16"/>
      <w:szCs w:val="16"/>
    </w:rPr>
  </w:style>
  <w:style w:type="paragraph" w:styleId="ListParagraph">
    <w:name w:val="List Paragraph"/>
    <w:basedOn w:val="Normal"/>
    <w:uiPriority w:val="34"/>
    <w:qFormat/>
    <w:rsid w:val="00655E17"/>
    <w:pPr>
      <w:ind w:left="720"/>
    </w:pPr>
  </w:style>
  <w:style w:type="character" w:styleId="CommentReference">
    <w:name w:val="annotation reference"/>
    <w:basedOn w:val="DefaultParagraphFont"/>
    <w:rsid w:val="00F9473D"/>
    <w:rPr>
      <w:sz w:val="16"/>
      <w:szCs w:val="16"/>
    </w:rPr>
  </w:style>
  <w:style w:type="paragraph" w:styleId="CommentText">
    <w:name w:val="annotation text"/>
    <w:basedOn w:val="Normal"/>
    <w:link w:val="CommentTextChar"/>
    <w:rsid w:val="00F9473D"/>
    <w:rPr>
      <w:sz w:val="20"/>
      <w:szCs w:val="20"/>
    </w:rPr>
  </w:style>
  <w:style w:type="character" w:customStyle="1" w:styleId="CommentTextChar">
    <w:name w:val="Comment Text Char"/>
    <w:basedOn w:val="DefaultParagraphFont"/>
    <w:link w:val="CommentText"/>
    <w:rsid w:val="00F9473D"/>
    <w:rPr>
      <w:rFonts w:ascii="Calibri" w:hAnsi="Calibri"/>
    </w:rPr>
  </w:style>
  <w:style w:type="paragraph" w:styleId="CommentSubject">
    <w:name w:val="annotation subject"/>
    <w:basedOn w:val="CommentText"/>
    <w:next w:val="CommentText"/>
    <w:link w:val="CommentSubjectChar"/>
    <w:rsid w:val="00F9473D"/>
    <w:rPr>
      <w:b/>
      <w:bCs/>
    </w:rPr>
  </w:style>
  <w:style w:type="character" w:customStyle="1" w:styleId="CommentSubjectChar">
    <w:name w:val="Comment Subject Char"/>
    <w:basedOn w:val="CommentTextChar"/>
    <w:link w:val="CommentSubject"/>
    <w:rsid w:val="00F9473D"/>
    <w:rPr>
      <w:rFonts w:ascii="Calibri" w:hAnsi="Calibri"/>
      <w:b/>
      <w:bCs/>
    </w:rPr>
  </w:style>
  <w:style w:type="character" w:styleId="FollowedHyperlink">
    <w:name w:val="FollowedHyperlink"/>
    <w:basedOn w:val="DefaultParagraphFont"/>
    <w:rsid w:val="00A34BDD"/>
    <w:rPr>
      <w:color w:val="800080" w:themeColor="followedHyperlink"/>
      <w:u w:val="single"/>
    </w:rPr>
  </w:style>
  <w:style w:type="paragraph" w:customStyle="1" w:styleId="Default">
    <w:name w:val="Default"/>
    <w:rsid w:val="00A44B8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D274367C6F095C4B8EA35C7E75B736AA" ma:contentTypeVersion="14" ma:contentTypeDescription="Ddocs' Word Content Type" ma:contentTypeScope="" ma:versionID="2fdf9eb568fc8eb8ca2d39d97b5db4ab">
  <xsd:schema xmlns:xsd="http://www.w3.org/2001/XMLSchema" xmlns:xs="http://www.w3.org/2001/XMLSchema" xmlns:p="http://schemas.microsoft.com/office/2006/metadata/properties" xmlns:ns2="http://schemas.microsoft.com/sharepoint/v3/fields" xmlns:ns3="4ff5bc6b-1238-418a-b0ee-f48830a30d62" xmlns:ns4="622189b5-9a01-4bc7-9222-0e1642af72ed" targetNamespace="http://schemas.microsoft.com/office/2006/metadata/properties" ma:root="true" ma:fieldsID="790d65d6bb8644a79208fb589f9d75e6" ns2:_="" ns3:_="" ns4:_="">
    <xsd:import namespace="http://schemas.microsoft.com/sharepoint/v3/fields"/>
    <xsd:import namespace="4ff5bc6b-1238-418a-b0ee-f48830a30d62"/>
    <xsd:import namespace="622189b5-9a01-4bc7-9222-0e1642af72ed"/>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Topic"/>
                <xsd:element ref="ns4:Site"/>
                <xsd:element ref="ns4:Reference_x0020_Mater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2189b5-9a01-4bc7-9222-0e1642af72ed" elementFormDefault="qualified">
    <xsd:import namespace="http://schemas.microsoft.com/office/2006/documentManagement/types"/>
    <xsd:import namespace="http://schemas.microsoft.com/office/infopath/2007/PartnerControls"/>
    <xsd:element name="Topic" ma:index="17" ma:displayName="Topic" ma:format="RadioButtons" ma:internalName="Topic">
      <xsd:simpleType>
        <xsd:restriction base="dms:Choice">
          <xsd:enumeration value="Vacancy"/>
          <xsd:enumeration value="Placement"/>
          <xsd:enumeration value="Outcome"/>
        </xsd:restriction>
      </xsd:simpleType>
    </xsd:element>
    <xsd:element name="Site" ma:index="18" ma:displayName="Site" ma:default="Stream Services" ma:format="RadioButtons" ma:internalName="Site">
      <xsd:simpleType>
        <xsd:restriction base="dms:Choice">
          <xsd:enumeration value="Stream Services"/>
          <xsd:enumeration value="Contract Manager"/>
        </xsd:restriction>
      </xsd:simpleType>
    </xsd:element>
    <xsd:element name="Reference_x0020_Material" ma:index="19" ma:displayName="Reference Material" ma:default="Job Aid" ma:format="RadioButtons" ma:internalName="Reference_x0020_Material">
      <xsd:simpleType>
        <xsd:restriction base="dms:Choice">
          <xsd:enumeration value="Job Aid"/>
          <xsd:enumeration value="Guideline"/>
          <xsd:enumeration value="News Item"/>
          <xsd:enumeration value="Q&amp;A"/>
          <xsd:enumeration value="Program Advice"/>
          <xsd:enumeration value="LiveMeet"/>
          <xsd:enumeration value="Presentation"/>
          <xsd:enumeration value="Provider Portal Page"/>
          <xsd:enumeration value="Fact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docsSearchTerms xmlns="http://schemas.microsoft.com/sharepoint/v3/fields" xsi:nil="true"/>
    <DNetUniqueId xmlns="http://schemas.microsoft.com/sharepoint/v3/fields">D06-8972913</DNetUniqueId>
    <_dlc_ExpireDateSaved xmlns="4ff5bc6b-1238-418a-b0ee-f48830a30d62" xsi:nil="true"/>
    <_dlc_ExpireDate xmlns="4ff5bc6b-1238-418a-b0ee-f48830a30d62" xsi:nil="true"/>
    <Topic xmlns="622189b5-9a01-4bc7-9222-0e1642af72ed">Vacancy</Topic>
    <Site xmlns="622189b5-9a01-4bc7-9222-0e1642af72ed">Stream Services</Site>
    <Reference_x0020_Material xmlns="622189b5-9a01-4bc7-9222-0e1642af72ed">Fact Sheet</Reference_x0020_Materia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AAD3-0C50-416F-8E9A-B8CC08AD9857}">
  <ds:schemaRefs>
    <ds:schemaRef ds:uri="http://schemas.microsoft.com/office/2006/metadata/longProperties"/>
  </ds:schemaRefs>
</ds:datastoreItem>
</file>

<file path=customXml/itemProps2.xml><?xml version="1.0" encoding="utf-8"?>
<ds:datastoreItem xmlns:ds="http://schemas.openxmlformats.org/officeDocument/2006/customXml" ds:itemID="{485CBE0E-7948-4B94-A165-95673A80D791}">
  <ds:schemaRefs>
    <ds:schemaRef ds:uri="office.server.policy"/>
  </ds:schemaRefs>
</ds:datastoreItem>
</file>

<file path=customXml/itemProps3.xml><?xml version="1.0" encoding="utf-8"?>
<ds:datastoreItem xmlns:ds="http://schemas.openxmlformats.org/officeDocument/2006/customXml" ds:itemID="{7414A101-90B9-4067-9DA2-D65B5AAABB63}">
  <ds:schemaRefs>
    <ds:schemaRef ds:uri="http://schemas.microsoft.com/sharepoint/events"/>
  </ds:schemaRefs>
</ds:datastoreItem>
</file>

<file path=customXml/itemProps4.xml><?xml version="1.0" encoding="utf-8"?>
<ds:datastoreItem xmlns:ds="http://schemas.openxmlformats.org/officeDocument/2006/customXml" ds:itemID="{09F54C2C-0683-4AEA-A5E6-95281A50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622189b5-9a01-4bc7-9222-0e1642af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2E0B4-6D6F-414D-8EDC-F5DE7C2BF5C6}">
  <ds:schemaRef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sharepoint/v3/fields"/>
    <ds:schemaRef ds:uri="622189b5-9a01-4bc7-9222-0e1642af72ed"/>
    <ds:schemaRef ds:uri="http://purl.org/dc/elements/1.1/"/>
    <ds:schemaRef ds:uri="4ff5bc6b-1238-418a-b0ee-f48830a30d62"/>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27DA96F7-F2C0-4CDC-AD66-C6C7EBE9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6CE0FB64.dotm</Template>
  <TotalTime>1</TotalTime>
  <Pages>3</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 of Area Jobs Fact Sheet</vt:lpstr>
    </vt:vector>
  </TitlesOfParts>
  <Company>Australian Government</Company>
  <LinksUpToDate>false</LinksUpToDate>
  <CharactersWithSpaces>8363</CharactersWithSpaces>
  <SharedDoc>false</SharedDoc>
  <HLinks>
    <vt:vector size="6" baseType="variant">
      <vt:variant>
        <vt:i4>3997733</vt:i4>
      </vt:variant>
      <vt:variant>
        <vt:i4>0</vt:i4>
      </vt:variant>
      <vt:variant>
        <vt:i4>0</vt:i4>
      </vt:variant>
      <vt:variant>
        <vt:i4>5</vt:i4>
      </vt:variant>
      <vt:variant>
        <vt:lpwstr>https://ecsn.gov.au/sites/securesiteportal/Pages/HomePage.aspx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Area Jobs Fact Sheet</dc:title>
  <dc:creator>SYMES,Anthony</dc:creator>
  <cp:lastModifiedBy>Andrew Garland</cp:lastModifiedBy>
  <cp:revision>2</cp:revision>
  <cp:lastPrinted>2013-01-09T00:58:00Z</cp:lastPrinted>
  <dcterms:created xsi:type="dcterms:W3CDTF">2013-03-25T06:00:00Z</dcterms:created>
  <dcterms:modified xsi:type="dcterms:W3CDTF">2013-03-25T06:00:00Z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D06-8972913</vt:lpwstr>
  </property>
  <property fmtid="{D5CDD505-2E9C-101B-9397-08002B2CF9AE}" pid="3" name="_dlc_ExpireDate">
    <vt:lpwstr>2015-12-23T10:21:07Z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
  </property>
  <property fmtid="{D5CDD505-2E9C-101B-9397-08002B2CF9AE}" pid="9" name="_dlc_policyId">
    <vt:lpwstr/>
  </property>
  <property fmtid="{D5CDD505-2E9C-101B-9397-08002B2CF9AE}" pid="10" name="ContentTypeId">
    <vt:lpwstr>0x0101009EDC4876AF524A70BD125A9D2C0D191E0C00D274367C6F095C4B8EA35C7E75B736AA</vt:lpwstr>
  </property>
</Properties>
</file>