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C28" w:rsidRDefault="00BC495C" w:rsidP="00BC495C">
      <w:pPr>
        <w:spacing w:line="360" w:lineRule="auto"/>
      </w:pPr>
      <w:r>
        <w:t>Slide 1</w:t>
      </w:r>
    </w:p>
    <w:p w:rsidR="00BC495C" w:rsidRDefault="00BC495C" w:rsidP="00BC495C">
      <w:pPr>
        <w:spacing w:line="360" w:lineRule="auto"/>
      </w:pPr>
    </w:p>
    <w:p w:rsidR="00BC495C" w:rsidRDefault="00BC495C" w:rsidP="00BC495C">
      <w:pPr>
        <w:spacing w:line="360" w:lineRule="auto"/>
        <w:jc w:val="center"/>
      </w:pPr>
      <w: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202.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416054885" r:id="rId7"/>
        </w:object>
      </w:r>
    </w:p>
    <w:p w:rsidR="00BC495C" w:rsidRDefault="00BC495C" w:rsidP="00BC495C">
      <w:pPr>
        <w:spacing w:line="360" w:lineRule="auto"/>
        <w:jc w:val="center"/>
      </w:pPr>
    </w:p>
    <w:p w:rsidR="00BC495C" w:rsidRPr="00631460" w:rsidRDefault="00BC495C" w:rsidP="00BC495C">
      <w:pPr>
        <w:autoSpaceDE w:val="0"/>
        <w:autoSpaceDN w:val="0"/>
        <w:adjustRightInd w:val="0"/>
        <w:rPr>
          <w:rFonts w:ascii="Arial" w:hAnsi="Arial" w:cs="Arial"/>
          <w:b/>
          <w:bCs/>
          <w:color w:val="000000"/>
          <w:kern w:val="24"/>
          <w:u w:val="single"/>
        </w:rPr>
      </w:pPr>
      <w:r w:rsidRPr="00631460">
        <w:rPr>
          <w:rFonts w:ascii="Arial" w:hAnsi="Arial" w:cs="Arial"/>
          <w:b/>
          <w:bCs/>
          <w:color w:val="000000"/>
          <w:kern w:val="24"/>
          <w:u w:val="single"/>
        </w:rPr>
        <w:t>Survey of Employers’ Recruitment Experiences – April 2012</w:t>
      </w:r>
    </w:p>
    <w:p w:rsidR="00BC495C" w:rsidRPr="00631460" w:rsidRDefault="00BC495C" w:rsidP="00BC495C">
      <w:pPr>
        <w:autoSpaceDE w:val="0"/>
        <w:autoSpaceDN w:val="0"/>
        <w:adjustRightInd w:val="0"/>
        <w:rPr>
          <w:rFonts w:ascii="Arial" w:hAnsi="Arial" w:cs="Arial"/>
          <w:color w:val="165788"/>
          <w:kern w:val="24"/>
        </w:rPr>
      </w:pP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 xml:space="preserve">382 employers were surveyed in the Illawarra </w:t>
      </w:r>
      <w:r w:rsidRPr="00631460">
        <w:rPr>
          <w:rFonts w:ascii="Arial" w:hAnsi="Arial" w:cs="Arial"/>
          <w:color w:val="000000"/>
          <w:kern w:val="24"/>
          <w:lang w:val="en-US"/>
        </w:rPr>
        <w:t>Priority Employment Area (PEA) Survey of Employers’ Recruitment Experiences</w:t>
      </w:r>
      <w:r w:rsidRPr="00631460">
        <w:rPr>
          <w:rFonts w:ascii="Arial" w:hAnsi="Arial" w:cs="Arial"/>
          <w:color w:val="000000"/>
          <w:kern w:val="24"/>
        </w:rPr>
        <w:t xml:space="preserve"> was conducted in April 2012. Previous surveys in this region took place in April 2010 and June 2009.</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2</w:t>
      </w:r>
    </w:p>
    <w:p w:rsidR="00BC495C" w:rsidRDefault="00BC495C" w:rsidP="00BC495C">
      <w:pPr>
        <w:spacing w:line="360" w:lineRule="auto"/>
      </w:pPr>
    </w:p>
    <w:p w:rsidR="00BC495C" w:rsidRDefault="00BC495C" w:rsidP="00BC495C">
      <w:pPr>
        <w:spacing w:line="360" w:lineRule="auto"/>
        <w:jc w:val="center"/>
      </w:pPr>
      <w:r>
        <w:object w:dxaOrig="7216" w:dyaOrig="5409">
          <v:shape id="_x0000_i1026" type="#_x0000_t75" style="width:270.75pt;height:202.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416054886" r:id="rId9"/>
        </w:object>
      </w:r>
    </w:p>
    <w:p w:rsidR="00BC495C" w:rsidRDefault="00BC495C" w:rsidP="00BC495C">
      <w:pPr>
        <w:spacing w:line="360" w:lineRule="auto"/>
        <w:jc w:val="center"/>
      </w:pPr>
    </w:p>
    <w:p w:rsidR="00BC495C" w:rsidRPr="00631460" w:rsidRDefault="00BC495C" w:rsidP="00BC495C">
      <w:pPr>
        <w:autoSpaceDE w:val="0"/>
        <w:autoSpaceDN w:val="0"/>
        <w:adjustRightInd w:val="0"/>
        <w:rPr>
          <w:rFonts w:ascii="Arial" w:hAnsi="Arial" w:cs="Arial"/>
          <w:color w:val="000000"/>
          <w:kern w:val="24"/>
          <w:u w:val="single"/>
        </w:rPr>
      </w:pPr>
      <w:r w:rsidRPr="00631460">
        <w:rPr>
          <w:rFonts w:ascii="Arial" w:hAnsi="Arial" w:cs="Arial"/>
          <w:b/>
          <w:bCs/>
          <w:color w:val="000000"/>
          <w:kern w:val="24"/>
          <w:u w:val="single"/>
        </w:rPr>
        <w:t xml:space="preserve">Map of Illawarra </w:t>
      </w:r>
      <w:r w:rsidRPr="00631460">
        <w:rPr>
          <w:rFonts w:ascii="Arial" w:hAnsi="Arial" w:cs="Arial"/>
          <w:b/>
          <w:bCs/>
          <w:color w:val="000000"/>
          <w:kern w:val="24"/>
          <w:u w:val="single"/>
          <w:lang w:val="en-US"/>
        </w:rPr>
        <w:t>Priority Employment Area</w:t>
      </w: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 </w:t>
      </w: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The Illawarra PEA comprises four Local Government Areas (</w:t>
      </w:r>
      <w:proofErr w:type="spellStart"/>
      <w:r w:rsidRPr="00631460">
        <w:rPr>
          <w:rFonts w:ascii="Arial" w:hAnsi="Arial" w:cs="Arial"/>
          <w:color w:val="000000"/>
          <w:kern w:val="24"/>
        </w:rPr>
        <w:t>LGAs</w:t>
      </w:r>
      <w:proofErr w:type="spellEnd"/>
      <w:r w:rsidRPr="00631460">
        <w:rPr>
          <w:rFonts w:ascii="Arial" w:hAnsi="Arial" w:cs="Arial"/>
          <w:color w:val="000000"/>
          <w:kern w:val="24"/>
        </w:rPr>
        <w:t>):</w:t>
      </w:r>
    </w:p>
    <w:p w:rsidR="00BC495C" w:rsidRPr="00631460" w:rsidRDefault="00BC495C" w:rsidP="00BC495C">
      <w:pPr>
        <w:numPr>
          <w:ilvl w:val="0"/>
          <w:numId w:val="1"/>
        </w:numPr>
        <w:autoSpaceDE w:val="0"/>
        <w:autoSpaceDN w:val="0"/>
        <w:adjustRightInd w:val="0"/>
        <w:ind w:left="360" w:hanging="360"/>
        <w:rPr>
          <w:rFonts w:ascii="Arial" w:hAnsi="Arial" w:cs="Arial"/>
          <w:color w:val="000000"/>
          <w:kern w:val="24"/>
        </w:rPr>
      </w:pPr>
      <w:r w:rsidRPr="00631460">
        <w:rPr>
          <w:rFonts w:ascii="Arial" w:hAnsi="Arial" w:cs="Arial"/>
          <w:color w:val="000000"/>
          <w:kern w:val="24"/>
        </w:rPr>
        <w:t>Eurobodalla</w:t>
      </w:r>
    </w:p>
    <w:p w:rsidR="00BC495C" w:rsidRPr="00631460" w:rsidRDefault="00BC495C" w:rsidP="00BC495C">
      <w:pPr>
        <w:numPr>
          <w:ilvl w:val="0"/>
          <w:numId w:val="1"/>
        </w:numPr>
        <w:autoSpaceDE w:val="0"/>
        <w:autoSpaceDN w:val="0"/>
        <w:adjustRightInd w:val="0"/>
        <w:ind w:left="360" w:hanging="360"/>
        <w:rPr>
          <w:rFonts w:ascii="Arial" w:hAnsi="Arial" w:cs="Arial"/>
          <w:color w:val="000000"/>
          <w:kern w:val="24"/>
        </w:rPr>
      </w:pPr>
      <w:r w:rsidRPr="00631460">
        <w:rPr>
          <w:rFonts w:ascii="Arial" w:hAnsi="Arial" w:cs="Arial"/>
          <w:color w:val="000000"/>
          <w:kern w:val="24"/>
        </w:rPr>
        <w:t>Shellharbour</w:t>
      </w:r>
    </w:p>
    <w:p w:rsidR="00BC495C" w:rsidRPr="00631460" w:rsidRDefault="00BC495C" w:rsidP="00BC495C">
      <w:pPr>
        <w:numPr>
          <w:ilvl w:val="0"/>
          <w:numId w:val="1"/>
        </w:numPr>
        <w:autoSpaceDE w:val="0"/>
        <w:autoSpaceDN w:val="0"/>
        <w:adjustRightInd w:val="0"/>
        <w:ind w:left="360" w:hanging="360"/>
        <w:rPr>
          <w:rFonts w:ascii="Arial" w:hAnsi="Arial" w:cs="Arial"/>
          <w:color w:val="000000"/>
          <w:kern w:val="24"/>
        </w:rPr>
      </w:pPr>
      <w:r w:rsidRPr="00631460">
        <w:rPr>
          <w:rFonts w:ascii="Arial" w:hAnsi="Arial" w:cs="Arial"/>
          <w:color w:val="000000"/>
          <w:kern w:val="24"/>
        </w:rPr>
        <w:t>Shoalhaven</w:t>
      </w:r>
    </w:p>
    <w:p w:rsidR="00BC495C" w:rsidRPr="00631460" w:rsidRDefault="00BC495C" w:rsidP="00BC495C">
      <w:pPr>
        <w:numPr>
          <w:ilvl w:val="0"/>
          <w:numId w:val="1"/>
        </w:numPr>
        <w:autoSpaceDE w:val="0"/>
        <w:autoSpaceDN w:val="0"/>
        <w:adjustRightInd w:val="0"/>
        <w:ind w:left="360" w:hanging="360"/>
        <w:rPr>
          <w:rFonts w:ascii="Arial" w:hAnsi="Arial" w:cs="Arial"/>
          <w:color w:val="000000"/>
          <w:kern w:val="24"/>
        </w:rPr>
      </w:pPr>
      <w:r w:rsidRPr="00631460">
        <w:rPr>
          <w:rFonts w:ascii="Arial" w:hAnsi="Arial" w:cs="Arial"/>
          <w:color w:val="000000"/>
          <w:kern w:val="24"/>
        </w:rPr>
        <w:t>Wollongong</w:t>
      </w: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 </w:t>
      </w: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The Illawarra Labour Force Region makes up 91 per cent of the Illawarra Priority Employment Area.</w:t>
      </w:r>
    </w:p>
    <w:p w:rsidR="00BC495C" w:rsidRPr="00631460" w:rsidRDefault="00BC495C" w:rsidP="00BC495C">
      <w:pPr>
        <w:autoSpaceDE w:val="0"/>
        <w:autoSpaceDN w:val="0"/>
        <w:adjustRightInd w:val="0"/>
        <w:rPr>
          <w:rFonts w:ascii="Arial" w:hAnsi="Arial" w:cs="Arial"/>
          <w:color w:val="000000"/>
          <w:kern w:val="24"/>
        </w:rPr>
      </w:pPr>
    </w:p>
    <w:p w:rsidR="00BC495C" w:rsidRPr="00631460"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3</w:t>
      </w:r>
    </w:p>
    <w:p w:rsidR="00BC495C" w:rsidRDefault="00BC495C" w:rsidP="00BC495C">
      <w:pPr>
        <w:spacing w:line="360" w:lineRule="auto"/>
      </w:pPr>
    </w:p>
    <w:p w:rsidR="00BC495C" w:rsidRDefault="00BC495C" w:rsidP="00BC495C">
      <w:pPr>
        <w:spacing w:line="360" w:lineRule="auto"/>
        <w:jc w:val="center"/>
      </w:pPr>
      <w:r>
        <w:object w:dxaOrig="7216" w:dyaOrig="5409">
          <v:shape id="_x0000_i1027" type="#_x0000_t75" style="width:270.75pt;height:202.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7" DrawAspect="Content" ObjectID="_1416054887" r:id="rId11"/>
        </w:object>
      </w:r>
    </w:p>
    <w:p w:rsidR="00BC495C" w:rsidRDefault="00BC495C" w:rsidP="00BC495C">
      <w:pPr>
        <w:spacing w:line="360" w:lineRule="auto"/>
        <w:jc w:val="center"/>
      </w:pP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b/>
          <w:bCs/>
          <w:color w:val="000000"/>
          <w:kern w:val="24"/>
          <w:u w:val="single"/>
        </w:rPr>
        <w:t>Population and Age Profile</w:t>
      </w:r>
    </w:p>
    <w:p w:rsidR="00BC495C" w:rsidRPr="00631460" w:rsidRDefault="00BC495C" w:rsidP="00BC495C">
      <w:pPr>
        <w:autoSpaceDE w:val="0"/>
        <w:autoSpaceDN w:val="0"/>
        <w:adjustRightInd w:val="0"/>
        <w:rPr>
          <w:rFonts w:ascii="Arial" w:hAnsi="Arial" w:cs="Arial"/>
          <w:i/>
          <w:iCs/>
          <w:color w:val="000000"/>
          <w:kern w:val="24"/>
        </w:rPr>
      </w:pPr>
      <w:r w:rsidRPr="00631460">
        <w:rPr>
          <w:rFonts w:ascii="Arial" w:hAnsi="Arial" w:cs="Arial"/>
          <w:i/>
          <w:iCs/>
          <w:color w:val="000000"/>
          <w:kern w:val="24"/>
        </w:rPr>
        <w:t>Source: ABS Census of Population and Housing, 2011 and 2006</w:t>
      </w: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 </w:t>
      </w: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 xml:space="preserve">The adult population (15 years+) for the Illawarra PEA at the time of the 2011 Census was </w:t>
      </w:r>
      <w:r w:rsidR="008C46C6">
        <w:rPr>
          <w:rFonts w:ascii="Arial" w:hAnsi="Arial" w:cs="Arial"/>
          <w:color w:val="000000"/>
          <w:kern w:val="24"/>
        </w:rPr>
        <w:t>313</w:t>
      </w:r>
      <w:r w:rsidRPr="00631460">
        <w:rPr>
          <w:rFonts w:ascii="Arial" w:hAnsi="Arial" w:cs="Arial"/>
          <w:color w:val="000000"/>
          <w:kern w:val="24"/>
        </w:rPr>
        <w:t>,</w:t>
      </w:r>
      <w:r w:rsidR="008C46C6">
        <w:rPr>
          <w:rFonts w:ascii="Arial" w:hAnsi="Arial" w:cs="Arial"/>
          <w:color w:val="000000"/>
          <w:kern w:val="24"/>
        </w:rPr>
        <w:t>0</w:t>
      </w:r>
      <w:r w:rsidRPr="00631460">
        <w:rPr>
          <w:rFonts w:ascii="Arial" w:hAnsi="Arial" w:cs="Arial"/>
          <w:color w:val="000000"/>
          <w:kern w:val="24"/>
        </w:rPr>
        <w:t>4</w:t>
      </w:r>
      <w:r w:rsidR="008C46C6">
        <w:rPr>
          <w:rFonts w:ascii="Arial" w:hAnsi="Arial" w:cs="Arial"/>
          <w:color w:val="000000"/>
          <w:kern w:val="24"/>
        </w:rPr>
        <w:t>7</w:t>
      </w:r>
      <w:r w:rsidR="00631460">
        <w:rPr>
          <w:rFonts w:ascii="Arial" w:hAnsi="Arial" w:cs="Arial"/>
          <w:color w:val="000000"/>
          <w:kern w:val="24"/>
        </w:rPr>
        <w:t>,</w:t>
      </w:r>
      <w:r w:rsidRPr="00631460">
        <w:rPr>
          <w:rFonts w:ascii="Arial" w:hAnsi="Arial" w:cs="Arial"/>
          <w:color w:val="000000"/>
          <w:kern w:val="24"/>
        </w:rPr>
        <w:t xml:space="preserve"> an increase of 6 per cent from the 2006 Census. </w:t>
      </w:r>
    </w:p>
    <w:p w:rsidR="00BC495C" w:rsidRPr="00631460" w:rsidRDefault="00BC495C" w:rsidP="00BC495C">
      <w:pPr>
        <w:autoSpaceDE w:val="0"/>
        <w:autoSpaceDN w:val="0"/>
        <w:adjustRightInd w:val="0"/>
        <w:rPr>
          <w:rFonts w:ascii="Arial" w:hAnsi="Arial" w:cs="Arial"/>
          <w:color w:val="000000"/>
          <w:kern w:val="24"/>
        </w:rPr>
      </w:pP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 xml:space="preserve">The adult population growth between 2006 and 2011 for New South Wales and Australia was 6 per cent and 9 per cent respectively. </w:t>
      </w:r>
    </w:p>
    <w:p w:rsidR="00BC495C" w:rsidRPr="00631460" w:rsidRDefault="00BC495C" w:rsidP="00BC495C">
      <w:pPr>
        <w:autoSpaceDE w:val="0"/>
        <w:autoSpaceDN w:val="0"/>
        <w:adjustRightInd w:val="0"/>
        <w:rPr>
          <w:rFonts w:ascii="Arial" w:hAnsi="Arial" w:cs="Arial"/>
          <w:color w:val="000000"/>
          <w:kern w:val="24"/>
        </w:rPr>
      </w:pP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 xml:space="preserve">The Shellharbour </w:t>
      </w:r>
      <w:proofErr w:type="spellStart"/>
      <w:r w:rsidRPr="00631460">
        <w:rPr>
          <w:rFonts w:ascii="Arial" w:hAnsi="Arial" w:cs="Arial"/>
          <w:color w:val="000000"/>
          <w:kern w:val="24"/>
        </w:rPr>
        <w:t>LGA</w:t>
      </w:r>
      <w:proofErr w:type="spellEnd"/>
      <w:r w:rsidRPr="00631460">
        <w:rPr>
          <w:rFonts w:ascii="Arial" w:hAnsi="Arial" w:cs="Arial"/>
          <w:color w:val="000000"/>
          <w:kern w:val="24"/>
        </w:rPr>
        <w:t xml:space="preserve"> had the largest population growth (8 per cent) of all the </w:t>
      </w:r>
      <w:proofErr w:type="spellStart"/>
      <w:r w:rsidRPr="00631460">
        <w:rPr>
          <w:rFonts w:ascii="Arial" w:hAnsi="Arial" w:cs="Arial"/>
          <w:color w:val="000000"/>
          <w:kern w:val="24"/>
        </w:rPr>
        <w:t>LGAs</w:t>
      </w:r>
      <w:proofErr w:type="spellEnd"/>
      <w:r w:rsidRPr="00631460">
        <w:rPr>
          <w:rFonts w:ascii="Arial" w:hAnsi="Arial" w:cs="Arial"/>
          <w:color w:val="000000"/>
          <w:kern w:val="24"/>
        </w:rPr>
        <w:t xml:space="preserve"> in the area.</w:t>
      </w: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 </w:t>
      </w:r>
    </w:p>
    <w:p w:rsidR="00BC495C" w:rsidRPr="00631460" w:rsidRDefault="008C46C6" w:rsidP="00BC495C">
      <w:pPr>
        <w:autoSpaceDE w:val="0"/>
        <w:autoSpaceDN w:val="0"/>
        <w:adjustRightInd w:val="0"/>
        <w:rPr>
          <w:rFonts w:ascii="Arial" w:hAnsi="Arial" w:cs="Arial"/>
          <w:color w:val="000000"/>
          <w:kern w:val="24"/>
        </w:rPr>
      </w:pPr>
      <w:r>
        <w:rPr>
          <w:rFonts w:ascii="Arial" w:hAnsi="Arial" w:cs="Arial"/>
          <w:color w:val="000000"/>
          <w:kern w:val="24"/>
        </w:rPr>
        <w:t>At the time of the 2011 C</w:t>
      </w:r>
      <w:r w:rsidR="00BC495C" w:rsidRPr="00631460">
        <w:rPr>
          <w:rFonts w:ascii="Arial" w:hAnsi="Arial" w:cs="Arial"/>
          <w:color w:val="000000"/>
          <w:kern w:val="24"/>
        </w:rPr>
        <w:t xml:space="preserve">ensus the median age in the Illawarra PEA was 41 years, higher when compared to New South Wales (38 years) and Australia </w:t>
      </w:r>
      <w:r>
        <w:rPr>
          <w:rFonts w:ascii="Arial" w:hAnsi="Arial" w:cs="Arial"/>
          <w:color w:val="000000"/>
          <w:kern w:val="24"/>
        </w:rPr>
        <w:br/>
      </w:r>
      <w:r w:rsidR="00142687">
        <w:rPr>
          <w:rFonts w:ascii="Arial" w:hAnsi="Arial" w:cs="Arial"/>
          <w:color w:val="000000"/>
          <w:kern w:val="24"/>
        </w:rPr>
        <w:t>(37 years).</w:t>
      </w:r>
    </w:p>
    <w:p w:rsidR="00BC495C" w:rsidRPr="00631460"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4</w:t>
      </w:r>
    </w:p>
    <w:p w:rsidR="00BC495C" w:rsidRDefault="00BC495C" w:rsidP="00BC495C">
      <w:pPr>
        <w:spacing w:line="360" w:lineRule="auto"/>
      </w:pPr>
    </w:p>
    <w:p w:rsidR="00BC495C" w:rsidRDefault="00BC495C" w:rsidP="00BC495C">
      <w:pPr>
        <w:spacing w:line="360" w:lineRule="auto"/>
        <w:jc w:val="center"/>
      </w:pPr>
      <w:r>
        <w:object w:dxaOrig="7216" w:dyaOrig="5409">
          <v:shape id="_x0000_i1028" type="#_x0000_t75" style="width:270.75pt;height:202.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8" DrawAspect="Content" ObjectID="_1416054888" r:id="rId13"/>
        </w:object>
      </w:r>
    </w:p>
    <w:p w:rsidR="00BC495C" w:rsidRDefault="00BC495C" w:rsidP="00BC495C">
      <w:pPr>
        <w:spacing w:line="360" w:lineRule="auto"/>
        <w:jc w:val="center"/>
      </w:pP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b/>
          <w:bCs/>
          <w:color w:val="000000"/>
          <w:kern w:val="24"/>
          <w:u w:val="single"/>
        </w:rPr>
        <w:t>Age Distribution</w:t>
      </w:r>
    </w:p>
    <w:p w:rsidR="00BC495C" w:rsidRPr="00631460" w:rsidRDefault="00BC495C" w:rsidP="00BC495C">
      <w:pPr>
        <w:autoSpaceDE w:val="0"/>
        <w:autoSpaceDN w:val="0"/>
        <w:adjustRightInd w:val="0"/>
        <w:rPr>
          <w:rFonts w:ascii="Arial" w:hAnsi="Arial" w:cs="Arial"/>
          <w:i/>
          <w:iCs/>
          <w:color w:val="000000"/>
          <w:kern w:val="24"/>
        </w:rPr>
      </w:pPr>
      <w:r w:rsidRPr="00631460">
        <w:rPr>
          <w:rFonts w:ascii="Arial" w:hAnsi="Arial" w:cs="Arial"/>
          <w:i/>
          <w:iCs/>
          <w:color w:val="000000"/>
          <w:kern w:val="24"/>
        </w:rPr>
        <w:t>Source:</w:t>
      </w:r>
      <w:r w:rsidRPr="00631460">
        <w:rPr>
          <w:rFonts w:ascii="Arial" w:hAnsi="Arial" w:cs="Arial"/>
          <w:color w:val="000000"/>
          <w:kern w:val="24"/>
        </w:rPr>
        <w:t xml:space="preserve"> </w:t>
      </w:r>
      <w:r w:rsidRPr="00631460">
        <w:rPr>
          <w:rFonts w:ascii="Arial" w:hAnsi="Arial" w:cs="Arial"/>
          <w:i/>
          <w:iCs/>
          <w:color w:val="000000"/>
          <w:kern w:val="24"/>
        </w:rPr>
        <w:t>ABS Census of Population and Housing, 2011</w:t>
      </w:r>
    </w:p>
    <w:p w:rsidR="00BC495C" w:rsidRPr="00631460" w:rsidRDefault="00BC495C" w:rsidP="00BC495C">
      <w:pPr>
        <w:autoSpaceDE w:val="0"/>
        <w:autoSpaceDN w:val="0"/>
        <w:adjustRightInd w:val="0"/>
        <w:rPr>
          <w:rFonts w:ascii="Arial" w:hAnsi="Arial" w:cs="Arial"/>
          <w:color w:val="000000"/>
          <w:kern w:val="24"/>
        </w:rPr>
      </w:pP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 xml:space="preserve">The age distribution of the Illawarra PEA suggests a large migration away from the region for those aged 20 to 34, and a net inflow of persons aged 35 to 54. </w:t>
      </w:r>
    </w:p>
    <w:p w:rsidR="00BC495C" w:rsidRPr="00631460" w:rsidRDefault="00BC495C" w:rsidP="00BC495C">
      <w:pPr>
        <w:autoSpaceDE w:val="0"/>
        <w:autoSpaceDN w:val="0"/>
        <w:adjustRightInd w:val="0"/>
        <w:rPr>
          <w:rFonts w:ascii="Arial" w:hAnsi="Arial" w:cs="Arial"/>
          <w:color w:val="000000"/>
          <w:kern w:val="24"/>
        </w:rPr>
      </w:pP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 xml:space="preserve">There </w:t>
      </w:r>
      <w:proofErr w:type="gramStart"/>
      <w:r w:rsidRPr="00631460">
        <w:rPr>
          <w:rFonts w:ascii="Arial" w:hAnsi="Arial" w:cs="Arial"/>
          <w:color w:val="000000"/>
          <w:kern w:val="24"/>
        </w:rPr>
        <w:t>is</w:t>
      </w:r>
      <w:proofErr w:type="gramEnd"/>
      <w:r w:rsidRPr="00631460">
        <w:rPr>
          <w:rFonts w:ascii="Arial" w:hAnsi="Arial" w:cs="Arial"/>
          <w:color w:val="000000"/>
          <w:kern w:val="24"/>
        </w:rPr>
        <w:t xml:space="preserve"> a higher proportion of older persons in the </w:t>
      </w:r>
      <w:proofErr w:type="spellStart"/>
      <w:r w:rsidRPr="00631460">
        <w:rPr>
          <w:rFonts w:ascii="Arial" w:hAnsi="Arial" w:cs="Arial"/>
          <w:color w:val="000000"/>
          <w:kern w:val="24"/>
        </w:rPr>
        <w:t>Ilawarra</w:t>
      </w:r>
      <w:proofErr w:type="spellEnd"/>
      <w:r w:rsidRPr="00631460">
        <w:rPr>
          <w:rFonts w:ascii="Arial" w:hAnsi="Arial" w:cs="Arial"/>
          <w:color w:val="000000"/>
          <w:kern w:val="24"/>
        </w:rPr>
        <w:t xml:space="preserve"> PEA compared with New South Wales and Australia.</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ab/>
      </w:r>
      <w:r>
        <w:rPr>
          <w:rFonts w:ascii="Arial" w:hAnsi="Arial" w:cs="Arial"/>
          <w:color w:val="000000"/>
          <w:kern w:val="24"/>
        </w:rPr>
        <w:tab/>
      </w:r>
      <w:r>
        <w:rPr>
          <w:rFonts w:ascii="Arial" w:hAnsi="Arial" w:cs="Arial"/>
          <w:color w:val="000000"/>
          <w:kern w:val="24"/>
        </w:rPr>
        <w:tab/>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5</w:t>
      </w:r>
    </w:p>
    <w:p w:rsidR="00BC495C" w:rsidRDefault="00BC495C" w:rsidP="00BC495C">
      <w:pPr>
        <w:spacing w:line="360" w:lineRule="auto"/>
      </w:pPr>
    </w:p>
    <w:p w:rsidR="00BC495C" w:rsidRDefault="00BC495C" w:rsidP="00BC495C">
      <w:pPr>
        <w:spacing w:line="360" w:lineRule="auto"/>
        <w:jc w:val="center"/>
      </w:pPr>
      <w:r>
        <w:object w:dxaOrig="7216" w:dyaOrig="5409">
          <v:shape id="_x0000_i1029" type="#_x0000_t75" style="width:270.75pt;height:202.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9" DrawAspect="Content" ObjectID="_1416054889" r:id="rId15"/>
        </w:object>
      </w:r>
    </w:p>
    <w:p w:rsidR="00BC495C" w:rsidRDefault="00BC495C" w:rsidP="00BC495C">
      <w:pPr>
        <w:spacing w:line="360" w:lineRule="auto"/>
        <w:jc w:val="center"/>
      </w:pP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b/>
          <w:bCs/>
          <w:color w:val="000000"/>
          <w:kern w:val="24"/>
          <w:u w:val="single"/>
        </w:rPr>
        <w:t>Unemployment Rate</w:t>
      </w:r>
    </w:p>
    <w:p w:rsidR="00BC495C" w:rsidRPr="00631460" w:rsidRDefault="00BC495C" w:rsidP="00BC495C">
      <w:pPr>
        <w:autoSpaceDE w:val="0"/>
        <w:autoSpaceDN w:val="0"/>
        <w:adjustRightInd w:val="0"/>
        <w:rPr>
          <w:rFonts w:ascii="Arial" w:hAnsi="Arial" w:cs="Arial"/>
          <w:i/>
          <w:iCs/>
          <w:color w:val="000000"/>
          <w:kern w:val="24"/>
        </w:rPr>
      </w:pPr>
      <w:r w:rsidRPr="00631460">
        <w:rPr>
          <w:rFonts w:ascii="Arial" w:hAnsi="Arial" w:cs="Arial"/>
          <w:i/>
          <w:iCs/>
          <w:color w:val="000000"/>
          <w:kern w:val="24"/>
        </w:rPr>
        <w:t>Source:</w:t>
      </w:r>
      <w:r w:rsidRPr="00631460">
        <w:rPr>
          <w:rFonts w:ascii="Arial" w:hAnsi="Arial" w:cs="Arial"/>
          <w:color w:val="000000"/>
          <w:kern w:val="24"/>
        </w:rPr>
        <w:t xml:space="preserve"> </w:t>
      </w:r>
      <w:r w:rsidRPr="00631460">
        <w:rPr>
          <w:rFonts w:ascii="Arial" w:hAnsi="Arial" w:cs="Arial"/>
          <w:i/>
          <w:iCs/>
          <w:color w:val="000000"/>
          <w:kern w:val="24"/>
        </w:rPr>
        <w:t xml:space="preserve">DEEWR Small Area Labour Markets, March 2008 – June 2012 </w:t>
      </w:r>
      <w:r w:rsidR="00631460">
        <w:rPr>
          <w:rFonts w:ascii="Arial" w:hAnsi="Arial" w:cs="Arial"/>
          <w:i/>
          <w:iCs/>
          <w:color w:val="000000"/>
          <w:kern w:val="24"/>
        </w:rPr>
        <w:br/>
      </w:r>
      <w:r w:rsidRPr="00631460">
        <w:rPr>
          <w:rFonts w:ascii="Arial" w:hAnsi="Arial" w:cs="Arial"/>
          <w:i/>
          <w:iCs/>
          <w:color w:val="000000"/>
          <w:kern w:val="24"/>
        </w:rPr>
        <w:t xml:space="preserve">(12 month averages) </w:t>
      </w:r>
    </w:p>
    <w:p w:rsidR="00BC495C" w:rsidRPr="00631460" w:rsidRDefault="00BC495C" w:rsidP="00BC495C">
      <w:pPr>
        <w:autoSpaceDE w:val="0"/>
        <w:autoSpaceDN w:val="0"/>
        <w:adjustRightInd w:val="0"/>
        <w:rPr>
          <w:rFonts w:ascii="Arial" w:hAnsi="Arial" w:cs="Arial"/>
          <w:i/>
          <w:iCs/>
          <w:color w:val="000000"/>
          <w:kern w:val="24"/>
        </w:rPr>
      </w:pP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The PEA has remained consistently above the state and national unemployment rate for the last two decades.</w:t>
      </w:r>
    </w:p>
    <w:p w:rsidR="00BC495C" w:rsidRPr="00631460" w:rsidRDefault="00BC495C" w:rsidP="00BC495C">
      <w:pPr>
        <w:autoSpaceDE w:val="0"/>
        <w:autoSpaceDN w:val="0"/>
        <w:adjustRightInd w:val="0"/>
        <w:rPr>
          <w:rFonts w:ascii="Arial" w:hAnsi="Arial" w:cs="Arial"/>
          <w:color w:val="000000"/>
          <w:kern w:val="24"/>
        </w:rPr>
      </w:pP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 xml:space="preserve">The unemployment rate for the Illawarra PEA was sitting on 7.1 per cent in June 2012 compared with 5.2 per cent for both New South Wales and Australia. </w:t>
      </w:r>
    </w:p>
    <w:p w:rsidR="00BC495C" w:rsidRPr="00631460" w:rsidRDefault="00BC495C" w:rsidP="00BC495C">
      <w:pPr>
        <w:autoSpaceDE w:val="0"/>
        <w:autoSpaceDN w:val="0"/>
        <w:adjustRightInd w:val="0"/>
        <w:rPr>
          <w:rFonts w:ascii="Arial" w:hAnsi="Arial" w:cs="Arial"/>
          <w:color w:val="000000"/>
          <w:kern w:val="24"/>
        </w:rPr>
      </w:pPr>
    </w:p>
    <w:p w:rsidR="00BC495C" w:rsidRPr="00631460" w:rsidRDefault="00BC495C" w:rsidP="00BC495C">
      <w:pPr>
        <w:autoSpaceDE w:val="0"/>
        <w:autoSpaceDN w:val="0"/>
        <w:adjustRightInd w:val="0"/>
        <w:rPr>
          <w:rFonts w:ascii="Arial" w:hAnsi="Arial" w:cs="Arial"/>
          <w:color w:val="000000"/>
          <w:kern w:val="24"/>
        </w:rPr>
      </w:pPr>
    </w:p>
    <w:p w:rsidR="00BC495C" w:rsidRPr="00631460"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Calibri" w:hAnsi="Calibri" w:cs="Calibri"/>
          <w:i/>
          <w:iCs/>
          <w:color w:val="000000"/>
          <w:kern w:val="24"/>
        </w:rPr>
      </w:pPr>
      <w:r>
        <w:rPr>
          <w:rFonts w:ascii="Calibri" w:hAnsi="Calibri" w:cs="Calibri"/>
          <w:i/>
          <w:iCs/>
          <w:color w:val="000000"/>
          <w:kern w:val="24"/>
        </w:rPr>
        <w:t> </w:t>
      </w: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6</w:t>
      </w:r>
    </w:p>
    <w:p w:rsidR="00BC495C" w:rsidRDefault="00BC495C" w:rsidP="00BC495C">
      <w:pPr>
        <w:spacing w:line="360" w:lineRule="auto"/>
      </w:pPr>
    </w:p>
    <w:p w:rsidR="00BC495C" w:rsidRDefault="00BC495C" w:rsidP="00BC495C">
      <w:pPr>
        <w:spacing w:line="360" w:lineRule="auto"/>
        <w:jc w:val="center"/>
      </w:pPr>
      <w:r>
        <w:object w:dxaOrig="7216" w:dyaOrig="5409">
          <v:shape id="_x0000_i1030" type="#_x0000_t75" style="width:270.75pt;height:202.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0" DrawAspect="Content" ObjectID="_1416054890" r:id="rId17"/>
        </w:object>
      </w:r>
    </w:p>
    <w:p w:rsidR="00BC495C" w:rsidRDefault="00BC495C" w:rsidP="00BC495C">
      <w:pPr>
        <w:spacing w:line="360" w:lineRule="auto"/>
        <w:jc w:val="center"/>
      </w:pP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b/>
          <w:bCs/>
          <w:color w:val="000000"/>
          <w:kern w:val="24"/>
          <w:u w:val="single"/>
        </w:rPr>
        <w:t xml:space="preserve">Regional Disparity </w:t>
      </w:r>
    </w:p>
    <w:p w:rsidR="00BC495C" w:rsidRPr="00631460" w:rsidRDefault="00BC495C" w:rsidP="00BC495C">
      <w:pPr>
        <w:autoSpaceDE w:val="0"/>
        <w:autoSpaceDN w:val="0"/>
        <w:adjustRightInd w:val="0"/>
        <w:rPr>
          <w:rFonts w:ascii="Arial" w:hAnsi="Arial" w:cs="Arial"/>
          <w:i/>
          <w:iCs/>
          <w:color w:val="000000"/>
          <w:kern w:val="24"/>
        </w:rPr>
      </w:pPr>
      <w:r w:rsidRPr="00631460">
        <w:rPr>
          <w:rFonts w:ascii="Arial" w:hAnsi="Arial" w:cs="Arial"/>
          <w:i/>
          <w:iCs/>
          <w:color w:val="000000"/>
          <w:kern w:val="24"/>
        </w:rPr>
        <w:t>Source:</w:t>
      </w:r>
      <w:r w:rsidRPr="00631460">
        <w:rPr>
          <w:rFonts w:ascii="Arial" w:hAnsi="Arial" w:cs="Arial"/>
          <w:color w:val="000000"/>
          <w:kern w:val="24"/>
        </w:rPr>
        <w:t xml:space="preserve">  </w:t>
      </w:r>
      <w:r w:rsidRPr="00631460">
        <w:rPr>
          <w:rFonts w:ascii="Arial" w:hAnsi="Arial" w:cs="Arial"/>
          <w:i/>
          <w:iCs/>
          <w:color w:val="000000"/>
          <w:kern w:val="24"/>
        </w:rPr>
        <w:t>DEEWR Small Area Labour Markets, June 2012, ABS Census of Population and Housing, 2011 and 2006</w:t>
      </w:r>
    </w:p>
    <w:p w:rsidR="00BC495C" w:rsidRPr="00631460" w:rsidRDefault="00BC495C" w:rsidP="00BC495C">
      <w:pPr>
        <w:autoSpaceDE w:val="0"/>
        <w:autoSpaceDN w:val="0"/>
        <w:adjustRightInd w:val="0"/>
        <w:rPr>
          <w:rFonts w:ascii="Arial" w:hAnsi="Arial" w:cs="Arial"/>
          <w:color w:val="000000"/>
          <w:kern w:val="24"/>
        </w:rPr>
      </w:pP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In June 2012, the unemployment r</w:t>
      </w:r>
      <w:r w:rsidR="00FF615C">
        <w:rPr>
          <w:rFonts w:ascii="Arial" w:hAnsi="Arial" w:cs="Arial"/>
          <w:color w:val="000000"/>
          <w:kern w:val="24"/>
        </w:rPr>
        <w:t>ate in the Illawarra PEA was 7.1</w:t>
      </w:r>
      <w:r w:rsidRPr="00631460">
        <w:rPr>
          <w:rFonts w:ascii="Arial" w:hAnsi="Arial" w:cs="Arial"/>
          <w:color w:val="000000"/>
          <w:kern w:val="24"/>
        </w:rPr>
        <w:t xml:space="preserve"> per cent, higher than the state and national unemployment rates both 5.2 per cent.</w:t>
      </w: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 xml:space="preserve"> </w:t>
      </w: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 xml:space="preserve">The </w:t>
      </w:r>
      <w:proofErr w:type="spellStart"/>
      <w:r w:rsidRPr="00631460">
        <w:rPr>
          <w:rFonts w:ascii="Arial" w:hAnsi="Arial" w:cs="Arial"/>
          <w:color w:val="000000"/>
          <w:kern w:val="24"/>
        </w:rPr>
        <w:t>LGA</w:t>
      </w:r>
      <w:proofErr w:type="spellEnd"/>
      <w:r w:rsidRPr="00631460">
        <w:rPr>
          <w:rFonts w:ascii="Arial" w:hAnsi="Arial" w:cs="Arial"/>
          <w:color w:val="000000"/>
          <w:kern w:val="24"/>
        </w:rPr>
        <w:t xml:space="preserve"> of Shoalhaven reported the highest unemployment rate within the PEA for June 2012 (8.1 per cent), while the Eurobodalla </w:t>
      </w:r>
      <w:proofErr w:type="spellStart"/>
      <w:r w:rsidRPr="00631460">
        <w:rPr>
          <w:rFonts w:ascii="Arial" w:hAnsi="Arial" w:cs="Arial"/>
          <w:color w:val="000000"/>
          <w:kern w:val="24"/>
        </w:rPr>
        <w:t>LGA</w:t>
      </w:r>
      <w:proofErr w:type="spellEnd"/>
      <w:r w:rsidRPr="00631460">
        <w:rPr>
          <w:rFonts w:ascii="Arial" w:hAnsi="Arial" w:cs="Arial"/>
          <w:color w:val="000000"/>
          <w:kern w:val="24"/>
        </w:rPr>
        <w:t xml:space="preserve"> reported the lowest unemployment rate within the PEA (5.6 per cent).</w:t>
      </w:r>
    </w:p>
    <w:p w:rsidR="00BC495C" w:rsidRPr="00631460" w:rsidRDefault="00BC495C" w:rsidP="00BC495C">
      <w:pPr>
        <w:autoSpaceDE w:val="0"/>
        <w:autoSpaceDN w:val="0"/>
        <w:adjustRightInd w:val="0"/>
        <w:rPr>
          <w:rFonts w:ascii="Arial" w:hAnsi="Arial" w:cs="Arial"/>
          <w:color w:val="000000"/>
          <w:kern w:val="24"/>
        </w:rPr>
      </w:pPr>
    </w:p>
    <w:p w:rsidR="00BC495C" w:rsidRPr="00631460" w:rsidRDefault="00BC495C" w:rsidP="00BC495C">
      <w:pPr>
        <w:autoSpaceDE w:val="0"/>
        <w:autoSpaceDN w:val="0"/>
        <w:adjustRightInd w:val="0"/>
        <w:rPr>
          <w:rFonts w:ascii="Arial" w:hAnsi="Arial" w:cs="Arial"/>
          <w:color w:val="000000"/>
          <w:kern w:val="24"/>
        </w:rPr>
      </w:pPr>
      <w:r w:rsidRPr="00631460">
        <w:rPr>
          <w:rFonts w:ascii="Arial" w:hAnsi="Arial" w:cs="Arial"/>
          <w:color w:val="000000"/>
          <w:kern w:val="24"/>
        </w:rPr>
        <w:t xml:space="preserve">At the time of the 2011 Census, the participation rate for the Illawarra PEA </w:t>
      </w:r>
      <w:r w:rsidR="00574870">
        <w:rPr>
          <w:rFonts w:ascii="Arial" w:hAnsi="Arial" w:cs="Arial"/>
          <w:color w:val="000000"/>
          <w:kern w:val="24"/>
        </w:rPr>
        <w:br/>
      </w:r>
      <w:r w:rsidRPr="00631460">
        <w:rPr>
          <w:rFonts w:ascii="Arial" w:hAnsi="Arial" w:cs="Arial"/>
          <w:color w:val="000000"/>
          <w:kern w:val="24"/>
        </w:rPr>
        <w:t xml:space="preserve">(71.1 per cent) working age population was lower than NSW and Australia </w:t>
      </w:r>
      <w:r w:rsidR="00574870">
        <w:rPr>
          <w:rFonts w:ascii="Arial" w:hAnsi="Arial" w:cs="Arial"/>
          <w:color w:val="000000"/>
          <w:kern w:val="24"/>
        </w:rPr>
        <w:br/>
      </w:r>
      <w:r w:rsidRPr="00631460">
        <w:rPr>
          <w:rFonts w:ascii="Arial" w:hAnsi="Arial" w:cs="Arial"/>
          <w:color w:val="000000"/>
          <w:kern w:val="24"/>
        </w:rPr>
        <w:t xml:space="preserve">(74.4 per cent and 75.8 per cent respectively). </w:t>
      </w:r>
    </w:p>
    <w:p w:rsidR="00BC495C" w:rsidRPr="00631460" w:rsidRDefault="00BC495C" w:rsidP="00BC495C">
      <w:pPr>
        <w:autoSpaceDE w:val="0"/>
        <w:autoSpaceDN w:val="0"/>
        <w:adjustRightInd w:val="0"/>
        <w:rPr>
          <w:rFonts w:ascii="Arial" w:hAnsi="Arial" w:cs="Arial"/>
          <w:color w:val="000000"/>
          <w:kern w:val="24"/>
        </w:rPr>
      </w:pPr>
    </w:p>
    <w:p w:rsidR="00631460" w:rsidRDefault="00631460">
      <w:pPr>
        <w:rPr>
          <w:rFonts w:ascii="Arial" w:hAnsi="Arial" w:cs="Arial"/>
          <w:color w:val="000000"/>
          <w:kern w:val="24"/>
        </w:rPr>
      </w:pPr>
      <w:r>
        <w:rPr>
          <w:rFonts w:ascii="Arial" w:hAnsi="Arial" w:cs="Arial"/>
          <w:color w:val="000000"/>
          <w:kern w:val="24"/>
        </w:rPr>
        <w:br w:type="page"/>
      </w:r>
    </w:p>
    <w:p w:rsidR="00BC495C" w:rsidRDefault="00BC495C" w:rsidP="00BC495C">
      <w:pPr>
        <w:spacing w:line="360" w:lineRule="auto"/>
      </w:pPr>
      <w:r>
        <w:lastRenderedPageBreak/>
        <w:t>Slide 7</w:t>
      </w:r>
    </w:p>
    <w:p w:rsidR="00BC495C" w:rsidRDefault="00BC495C" w:rsidP="00BC495C">
      <w:pPr>
        <w:spacing w:line="360" w:lineRule="auto"/>
      </w:pPr>
    </w:p>
    <w:p w:rsidR="00BC495C" w:rsidRDefault="00BC495C" w:rsidP="00BC495C">
      <w:pPr>
        <w:spacing w:line="360" w:lineRule="auto"/>
        <w:jc w:val="center"/>
      </w:pPr>
      <w:r>
        <w:object w:dxaOrig="7216" w:dyaOrig="5409">
          <v:shape id="_x0000_i1031" type="#_x0000_t75" style="width:270.75pt;height:202.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1" DrawAspect="Content" ObjectID="_1416054891" r:id="rId19"/>
        </w:object>
      </w:r>
    </w:p>
    <w:p w:rsidR="00BC495C" w:rsidRDefault="00BC495C" w:rsidP="00BC495C">
      <w:pPr>
        <w:spacing w:line="360" w:lineRule="auto"/>
        <w:jc w:val="center"/>
      </w:pPr>
    </w:p>
    <w:p w:rsidR="00BC495C" w:rsidRDefault="00BC495C" w:rsidP="00BC495C">
      <w:pPr>
        <w:autoSpaceDE w:val="0"/>
        <w:autoSpaceDN w:val="0"/>
        <w:adjustRightInd w:val="0"/>
        <w:rPr>
          <w:rFonts w:ascii="Arial" w:hAnsi="Arial" w:cs="Arial"/>
          <w:color w:val="000000"/>
          <w:kern w:val="24"/>
        </w:rPr>
      </w:pPr>
      <w:r>
        <w:rPr>
          <w:rFonts w:ascii="Arial" w:hAnsi="Arial" w:cs="Arial"/>
          <w:b/>
          <w:bCs/>
          <w:color w:val="000000"/>
          <w:kern w:val="24"/>
          <w:u w:val="single"/>
        </w:rPr>
        <w:t>Unemployment Rate by Age and Gender</w:t>
      </w:r>
    </w:p>
    <w:p w:rsidR="00BC495C" w:rsidRDefault="00BC495C" w:rsidP="00BC495C">
      <w:pPr>
        <w:autoSpaceDE w:val="0"/>
        <w:autoSpaceDN w:val="0"/>
        <w:adjustRightInd w:val="0"/>
        <w:rPr>
          <w:rFonts w:ascii="Arial" w:hAnsi="Arial" w:cs="Arial"/>
          <w:color w:val="000000"/>
          <w:kern w:val="24"/>
        </w:rPr>
      </w:pPr>
      <w:r>
        <w:rPr>
          <w:rFonts w:ascii="Arial" w:hAnsi="Arial" w:cs="Arial"/>
          <w:i/>
          <w:iCs/>
          <w:color w:val="000000"/>
          <w:kern w:val="24"/>
          <w:lang w:val="en-US"/>
        </w:rPr>
        <w:t>Source: ABS Census of Population and Housing, 2011</w:t>
      </w:r>
    </w:p>
    <w:p w:rsidR="00BC495C" w:rsidRDefault="00BC495C" w:rsidP="00BC495C">
      <w:pPr>
        <w:autoSpaceDE w:val="0"/>
        <w:autoSpaceDN w:val="0"/>
        <w:adjustRightInd w:val="0"/>
        <w:rPr>
          <w:rFonts w:ascii="Calibri" w:hAnsi="Calibri" w:cs="Calibri"/>
          <w:i/>
          <w:iCs/>
          <w:color w:val="000000"/>
          <w:kern w:val="24"/>
        </w:rPr>
      </w:pP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xml:space="preserve">At the time of the 2011 Census, the unemployment rate for younger workers </w:t>
      </w:r>
      <w:r w:rsidR="00574870">
        <w:rPr>
          <w:rFonts w:ascii="Arial" w:hAnsi="Arial" w:cs="Arial"/>
          <w:color w:val="000000"/>
          <w:kern w:val="24"/>
        </w:rPr>
        <w:br/>
      </w:r>
      <w:r>
        <w:rPr>
          <w:rFonts w:ascii="Arial" w:hAnsi="Arial" w:cs="Arial"/>
          <w:color w:val="000000"/>
          <w:kern w:val="24"/>
        </w:rPr>
        <w:t xml:space="preserve">(15 to 44 year olds) in the Illawarra PEA (9.0 per cent) was high compared with NSW and Australia (7.1 per cent and 6.9 per cent respectively). </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xml:space="preserve">The unemployment rate for younger male workers (15 to 44 year olds) in the Illawarra PEA (9.4 per cent) was higher compared with NSW and Australia </w:t>
      </w:r>
      <w:r w:rsidR="00574870">
        <w:rPr>
          <w:rFonts w:ascii="Arial" w:hAnsi="Arial" w:cs="Arial"/>
          <w:color w:val="000000"/>
          <w:kern w:val="24"/>
        </w:rPr>
        <w:br/>
      </w:r>
      <w:r>
        <w:rPr>
          <w:rFonts w:ascii="Arial" w:hAnsi="Arial" w:cs="Arial"/>
          <w:color w:val="000000"/>
          <w:kern w:val="24"/>
        </w:rPr>
        <w:t xml:space="preserve">(7.0 per cent and 6.8 per cent respectively). </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xml:space="preserve">The unemployment rate for younger female workers (15 to 44 year olds) in the Illawarra PEA (8.6 per cent) was also high compared with NSW and Australia </w:t>
      </w:r>
      <w:r w:rsidR="00574870">
        <w:rPr>
          <w:rFonts w:ascii="Arial" w:hAnsi="Arial" w:cs="Arial"/>
          <w:color w:val="000000"/>
          <w:kern w:val="24"/>
        </w:rPr>
        <w:br/>
      </w:r>
      <w:r>
        <w:rPr>
          <w:rFonts w:ascii="Arial" w:hAnsi="Arial" w:cs="Arial"/>
          <w:color w:val="000000"/>
          <w:kern w:val="24"/>
        </w:rPr>
        <w:t xml:space="preserve">(7.1 per cent and 6.9 per cent respectively). </w:t>
      </w: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Calibri" w:hAnsi="Calibri" w:cs="Calibri"/>
          <w:i/>
          <w:iCs/>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8</w:t>
      </w:r>
    </w:p>
    <w:p w:rsidR="00BC495C" w:rsidRDefault="00BC495C" w:rsidP="00BC495C">
      <w:pPr>
        <w:spacing w:line="360" w:lineRule="auto"/>
      </w:pPr>
    </w:p>
    <w:p w:rsidR="00BC495C" w:rsidRDefault="00BC495C" w:rsidP="00BC495C">
      <w:pPr>
        <w:spacing w:line="360" w:lineRule="auto"/>
        <w:jc w:val="center"/>
      </w:pPr>
      <w:r>
        <w:object w:dxaOrig="7216" w:dyaOrig="5409">
          <v:shape id="_x0000_i1032" type="#_x0000_t75" style="width:270.75pt;height:202.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2" DrawAspect="Content" ObjectID="_1416054892" r:id="rId21"/>
        </w:object>
      </w:r>
    </w:p>
    <w:p w:rsidR="00BC495C" w:rsidRDefault="00BC495C" w:rsidP="00BC495C">
      <w:pPr>
        <w:spacing w:line="360" w:lineRule="auto"/>
        <w:jc w:val="center"/>
      </w:pPr>
    </w:p>
    <w:p w:rsidR="00BC495C" w:rsidRPr="00186236" w:rsidRDefault="00BC495C" w:rsidP="00BC495C">
      <w:pPr>
        <w:autoSpaceDE w:val="0"/>
        <w:autoSpaceDN w:val="0"/>
        <w:adjustRightInd w:val="0"/>
        <w:rPr>
          <w:rFonts w:ascii="Arial" w:hAnsi="Arial" w:cs="Arial"/>
          <w:color w:val="000000"/>
          <w:kern w:val="24"/>
        </w:rPr>
      </w:pPr>
      <w:r w:rsidRPr="00186236">
        <w:rPr>
          <w:rFonts w:ascii="Arial" w:hAnsi="Arial" w:cs="Arial"/>
          <w:b/>
          <w:bCs/>
          <w:color w:val="000000"/>
          <w:kern w:val="24"/>
          <w:u w:val="single"/>
        </w:rPr>
        <w:t>Participation Rate by Age and Gender</w:t>
      </w:r>
    </w:p>
    <w:p w:rsidR="00BC495C" w:rsidRPr="00186236" w:rsidRDefault="00BC495C" w:rsidP="00BC495C">
      <w:pPr>
        <w:autoSpaceDE w:val="0"/>
        <w:autoSpaceDN w:val="0"/>
        <w:adjustRightInd w:val="0"/>
        <w:rPr>
          <w:rFonts w:ascii="Arial" w:hAnsi="Arial" w:cs="Arial"/>
          <w:color w:val="000000"/>
          <w:kern w:val="24"/>
        </w:rPr>
      </w:pPr>
      <w:r w:rsidRPr="00186236">
        <w:rPr>
          <w:rFonts w:ascii="Arial" w:hAnsi="Arial" w:cs="Arial"/>
          <w:i/>
          <w:iCs/>
          <w:color w:val="000000"/>
          <w:kern w:val="24"/>
          <w:lang w:val="en-US"/>
        </w:rPr>
        <w:t>Source: ABS Census of Population and Housing, 2011</w:t>
      </w:r>
    </w:p>
    <w:p w:rsidR="00BC495C" w:rsidRPr="00186236" w:rsidRDefault="00BC495C" w:rsidP="00BC495C">
      <w:pPr>
        <w:autoSpaceDE w:val="0"/>
        <w:autoSpaceDN w:val="0"/>
        <w:adjustRightInd w:val="0"/>
        <w:rPr>
          <w:rFonts w:ascii="Arial" w:hAnsi="Arial" w:cs="Arial"/>
          <w:i/>
          <w:iCs/>
          <w:color w:val="000000"/>
          <w:kern w:val="24"/>
        </w:rPr>
      </w:pPr>
    </w:p>
    <w:p w:rsidR="00BC495C" w:rsidRPr="00186236" w:rsidRDefault="00BC495C" w:rsidP="00BC495C">
      <w:pPr>
        <w:autoSpaceDE w:val="0"/>
        <w:autoSpaceDN w:val="0"/>
        <w:adjustRightInd w:val="0"/>
        <w:rPr>
          <w:rFonts w:ascii="Arial" w:hAnsi="Arial" w:cs="Arial"/>
          <w:color w:val="000000"/>
          <w:kern w:val="24"/>
        </w:rPr>
      </w:pPr>
      <w:r w:rsidRPr="00186236">
        <w:rPr>
          <w:rFonts w:ascii="Arial" w:hAnsi="Arial" w:cs="Arial"/>
          <w:color w:val="000000"/>
          <w:kern w:val="24"/>
        </w:rPr>
        <w:t xml:space="preserve">At the time of the 2011 Census, the participation rate for older workers </w:t>
      </w:r>
      <w:r w:rsidR="00D90DE8">
        <w:rPr>
          <w:rFonts w:ascii="Arial" w:hAnsi="Arial" w:cs="Arial"/>
          <w:color w:val="000000"/>
          <w:kern w:val="24"/>
        </w:rPr>
        <w:br/>
      </w:r>
      <w:r w:rsidRPr="00186236">
        <w:rPr>
          <w:rFonts w:ascii="Arial" w:hAnsi="Arial" w:cs="Arial"/>
          <w:color w:val="000000"/>
          <w:kern w:val="24"/>
        </w:rPr>
        <w:t xml:space="preserve">(45 to 64 year olds) in the Illawarra PEA (66.6 per cent) was low compared with NSW and Australia (72.4 per cent and 73.9 per cent respectively). </w:t>
      </w:r>
    </w:p>
    <w:p w:rsidR="00BC495C" w:rsidRPr="00186236" w:rsidRDefault="00BC495C" w:rsidP="00BC495C">
      <w:pPr>
        <w:autoSpaceDE w:val="0"/>
        <w:autoSpaceDN w:val="0"/>
        <w:adjustRightInd w:val="0"/>
        <w:rPr>
          <w:rFonts w:ascii="Arial" w:hAnsi="Arial" w:cs="Arial"/>
          <w:color w:val="000000"/>
          <w:kern w:val="24"/>
        </w:rPr>
      </w:pPr>
    </w:p>
    <w:p w:rsidR="00BC495C" w:rsidRPr="00186236" w:rsidRDefault="00BC495C" w:rsidP="00BC495C">
      <w:pPr>
        <w:autoSpaceDE w:val="0"/>
        <w:autoSpaceDN w:val="0"/>
        <w:adjustRightInd w:val="0"/>
        <w:rPr>
          <w:rFonts w:ascii="Arial" w:hAnsi="Arial" w:cs="Arial"/>
          <w:color w:val="000000"/>
          <w:kern w:val="24"/>
        </w:rPr>
      </w:pPr>
      <w:r w:rsidRPr="00186236">
        <w:rPr>
          <w:rFonts w:ascii="Arial" w:hAnsi="Arial" w:cs="Arial"/>
          <w:color w:val="000000"/>
          <w:kern w:val="24"/>
        </w:rPr>
        <w:t xml:space="preserve">The participation rate for older male workers (45 to 64 year olds) in the Illawarra PEA (72.7 per cent) was lower compared with NSW and Australia (78.8 per cent and 80.2 per cent respectively). </w:t>
      </w:r>
    </w:p>
    <w:p w:rsidR="00BC495C" w:rsidRPr="00186236" w:rsidRDefault="00BC495C" w:rsidP="00BC495C">
      <w:pPr>
        <w:autoSpaceDE w:val="0"/>
        <w:autoSpaceDN w:val="0"/>
        <w:adjustRightInd w:val="0"/>
        <w:rPr>
          <w:rFonts w:ascii="Arial" w:hAnsi="Arial" w:cs="Arial"/>
          <w:color w:val="000000"/>
          <w:kern w:val="24"/>
        </w:rPr>
      </w:pPr>
    </w:p>
    <w:p w:rsidR="00BC495C" w:rsidRPr="00186236" w:rsidRDefault="00BC495C" w:rsidP="00BC495C">
      <w:pPr>
        <w:autoSpaceDE w:val="0"/>
        <w:autoSpaceDN w:val="0"/>
        <w:adjustRightInd w:val="0"/>
        <w:rPr>
          <w:rFonts w:ascii="Arial" w:hAnsi="Arial" w:cs="Arial"/>
          <w:color w:val="000000"/>
          <w:kern w:val="24"/>
        </w:rPr>
      </w:pPr>
      <w:r w:rsidRPr="00186236">
        <w:rPr>
          <w:rFonts w:ascii="Arial" w:hAnsi="Arial" w:cs="Arial"/>
          <w:color w:val="000000"/>
          <w:kern w:val="24"/>
        </w:rPr>
        <w:t xml:space="preserve">The participation rate for older female workers (45 to 64 year olds) in the Illawarra PEA (60.7 per cent) was also low compared with NSW and Australia (66.2 per cent and 67.7 per cent respectively). </w:t>
      </w:r>
    </w:p>
    <w:p w:rsidR="00BC495C" w:rsidRPr="00186236"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Calibri" w:hAnsi="Calibri" w:cs="Calibri"/>
          <w:b/>
          <w:bCs/>
          <w:color w:val="000000"/>
          <w:kern w:val="24"/>
        </w:rPr>
      </w:pP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Calibri" w:hAnsi="Calibri" w:cs="Calibri"/>
          <w:i/>
          <w:iCs/>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9</w:t>
      </w:r>
    </w:p>
    <w:p w:rsidR="00BC495C" w:rsidRDefault="00BC495C" w:rsidP="00BC495C">
      <w:pPr>
        <w:spacing w:line="360" w:lineRule="auto"/>
      </w:pPr>
    </w:p>
    <w:p w:rsidR="00BC495C" w:rsidRDefault="00B65A31" w:rsidP="00BC495C">
      <w:pPr>
        <w:spacing w:line="360" w:lineRule="auto"/>
        <w:jc w:val="center"/>
      </w:pPr>
      <w:r>
        <w:object w:dxaOrig="7117" w:dyaOrig="5335">
          <v:shape id="_x0000_i1033" type="#_x0000_t75" style="width:267pt;height:200.2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3" DrawAspect="Content" ObjectID="_1416054893" r:id="rId23"/>
        </w:object>
      </w:r>
    </w:p>
    <w:p w:rsidR="00BC495C" w:rsidRDefault="00BC495C" w:rsidP="00BC495C">
      <w:pPr>
        <w:spacing w:line="360" w:lineRule="auto"/>
        <w:jc w:val="center"/>
      </w:pPr>
    </w:p>
    <w:p w:rsidR="00BC495C" w:rsidRPr="00186236" w:rsidRDefault="00BC495C" w:rsidP="00BC495C">
      <w:pPr>
        <w:autoSpaceDE w:val="0"/>
        <w:autoSpaceDN w:val="0"/>
        <w:adjustRightInd w:val="0"/>
        <w:rPr>
          <w:rFonts w:ascii="Arial" w:hAnsi="Arial" w:cs="Arial"/>
          <w:b/>
          <w:bCs/>
          <w:color w:val="000000"/>
          <w:u w:val="single"/>
        </w:rPr>
      </w:pPr>
      <w:r w:rsidRPr="00186236">
        <w:rPr>
          <w:rFonts w:ascii="Arial" w:hAnsi="Arial" w:cs="Arial"/>
          <w:b/>
          <w:bCs/>
          <w:color w:val="000000"/>
          <w:u w:val="single"/>
        </w:rPr>
        <w:t>Impact not evenly felt</w:t>
      </w:r>
    </w:p>
    <w:p w:rsidR="00BC495C" w:rsidRPr="00186236" w:rsidRDefault="00BC495C" w:rsidP="00BC495C">
      <w:pPr>
        <w:autoSpaceDE w:val="0"/>
        <w:autoSpaceDN w:val="0"/>
        <w:adjustRightInd w:val="0"/>
        <w:rPr>
          <w:rFonts w:ascii="Arial" w:hAnsi="Arial" w:cs="Arial"/>
          <w:i/>
          <w:iCs/>
          <w:color w:val="000000"/>
        </w:rPr>
      </w:pPr>
      <w:r w:rsidRPr="00186236">
        <w:rPr>
          <w:rFonts w:ascii="Arial" w:hAnsi="Arial" w:cs="Arial"/>
          <w:i/>
          <w:iCs/>
          <w:color w:val="000000"/>
        </w:rPr>
        <w:t>Source: ABS Labour Force, October 2012 (3</w:t>
      </w:r>
      <w:r w:rsidR="00186236">
        <w:rPr>
          <w:rFonts w:ascii="Arial" w:hAnsi="Arial" w:cs="Arial"/>
          <w:i/>
          <w:iCs/>
          <w:color w:val="000000"/>
        </w:rPr>
        <w:t xml:space="preserve"> month averages)</w:t>
      </w:r>
    </w:p>
    <w:p w:rsidR="00BC495C" w:rsidRPr="00186236" w:rsidRDefault="00BC495C" w:rsidP="00BC495C">
      <w:pPr>
        <w:autoSpaceDE w:val="0"/>
        <w:autoSpaceDN w:val="0"/>
        <w:adjustRightInd w:val="0"/>
        <w:rPr>
          <w:rFonts w:ascii="Arial" w:hAnsi="Arial" w:cs="Arial"/>
          <w:i/>
          <w:iCs/>
          <w:color w:val="000000"/>
        </w:rPr>
      </w:pPr>
    </w:p>
    <w:p w:rsidR="00BC495C" w:rsidRPr="00186236" w:rsidRDefault="00BC495C" w:rsidP="00BC495C">
      <w:pPr>
        <w:autoSpaceDE w:val="0"/>
        <w:autoSpaceDN w:val="0"/>
        <w:adjustRightInd w:val="0"/>
        <w:rPr>
          <w:rFonts w:ascii="Arial" w:hAnsi="Arial" w:cs="Arial"/>
          <w:i/>
          <w:iCs/>
          <w:color w:val="000000"/>
        </w:rPr>
      </w:pPr>
      <w:r w:rsidRPr="00186236">
        <w:rPr>
          <w:rFonts w:ascii="Arial" w:hAnsi="Arial" w:cs="Arial"/>
          <w:i/>
          <w:iCs/>
          <w:color w:val="000000"/>
        </w:rPr>
        <w:t>Numbers of full-time, part-time and total employed have been rounded to the nearest 100.</w:t>
      </w:r>
    </w:p>
    <w:p w:rsidR="00BC495C" w:rsidRPr="00186236" w:rsidRDefault="00BC495C" w:rsidP="00BC495C">
      <w:pPr>
        <w:autoSpaceDE w:val="0"/>
        <w:autoSpaceDN w:val="0"/>
        <w:adjustRightInd w:val="0"/>
        <w:rPr>
          <w:rFonts w:ascii="Arial" w:hAnsi="Arial" w:cs="Arial"/>
          <w:i/>
          <w:iCs/>
          <w:color w:val="000000"/>
        </w:rPr>
      </w:pPr>
    </w:p>
    <w:p w:rsidR="00BC495C" w:rsidRPr="00186236" w:rsidRDefault="00BC495C" w:rsidP="00BC495C">
      <w:pPr>
        <w:autoSpaceDE w:val="0"/>
        <w:autoSpaceDN w:val="0"/>
        <w:adjustRightInd w:val="0"/>
        <w:rPr>
          <w:rFonts w:ascii="Arial" w:hAnsi="Arial" w:cs="Arial"/>
          <w:color w:val="000000"/>
        </w:rPr>
      </w:pPr>
      <w:r w:rsidRPr="00186236">
        <w:rPr>
          <w:rFonts w:ascii="Arial" w:hAnsi="Arial" w:cs="Arial"/>
          <w:color w:val="000000"/>
        </w:rPr>
        <w:t>Full-time employment increased and part-time employment decreased over the past 12 months for both males and females in the Illawarra PEA. However, the increase in full-time employment was smaller (6,800) and decrease in part-time employment larger (-4,400) for males, leading to a lower total increase (2,400) in employment.</w:t>
      </w:r>
    </w:p>
    <w:p w:rsidR="00BC495C" w:rsidRPr="00186236" w:rsidRDefault="00BC495C" w:rsidP="00BC495C">
      <w:pPr>
        <w:autoSpaceDE w:val="0"/>
        <w:autoSpaceDN w:val="0"/>
        <w:adjustRightInd w:val="0"/>
        <w:rPr>
          <w:rFonts w:ascii="Arial" w:hAnsi="Arial" w:cs="Arial"/>
          <w:color w:val="000000"/>
        </w:rPr>
      </w:pPr>
    </w:p>
    <w:p w:rsidR="00BC495C" w:rsidRPr="00186236" w:rsidRDefault="00BC495C" w:rsidP="00BC495C">
      <w:pPr>
        <w:autoSpaceDE w:val="0"/>
        <w:autoSpaceDN w:val="0"/>
        <w:adjustRightInd w:val="0"/>
        <w:rPr>
          <w:rFonts w:ascii="Arial" w:hAnsi="Arial" w:cs="Arial"/>
          <w:color w:val="000000"/>
        </w:rPr>
      </w:pPr>
    </w:p>
    <w:p w:rsidR="007130F7" w:rsidRDefault="007130F7">
      <w:r>
        <w:br w:type="page"/>
      </w:r>
    </w:p>
    <w:p w:rsidR="00BC495C" w:rsidRDefault="00BC495C" w:rsidP="00BC495C">
      <w:pPr>
        <w:spacing w:line="360" w:lineRule="auto"/>
      </w:pPr>
      <w:r>
        <w:lastRenderedPageBreak/>
        <w:t>Slide 10</w:t>
      </w:r>
    </w:p>
    <w:p w:rsidR="00BC495C" w:rsidRDefault="00BC495C" w:rsidP="00BC495C">
      <w:pPr>
        <w:spacing w:line="360" w:lineRule="auto"/>
      </w:pPr>
    </w:p>
    <w:p w:rsidR="00BC495C" w:rsidRDefault="00BC495C" w:rsidP="00BC495C">
      <w:pPr>
        <w:spacing w:line="360" w:lineRule="auto"/>
        <w:jc w:val="center"/>
      </w:pPr>
      <w:r>
        <w:object w:dxaOrig="7216" w:dyaOrig="5409">
          <v:shape id="_x0000_i1034" type="#_x0000_t75" style="width:270.75pt;height:202.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4" DrawAspect="Content" ObjectID="_1416054894" r:id="rId25"/>
        </w:object>
      </w:r>
    </w:p>
    <w:p w:rsidR="00BC495C" w:rsidRDefault="00BC495C" w:rsidP="00BC495C">
      <w:pPr>
        <w:spacing w:line="360" w:lineRule="auto"/>
        <w:jc w:val="center"/>
      </w:pPr>
    </w:p>
    <w:p w:rsidR="00BC495C" w:rsidRPr="00186236" w:rsidRDefault="00BC495C" w:rsidP="00BC495C">
      <w:pPr>
        <w:autoSpaceDE w:val="0"/>
        <w:autoSpaceDN w:val="0"/>
        <w:adjustRightInd w:val="0"/>
        <w:rPr>
          <w:rFonts w:ascii="Arial" w:hAnsi="Arial" w:cs="Arial"/>
          <w:b/>
          <w:bCs/>
          <w:color w:val="000000"/>
          <w:kern w:val="24"/>
        </w:rPr>
      </w:pPr>
      <w:r w:rsidRPr="00186236">
        <w:rPr>
          <w:rFonts w:ascii="Arial" w:hAnsi="Arial" w:cs="Arial"/>
          <w:b/>
          <w:bCs/>
          <w:color w:val="000000"/>
          <w:kern w:val="24"/>
          <w:u w:val="single"/>
        </w:rPr>
        <w:t>The Teenage Labour Market</w:t>
      </w:r>
      <w:r w:rsidRPr="00186236">
        <w:rPr>
          <w:rFonts w:ascii="Arial" w:hAnsi="Arial" w:cs="Arial"/>
          <w:b/>
          <w:bCs/>
          <w:color w:val="000000"/>
          <w:kern w:val="24"/>
        </w:rPr>
        <w:tab/>
      </w:r>
    </w:p>
    <w:p w:rsidR="00BC495C" w:rsidRPr="00186236" w:rsidRDefault="00BC495C" w:rsidP="00BC495C">
      <w:pPr>
        <w:autoSpaceDE w:val="0"/>
        <w:autoSpaceDN w:val="0"/>
        <w:adjustRightInd w:val="0"/>
        <w:rPr>
          <w:rFonts w:ascii="Arial" w:hAnsi="Arial" w:cs="Arial"/>
          <w:i/>
          <w:iCs/>
          <w:color w:val="000000"/>
          <w:kern w:val="24"/>
        </w:rPr>
      </w:pPr>
      <w:r w:rsidRPr="00186236">
        <w:rPr>
          <w:rFonts w:ascii="Arial" w:hAnsi="Arial" w:cs="Arial"/>
          <w:i/>
          <w:iCs/>
          <w:color w:val="000000"/>
          <w:kern w:val="24"/>
        </w:rPr>
        <w:t>Source:</w:t>
      </w:r>
      <w:r w:rsidRPr="00186236">
        <w:rPr>
          <w:rFonts w:ascii="Arial" w:hAnsi="Arial" w:cs="Arial"/>
          <w:color w:val="000000"/>
          <w:kern w:val="24"/>
        </w:rPr>
        <w:t xml:space="preserve"> </w:t>
      </w:r>
      <w:r w:rsidRPr="00186236">
        <w:rPr>
          <w:rFonts w:ascii="Arial" w:hAnsi="Arial" w:cs="Arial"/>
          <w:i/>
          <w:iCs/>
          <w:color w:val="000000"/>
          <w:kern w:val="24"/>
        </w:rPr>
        <w:t>ABS labour Force, October 2012 (12 month averages)</w:t>
      </w:r>
    </w:p>
    <w:p w:rsidR="00BC495C" w:rsidRPr="00186236" w:rsidRDefault="00BC495C" w:rsidP="00BC495C">
      <w:pPr>
        <w:autoSpaceDE w:val="0"/>
        <w:autoSpaceDN w:val="0"/>
        <w:adjustRightInd w:val="0"/>
        <w:rPr>
          <w:rFonts w:ascii="Arial" w:hAnsi="Arial" w:cs="Arial"/>
          <w:i/>
          <w:iCs/>
          <w:color w:val="000000"/>
          <w:kern w:val="24"/>
        </w:rPr>
      </w:pPr>
    </w:p>
    <w:p w:rsidR="00BC495C" w:rsidRPr="00186236" w:rsidRDefault="00BC495C" w:rsidP="00BC495C">
      <w:pPr>
        <w:autoSpaceDE w:val="0"/>
        <w:autoSpaceDN w:val="0"/>
        <w:adjustRightInd w:val="0"/>
        <w:rPr>
          <w:rFonts w:ascii="Arial" w:hAnsi="Arial" w:cs="Arial"/>
          <w:i/>
          <w:iCs/>
          <w:color w:val="000000"/>
          <w:kern w:val="24"/>
        </w:rPr>
      </w:pPr>
      <w:r w:rsidRPr="00186236">
        <w:rPr>
          <w:rFonts w:ascii="Arial" w:hAnsi="Arial" w:cs="Arial"/>
          <w:i/>
          <w:iCs/>
          <w:color w:val="000000"/>
          <w:kern w:val="24"/>
        </w:rPr>
        <w:t>The Illawarra Labour Force Region makes up 91 per cent of the Illawarra Priority Employment Area.</w:t>
      </w:r>
    </w:p>
    <w:p w:rsidR="00BC495C" w:rsidRPr="00186236" w:rsidRDefault="00BC495C" w:rsidP="00BC495C">
      <w:pPr>
        <w:autoSpaceDE w:val="0"/>
        <w:autoSpaceDN w:val="0"/>
        <w:adjustRightInd w:val="0"/>
        <w:rPr>
          <w:rFonts w:ascii="Arial" w:hAnsi="Arial" w:cs="Arial"/>
          <w:color w:val="000000"/>
          <w:kern w:val="24"/>
        </w:rPr>
      </w:pPr>
    </w:p>
    <w:p w:rsidR="00BC495C" w:rsidRPr="00186236" w:rsidRDefault="00BC495C" w:rsidP="00BC495C">
      <w:pPr>
        <w:autoSpaceDE w:val="0"/>
        <w:autoSpaceDN w:val="0"/>
        <w:adjustRightInd w:val="0"/>
        <w:rPr>
          <w:rFonts w:ascii="Arial" w:hAnsi="Arial" w:cs="Arial"/>
          <w:color w:val="000000"/>
          <w:kern w:val="24"/>
        </w:rPr>
      </w:pPr>
    </w:p>
    <w:p w:rsidR="00BC495C" w:rsidRPr="00186236" w:rsidRDefault="00BC495C" w:rsidP="00BC495C">
      <w:pPr>
        <w:autoSpaceDE w:val="0"/>
        <w:autoSpaceDN w:val="0"/>
        <w:adjustRightInd w:val="0"/>
        <w:rPr>
          <w:rFonts w:ascii="Arial" w:hAnsi="Arial" w:cs="Arial"/>
          <w:color w:val="000000"/>
          <w:kern w:val="24"/>
        </w:rPr>
      </w:pPr>
      <w:r w:rsidRPr="00186236">
        <w:rPr>
          <w:rFonts w:ascii="Arial" w:hAnsi="Arial" w:cs="Arial"/>
          <w:color w:val="000000"/>
          <w:kern w:val="24"/>
        </w:rPr>
        <w:t xml:space="preserve">The teenage full-time unemployment rate in the Illawarra </w:t>
      </w:r>
      <w:proofErr w:type="spellStart"/>
      <w:r w:rsidRPr="00186236">
        <w:rPr>
          <w:rFonts w:ascii="Arial" w:hAnsi="Arial" w:cs="Arial"/>
          <w:color w:val="000000"/>
          <w:kern w:val="24"/>
        </w:rPr>
        <w:t>LFR</w:t>
      </w:r>
      <w:proofErr w:type="spellEnd"/>
      <w:r w:rsidRPr="00186236">
        <w:rPr>
          <w:rFonts w:ascii="Arial" w:hAnsi="Arial" w:cs="Arial"/>
          <w:color w:val="000000"/>
          <w:kern w:val="24"/>
        </w:rPr>
        <w:t xml:space="preserve"> (20.0 per cent) was lower than both the state (22.9 per cent) and national average </w:t>
      </w:r>
      <w:r w:rsidR="00186236">
        <w:rPr>
          <w:rFonts w:ascii="Arial" w:hAnsi="Arial" w:cs="Arial"/>
          <w:color w:val="000000"/>
          <w:kern w:val="24"/>
        </w:rPr>
        <w:br/>
      </w:r>
      <w:r w:rsidRPr="00186236">
        <w:rPr>
          <w:rFonts w:ascii="Arial" w:hAnsi="Arial" w:cs="Arial"/>
          <w:color w:val="000000"/>
          <w:kern w:val="24"/>
        </w:rPr>
        <w:t xml:space="preserve">(24.1 per cent). </w:t>
      </w:r>
    </w:p>
    <w:p w:rsidR="00BC495C" w:rsidRDefault="00BC495C" w:rsidP="00BC495C">
      <w:pPr>
        <w:autoSpaceDE w:val="0"/>
        <w:autoSpaceDN w:val="0"/>
        <w:adjustRightInd w:val="0"/>
        <w:rPr>
          <w:rFonts w:ascii="Calibri" w:cs="Calibri"/>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11</w:t>
      </w:r>
    </w:p>
    <w:p w:rsidR="00BC495C" w:rsidRDefault="00BC495C" w:rsidP="00BC495C">
      <w:pPr>
        <w:spacing w:line="360" w:lineRule="auto"/>
        <w:jc w:val="center"/>
      </w:pPr>
      <w:r>
        <w:object w:dxaOrig="7216" w:dyaOrig="5409">
          <v:shape id="_x0000_i1035" type="#_x0000_t75" style="width:270.75pt;height:202.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5" DrawAspect="Content" ObjectID="_1416054895" r:id="rId27"/>
        </w:object>
      </w:r>
    </w:p>
    <w:p w:rsidR="00BC495C" w:rsidRDefault="00BC495C" w:rsidP="00BC495C">
      <w:pPr>
        <w:spacing w:line="360" w:lineRule="auto"/>
        <w:jc w:val="center"/>
      </w:pPr>
    </w:p>
    <w:p w:rsidR="00BC495C" w:rsidRPr="00186236" w:rsidRDefault="00BC495C" w:rsidP="00BC495C">
      <w:pPr>
        <w:autoSpaceDE w:val="0"/>
        <w:autoSpaceDN w:val="0"/>
        <w:adjustRightInd w:val="0"/>
        <w:rPr>
          <w:rFonts w:ascii="Arial" w:hAnsi="Arial" w:cs="Arial"/>
          <w:color w:val="000000"/>
          <w:kern w:val="24"/>
        </w:rPr>
      </w:pPr>
      <w:r w:rsidRPr="00186236">
        <w:rPr>
          <w:rFonts w:ascii="Arial" w:hAnsi="Arial" w:cs="Arial"/>
          <w:b/>
          <w:bCs/>
          <w:color w:val="000000"/>
          <w:kern w:val="24"/>
          <w:u w:val="single"/>
          <w:lang w:val="en-US"/>
        </w:rPr>
        <w:t>Proportion of 20-24 year olds neither working nor studying</w:t>
      </w:r>
    </w:p>
    <w:p w:rsidR="00BC495C" w:rsidRPr="00186236" w:rsidRDefault="00BC495C" w:rsidP="00BC495C">
      <w:pPr>
        <w:autoSpaceDE w:val="0"/>
        <w:autoSpaceDN w:val="0"/>
        <w:adjustRightInd w:val="0"/>
        <w:rPr>
          <w:rFonts w:ascii="Arial" w:hAnsi="Arial" w:cs="Arial"/>
          <w:color w:val="000000"/>
          <w:kern w:val="24"/>
        </w:rPr>
      </w:pPr>
      <w:r w:rsidRPr="00186236">
        <w:rPr>
          <w:rFonts w:ascii="Arial" w:hAnsi="Arial" w:cs="Arial"/>
          <w:i/>
          <w:iCs/>
          <w:color w:val="000000"/>
          <w:kern w:val="24"/>
          <w:lang w:val="en-US"/>
        </w:rPr>
        <w:t>Source: ABS Census of Population and Housing, 2011</w:t>
      </w:r>
    </w:p>
    <w:p w:rsidR="00BC495C" w:rsidRPr="00186236" w:rsidRDefault="00BC495C" w:rsidP="00BC495C">
      <w:pPr>
        <w:autoSpaceDE w:val="0"/>
        <w:autoSpaceDN w:val="0"/>
        <w:adjustRightInd w:val="0"/>
        <w:rPr>
          <w:rFonts w:ascii="Arial" w:hAnsi="Arial" w:cs="Arial"/>
          <w:color w:val="000000"/>
          <w:kern w:val="24"/>
        </w:rPr>
      </w:pPr>
      <w:r w:rsidRPr="00186236">
        <w:rPr>
          <w:rFonts w:ascii="Arial" w:hAnsi="Arial" w:cs="Arial"/>
          <w:color w:val="000000"/>
          <w:kern w:val="24"/>
          <w:lang w:val="en-US"/>
        </w:rPr>
        <w:t> </w:t>
      </w:r>
    </w:p>
    <w:p w:rsidR="00BC495C" w:rsidRPr="00186236" w:rsidRDefault="00BC495C" w:rsidP="00BC495C">
      <w:pPr>
        <w:autoSpaceDE w:val="0"/>
        <w:autoSpaceDN w:val="0"/>
        <w:adjustRightInd w:val="0"/>
        <w:rPr>
          <w:rFonts w:ascii="Arial" w:hAnsi="Arial" w:cs="Arial"/>
          <w:color w:val="000000"/>
          <w:kern w:val="24"/>
        </w:rPr>
      </w:pPr>
      <w:r w:rsidRPr="00186236">
        <w:rPr>
          <w:rFonts w:ascii="Arial" w:hAnsi="Arial" w:cs="Arial"/>
          <w:color w:val="000000"/>
          <w:kern w:val="24"/>
        </w:rPr>
        <w:t xml:space="preserve">At the time of the 2011 Census, the proportion of both males and females aged 20-24 in the Illawarra PEA who were neither employed nor </w:t>
      </w:r>
      <w:proofErr w:type="gramStart"/>
      <w:r w:rsidRPr="00186236">
        <w:rPr>
          <w:rFonts w:ascii="Arial" w:hAnsi="Arial" w:cs="Arial"/>
          <w:color w:val="000000"/>
          <w:kern w:val="24"/>
        </w:rPr>
        <w:t>studying was</w:t>
      </w:r>
      <w:proofErr w:type="gramEnd"/>
      <w:r w:rsidRPr="00186236">
        <w:rPr>
          <w:rFonts w:ascii="Arial" w:hAnsi="Arial" w:cs="Arial"/>
          <w:color w:val="000000"/>
          <w:kern w:val="24"/>
        </w:rPr>
        <w:t xml:space="preserve"> higher compared with NSW and Australia.</w:t>
      </w:r>
    </w:p>
    <w:p w:rsidR="00BC495C" w:rsidRPr="00186236" w:rsidRDefault="00BC495C" w:rsidP="00BC495C">
      <w:pPr>
        <w:autoSpaceDE w:val="0"/>
        <w:autoSpaceDN w:val="0"/>
        <w:adjustRightInd w:val="0"/>
        <w:rPr>
          <w:rFonts w:ascii="Arial" w:hAnsi="Arial" w:cs="Arial"/>
          <w:color w:val="000000"/>
          <w:kern w:val="24"/>
        </w:rPr>
      </w:pPr>
    </w:p>
    <w:p w:rsidR="00BC495C" w:rsidRPr="00186236" w:rsidRDefault="00BC495C" w:rsidP="00BC495C">
      <w:pPr>
        <w:autoSpaceDE w:val="0"/>
        <w:autoSpaceDN w:val="0"/>
        <w:adjustRightInd w:val="0"/>
        <w:rPr>
          <w:rFonts w:ascii="Arial" w:hAnsi="Arial" w:cs="Arial"/>
          <w:color w:val="000000"/>
          <w:kern w:val="24"/>
        </w:rPr>
      </w:pPr>
      <w:r w:rsidRPr="00186236">
        <w:rPr>
          <w:rFonts w:ascii="Arial" w:hAnsi="Arial" w:cs="Arial"/>
          <w:color w:val="000000"/>
          <w:kern w:val="24"/>
        </w:rPr>
        <w:t>Some 8 per cent of males aged 20-24 were unemployed and not studying in the PEA (compared with 6 per cent for Australia), while 6 per cent were not in the labour force and not studying, the same as NSW and Australia.</w:t>
      </w:r>
    </w:p>
    <w:p w:rsidR="00BC495C" w:rsidRPr="00186236" w:rsidRDefault="00BC495C" w:rsidP="00BC495C">
      <w:pPr>
        <w:autoSpaceDE w:val="0"/>
        <w:autoSpaceDN w:val="0"/>
        <w:adjustRightInd w:val="0"/>
        <w:rPr>
          <w:rFonts w:ascii="Arial" w:hAnsi="Arial" w:cs="Arial"/>
          <w:color w:val="000000"/>
          <w:kern w:val="24"/>
        </w:rPr>
      </w:pPr>
    </w:p>
    <w:p w:rsidR="00BC495C" w:rsidRPr="00186236" w:rsidRDefault="00BC495C" w:rsidP="00BC495C">
      <w:pPr>
        <w:autoSpaceDE w:val="0"/>
        <w:autoSpaceDN w:val="0"/>
        <w:adjustRightInd w:val="0"/>
        <w:rPr>
          <w:rFonts w:ascii="Arial" w:hAnsi="Arial" w:cs="Arial"/>
          <w:color w:val="000000"/>
          <w:kern w:val="24"/>
        </w:rPr>
      </w:pPr>
      <w:r w:rsidRPr="00186236">
        <w:rPr>
          <w:rFonts w:ascii="Arial" w:hAnsi="Arial" w:cs="Arial"/>
          <w:color w:val="000000"/>
          <w:kern w:val="24"/>
        </w:rPr>
        <w:t xml:space="preserve">The proportion of males aged 20-24 in the Shellharbour </w:t>
      </w:r>
      <w:proofErr w:type="spellStart"/>
      <w:r w:rsidRPr="00186236">
        <w:rPr>
          <w:rFonts w:ascii="Arial" w:hAnsi="Arial" w:cs="Arial"/>
          <w:color w:val="000000"/>
          <w:kern w:val="24"/>
        </w:rPr>
        <w:t>LGA</w:t>
      </w:r>
      <w:proofErr w:type="spellEnd"/>
      <w:r w:rsidRPr="00186236">
        <w:rPr>
          <w:rFonts w:ascii="Arial" w:hAnsi="Arial" w:cs="Arial"/>
          <w:color w:val="000000"/>
          <w:kern w:val="24"/>
        </w:rPr>
        <w:t xml:space="preserve"> who were unemployed and not studying (9 per cent) was particularly high.</w:t>
      </w:r>
    </w:p>
    <w:p w:rsidR="00BC495C" w:rsidRPr="00186236" w:rsidRDefault="00BC495C" w:rsidP="00BC495C">
      <w:pPr>
        <w:autoSpaceDE w:val="0"/>
        <w:autoSpaceDN w:val="0"/>
        <w:adjustRightInd w:val="0"/>
        <w:rPr>
          <w:rFonts w:ascii="Arial" w:hAnsi="Arial" w:cs="Arial"/>
          <w:color w:val="000000"/>
          <w:kern w:val="24"/>
        </w:rPr>
      </w:pPr>
    </w:p>
    <w:p w:rsidR="00BC495C" w:rsidRPr="00186236" w:rsidRDefault="00BC495C" w:rsidP="00BC495C">
      <w:pPr>
        <w:autoSpaceDE w:val="0"/>
        <w:autoSpaceDN w:val="0"/>
        <w:adjustRightInd w:val="0"/>
        <w:rPr>
          <w:rFonts w:ascii="Arial" w:hAnsi="Arial" w:cs="Arial"/>
          <w:color w:val="000000"/>
          <w:kern w:val="24"/>
        </w:rPr>
      </w:pPr>
      <w:r w:rsidRPr="00186236">
        <w:rPr>
          <w:rFonts w:ascii="Arial" w:hAnsi="Arial" w:cs="Arial"/>
          <w:color w:val="000000"/>
          <w:kern w:val="24"/>
        </w:rPr>
        <w:t>Some 5 per cent of females aged 20-24 were unemployed and not studying, higher than NSW and Australia (both 4 per cent), while 13 per cent were not in the labour force and not studying, also higher than NSW and Australia (both 11 per cent).</w:t>
      </w:r>
    </w:p>
    <w:p w:rsidR="00BC495C" w:rsidRPr="00186236" w:rsidRDefault="00BC495C" w:rsidP="00BC495C">
      <w:pPr>
        <w:autoSpaceDE w:val="0"/>
        <w:autoSpaceDN w:val="0"/>
        <w:adjustRightInd w:val="0"/>
        <w:rPr>
          <w:rFonts w:ascii="Arial" w:hAnsi="Arial" w:cs="Arial"/>
          <w:color w:val="000000"/>
          <w:kern w:val="24"/>
        </w:rPr>
      </w:pPr>
    </w:p>
    <w:p w:rsidR="00BC495C" w:rsidRPr="00186236" w:rsidRDefault="00BC495C" w:rsidP="00BC495C">
      <w:pPr>
        <w:autoSpaceDE w:val="0"/>
        <w:autoSpaceDN w:val="0"/>
        <w:adjustRightInd w:val="0"/>
        <w:rPr>
          <w:rFonts w:ascii="Arial" w:hAnsi="Arial" w:cs="Arial"/>
          <w:color w:val="000000"/>
          <w:kern w:val="24"/>
        </w:rPr>
      </w:pPr>
      <w:r w:rsidRPr="00186236">
        <w:rPr>
          <w:rFonts w:ascii="Arial" w:hAnsi="Arial" w:cs="Arial"/>
          <w:color w:val="000000"/>
          <w:kern w:val="24"/>
        </w:rPr>
        <w:t xml:space="preserve">In the Illawarra PEA, 33 per cent of all females aged 20-24 were in receipt of an income support payment (compared with 25 per cent for Australia). Some 8 per cent of all females aged 20-24 were in receipt of parenting payment single (compared with 5 per cent for Australia). </w:t>
      </w:r>
    </w:p>
    <w:p w:rsidR="00BC495C" w:rsidRPr="00186236" w:rsidRDefault="00BC495C" w:rsidP="00BC495C">
      <w:pPr>
        <w:autoSpaceDE w:val="0"/>
        <w:autoSpaceDN w:val="0"/>
        <w:adjustRightInd w:val="0"/>
        <w:rPr>
          <w:rFonts w:ascii="Arial" w:hAnsi="Arial" w:cs="Arial"/>
          <w:color w:val="000000"/>
          <w:kern w:val="24"/>
        </w:rPr>
      </w:pPr>
    </w:p>
    <w:p w:rsidR="00BC495C" w:rsidRPr="00186236" w:rsidRDefault="00BC495C" w:rsidP="00BC495C">
      <w:pPr>
        <w:autoSpaceDE w:val="0"/>
        <w:autoSpaceDN w:val="0"/>
        <w:adjustRightInd w:val="0"/>
        <w:rPr>
          <w:rFonts w:ascii="Arial" w:hAnsi="Arial" w:cs="Arial"/>
          <w:color w:val="000000"/>
          <w:kern w:val="24"/>
        </w:rPr>
      </w:pPr>
    </w:p>
    <w:p w:rsidR="007130F7" w:rsidRDefault="007130F7">
      <w:pPr>
        <w:rPr>
          <w:rFonts w:ascii="Arial" w:hAnsi="Arial" w:cs="Arial"/>
        </w:rPr>
      </w:pPr>
      <w:r>
        <w:rPr>
          <w:rFonts w:ascii="Arial" w:hAnsi="Arial" w:cs="Arial"/>
        </w:rPr>
        <w:br w:type="page"/>
      </w:r>
    </w:p>
    <w:p w:rsidR="00BC495C" w:rsidRDefault="00BC495C" w:rsidP="00BC495C">
      <w:pPr>
        <w:spacing w:line="360" w:lineRule="auto"/>
      </w:pPr>
      <w:r>
        <w:lastRenderedPageBreak/>
        <w:t>Slide 12</w:t>
      </w:r>
    </w:p>
    <w:p w:rsidR="00BC495C" w:rsidRDefault="00BC495C" w:rsidP="00BC495C">
      <w:pPr>
        <w:spacing w:line="360" w:lineRule="auto"/>
      </w:pPr>
    </w:p>
    <w:p w:rsidR="00BC495C" w:rsidRDefault="00BC495C" w:rsidP="00BC495C">
      <w:pPr>
        <w:spacing w:line="360" w:lineRule="auto"/>
        <w:jc w:val="center"/>
      </w:pPr>
      <w:r>
        <w:object w:dxaOrig="7216" w:dyaOrig="5409">
          <v:shape id="_x0000_i1036" type="#_x0000_t75" style="width:270.75pt;height:202.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6" DrawAspect="Content" ObjectID="_1416054896" r:id="rId29"/>
        </w:object>
      </w:r>
    </w:p>
    <w:p w:rsidR="00BC495C" w:rsidRDefault="00BC495C" w:rsidP="00BC495C">
      <w:pPr>
        <w:spacing w:line="360" w:lineRule="auto"/>
        <w:jc w:val="cente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b/>
          <w:bCs/>
          <w:color w:val="000000"/>
          <w:kern w:val="24"/>
          <w:u w:val="single"/>
        </w:rPr>
        <w:t>Long term unemployment</w:t>
      </w:r>
    </w:p>
    <w:p w:rsidR="00BC495C" w:rsidRPr="00856AA0" w:rsidRDefault="00BC495C" w:rsidP="00BC495C">
      <w:pPr>
        <w:autoSpaceDE w:val="0"/>
        <w:autoSpaceDN w:val="0"/>
        <w:adjustRightInd w:val="0"/>
        <w:rPr>
          <w:rFonts w:ascii="Arial" w:hAnsi="Arial" w:cs="Arial"/>
          <w:i/>
          <w:iCs/>
          <w:color w:val="000000"/>
          <w:kern w:val="24"/>
        </w:rPr>
      </w:pPr>
      <w:r w:rsidRPr="00856AA0">
        <w:rPr>
          <w:rFonts w:ascii="Arial" w:hAnsi="Arial" w:cs="Arial"/>
          <w:i/>
          <w:iCs/>
          <w:color w:val="000000"/>
          <w:kern w:val="24"/>
        </w:rPr>
        <w:t>Source: ABS labour Force, October 2012 (12 month averages)</w:t>
      </w:r>
    </w:p>
    <w:p w:rsidR="00BC495C" w:rsidRPr="00856AA0" w:rsidRDefault="00BC495C" w:rsidP="00BC495C">
      <w:pPr>
        <w:autoSpaceDE w:val="0"/>
        <w:autoSpaceDN w:val="0"/>
        <w:adjustRightInd w:val="0"/>
        <w:rPr>
          <w:rFonts w:ascii="Arial" w:hAnsi="Arial" w:cs="Arial"/>
          <w:i/>
          <w:iCs/>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i/>
          <w:iCs/>
          <w:color w:val="000000"/>
          <w:kern w:val="24"/>
        </w:rPr>
        <w:t>The Illawarra Labour Force Region makes up 91 per cent of the Illawarra Priority Employment Area.</w:t>
      </w:r>
    </w:p>
    <w:p w:rsidR="00BC495C" w:rsidRPr="00856AA0" w:rsidRDefault="00BC495C" w:rsidP="00BC495C">
      <w:pPr>
        <w:autoSpaceDE w:val="0"/>
        <w:autoSpaceDN w:val="0"/>
        <w:adjustRightInd w:val="0"/>
        <w:rPr>
          <w:rFonts w:ascii="Arial" w:hAnsi="Arial" w:cs="Arial"/>
          <w:b/>
          <w:bCs/>
          <w:color w:val="000000"/>
          <w:kern w:val="24"/>
        </w:rPr>
      </w:pP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Long-term unemployed are those who have been unemployed and looking for work for at least 52 weeks. </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The proportion of unemployed persons who were long-term unemployed in the Illawarra </w:t>
      </w:r>
      <w:proofErr w:type="spellStart"/>
      <w:r w:rsidRPr="00856AA0">
        <w:rPr>
          <w:rFonts w:ascii="Arial" w:hAnsi="Arial" w:cs="Arial"/>
          <w:color w:val="000000"/>
          <w:kern w:val="24"/>
        </w:rPr>
        <w:t>LFR</w:t>
      </w:r>
      <w:proofErr w:type="spellEnd"/>
      <w:r w:rsidRPr="00856AA0">
        <w:rPr>
          <w:rFonts w:ascii="Arial" w:hAnsi="Arial" w:cs="Arial"/>
          <w:color w:val="000000"/>
          <w:kern w:val="24"/>
        </w:rPr>
        <w:t xml:space="preserve"> (28 per cent) was greater than both the state (22 per cent) and national average (19 per cent). </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The average duration of unemployment in the Illawarra </w:t>
      </w:r>
      <w:proofErr w:type="spellStart"/>
      <w:r w:rsidRPr="00856AA0">
        <w:rPr>
          <w:rFonts w:ascii="Arial" w:hAnsi="Arial" w:cs="Arial"/>
          <w:color w:val="000000"/>
          <w:kern w:val="24"/>
        </w:rPr>
        <w:t>LFR</w:t>
      </w:r>
      <w:proofErr w:type="spellEnd"/>
      <w:r w:rsidRPr="00856AA0">
        <w:rPr>
          <w:rFonts w:ascii="Arial" w:hAnsi="Arial" w:cs="Arial"/>
          <w:color w:val="000000"/>
          <w:kern w:val="24"/>
        </w:rPr>
        <w:t xml:space="preserve"> was 61 weeks, significantly longer compared with the state (45 weeks) and national averages </w:t>
      </w:r>
      <w:r w:rsidR="00574870">
        <w:rPr>
          <w:rFonts w:ascii="Arial" w:hAnsi="Arial" w:cs="Arial"/>
          <w:color w:val="000000"/>
          <w:kern w:val="24"/>
        </w:rPr>
        <w:br/>
      </w:r>
      <w:r w:rsidRPr="00856AA0">
        <w:rPr>
          <w:rFonts w:ascii="Arial" w:hAnsi="Arial" w:cs="Arial"/>
          <w:color w:val="000000"/>
          <w:kern w:val="24"/>
        </w:rPr>
        <w:t xml:space="preserve">(37 weeks). </w:t>
      </w: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13</w:t>
      </w:r>
    </w:p>
    <w:p w:rsidR="00BC495C" w:rsidRDefault="00BC495C" w:rsidP="00BC495C">
      <w:pPr>
        <w:spacing w:line="360" w:lineRule="auto"/>
      </w:pPr>
    </w:p>
    <w:p w:rsidR="00BC495C" w:rsidRDefault="00BC495C" w:rsidP="00BC495C">
      <w:pPr>
        <w:spacing w:line="360" w:lineRule="auto"/>
        <w:jc w:val="center"/>
      </w:pPr>
      <w:r>
        <w:object w:dxaOrig="7216" w:dyaOrig="5409">
          <v:shape id="_x0000_i1037" type="#_x0000_t75" style="width:270.75pt;height:202.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7" DrawAspect="Content" ObjectID="_1416054897" r:id="rId31"/>
        </w:object>
      </w:r>
    </w:p>
    <w:p w:rsidR="00BC495C" w:rsidRDefault="00BC495C" w:rsidP="00BC495C">
      <w:pPr>
        <w:spacing w:line="360" w:lineRule="auto"/>
        <w:jc w:val="cente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b/>
          <w:bCs/>
          <w:color w:val="000000"/>
          <w:kern w:val="24"/>
          <w:u w:val="single"/>
        </w:rPr>
        <w:t xml:space="preserve">Recipients of </w:t>
      </w:r>
      <w:proofErr w:type="spellStart"/>
      <w:r w:rsidRPr="00856AA0">
        <w:rPr>
          <w:rFonts w:ascii="Arial" w:hAnsi="Arial" w:cs="Arial"/>
          <w:b/>
          <w:bCs/>
          <w:color w:val="000000"/>
          <w:kern w:val="24"/>
          <w:u w:val="single"/>
        </w:rPr>
        <w:t>Centrelink</w:t>
      </w:r>
      <w:proofErr w:type="spellEnd"/>
      <w:r w:rsidRPr="00856AA0">
        <w:rPr>
          <w:rFonts w:ascii="Arial" w:hAnsi="Arial" w:cs="Arial"/>
          <w:b/>
          <w:bCs/>
          <w:color w:val="000000"/>
          <w:kern w:val="24"/>
          <w:u w:val="single"/>
        </w:rPr>
        <w:t xml:space="preserve"> Benefits</w:t>
      </w:r>
    </w:p>
    <w:p w:rsidR="00BC495C" w:rsidRPr="00856AA0" w:rsidRDefault="00BC495C" w:rsidP="00BC495C">
      <w:pPr>
        <w:autoSpaceDE w:val="0"/>
        <w:autoSpaceDN w:val="0"/>
        <w:adjustRightInd w:val="0"/>
        <w:rPr>
          <w:rFonts w:ascii="Arial" w:hAnsi="Arial" w:cs="Arial"/>
          <w:i/>
          <w:iCs/>
          <w:color w:val="000000"/>
          <w:kern w:val="24"/>
        </w:rPr>
      </w:pPr>
      <w:r w:rsidRPr="00856AA0">
        <w:rPr>
          <w:rFonts w:ascii="Arial" w:hAnsi="Arial" w:cs="Arial"/>
          <w:i/>
          <w:iCs/>
          <w:color w:val="000000"/>
          <w:kern w:val="24"/>
        </w:rPr>
        <w:t>Source: DEEWR administrative data, September 2012; ABS Census of Population and Housing, 2011</w:t>
      </w:r>
    </w:p>
    <w:p w:rsidR="00BC495C" w:rsidRPr="00856AA0" w:rsidRDefault="00BC495C" w:rsidP="00BC495C">
      <w:pPr>
        <w:autoSpaceDE w:val="0"/>
        <w:autoSpaceDN w:val="0"/>
        <w:adjustRightInd w:val="0"/>
        <w:rPr>
          <w:rFonts w:ascii="Arial" w:hAnsi="Arial" w:cs="Arial"/>
          <w:b/>
          <w:bCs/>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In June 2012, 23 per cent of the Working Age </w:t>
      </w:r>
      <w:proofErr w:type="gramStart"/>
      <w:r w:rsidRPr="00856AA0">
        <w:rPr>
          <w:rFonts w:ascii="Arial" w:hAnsi="Arial" w:cs="Arial"/>
          <w:color w:val="000000"/>
          <w:kern w:val="24"/>
        </w:rPr>
        <w:t>Population  (</w:t>
      </w:r>
      <w:proofErr w:type="spellStart"/>
      <w:proofErr w:type="gramEnd"/>
      <w:r w:rsidRPr="00856AA0">
        <w:rPr>
          <w:rFonts w:ascii="Arial" w:hAnsi="Arial" w:cs="Arial"/>
          <w:color w:val="000000"/>
          <w:kern w:val="24"/>
        </w:rPr>
        <w:t>WAP</w:t>
      </w:r>
      <w:proofErr w:type="spellEnd"/>
      <w:r w:rsidRPr="00856AA0">
        <w:rPr>
          <w:rFonts w:ascii="Arial" w:hAnsi="Arial" w:cs="Arial"/>
          <w:color w:val="000000"/>
          <w:kern w:val="24"/>
        </w:rPr>
        <w:t>) in the Illawarra PEA were in receipt of an income support payment. This was larger when compared with state and national levels (both 17 per cent).</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Overall the proportion of the </w:t>
      </w:r>
      <w:proofErr w:type="spellStart"/>
      <w:r w:rsidRPr="00856AA0">
        <w:rPr>
          <w:rFonts w:ascii="Arial" w:hAnsi="Arial" w:cs="Arial"/>
          <w:color w:val="000000"/>
          <w:kern w:val="24"/>
        </w:rPr>
        <w:t>WAP</w:t>
      </w:r>
      <w:proofErr w:type="spellEnd"/>
      <w:r w:rsidRPr="00856AA0">
        <w:rPr>
          <w:rFonts w:ascii="Arial" w:hAnsi="Arial" w:cs="Arial"/>
          <w:color w:val="000000"/>
          <w:kern w:val="24"/>
        </w:rPr>
        <w:t xml:space="preserve"> in receipt of an income support payment within the PEA decreased by 3 per cent, with the Shellharbour experiencing the largest decrease (4 per cent) over the year to September 2012. </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Six per cent of the Illawarra PEA </w:t>
      </w:r>
      <w:proofErr w:type="gramStart"/>
      <w:r w:rsidRPr="00856AA0">
        <w:rPr>
          <w:rFonts w:ascii="Arial" w:hAnsi="Arial" w:cs="Arial"/>
          <w:color w:val="000000"/>
          <w:kern w:val="24"/>
        </w:rPr>
        <w:t>were</w:t>
      </w:r>
      <w:proofErr w:type="gramEnd"/>
      <w:r w:rsidRPr="00856AA0">
        <w:rPr>
          <w:rFonts w:ascii="Arial" w:hAnsi="Arial" w:cs="Arial"/>
          <w:color w:val="000000"/>
          <w:kern w:val="24"/>
        </w:rPr>
        <w:t xml:space="preserve"> in receipt of an unemployment benefit, higher than the state and national levels (both 4 per cent). The Eurobodalla and Shoalhaven </w:t>
      </w:r>
      <w:proofErr w:type="spellStart"/>
      <w:r w:rsidRPr="00856AA0">
        <w:rPr>
          <w:rFonts w:ascii="Arial" w:hAnsi="Arial" w:cs="Arial"/>
          <w:color w:val="000000"/>
          <w:kern w:val="24"/>
        </w:rPr>
        <w:t>LGAs</w:t>
      </w:r>
      <w:proofErr w:type="spellEnd"/>
      <w:r w:rsidRPr="00856AA0">
        <w:rPr>
          <w:rFonts w:ascii="Arial" w:hAnsi="Arial" w:cs="Arial"/>
          <w:color w:val="000000"/>
          <w:kern w:val="24"/>
        </w:rPr>
        <w:t xml:space="preserve"> reported the highest proportion of the </w:t>
      </w:r>
      <w:proofErr w:type="spellStart"/>
      <w:r w:rsidRPr="00856AA0">
        <w:rPr>
          <w:rFonts w:ascii="Arial" w:hAnsi="Arial" w:cs="Arial"/>
          <w:color w:val="000000"/>
          <w:kern w:val="24"/>
        </w:rPr>
        <w:t>WAP</w:t>
      </w:r>
      <w:proofErr w:type="spellEnd"/>
      <w:r w:rsidRPr="00856AA0">
        <w:rPr>
          <w:rFonts w:ascii="Arial" w:hAnsi="Arial" w:cs="Arial"/>
          <w:color w:val="000000"/>
          <w:kern w:val="24"/>
        </w:rPr>
        <w:t xml:space="preserve"> in receipt of unemployment benefits (8 per cent and 7 per cent respectively).</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Eight per cent of income support payment recipients within the Illawarra PEA were in receipt of Disability Support Payments, this was larger compared to both New South Wales and Australia (both 5 per cent).</w:t>
      </w: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14</w:t>
      </w:r>
    </w:p>
    <w:p w:rsidR="00BC495C" w:rsidRDefault="00BC495C" w:rsidP="00BC495C">
      <w:pPr>
        <w:spacing w:line="360" w:lineRule="auto"/>
      </w:pPr>
    </w:p>
    <w:p w:rsidR="00BC495C" w:rsidRDefault="00BC495C" w:rsidP="00BC495C">
      <w:pPr>
        <w:spacing w:line="360" w:lineRule="auto"/>
        <w:jc w:val="center"/>
      </w:pPr>
      <w:r>
        <w:object w:dxaOrig="7216" w:dyaOrig="5409">
          <v:shape id="_x0000_i1038" type="#_x0000_t75" style="width:270.75pt;height:202.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8" DrawAspect="Content" ObjectID="_1416054898" r:id="rId33"/>
        </w:object>
      </w:r>
    </w:p>
    <w:p w:rsidR="00BC495C" w:rsidRDefault="00BC495C" w:rsidP="00BC495C">
      <w:pPr>
        <w:spacing w:line="360" w:lineRule="auto"/>
        <w:jc w:val="cente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b/>
          <w:bCs/>
          <w:color w:val="000000"/>
          <w:kern w:val="24"/>
          <w:u w:val="single"/>
        </w:rPr>
        <w:t>Jobless Families</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i/>
          <w:iCs/>
          <w:color w:val="000000"/>
          <w:kern w:val="24"/>
        </w:rPr>
        <w:t>Source: ABS 2011, 2006 Census of Population and Housing</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b/>
          <w:bCs/>
          <w:color w:val="000000"/>
          <w:kern w:val="24"/>
        </w:rPr>
        <w:t> </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Nearly one in five (17 per cent) families with children under 15 years of age in the Illawarra PEA did not have an employed parent, which was higher than the rate for NSW and Australia (15 per cent and 14 per cent respectively).</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The Eurobodalla and Shoalhaven </w:t>
      </w:r>
      <w:proofErr w:type="spellStart"/>
      <w:r w:rsidRPr="00856AA0">
        <w:rPr>
          <w:rFonts w:ascii="Arial" w:hAnsi="Arial" w:cs="Arial"/>
          <w:color w:val="000000"/>
          <w:kern w:val="24"/>
        </w:rPr>
        <w:t>LGAs</w:t>
      </w:r>
      <w:proofErr w:type="spellEnd"/>
      <w:r w:rsidRPr="00856AA0">
        <w:rPr>
          <w:rFonts w:ascii="Arial" w:hAnsi="Arial" w:cs="Arial"/>
          <w:color w:val="000000"/>
          <w:kern w:val="24"/>
        </w:rPr>
        <w:t xml:space="preserve"> had the largest proportion of jobless families with children under the age of 15 (22 per cent and 21 per cent respectively).</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The Shoalhaven </w:t>
      </w:r>
      <w:proofErr w:type="spellStart"/>
      <w:r w:rsidRPr="00856AA0">
        <w:rPr>
          <w:rFonts w:ascii="Arial" w:hAnsi="Arial" w:cs="Arial"/>
          <w:color w:val="000000"/>
          <w:kern w:val="24"/>
        </w:rPr>
        <w:t>LGA</w:t>
      </w:r>
      <w:proofErr w:type="spellEnd"/>
      <w:r w:rsidRPr="00856AA0">
        <w:rPr>
          <w:rFonts w:ascii="Arial" w:hAnsi="Arial" w:cs="Arial"/>
          <w:color w:val="000000"/>
          <w:kern w:val="24"/>
        </w:rPr>
        <w:t xml:space="preserve"> had the largest proportion of jobless lone-parent families with c</w:t>
      </w:r>
      <w:r w:rsidR="00DC1F9C">
        <w:rPr>
          <w:rFonts w:ascii="Arial" w:hAnsi="Arial" w:cs="Arial"/>
          <w:color w:val="000000"/>
          <w:kern w:val="24"/>
        </w:rPr>
        <w:t>hildren under the age of 15 (50 per cent</w:t>
      </w:r>
      <w:r w:rsidRPr="00856AA0">
        <w:rPr>
          <w:rFonts w:ascii="Arial" w:hAnsi="Arial" w:cs="Arial"/>
          <w:color w:val="000000"/>
          <w:kern w:val="24"/>
        </w:rPr>
        <w:t>).</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Since 2006 there has been a decrease in the number of all families who are jobless in the Illawarra PEA (9 per cent) compared with a 6 per cent decrease across NSW.</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15</w:t>
      </w:r>
    </w:p>
    <w:p w:rsidR="00BC495C" w:rsidRDefault="00BC495C" w:rsidP="00BC495C">
      <w:pPr>
        <w:spacing w:line="360" w:lineRule="auto"/>
      </w:pPr>
    </w:p>
    <w:p w:rsidR="00BC495C" w:rsidRDefault="00BC495C" w:rsidP="00BC495C">
      <w:pPr>
        <w:spacing w:line="360" w:lineRule="auto"/>
        <w:jc w:val="center"/>
      </w:pPr>
      <w:r>
        <w:object w:dxaOrig="7216" w:dyaOrig="5409">
          <v:shape id="_x0000_i1039" type="#_x0000_t75" style="width:270.75pt;height:202.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9" DrawAspect="Content" ObjectID="_1416054899" r:id="rId35"/>
        </w:object>
      </w:r>
    </w:p>
    <w:p w:rsidR="00BC495C" w:rsidRDefault="00BC495C" w:rsidP="00BC495C">
      <w:pPr>
        <w:spacing w:line="360" w:lineRule="auto"/>
        <w:jc w:val="cente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b/>
          <w:bCs/>
          <w:color w:val="000000"/>
          <w:kern w:val="24"/>
          <w:u w:val="single"/>
        </w:rPr>
        <w:t>Indigenous Population Aged 15-64</w:t>
      </w:r>
    </w:p>
    <w:p w:rsidR="00BC495C" w:rsidRPr="00856AA0" w:rsidRDefault="00BC495C" w:rsidP="00BC495C">
      <w:pPr>
        <w:autoSpaceDE w:val="0"/>
        <w:autoSpaceDN w:val="0"/>
        <w:adjustRightInd w:val="0"/>
        <w:rPr>
          <w:rFonts w:ascii="Arial" w:hAnsi="Arial" w:cs="Arial"/>
          <w:i/>
          <w:iCs/>
          <w:color w:val="000000"/>
          <w:kern w:val="24"/>
        </w:rPr>
      </w:pPr>
      <w:r w:rsidRPr="00856AA0">
        <w:rPr>
          <w:rFonts w:ascii="Arial" w:hAnsi="Arial" w:cs="Arial"/>
          <w:i/>
          <w:iCs/>
          <w:color w:val="000000"/>
          <w:kern w:val="24"/>
        </w:rPr>
        <w:t>Source: ABS Census of Population and Housing, 2011</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At the time of the 2011 Census, the proportion of the working age population in the Illawarra PEA who identified as Indigenous was 3 per cent, higher than New South Wales and Australia (both 2 per cent). </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The unemployment rate for Indigenous residents in the Illawarra PEA was </w:t>
      </w:r>
      <w:r w:rsidR="00856AA0">
        <w:rPr>
          <w:rFonts w:ascii="Arial" w:hAnsi="Arial" w:cs="Arial"/>
          <w:color w:val="000000"/>
          <w:kern w:val="24"/>
        </w:rPr>
        <w:br/>
      </w:r>
      <w:r w:rsidRPr="00856AA0">
        <w:rPr>
          <w:rFonts w:ascii="Arial" w:hAnsi="Arial" w:cs="Arial"/>
          <w:color w:val="000000"/>
          <w:kern w:val="24"/>
        </w:rPr>
        <w:t xml:space="preserve">20 per cent, compared with 7 per cent for non-Indigenous residents. </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The participation rate (55 per cent) was lower for Indigenous residents in the Illawarra PEA compared with non-Indigenous residents (72 per cent).</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16</w:t>
      </w:r>
    </w:p>
    <w:p w:rsidR="00BC495C" w:rsidRDefault="00BC495C" w:rsidP="00BC495C">
      <w:pPr>
        <w:spacing w:line="360" w:lineRule="auto"/>
      </w:pPr>
    </w:p>
    <w:p w:rsidR="00BC495C" w:rsidRDefault="00BC495C" w:rsidP="00BC495C">
      <w:pPr>
        <w:spacing w:line="360" w:lineRule="auto"/>
        <w:jc w:val="center"/>
      </w:pPr>
      <w:r>
        <w:object w:dxaOrig="7216" w:dyaOrig="5409">
          <v:shape id="_x0000_i1040" type="#_x0000_t75" style="width:270.75pt;height:202.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40" DrawAspect="Content" ObjectID="_1416054900" r:id="rId37"/>
        </w:object>
      </w:r>
    </w:p>
    <w:p w:rsidR="00BC495C" w:rsidRDefault="00BC495C" w:rsidP="00BC495C">
      <w:pPr>
        <w:spacing w:line="360" w:lineRule="auto"/>
        <w:jc w:val="center"/>
      </w:pPr>
    </w:p>
    <w:p w:rsidR="00BC495C" w:rsidRDefault="00BC495C" w:rsidP="00BC495C">
      <w:pPr>
        <w:autoSpaceDE w:val="0"/>
        <w:autoSpaceDN w:val="0"/>
        <w:adjustRightInd w:val="0"/>
        <w:rPr>
          <w:rFonts w:ascii="Arial" w:hAnsi="Arial" w:cs="Arial"/>
          <w:color w:val="000000"/>
          <w:kern w:val="24"/>
        </w:rPr>
      </w:pPr>
      <w:r>
        <w:rPr>
          <w:rFonts w:ascii="Arial" w:hAnsi="Arial" w:cs="Arial"/>
          <w:b/>
          <w:bCs/>
          <w:color w:val="000000"/>
          <w:kern w:val="24"/>
          <w:u w:val="single"/>
        </w:rPr>
        <w:t>Labour Market Outcomes for Persons (aged 15-74) with a Disability, 2009</w:t>
      </w:r>
    </w:p>
    <w:p w:rsidR="00BC495C" w:rsidRDefault="00BC495C" w:rsidP="00BC495C">
      <w:pPr>
        <w:autoSpaceDE w:val="0"/>
        <w:autoSpaceDN w:val="0"/>
        <w:adjustRightInd w:val="0"/>
        <w:rPr>
          <w:rFonts w:ascii="Arial" w:hAnsi="Arial" w:cs="Arial"/>
          <w:color w:val="000000"/>
          <w:kern w:val="24"/>
        </w:rPr>
      </w:pPr>
      <w:r>
        <w:rPr>
          <w:rFonts w:ascii="Arial" w:hAnsi="Arial" w:cs="Arial"/>
          <w:i/>
          <w:iCs/>
          <w:color w:val="000000"/>
          <w:kern w:val="24"/>
        </w:rPr>
        <w:t>Source: ABS Customised Tables, Survey of Education and Training, 2009</w:t>
      </w:r>
    </w:p>
    <w:p w:rsidR="00BC495C" w:rsidRDefault="00BC495C" w:rsidP="00BC495C">
      <w:pPr>
        <w:autoSpaceDE w:val="0"/>
        <w:autoSpaceDN w:val="0"/>
        <w:adjustRightInd w:val="0"/>
        <w:rPr>
          <w:rFonts w:ascii="Arial" w:hAnsi="Arial" w:cs="Arial"/>
          <w:color w:val="000000"/>
          <w:kern w:val="24"/>
        </w:rPr>
      </w:pPr>
      <w:r>
        <w:rPr>
          <w:rFonts w:ascii="Arial" w:hAnsi="Arial" w:cs="Arial"/>
          <w:b/>
          <w:bCs/>
          <w:i/>
          <w:iCs/>
          <w:color w:val="000000"/>
          <w:kern w:val="24"/>
        </w:rPr>
        <w:t> </w:t>
      </w: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This slide shows the effect of having a disability on labour market outcomes.</w:t>
      </w:r>
    </w:p>
    <w:p w:rsidR="00BC495C" w:rsidRDefault="00BC495C" w:rsidP="00BC495C">
      <w:pPr>
        <w:autoSpaceDE w:val="0"/>
        <w:autoSpaceDN w:val="0"/>
        <w:adjustRightInd w:val="0"/>
        <w:rPr>
          <w:rFonts w:ascii="Arial" w:hAnsi="Arial" w:cs="Arial"/>
          <w:color w:val="000000"/>
          <w:kern w:val="24"/>
        </w:rPr>
      </w:pPr>
      <w:r>
        <w:rPr>
          <w:rFonts w:ascii="Arial" w:hAnsi="Arial" w:cs="Arial"/>
          <w:b/>
          <w:bCs/>
          <w:i/>
          <w:iCs/>
          <w:color w:val="000000"/>
          <w:kern w:val="24"/>
        </w:rPr>
        <w:t> </w:t>
      </w:r>
    </w:p>
    <w:p w:rsidR="00BC495C" w:rsidRDefault="00DC1F9C" w:rsidP="00BC495C">
      <w:pPr>
        <w:autoSpaceDE w:val="0"/>
        <w:autoSpaceDN w:val="0"/>
        <w:adjustRightInd w:val="0"/>
        <w:rPr>
          <w:rFonts w:ascii="Arial" w:hAnsi="Arial" w:cs="Arial"/>
          <w:color w:val="000000"/>
          <w:kern w:val="24"/>
        </w:rPr>
      </w:pPr>
      <w:r>
        <w:rPr>
          <w:rFonts w:ascii="Arial" w:hAnsi="Arial" w:cs="Arial"/>
          <w:color w:val="000000"/>
          <w:kern w:val="24"/>
        </w:rPr>
        <w:t>In 2009, over one in four (28.7 per cent</w:t>
      </w:r>
      <w:r w:rsidR="00BC495C">
        <w:rPr>
          <w:rFonts w:ascii="Arial" w:hAnsi="Arial" w:cs="Arial"/>
          <w:color w:val="000000"/>
          <w:kern w:val="24"/>
        </w:rPr>
        <w:t xml:space="preserve">) of employed persons aged 15-74 years reported having a disability. </w:t>
      </w:r>
    </w:p>
    <w:p w:rsidR="00BC495C" w:rsidRDefault="00BC495C" w:rsidP="00BC495C">
      <w:pPr>
        <w:autoSpaceDE w:val="0"/>
        <w:autoSpaceDN w:val="0"/>
        <w:adjustRightInd w:val="0"/>
        <w:rPr>
          <w:rFonts w:ascii="Arial" w:hAnsi="Arial" w:cs="Arial"/>
          <w:color w:val="000000"/>
          <w:kern w:val="24"/>
        </w:rPr>
      </w:pPr>
    </w:p>
    <w:p w:rsidR="00BC495C" w:rsidRDefault="00DC1F9C" w:rsidP="00BC495C">
      <w:pPr>
        <w:autoSpaceDE w:val="0"/>
        <w:autoSpaceDN w:val="0"/>
        <w:adjustRightInd w:val="0"/>
        <w:rPr>
          <w:rFonts w:ascii="Arial" w:hAnsi="Arial" w:cs="Arial"/>
          <w:color w:val="000000"/>
          <w:kern w:val="24"/>
        </w:rPr>
      </w:pPr>
      <w:r>
        <w:rPr>
          <w:rFonts w:ascii="Arial" w:hAnsi="Arial" w:cs="Arial"/>
          <w:color w:val="000000"/>
          <w:kern w:val="24"/>
        </w:rPr>
        <w:t>10.4 per cent</w:t>
      </w:r>
      <w:r w:rsidR="00BC495C">
        <w:rPr>
          <w:rFonts w:ascii="Arial" w:hAnsi="Arial" w:cs="Arial"/>
          <w:color w:val="000000"/>
          <w:kern w:val="24"/>
        </w:rPr>
        <w:t xml:space="preserve"> of employed persons (aged 15-74 years) reported having a disability that restricted their employment or schooling. </w:t>
      </w: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w:t>
      </w: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xml:space="preserve">In contrast, almost one </w:t>
      </w:r>
      <w:r w:rsidR="00DC1F9C">
        <w:rPr>
          <w:rFonts w:ascii="Arial" w:hAnsi="Arial" w:cs="Arial"/>
          <w:color w:val="000000"/>
          <w:kern w:val="24"/>
        </w:rPr>
        <w:t>in three (32.9 per cent</w:t>
      </w:r>
      <w:r>
        <w:rPr>
          <w:rFonts w:ascii="Arial" w:hAnsi="Arial" w:cs="Arial"/>
          <w:color w:val="000000"/>
          <w:kern w:val="24"/>
        </w:rPr>
        <w:t xml:space="preserve">) of the total population aged 15-74 years reported having a disability in 2009. </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xml:space="preserve">15.5% of the population (aged 15-74 years) reported having a disability that restricted their employment or schooling. </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lang w:val="en-US"/>
        </w:rPr>
        <w:t>The unemployment rate was much higher and the participation rate was much lower for people with a disability that restrict their employment/schooling.</w:t>
      </w: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w:t>
      </w: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Please note: data excludes persons aged 65-74 years who are not in or marginally attached to the labour force.</w:t>
      </w: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w:t>
      </w: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17</w:t>
      </w:r>
    </w:p>
    <w:p w:rsidR="00BC495C" w:rsidRDefault="00BC495C" w:rsidP="00BC495C">
      <w:pPr>
        <w:spacing w:line="360" w:lineRule="auto"/>
      </w:pPr>
    </w:p>
    <w:p w:rsidR="00BC495C" w:rsidRDefault="00BC495C" w:rsidP="00BC495C">
      <w:pPr>
        <w:spacing w:line="360" w:lineRule="auto"/>
        <w:jc w:val="center"/>
      </w:pPr>
      <w:r>
        <w:object w:dxaOrig="7216" w:dyaOrig="5409">
          <v:shape id="_x0000_i1041" type="#_x0000_t75" style="width:270.75pt;height:202.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41" DrawAspect="Content" ObjectID="_1416054901" r:id="rId39"/>
        </w:object>
      </w:r>
    </w:p>
    <w:p w:rsidR="00BC495C" w:rsidRDefault="00BC495C" w:rsidP="00BC495C">
      <w:pPr>
        <w:spacing w:line="360" w:lineRule="auto"/>
        <w:jc w:val="center"/>
      </w:pPr>
    </w:p>
    <w:p w:rsidR="00BC495C" w:rsidRDefault="00BC495C" w:rsidP="00BC495C">
      <w:pPr>
        <w:autoSpaceDE w:val="0"/>
        <w:autoSpaceDN w:val="0"/>
        <w:adjustRightInd w:val="0"/>
        <w:rPr>
          <w:rFonts w:ascii="Arial" w:hAnsi="Arial" w:cs="Arial"/>
          <w:color w:val="000000"/>
          <w:kern w:val="24"/>
        </w:rPr>
      </w:pPr>
      <w:r>
        <w:rPr>
          <w:rFonts w:ascii="Arial" w:hAnsi="Arial" w:cs="Arial"/>
          <w:b/>
          <w:bCs/>
          <w:color w:val="000000"/>
          <w:kern w:val="24"/>
          <w:u w:val="single"/>
        </w:rPr>
        <w:t>Educational Attainment – persons aged 25-34 years</w:t>
      </w:r>
    </w:p>
    <w:p w:rsidR="00BC495C" w:rsidRDefault="00BC495C" w:rsidP="00BC495C">
      <w:pPr>
        <w:autoSpaceDE w:val="0"/>
        <w:autoSpaceDN w:val="0"/>
        <w:adjustRightInd w:val="0"/>
        <w:rPr>
          <w:rFonts w:ascii="Arial" w:hAnsi="Arial" w:cs="Arial"/>
          <w:color w:val="000000"/>
          <w:kern w:val="24"/>
        </w:rPr>
      </w:pPr>
      <w:r>
        <w:rPr>
          <w:rFonts w:ascii="Arial" w:hAnsi="Arial" w:cs="Arial"/>
          <w:i/>
          <w:iCs/>
          <w:color w:val="000000"/>
          <w:kern w:val="24"/>
        </w:rPr>
        <w:t>Source: ABS Census of Population and Housing, 2011, 2006</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xml:space="preserve">At the time of the 2011 Census, the proportion of 25 to 34 year olds in the Illawarra PEA who had completed Year 12 or equivalent was 63 per cent, smaller than New South Wales and Australia (both 75 per cent). This varied across the PEA, with the Eurobodalla </w:t>
      </w:r>
      <w:proofErr w:type="spellStart"/>
      <w:r>
        <w:rPr>
          <w:rFonts w:ascii="Arial" w:hAnsi="Arial" w:cs="Arial"/>
          <w:color w:val="000000"/>
          <w:kern w:val="24"/>
        </w:rPr>
        <w:t>LGA</w:t>
      </w:r>
      <w:proofErr w:type="spellEnd"/>
      <w:r>
        <w:rPr>
          <w:rFonts w:ascii="Arial" w:hAnsi="Arial" w:cs="Arial"/>
          <w:color w:val="000000"/>
          <w:kern w:val="24"/>
        </w:rPr>
        <w:t xml:space="preserve"> having the smallest Year 12 attainment level </w:t>
      </w:r>
      <w:r w:rsidR="00574870">
        <w:rPr>
          <w:rFonts w:ascii="Arial" w:hAnsi="Arial" w:cs="Arial"/>
          <w:color w:val="000000"/>
          <w:kern w:val="24"/>
        </w:rPr>
        <w:br/>
      </w:r>
      <w:r>
        <w:rPr>
          <w:rFonts w:ascii="Arial" w:hAnsi="Arial" w:cs="Arial"/>
          <w:color w:val="000000"/>
          <w:kern w:val="24"/>
        </w:rPr>
        <w:t xml:space="preserve">(51 per cent of 25 to 34 year olds), while the Wollongong </w:t>
      </w:r>
      <w:proofErr w:type="spellStart"/>
      <w:r>
        <w:rPr>
          <w:rFonts w:ascii="Arial" w:hAnsi="Arial" w:cs="Arial"/>
          <w:color w:val="000000"/>
          <w:kern w:val="24"/>
        </w:rPr>
        <w:t>LGA</w:t>
      </w:r>
      <w:proofErr w:type="spellEnd"/>
      <w:r>
        <w:rPr>
          <w:rFonts w:ascii="Arial" w:hAnsi="Arial" w:cs="Arial"/>
          <w:color w:val="000000"/>
          <w:kern w:val="24"/>
        </w:rPr>
        <w:t xml:space="preserve"> had the largest </w:t>
      </w:r>
      <w:r w:rsidR="00574870">
        <w:rPr>
          <w:rFonts w:ascii="Arial" w:hAnsi="Arial" w:cs="Arial"/>
          <w:color w:val="000000"/>
          <w:kern w:val="24"/>
        </w:rPr>
        <w:br/>
      </w:r>
      <w:r>
        <w:rPr>
          <w:rFonts w:ascii="Arial" w:hAnsi="Arial" w:cs="Arial"/>
          <w:color w:val="000000"/>
          <w:kern w:val="24"/>
        </w:rPr>
        <w:t>(69 per cent).</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xml:space="preserve">In the Shellharbour </w:t>
      </w:r>
      <w:proofErr w:type="spellStart"/>
      <w:r>
        <w:rPr>
          <w:rFonts w:ascii="Arial" w:hAnsi="Arial" w:cs="Arial"/>
          <w:color w:val="000000"/>
          <w:kern w:val="24"/>
        </w:rPr>
        <w:t>LGA</w:t>
      </w:r>
      <w:proofErr w:type="spellEnd"/>
      <w:r>
        <w:rPr>
          <w:rFonts w:ascii="Arial" w:hAnsi="Arial" w:cs="Arial"/>
          <w:color w:val="000000"/>
          <w:kern w:val="24"/>
        </w:rPr>
        <w:t>, a low proportion (55 per cent) of 25 to 34 year olds had completed year 12 or equivalent compared to the NSW and national averages (both 75 per cent). Similarly, a low proportion (15 per cent) of 25 to 34 year olds had attained a Bachelor Degree or higher compared with the NSW and national averages (37 per cent and 34 per cent respectively).</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xml:space="preserve">Since 2006, there was a 6 percentage point increase in Year 12 completion in both the Illawarra PEA and the Shellharbour </w:t>
      </w:r>
      <w:proofErr w:type="spellStart"/>
      <w:r>
        <w:rPr>
          <w:rFonts w:ascii="Arial" w:hAnsi="Arial" w:cs="Arial"/>
          <w:color w:val="000000"/>
          <w:kern w:val="24"/>
        </w:rPr>
        <w:t>LGA</w:t>
      </w:r>
      <w:proofErr w:type="spellEnd"/>
      <w:r>
        <w:rPr>
          <w:rFonts w:ascii="Arial" w:hAnsi="Arial" w:cs="Arial"/>
          <w:color w:val="000000"/>
          <w:kern w:val="24"/>
        </w:rPr>
        <w:t>, slightly higher than NSW overall (5 percentage point increase).</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xml:space="preserve">Job seekers who have not completed Year 12 and have limited experience in the workforce are likely to lack many basic employability skills that employers value and look for in applicants, particularly for lower skilled vacancies and entry level positions such as apprenticeships and traineeships. </w:t>
      </w: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w:t>
      </w: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xml:space="preserve">The proportion of 25 to 34 year olds who had attained an Advanced Diploma, Diploma or Certificate level III or IV in the Illawarra PEA (37 per cent) was higher than state and national averages (both 29 per cent). The proportion </w:t>
      </w:r>
      <w:proofErr w:type="gramStart"/>
      <w:r>
        <w:rPr>
          <w:rFonts w:ascii="Arial" w:hAnsi="Arial" w:cs="Arial"/>
          <w:color w:val="000000"/>
          <w:kern w:val="24"/>
        </w:rPr>
        <w:t>who</w:t>
      </w:r>
      <w:proofErr w:type="gramEnd"/>
      <w:r>
        <w:rPr>
          <w:rFonts w:ascii="Arial" w:hAnsi="Arial" w:cs="Arial"/>
          <w:color w:val="000000"/>
          <w:kern w:val="24"/>
        </w:rPr>
        <w:t xml:space="preserve"> had attained a Bachelor Degree or higher (24 per cent) was lower than the state and national averages (37 per cent and 34 per cent respectively).</w:t>
      </w:r>
    </w:p>
    <w:p w:rsidR="00BC495C" w:rsidRDefault="00BC495C" w:rsidP="00BC495C">
      <w:pPr>
        <w:spacing w:line="360" w:lineRule="auto"/>
      </w:pPr>
      <w:r>
        <w:lastRenderedPageBreak/>
        <w:t>Slide 18</w:t>
      </w:r>
    </w:p>
    <w:p w:rsidR="00BC495C" w:rsidRDefault="00BC495C" w:rsidP="00BC495C">
      <w:pPr>
        <w:spacing w:line="360" w:lineRule="auto"/>
      </w:pPr>
    </w:p>
    <w:p w:rsidR="00BC495C" w:rsidRDefault="00BC495C" w:rsidP="00BC495C">
      <w:pPr>
        <w:spacing w:line="360" w:lineRule="auto"/>
        <w:jc w:val="center"/>
      </w:pPr>
      <w:r>
        <w:object w:dxaOrig="7216" w:dyaOrig="5409">
          <v:shape id="_x0000_i1042" type="#_x0000_t75" style="width:270.75pt;height:202.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42" DrawAspect="Content" ObjectID="_1416054902" r:id="rId41"/>
        </w:object>
      </w:r>
    </w:p>
    <w:p w:rsidR="00BC495C" w:rsidRDefault="00BC495C" w:rsidP="00BC495C">
      <w:pPr>
        <w:spacing w:line="360" w:lineRule="auto"/>
        <w:jc w:val="cente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b/>
          <w:bCs/>
          <w:color w:val="000000"/>
          <w:kern w:val="24"/>
          <w:u w:val="single"/>
        </w:rPr>
        <w:t>Educational Attainment and Labour Market Outcomes</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i/>
          <w:iCs/>
          <w:color w:val="000000"/>
          <w:kern w:val="24"/>
        </w:rPr>
        <w:t>Source: ABS Census of Population and Housing, 2011</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There is a strong relationship between educational attainment and employment outcomes. For those aged 25 to 34 years in the Illawarra PEA, there were high unemployment rates for those who had completed Certificate I &amp; II but did not complete Year 12 (15.5 per cent) and those who did not complete Year 12 without any further post school qualification (15.4 per cent). </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Unemployment rates are lower for those who have completed a tertiary education at the Bachelor degree, Advanced Diploma and Diploma Level. This emphasises the importance post school education has in ensuring success in gaining employment. It should also be noted that employment outcomes are vastly better for those who have attained Certificate Levels III or IV than for those who have not completed Year 12 or only attained Certificate Levels I and II. </w:t>
      </w: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19</w:t>
      </w:r>
    </w:p>
    <w:p w:rsidR="00BC495C" w:rsidRDefault="00BC495C" w:rsidP="00BC495C">
      <w:pPr>
        <w:spacing w:line="360" w:lineRule="auto"/>
      </w:pPr>
    </w:p>
    <w:p w:rsidR="00BC495C" w:rsidRDefault="00BC495C" w:rsidP="00BC495C">
      <w:pPr>
        <w:spacing w:line="360" w:lineRule="auto"/>
        <w:jc w:val="center"/>
      </w:pPr>
      <w:r>
        <w:object w:dxaOrig="7216" w:dyaOrig="5409">
          <v:shape id="_x0000_i1043" type="#_x0000_t75" style="width:270.75pt;height:202.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3" DrawAspect="Content" ObjectID="_1416054903" r:id="rId43"/>
        </w:object>
      </w:r>
    </w:p>
    <w:p w:rsidR="00BC495C" w:rsidRDefault="00BC495C" w:rsidP="00BC495C">
      <w:pPr>
        <w:spacing w:line="360" w:lineRule="auto"/>
        <w:jc w:val="center"/>
      </w:pPr>
    </w:p>
    <w:p w:rsidR="00BC495C" w:rsidRPr="00856AA0" w:rsidRDefault="00BC495C" w:rsidP="00BC495C">
      <w:pPr>
        <w:autoSpaceDE w:val="0"/>
        <w:autoSpaceDN w:val="0"/>
        <w:adjustRightInd w:val="0"/>
        <w:rPr>
          <w:rFonts w:ascii="Arial" w:hAnsi="Arial" w:cs="Arial"/>
          <w:b/>
          <w:bCs/>
          <w:color w:val="000000"/>
          <w:kern w:val="24"/>
          <w:u w:val="single"/>
        </w:rPr>
      </w:pPr>
      <w:r w:rsidRPr="00856AA0">
        <w:rPr>
          <w:rFonts w:ascii="Arial" w:hAnsi="Arial" w:cs="Arial"/>
          <w:b/>
          <w:bCs/>
          <w:color w:val="000000"/>
          <w:kern w:val="24"/>
          <w:u w:val="single"/>
        </w:rPr>
        <w:t>Literacy and Numeracy</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http://www.myschool.edu.au 2011</w:t>
      </w:r>
    </w:p>
    <w:p w:rsidR="00BC495C" w:rsidRPr="00856AA0" w:rsidRDefault="00BC495C" w:rsidP="00BC495C">
      <w:pPr>
        <w:autoSpaceDE w:val="0"/>
        <w:autoSpaceDN w:val="0"/>
        <w:adjustRightInd w:val="0"/>
        <w:rPr>
          <w:rFonts w:ascii="Arial" w:hAnsi="Arial" w:cs="Arial"/>
          <w:i/>
          <w:iCs/>
          <w:color w:val="000000"/>
          <w:kern w:val="24"/>
        </w:rPr>
      </w:pPr>
      <w:r w:rsidRPr="00856AA0">
        <w:rPr>
          <w:rFonts w:ascii="Arial" w:hAnsi="Arial" w:cs="Arial"/>
          <w:i/>
          <w:iCs/>
          <w:color w:val="000000"/>
          <w:kern w:val="24"/>
        </w:rPr>
        <w:t>Figures for Australia and New South Wales represent proportions of all Year 9 students who did not meet minimum standards for literacy and numeracy.</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This slide shows the proportion of Year 9 students at selected government high schools in the Illawarra PEA who did not meet minimum standards for literacy and numeracy in 2011, compared with the proportions of Year 9 students who did not meet minimum standards for literacy and numeracy in NSW and nationally.</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While the selected government schools’ data is not necessarily representative of all Year 9 students in the </w:t>
      </w:r>
      <w:proofErr w:type="spellStart"/>
      <w:r w:rsidRPr="00856AA0">
        <w:rPr>
          <w:rFonts w:ascii="Arial" w:hAnsi="Arial" w:cs="Arial"/>
          <w:color w:val="000000"/>
          <w:kern w:val="24"/>
        </w:rPr>
        <w:t>LGA</w:t>
      </w:r>
      <w:proofErr w:type="spellEnd"/>
      <w:r w:rsidRPr="00856AA0">
        <w:rPr>
          <w:rFonts w:ascii="Arial" w:hAnsi="Arial" w:cs="Arial"/>
          <w:color w:val="000000"/>
          <w:kern w:val="24"/>
        </w:rPr>
        <w:t xml:space="preserve">, it demonstrates that there are at least pockets of disadvantage within these </w:t>
      </w:r>
      <w:proofErr w:type="spellStart"/>
      <w:r w:rsidRPr="00856AA0">
        <w:rPr>
          <w:rFonts w:ascii="Arial" w:hAnsi="Arial" w:cs="Arial"/>
          <w:color w:val="000000"/>
          <w:kern w:val="24"/>
        </w:rPr>
        <w:t>LGAs</w:t>
      </w:r>
      <w:proofErr w:type="spellEnd"/>
      <w:r w:rsidRPr="00856AA0">
        <w:rPr>
          <w:rFonts w:ascii="Arial" w:hAnsi="Arial" w:cs="Arial"/>
          <w:color w:val="000000"/>
          <w:kern w:val="24"/>
        </w:rPr>
        <w:t>.</w:t>
      </w:r>
    </w:p>
    <w:p w:rsidR="00BC495C" w:rsidRPr="00856AA0" w:rsidRDefault="00BC495C" w:rsidP="00BC495C">
      <w:pPr>
        <w:autoSpaceDE w:val="0"/>
        <w:autoSpaceDN w:val="0"/>
        <w:adjustRightInd w:val="0"/>
        <w:rPr>
          <w:rFonts w:ascii="Arial" w:hAnsi="Arial" w:cs="Arial"/>
          <w:i/>
          <w:iCs/>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b/>
          <w:bCs/>
          <w:color w:val="000000"/>
          <w:kern w:val="24"/>
        </w:rPr>
        <w:t> </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20</w:t>
      </w:r>
    </w:p>
    <w:p w:rsidR="00BC495C" w:rsidRDefault="00BC495C" w:rsidP="00BC495C">
      <w:pPr>
        <w:spacing w:line="360" w:lineRule="auto"/>
      </w:pPr>
    </w:p>
    <w:p w:rsidR="00BC495C" w:rsidRDefault="00BC495C" w:rsidP="00BC495C">
      <w:pPr>
        <w:spacing w:line="360" w:lineRule="auto"/>
        <w:jc w:val="center"/>
      </w:pPr>
      <w:r>
        <w:object w:dxaOrig="7216" w:dyaOrig="5409">
          <v:shape id="_x0000_i1044" type="#_x0000_t75" style="width:270.75pt;height:202.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44" DrawAspect="Content" ObjectID="_1416054904" r:id="rId45"/>
        </w:object>
      </w:r>
    </w:p>
    <w:p w:rsidR="00BC495C" w:rsidRDefault="00BC495C" w:rsidP="00BC495C">
      <w:pPr>
        <w:spacing w:line="360" w:lineRule="auto"/>
        <w:jc w:val="cente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b/>
          <w:bCs/>
          <w:color w:val="000000"/>
          <w:kern w:val="24"/>
          <w:u w:val="single"/>
        </w:rPr>
        <w:t>Employment by Industry</w:t>
      </w:r>
    </w:p>
    <w:p w:rsidR="00BC495C" w:rsidRPr="00856AA0" w:rsidRDefault="00BC495C" w:rsidP="00BC495C">
      <w:pPr>
        <w:autoSpaceDE w:val="0"/>
        <w:autoSpaceDN w:val="0"/>
        <w:adjustRightInd w:val="0"/>
        <w:rPr>
          <w:rFonts w:ascii="Arial" w:hAnsi="Arial" w:cs="Arial"/>
          <w:i/>
          <w:iCs/>
          <w:color w:val="000000"/>
          <w:kern w:val="24"/>
        </w:rPr>
      </w:pPr>
      <w:r w:rsidRPr="00856AA0">
        <w:rPr>
          <w:rFonts w:ascii="Arial" w:hAnsi="Arial" w:cs="Arial"/>
          <w:i/>
          <w:iCs/>
          <w:color w:val="000000"/>
          <w:kern w:val="24"/>
        </w:rPr>
        <w:t>Source: ABS Labour Force, August 2012 (4 quarter averages)</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i/>
          <w:iCs/>
          <w:color w:val="000000"/>
          <w:kern w:val="24"/>
        </w:rPr>
      </w:pPr>
      <w:r w:rsidRPr="00856AA0">
        <w:rPr>
          <w:rFonts w:ascii="Arial" w:hAnsi="Arial" w:cs="Arial"/>
          <w:i/>
          <w:iCs/>
          <w:color w:val="000000"/>
          <w:kern w:val="24"/>
        </w:rPr>
        <w:t>The Illawarra Labour Force Region makes up 91 per cent of the Illawarra Priority Employment Area.</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In the Illawarra </w:t>
      </w:r>
      <w:proofErr w:type="spellStart"/>
      <w:r w:rsidRPr="00856AA0">
        <w:rPr>
          <w:rFonts w:ascii="Arial" w:hAnsi="Arial" w:cs="Arial"/>
          <w:color w:val="000000"/>
          <w:kern w:val="24"/>
        </w:rPr>
        <w:t>LFR</w:t>
      </w:r>
      <w:proofErr w:type="spellEnd"/>
      <w:r w:rsidRPr="00856AA0">
        <w:rPr>
          <w:rFonts w:ascii="Arial" w:hAnsi="Arial" w:cs="Arial"/>
          <w:color w:val="000000"/>
          <w:kern w:val="24"/>
        </w:rPr>
        <w:t xml:space="preserve"> the Health Care and Social Assistance and Retail Trade industries were the largest employing industries (13 per cent and 12 per cent of total employed persons respectively), followed by Construction </w:t>
      </w:r>
      <w:r w:rsidR="00856AA0">
        <w:rPr>
          <w:rFonts w:ascii="Arial" w:hAnsi="Arial" w:cs="Arial"/>
          <w:color w:val="000000"/>
          <w:kern w:val="24"/>
        </w:rPr>
        <w:br/>
      </w:r>
      <w:r w:rsidRPr="00856AA0">
        <w:rPr>
          <w:rFonts w:ascii="Arial" w:hAnsi="Arial" w:cs="Arial"/>
          <w:color w:val="000000"/>
          <w:kern w:val="24"/>
        </w:rPr>
        <w:t>(10 per cent) and Manufacturing (9 per cent).</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21</w:t>
      </w:r>
    </w:p>
    <w:p w:rsidR="00BC495C" w:rsidRDefault="00BC495C" w:rsidP="00BC495C">
      <w:pPr>
        <w:spacing w:line="360" w:lineRule="auto"/>
      </w:pPr>
    </w:p>
    <w:p w:rsidR="00BC495C" w:rsidRDefault="00BC495C" w:rsidP="00BC495C">
      <w:pPr>
        <w:spacing w:line="360" w:lineRule="auto"/>
        <w:jc w:val="center"/>
      </w:pPr>
      <w:r>
        <w:object w:dxaOrig="7216" w:dyaOrig="5409">
          <v:shape id="_x0000_i1045" type="#_x0000_t75" style="width:270.75pt;height:202.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45" DrawAspect="Content" ObjectID="_1416054905" r:id="rId47"/>
        </w:object>
      </w:r>
    </w:p>
    <w:p w:rsidR="00BC495C" w:rsidRDefault="00BC495C" w:rsidP="00BC495C">
      <w:pPr>
        <w:spacing w:line="360" w:lineRule="auto"/>
        <w:jc w:val="center"/>
      </w:pPr>
    </w:p>
    <w:p w:rsidR="00BC495C" w:rsidRDefault="00BC495C" w:rsidP="00BC495C">
      <w:pPr>
        <w:autoSpaceDE w:val="0"/>
        <w:autoSpaceDN w:val="0"/>
        <w:adjustRightInd w:val="0"/>
        <w:rPr>
          <w:rFonts w:ascii="Arial" w:hAnsi="Arial" w:cs="Arial"/>
          <w:b/>
          <w:bCs/>
          <w:color w:val="000000"/>
          <w:kern w:val="24"/>
          <w:u w:val="single"/>
        </w:rPr>
      </w:pPr>
      <w:r>
        <w:rPr>
          <w:rFonts w:ascii="Arial" w:hAnsi="Arial" w:cs="Arial"/>
          <w:b/>
          <w:bCs/>
          <w:color w:val="000000"/>
          <w:kern w:val="24"/>
          <w:u w:val="single"/>
        </w:rPr>
        <w:t xml:space="preserve">Industry employment growth (‘000) - 5 years to August 2012, Illawarra </w:t>
      </w:r>
      <w:proofErr w:type="spellStart"/>
      <w:r>
        <w:rPr>
          <w:rFonts w:ascii="Arial" w:hAnsi="Arial" w:cs="Arial"/>
          <w:b/>
          <w:bCs/>
          <w:color w:val="000000"/>
          <w:kern w:val="24"/>
          <w:u w:val="single"/>
        </w:rPr>
        <w:t>LFR</w:t>
      </w:r>
      <w:proofErr w:type="spellEnd"/>
    </w:p>
    <w:p w:rsidR="00BC495C" w:rsidRDefault="00BC495C" w:rsidP="00BC495C">
      <w:pPr>
        <w:autoSpaceDE w:val="0"/>
        <w:autoSpaceDN w:val="0"/>
        <w:adjustRightInd w:val="0"/>
        <w:rPr>
          <w:rFonts w:ascii="Arial" w:hAnsi="Arial" w:cs="Arial"/>
          <w:i/>
          <w:iCs/>
          <w:color w:val="000000"/>
          <w:kern w:val="24"/>
        </w:rPr>
      </w:pPr>
      <w:r>
        <w:rPr>
          <w:rFonts w:ascii="Arial" w:hAnsi="Arial" w:cs="Arial"/>
          <w:i/>
          <w:iCs/>
          <w:color w:val="000000"/>
          <w:kern w:val="24"/>
        </w:rPr>
        <w:t>Source: ABS Labour Force, August 2012 (4 quarter averages)</w:t>
      </w:r>
    </w:p>
    <w:p w:rsidR="00BC495C" w:rsidRDefault="00BC495C" w:rsidP="00BC495C">
      <w:pPr>
        <w:autoSpaceDE w:val="0"/>
        <w:autoSpaceDN w:val="0"/>
        <w:adjustRightInd w:val="0"/>
        <w:rPr>
          <w:rFonts w:ascii="Arial" w:hAnsi="Arial" w:cs="Arial"/>
          <w:color w:val="000000"/>
          <w:kern w:val="24"/>
          <w:lang w:val="en-US"/>
        </w:rPr>
      </w:pPr>
    </w:p>
    <w:p w:rsidR="00BC495C" w:rsidRDefault="00BC495C" w:rsidP="00BC495C">
      <w:pPr>
        <w:autoSpaceDE w:val="0"/>
        <w:autoSpaceDN w:val="0"/>
        <w:adjustRightInd w:val="0"/>
        <w:rPr>
          <w:rFonts w:ascii="Arial" w:hAnsi="Arial" w:cs="Arial"/>
          <w:i/>
          <w:iCs/>
          <w:color w:val="000000"/>
          <w:kern w:val="24"/>
        </w:rPr>
      </w:pPr>
      <w:r>
        <w:rPr>
          <w:rFonts w:ascii="Arial" w:hAnsi="Arial" w:cs="Arial"/>
          <w:i/>
          <w:iCs/>
          <w:color w:val="000000"/>
          <w:kern w:val="24"/>
        </w:rPr>
        <w:t>The Illawarra Labour Force Region makes up 91 per cent of the Illawarra Priority Employment Area.</w:t>
      </w:r>
    </w:p>
    <w:p w:rsidR="00BC495C" w:rsidRDefault="00BC495C" w:rsidP="00BC495C">
      <w:pPr>
        <w:autoSpaceDE w:val="0"/>
        <w:autoSpaceDN w:val="0"/>
        <w:adjustRightInd w:val="0"/>
        <w:rPr>
          <w:rFonts w:ascii="Arial" w:hAnsi="Arial" w:cs="Arial"/>
          <w:color w:val="000000"/>
          <w:kern w:val="24"/>
          <w:lang w:val="en-US"/>
        </w:rPr>
      </w:pPr>
    </w:p>
    <w:p w:rsidR="00BC495C" w:rsidRDefault="00BC495C" w:rsidP="00BC495C">
      <w:pPr>
        <w:autoSpaceDE w:val="0"/>
        <w:autoSpaceDN w:val="0"/>
        <w:adjustRightInd w:val="0"/>
        <w:rPr>
          <w:rFonts w:ascii="Arial" w:hAnsi="Arial" w:cs="Arial"/>
          <w:color w:val="000000"/>
          <w:kern w:val="24"/>
          <w:lang w:val="en-US"/>
        </w:rPr>
      </w:pPr>
      <w:r>
        <w:rPr>
          <w:rFonts w:ascii="Arial" w:hAnsi="Arial" w:cs="Arial"/>
          <w:color w:val="000000"/>
          <w:kern w:val="24"/>
          <w:lang w:val="en-US"/>
        </w:rPr>
        <w:t xml:space="preserve">This slide shows employment growth by industry over the five years to August 2012 in the </w:t>
      </w:r>
      <w:proofErr w:type="spellStart"/>
      <w:r>
        <w:rPr>
          <w:rFonts w:ascii="Arial" w:hAnsi="Arial" w:cs="Arial"/>
          <w:color w:val="000000"/>
          <w:kern w:val="24"/>
          <w:lang w:val="en-US"/>
        </w:rPr>
        <w:t>Illawarra</w:t>
      </w:r>
      <w:proofErr w:type="spellEnd"/>
      <w:r>
        <w:rPr>
          <w:rFonts w:ascii="Arial" w:hAnsi="Arial" w:cs="Arial"/>
          <w:color w:val="000000"/>
          <w:kern w:val="24"/>
          <w:lang w:val="en-US"/>
        </w:rPr>
        <w:t xml:space="preserve"> </w:t>
      </w:r>
      <w:proofErr w:type="spellStart"/>
      <w:r>
        <w:rPr>
          <w:rFonts w:ascii="Arial" w:hAnsi="Arial" w:cs="Arial"/>
          <w:color w:val="000000"/>
          <w:kern w:val="24"/>
          <w:lang w:val="en-US"/>
        </w:rPr>
        <w:t>LFR</w:t>
      </w:r>
      <w:proofErr w:type="spellEnd"/>
      <w:r>
        <w:rPr>
          <w:rFonts w:ascii="Arial" w:hAnsi="Arial" w:cs="Arial"/>
          <w:color w:val="000000"/>
          <w:kern w:val="24"/>
          <w:lang w:val="en-US"/>
        </w:rPr>
        <w:t xml:space="preserve">. The Health Care and Social Assistance industry had the greatest employment growth, increasing by some 6,600 workers. </w:t>
      </w:r>
    </w:p>
    <w:p w:rsidR="00BC495C" w:rsidRDefault="00BC495C" w:rsidP="00BC495C">
      <w:pPr>
        <w:autoSpaceDE w:val="0"/>
        <w:autoSpaceDN w:val="0"/>
        <w:adjustRightInd w:val="0"/>
        <w:rPr>
          <w:rFonts w:ascii="Arial" w:hAnsi="Arial" w:cs="Arial"/>
          <w:color w:val="000000"/>
          <w:kern w:val="24"/>
          <w:lang w:val="en-US"/>
        </w:rPr>
      </w:pPr>
    </w:p>
    <w:p w:rsidR="00BC495C" w:rsidRDefault="00BC495C" w:rsidP="00BC495C">
      <w:pPr>
        <w:autoSpaceDE w:val="0"/>
        <w:autoSpaceDN w:val="0"/>
        <w:adjustRightInd w:val="0"/>
        <w:rPr>
          <w:rFonts w:ascii="Arial" w:hAnsi="Arial" w:cs="Arial"/>
          <w:color w:val="000000"/>
          <w:kern w:val="24"/>
          <w:lang w:val="en-US"/>
        </w:rPr>
      </w:pPr>
      <w:r>
        <w:rPr>
          <w:rFonts w:ascii="Arial" w:hAnsi="Arial" w:cs="Arial"/>
          <w:color w:val="000000"/>
          <w:kern w:val="24"/>
          <w:lang w:val="en-US"/>
        </w:rPr>
        <w:t xml:space="preserve">The Manufacturing and Retail Trade industries experienced decreases in employment, down 2,900 and 1,500 workers respectively. </w:t>
      </w:r>
    </w:p>
    <w:p w:rsidR="00BC495C" w:rsidRDefault="00BC495C" w:rsidP="00BC495C">
      <w:pPr>
        <w:autoSpaceDE w:val="0"/>
        <w:autoSpaceDN w:val="0"/>
        <w:adjustRightInd w:val="0"/>
        <w:rPr>
          <w:rFonts w:ascii="Arial" w:hAnsi="Arial" w:cs="Arial"/>
          <w:color w:val="000000"/>
          <w:kern w:val="24"/>
          <w:lang w:val="en-US"/>
        </w:rPr>
      </w:pP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22</w:t>
      </w:r>
    </w:p>
    <w:p w:rsidR="00BC495C" w:rsidRDefault="00BC495C" w:rsidP="00BC495C">
      <w:pPr>
        <w:spacing w:line="360" w:lineRule="auto"/>
      </w:pPr>
    </w:p>
    <w:p w:rsidR="00BC495C" w:rsidRDefault="00BC495C" w:rsidP="00BC495C">
      <w:pPr>
        <w:spacing w:line="360" w:lineRule="auto"/>
        <w:jc w:val="center"/>
      </w:pPr>
      <w:r>
        <w:object w:dxaOrig="7216" w:dyaOrig="5409">
          <v:shape id="_x0000_i1046" type="#_x0000_t75" style="width:270.75pt;height:202.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46" DrawAspect="Content" ObjectID="_1416054906" r:id="rId49"/>
        </w:object>
      </w:r>
    </w:p>
    <w:p w:rsidR="00BC495C" w:rsidRDefault="00BC495C" w:rsidP="00BC495C">
      <w:pPr>
        <w:spacing w:line="360" w:lineRule="auto"/>
        <w:jc w:val="center"/>
      </w:pPr>
    </w:p>
    <w:p w:rsidR="00BC495C" w:rsidRPr="00856AA0" w:rsidRDefault="00BC495C" w:rsidP="00BC495C">
      <w:pPr>
        <w:autoSpaceDE w:val="0"/>
        <w:autoSpaceDN w:val="0"/>
        <w:adjustRightInd w:val="0"/>
        <w:rPr>
          <w:rFonts w:ascii="Arial" w:hAnsi="Arial" w:cs="Arial"/>
          <w:b/>
          <w:bCs/>
          <w:color w:val="000000"/>
          <w:kern w:val="24"/>
          <w:u w:val="single"/>
        </w:rPr>
      </w:pPr>
      <w:r w:rsidRPr="00856AA0">
        <w:rPr>
          <w:rFonts w:ascii="Arial" w:hAnsi="Arial" w:cs="Arial"/>
          <w:b/>
          <w:bCs/>
          <w:color w:val="000000"/>
          <w:kern w:val="24"/>
          <w:u w:val="single"/>
        </w:rPr>
        <w:t>Change in Employment for Manufacturing – Illawarra PEA (2006-2011)</w:t>
      </w:r>
    </w:p>
    <w:p w:rsidR="00BC495C" w:rsidRPr="00856AA0" w:rsidRDefault="00BC495C" w:rsidP="00BC495C">
      <w:pPr>
        <w:autoSpaceDE w:val="0"/>
        <w:autoSpaceDN w:val="0"/>
        <w:adjustRightInd w:val="0"/>
        <w:rPr>
          <w:rFonts w:ascii="Arial" w:hAnsi="Arial" w:cs="Arial"/>
          <w:i/>
          <w:iCs/>
          <w:color w:val="000000"/>
          <w:kern w:val="24"/>
        </w:rPr>
      </w:pPr>
      <w:r w:rsidRPr="00856AA0">
        <w:rPr>
          <w:rFonts w:ascii="Arial" w:hAnsi="Arial" w:cs="Arial"/>
          <w:i/>
          <w:iCs/>
          <w:color w:val="000000"/>
          <w:kern w:val="24"/>
        </w:rPr>
        <w:t>Source: ABS Census of Population and Housing, 2006 and 2011</w:t>
      </w:r>
    </w:p>
    <w:p w:rsidR="00BC495C" w:rsidRPr="00856AA0" w:rsidRDefault="00BC495C" w:rsidP="00BC495C">
      <w:pPr>
        <w:autoSpaceDE w:val="0"/>
        <w:autoSpaceDN w:val="0"/>
        <w:adjustRightInd w:val="0"/>
        <w:rPr>
          <w:rFonts w:ascii="Arial" w:hAnsi="Arial" w:cs="Arial"/>
          <w:color w:val="000000"/>
          <w:kern w:val="24"/>
          <w:lang w:val="en-US"/>
        </w:rPr>
      </w:pPr>
    </w:p>
    <w:p w:rsidR="00BC495C" w:rsidRPr="00856AA0" w:rsidRDefault="00BC495C" w:rsidP="00BC495C">
      <w:pPr>
        <w:autoSpaceDE w:val="0"/>
        <w:autoSpaceDN w:val="0"/>
        <w:adjustRightInd w:val="0"/>
        <w:rPr>
          <w:rFonts w:ascii="Arial" w:hAnsi="Arial" w:cs="Arial"/>
          <w:color w:val="000000"/>
          <w:kern w:val="24"/>
          <w:lang w:val="en-US"/>
        </w:rPr>
      </w:pPr>
      <w:r w:rsidRPr="00856AA0">
        <w:rPr>
          <w:rFonts w:ascii="Arial" w:hAnsi="Arial" w:cs="Arial"/>
          <w:color w:val="000000"/>
          <w:kern w:val="24"/>
          <w:lang w:val="en-US"/>
        </w:rPr>
        <w:t xml:space="preserve">This table includes selected subdivisions within the Manufacturing industry for the </w:t>
      </w:r>
      <w:proofErr w:type="spellStart"/>
      <w:r w:rsidRPr="00856AA0">
        <w:rPr>
          <w:rFonts w:ascii="Arial" w:hAnsi="Arial" w:cs="Arial"/>
          <w:color w:val="000000"/>
          <w:kern w:val="24"/>
          <w:lang w:val="en-US"/>
        </w:rPr>
        <w:t>Illawarra</w:t>
      </w:r>
      <w:proofErr w:type="spellEnd"/>
      <w:r w:rsidRPr="00856AA0">
        <w:rPr>
          <w:rFonts w:ascii="Arial" w:hAnsi="Arial" w:cs="Arial"/>
          <w:color w:val="000000"/>
          <w:kern w:val="24"/>
          <w:lang w:val="en-US"/>
        </w:rPr>
        <w:t xml:space="preserve"> PEA.  There are 16 Manufacturing subdivisions within the Manufacturing industry.  This table shows the subdivisions with the largest increases and decreases in employment over the 5 years be</w:t>
      </w:r>
      <w:r w:rsidR="00DC1F9C">
        <w:rPr>
          <w:rFonts w:ascii="Arial" w:hAnsi="Arial" w:cs="Arial"/>
          <w:color w:val="000000"/>
          <w:kern w:val="24"/>
          <w:lang w:val="en-US"/>
        </w:rPr>
        <w:t>tween the 2006 and 2011 census</w:t>
      </w:r>
      <w:r w:rsidRPr="00856AA0">
        <w:rPr>
          <w:rFonts w:ascii="Arial" w:hAnsi="Arial" w:cs="Arial"/>
          <w:color w:val="000000"/>
          <w:kern w:val="24"/>
          <w:lang w:val="en-US"/>
        </w:rPr>
        <w:t xml:space="preserve">. </w:t>
      </w:r>
    </w:p>
    <w:p w:rsidR="00BC495C" w:rsidRPr="00856AA0" w:rsidRDefault="00BC495C" w:rsidP="00BC495C">
      <w:pPr>
        <w:autoSpaceDE w:val="0"/>
        <w:autoSpaceDN w:val="0"/>
        <w:adjustRightInd w:val="0"/>
        <w:rPr>
          <w:rFonts w:ascii="Arial" w:hAnsi="Arial" w:cs="Arial"/>
          <w:color w:val="000000"/>
          <w:kern w:val="24"/>
          <w:lang w:val="en-US"/>
        </w:rPr>
      </w:pPr>
    </w:p>
    <w:p w:rsidR="00BC495C" w:rsidRPr="00856AA0" w:rsidRDefault="00BC495C" w:rsidP="00BC495C">
      <w:pPr>
        <w:autoSpaceDE w:val="0"/>
        <w:autoSpaceDN w:val="0"/>
        <w:adjustRightInd w:val="0"/>
        <w:rPr>
          <w:rFonts w:ascii="Arial" w:hAnsi="Arial" w:cs="Arial"/>
          <w:color w:val="000000"/>
          <w:kern w:val="24"/>
          <w:lang w:val="en-US"/>
        </w:rPr>
      </w:pPr>
    </w:p>
    <w:p w:rsidR="00BC495C" w:rsidRDefault="00BC495C" w:rsidP="00BC495C">
      <w:pPr>
        <w:autoSpaceDE w:val="0"/>
        <w:autoSpaceDN w:val="0"/>
        <w:adjustRightInd w:val="0"/>
        <w:rPr>
          <w:rFonts w:ascii="Arial" w:hAnsi="Arial" w:cs="Arial"/>
          <w:color w:val="000000"/>
          <w:kern w:val="24"/>
          <w:lang w:val="en-US"/>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23</w:t>
      </w:r>
    </w:p>
    <w:p w:rsidR="00BC495C" w:rsidRDefault="00BC495C" w:rsidP="00BC495C">
      <w:pPr>
        <w:spacing w:line="360" w:lineRule="auto"/>
      </w:pPr>
    </w:p>
    <w:p w:rsidR="00BC495C" w:rsidRDefault="00BC495C" w:rsidP="00BC495C">
      <w:pPr>
        <w:spacing w:line="360" w:lineRule="auto"/>
        <w:jc w:val="center"/>
      </w:pPr>
      <w:r>
        <w:object w:dxaOrig="7216" w:dyaOrig="5409">
          <v:shape id="_x0000_i1047" type="#_x0000_t75" style="width:270.75pt;height:202.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47" DrawAspect="Content" ObjectID="_1416054907" r:id="rId51"/>
        </w:object>
      </w:r>
    </w:p>
    <w:p w:rsidR="00BC495C" w:rsidRDefault="00BC495C" w:rsidP="00BC495C">
      <w:pPr>
        <w:spacing w:line="360" w:lineRule="auto"/>
        <w:jc w:val="center"/>
      </w:pPr>
    </w:p>
    <w:p w:rsidR="00BC495C" w:rsidRDefault="00BC495C" w:rsidP="00BC495C">
      <w:pPr>
        <w:autoSpaceDE w:val="0"/>
        <w:autoSpaceDN w:val="0"/>
        <w:adjustRightInd w:val="0"/>
        <w:rPr>
          <w:rFonts w:ascii="Arial" w:cs="Arial"/>
          <w:b/>
          <w:bCs/>
          <w:color w:val="000000"/>
          <w:kern w:val="24"/>
          <w:u w:val="single"/>
        </w:rPr>
      </w:pPr>
      <w:r>
        <w:rPr>
          <w:rFonts w:ascii="Arial" w:cs="Arial"/>
          <w:b/>
          <w:bCs/>
          <w:color w:val="000000"/>
          <w:kern w:val="24"/>
          <w:u w:val="single"/>
        </w:rPr>
        <w:t>Journey to Work</w:t>
      </w:r>
    </w:p>
    <w:p w:rsidR="00BC495C" w:rsidRDefault="00BC495C" w:rsidP="00BC495C">
      <w:pPr>
        <w:autoSpaceDE w:val="0"/>
        <w:autoSpaceDN w:val="0"/>
        <w:adjustRightInd w:val="0"/>
        <w:rPr>
          <w:rFonts w:ascii="Arial" w:cs="Arial"/>
          <w:i/>
          <w:iCs/>
          <w:color w:val="000000"/>
          <w:kern w:val="24"/>
        </w:rPr>
      </w:pPr>
      <w:r>
        <w:rPr>
          <w:rFonts w:ascii="Arial" w:cs="Arial"/>
          <w:i/>
          <w:iCs/>
          <w:color w:val="000000"/>
          <w:kern w:val="24"/>
        </w:rPr>
        <w:t>Source: ABS Census of Population and Housing, 2011</w:t>
      </w:r>
    </w:p>
    <w:p w:rsidR="00BC495C" w:rsidRDefault="00BC495C" w:rsidP="00BC495C">
      <w:pPr>
        <w:autoSpaceDE w:val="0"/>
        <w:autoSpaceDN w:val="0"/>
        <w:adjustRightInd w:val="0"/>
        <w:rPr>
          <w:rFonts w:ascii="Arial" w:cs="Arial"/>
          <w:i/>
          <w:iCs/>
          <w:color w:val="000000"/>
          <w:kern w:val="24"/>
        </w:rPr>
      </w:pPr>
    </w:p>
    <w:p w:rsidR="00BC495C" w:rsidRDefault="00BC495C" w:rsidP="00BC495C">
      <w:pPr>
        <w:autoSpaceDE w:val="0"/>
        <w:autoSpaceDN w:val="0"/>
        <w:adjustRightInd w:val="0"/>
        <w:rPr>
          <w:rFonts w:ascii="Arial" w:cs="Arial"/>
          <w:color w:val="000000"/>
          <w:kern w:val="24"/>
        </w:rPr>
      </w:pPr>
      <w:r>
        <w:rPr>
          <w:rFonts w:ascii="Arial" w:cs="Arial"/>
          <w:color w:val="000000"/>
          <w:kern w:val="24"/>
        </w:rPr>
        <w:t>Almost one quarter (24 per cent) of the working age population who live in the PEA travel outside the PEA for work.</w:t>
      </w:r>
      <w:r>
        <w:rPr>
          <w:rFonts w:ascii="Arial" w:cs="Arial"/>
          <w:color w:val="000000"/>
          <w:kern w:val="24"/>
        </w:rPr>
        <w:t> </w:t>
      </w:r>
      <w:proofErr w:type="gramStart"/>
      <w:r w:rsidR="00DC1F9C">
        <w:rPr>
          <w:rFonts w:ascii="Arial" w:cs="Arial"/>
          <w:color w:val="000000"/>
          <w:kern w:val="24"/>
        </w:rPr>
        <w:t>Of these people</w:t>
      </w:r>
      <w:r>
        <w:rPr>
          <w:rFonts w:ascii="Arial" w:cs="Arial"/>
          <w:color w:val="000000"/>
          <w:kern w:val="24"/>
        </w:rPr>
        <w:t xml:space="preserve"> a relatively high number work in the Sydney (3,800 people), Sutherland Shire (3,000 people) and Kiama (1,400) </w:t>
      </w:r>
      <w:proofErr w:type="spellStart"/>
      <w:r>
        <w:rPr>
          <w:rFonts w:ascii="Arial" w:cs="Arial"/>
          <w:color w:val="000000"/>
          <w:kern w:val="24"/>
        </w:rPr>
        <w:t>LGAs</w:t>
      </w:r>
      <w:proofErr w:type="spellEnd"/>
      <w:r>
        <w:rPr>
          <w:rFonts w:ascii="Arial" w:cs="Arial"/>
          <w:color w:val="000000"/>
          <w:kern w:val="24"/>
        </w:rPr>
        <w:t>.</w:t>
      </w:r>
      <w:proofErr w:type="gramEnd"/>
    </w:p>
    <w:p w:rsidR="00BC495C" w:rsidRDefault="00BC495C" w:rsidP="00BC495C">
      <w:pPr>
        <w:autoSpaceDE w:val="0"/>
        <w:autoSpaceDN w:val="0"/>
        <w:adjustRightInd w:val="0"/>
        <w:rPr>
          <w:rFonts w:ascii="Arial" w:cs="Arial"/>
          <w:color w:val="000000"/>
          <w:kern w:val="24"/>
        </w:rPr>
      </w:pPr>
    </w:p>
    <w:p w:rsidR="00BC495C" w:rsidRDefault="00BC495C" w:rsidP="00BC495C">
      <w:pPr>
        <w:autoSpaceDE w:val="0"/>
        <w:autoSpaceDN w:val="0"/>
        <w:adjustRightInd w:val="0"/>
        <w:rPr>
          <w:rFonts w:ascii="Arial" w:cs="Arial"/>
          <w:color w:val="000000"/>
          <w:kern w:val="24"/>
        </w:rPr>
      </w:pPr>
      <w:r>
        <w:rPr>
          <w:rFonts w:ascii="Arial" w:cs="Arial"/>
          <w:color w:val="000000"/>
          <w:kern w:val="24"/>
        </w:rPr>
        <w:t xml:space="preserve">A small proportion of the working age population who work within the PEA </w:t>
      </w:r>
      <w:r w:rsidR="00DC1F9C">
        <w:rPr>
          <w:rFonts w:ascii="Arial" w:cs="Arial"/>
          <w:color w:val="000000"/>
          <w:kern w:val="24"/>
        </w:rPr>
        <w:br/>
      </w:r>
      <w:r>
        <w:rPr>
          <w:rFonts w:ascii="Arial" w:cs="Arial"/>
          <w:color w:val="000000"/>
          <w:kern w:val="24"/>
        </w:rPr>
        <w:t xml:space="preserve">(7 per cent) live outside the PEA. This includes relatively large numbers from the Kiama (4,100 people), Sutherland Shire (900 people) and </w:t>
      </w:r>
      <w:proofErr w:type="spellStart"/>
      <w:r>
        <w:rPr>
          <w:rFonts w:ascii="Arial" w:cs="Arial"/>
          <w:color w:val="000000"/>
          <w:kern w:val="24"/>
        </w:rPr>
        <w:t>Wingecarribee</w:t>
      </w:r>
      <w:proofErr w:type="spellEnd"/>
      <w:r>
        <w:rPr>
          <w:rFonts w:ascii="Arial" w:cs="Arial"/>
          <w:color w:val="000000"/>
          <w:kern w:val="24"/>
        </w:rPr>
        <w:t xml:space="preserve"> (500 people) </w:t>
      </w:r>
      <w:proofErr w:type="spellStart"/>
      <w:r>
        <w:rPr>
          <w:rFonts w:ascii="Arial" w:cs="Arial"/>
          <w:color w:val="000000"/>
          <w:kern w:val="24"/>
        </w:rPr>
        <w:t>LGAs</w:t>
      </w:r>
      <w:proofErr w:type="spellEnd"/>
      <w:r>
        <w:rPr>
          <w:rFonts w:ascii="Arial" w:cs="Arial"/>
          <w:color w:val="000000"/>
          <w:kern w:val="24"/>
        </w:rPr>
        <w:t>.</w:t>
      </w:r>
    </w:p>
    <w:p w:rsidR="00BC495C" w:rsidRDefault="00BC495C" w:rsidP="00BC495C">
      <w:pPr>
        <w:autoSpaceDE w:val="0"/>
        <w:autoSpaceDN w:val="0"/>
        <w:adjustRightInd w:val="0"/>
        <w:rPr>
          <w:rFonts w:ascii="Arial" w:cs="Arial"/>
          <w:color w:val="000000"/>
          <w:kern w:val="24"/>
        </w:rPr>
      </w:pPr>
    </w:p>
    <w:p w:rsidR="00BC495C" w:rsidRDefault="00BC495C" w:rsidP="00BC495C">
      <w:pPr>
        <w:autoSpaceDE w:val="0"/>
        <w:autoSpaceDN w:val="0"/>
        <w:adjustRightInd w:val="0"/>
        <w:rPr>
          <w:rFonts w:ascii="Arial" w:cs="Arial"/>
          <w:color w:val="000000"/>
          <w:kern w:val="24"/>
        </w:rPr>
      </w:pP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24</w:t>
      </w:r>
    </w:p>
    <w:p w:rsidR="00BC495C" w:rsidRDefault="00BC495C" w:rsidP="00BC495C">
      <w:pPr>
        <w:spacing w:line="360" w:lineRule="auto"/>
      </w:pPr>
    </w:p>
    <w:p w:rsidR="00BC495C" w:rsidRDefault="00BC495C" w:rsidP="00BC495C">
      <w:pPr>
        <w:spacing w:line="360" w:lineRule="auto"/>
        <w:jc w:val="center"/>
      </w:pPr>
      <w:r>
        <w:object w:dxaOrig="7216" w:dyaOrig="5409">
          <v:shape id="_x0000_i1048" type="#_x0000_t75" style="width:270.75pt;height:202.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48" DrawAspect="Content" ObjectID="_1416054908" r:id="rId53"/>
        </w:object>
      </w:r>
    </w:p>
    <w:p w:rsidR="00BC495C" w:rsidRDefault="00BC495C" w:rsidP="00BC495C">
      <w:pPr>
        <w:spacing w:line="360" w:lineRule="auto"/>
        <w:jc w:val="cente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b/>
          <w:bCs/>
          <w:color w:val="000000"/>
          <w:kern w:val="24"/>
          <w:u w:val="single"/>
        </w:rPr>
        <w:t>Survey Results</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b/>
          <w:bCs/>
          <w:color w:val="000000"/>
          <w:kern w:val="24"/>
        </w:rPr>
        <w:t>Recruitment Experiences 12 Months Preceding the Survey</w:t>
      </w:r>
    </w:p>
    <w:p w:rsidR="00BC495C" w:rsidRPr="00856AA0" w:rsidRDefault="00BC495C" w:rsidP="00BC495C">
      <w:pPr>
        <w:autoSpaceDE w:val="0"/>
        <w:autoSpaceDN w:val="0"/>
        <w:adjustRightInd w:val="0"/>
        <w:rPr>
          <w:rFonts w:ascii="Arial" w:hAnsi="Arial" w:cs="Arial"/>
          <w:i/>
          <w:iCs/>
          <w:color w:val="000000"/>
          <w:kern w:val="24"/>
        </w:rPr>
      </w:pPr>
      <w:r w:rsidRPr="00856AA0">
        <w:rPr>
          <w:rFonts w:ascii="Arial" w:hAnsi="Arial" w:cs="Arial"/>
          <w:i/>
          <w:iCs/>
          <w:color w:val="000000"/>
          <w:kern w:val="24"/>
        </w:rPr>
        <w:t xml:space="preserve">Source: DEEWR, Survey of Employers’ Recruitment Experiences, April 2012, April 2010 Illawarra Priority Employment Area and combined data to June 2012 </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382 employers were surveyed in the Illawarra PEA in April 2012. </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The proportion of employers in the Illawarra PEA who had recruited in the past 12 months (66 per cent) was similar to all regions surveyed 12 months to June 2012 (65 per cent). However, the proportion who recruited to increase staff </w:t>
      </w:r>
      <w:r w:rsidR="00574870">
        <w:rPr>
          <w:rFonts w:ascii="Arial" w:hAnsi="Arial" w:cs="Arial"/>
          <w:color w:val="000000"/>
          <w:kern w:val="24"/>
        </w:rPr>
        <w:br/>
      </w:r>
      <w:r w:rsidRPr="00856AA0">
        <w:rPr>
          <w:rFonts w:ascii="Arial" w:hAnsi="Arial" w:cs="Arial"/>
          <w:color w:val="000000"/>
          <w:kern w:val="24"/>
        </w:rPr>
        <w:t xml:space="preserve">(43 per cent) had decreased significantly since the April 2010 survey </w:t>
      </w:r>
      <w:r w:rsidR="00856AA0">
        <w:rPr>
          <w:rFonts w:ascii="Arial" w:hAnsi="Arial" w:cs="Arial"/>
          <w:color w:val="000000"/>
          <w:kern w:val="24"/>
        </w:rPr>
        <w:br/>
      </w:r>
      <w:r w:rsidRPr="00856AA0">
        <w:rPr>
          <w:rFonts w:ascii="Arial" w:hAnsi="Arial" w:cs="Arial"/>
          <w:color w:val="000000"/>
          <w:kern w:val="24"/>
        </w:rPr>
        <w:t xml:space="preserve">(57 per cent). </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There were a smaller number of vacancies per 100 staff for the PEA </w:t>
      </w:r>
      <w:r w:rsidR="00856AA0">
        <w:rPr>
          <w:rFonts w:ascii="Arial" w:hAnsi="Arial" w:cs="Arial"/>
          <w:color w:val="000000"/>
          <w:kern w:val="24"/>
        </w:rPr>
        <w:br/>
      </w:r>
      <w:r w:rsidRPr="00856AA0">
        <w:rPr>
          <w:rFonts w:ascii="Arial" w:hAnsi="Arial" w:cs="Arial"/>
          <w:color w:val="000000"/>
          <w:kern w:val="24"/>
        </w:rPr>
        <w:t xml:space="preserve">(12 vacancies per 100 staff) compared with all regions surveyed </w:t>
      </w:r>
      <w:r w:rsidR="00856AA0">
        <w:rPr>
          <w:rFonts w:ascii="Arial" w:hAnsi="Arial" w:cs="Arial"/>
          <w:color w:val="000000"/>
          <w:kern w:val="24"/>
        </w:rPr>
        <w:br/>
      </w:r>
      <w:r w:rsidRPr="00856AA0">
        <w:rPr>
          <w:rFonts w:ascii="Arial" w:hAnsi="Arial" w:cs="Arial"/>
          <w:color w:val="000000"/>
          <w:kern w:val="24"/>
        </w:rPr>
        <w:t>(19 vacancies per 100 staff).</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The rate of unfilled vacancies over the past 12 months for the Illawarra PEA </w:t>
      </w:r>
      <w:r w:rsidR="00574870">
        <w:rPr>
          <w:rFonts w:ascii="Arial" w:hAnsi="Arial" w:cs="Arial"/>
          <w:color w:val="000000"/>
          <w:kern w:val="24"/>
        </w:rPr>
        <w:br/>
      </w:r>
      <w:r w:rsidRPr="00856AA0">
        <w:rPr>
          <w:rFonts w:ascii="Arial" w:hAnsi="Arial" w:cs="Arial"/>
          <w:color w:val="000000"/>
          <w:kern w:val="24"/>
        </w:rPr>
        <w:t>(4.7 per cent) was lower than for all regions (6.3 per cent). A smaller proportion of employers (43 per cent) reported recruitment difficulty compared with all regions (56 per cent).</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25</w:t>
      </w:r>
    </w:p>
    <w:p w:rsidR="00BC495C" w:rsidRDefault="00BC495C" w:rsidP="00BC495C">
      <w:pPr>
        <w:spacing w:line="360" w:lineRule="auto"/>
      </w:pPr>
    </w:p>
    <w:p w:rsidR="00BC495C" w:rsidRDefault="00BC495C" w:rsidP="00BC495C">
      <w:pPr>
        <w:spacing w:line="360" w:lineRule="auto"/>
        <w:jc w:val="center"/>
      </w:pPr>
      <w:r>
        <w:object w:dxaOrig="7216" w:dyaOrig="5409">
          <v:shape id="_x0000_i1049" type="#_x0000_t75" style="width:270.75pt;height:202.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49" DrawAspect="Content" ObjectID="_1416054909" r:id="rId55"/>
        </w:object>
      </w:r>
    </w:p>
    <w:p w:rsidR="00BC495C" w:rsidRDefault="00BC495C" w:rsidP="00BC495C">
      <w:pPr>
        <w:spacing w:line="360" w:lineRule="auto"/>
        <w:jc w:val="center"/>
      </w:pPr>
    </w:p>
    <w:p w:rsidR="00BC495C" w:rsidRPr="00856AA0" w:rsidRDefault="00BC495C" w:rsidP="00BC495C">
      <w:pPr>
        <w:autoSpaceDE w:val="0"/>
        <w:autoSpaceDN w:val="0"/>
        <w:adjustRightInd w:val="0"/>
        <w:rPr>
          <w:rFonts w:ascii="Arial" w:hAnsi="Arial" w:cs="Arial"/>
          <w:b/>
          <w:bCs/>
          <w:color w:val="000000"/>
          <w:kern w:val="24"/>
          <w:u w:val="single"/>
        </w:rPr>
      </w:pPr>
      <w:r w:rsidRPr="00856AA0">
        <w:rPr>
          <w:rFonts w:ascii="Arial" w:hAnsi="Arial" w:cs="Arial"/>
          <w:b/>
          <w:bCs/>
          <w:color w:val="000000"/>
          <w:kern w:val="24"/>
          <w:u w:val="single"/>
        </w:rPr>
        <w:t>Unfilled Vacancies</w:t>
      </w:r>
    </w:p>
    <w:p w:rsidR="00BC495C" w:rsidRPr="00856AA0" w:rsidRDefault="00BC495C" w:rsidP="00BC495C">
      <w:pPr>
        <w:autoSpaceDE w:val="0"/>
        <w:autoSpaceDN w:val="0"/>
        <w:adjustRightInd w:val="0"/>
        <w:rPr>
          <w:rFonts w:ascii="Arial" w:hAnsi="Arial" w:cs="Arial"/>
          <w:i/>
          <w:iCs/>
          <w:color w:val="000000"/>
          <w:kern w:val="24"/>
        </w:rPr>
      </w:pPr>
      <w:r w:rsidRPr="00856AA0">
        <w:rPr>
          <w:rFonts w:ascii="Arial" w:hAnsi="Arial" w:cs="Arial"/>
          <w:i/>
          <w:iCs/>
          <w:color w:val="000000"/>
          <w:kern w:val="24"/>
        </w:rPr>
        <w:t xml:space="preserve">Source: DEEWR, Survey of Employers’ Recruitment Experiences, April 2012, April 2010, June 2009 Illawarra Priority Employment Area and combined data to June 2012   </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There was a low proportion of unfilled vacancies (2.6 per cent) compared with previous surveys of the region (5.0 per cent in April 2010 and 4.0 per cent in June 2009) and all regions surveyed (8.3 per cent).</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Employers in the Illawarra PEA reported a high proportion of unfilled vacancies for Machinery Operators and Drivers (8.0 per cent) and Labourers (5.6 per cent). By contrast, employers filled all vacancies for Community and Personal Service Workers.</w:t>
      </w: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26</w:t>
      </w:r>
    </w:p>
    <w:p w:rsidR="00BC495C" w:rsidRDefault="00BC495C" w:rsidP="00BC495C">
      <w:pPr>
        <w:spacing w:line="360" w:lineRule="auto"/>
      </w:pPr>
    </w:p>
    <w:p w:rsidR="00BC495C" w:rsidRDefault="00BC495C" w:rsidP="00BC495C">
      <w:pPr>
        <w:spacing w:line="360" w:lineRule="auto"/>
        <w:jc w:val="center"/>
      </w:pPr>
      <w:r>
        <w:object w:dxaOrig="7216" w:dyaOrig="5409">
          <v:shape id="_x0000_i1050" type="#_x0000_t75" style="width:270.75pt;height:202.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50" DrawAspect="Content" ObjectID="_1416054910" r:id="rId57"/>
        </w:object>
      </w:r>
    </w:p>
    <w:p w:rsidR="00BC495C" w:rsidRDefault="00BC495C" w:rsidP="00BC495C">
      <w:pPr>
        <w:spacing w:line="360" w:lineRule="auto"/>
        <w:jc w:val="center"/>
      </w:pPr>
    </w:p>
    <w:p w:rsidR="00BC495C" w:rsidRPr="00856AA0" w:rsidRDefault="00BC495C" w:rsidP="00BC495C">
      <w:pPr>
        <w:autoSpaceDE w:val="0"/>
        <w:autoSpaceDN w:val="0"/>
        <w:adjustRightInd w:val="0"/>
        <w:rPr>
          <w:rFonts w:ascii="Arial" w:hAnsi="Arial" w:cs="Arial"/>
          <w:b/>
          <w:bCs/>
          <w:color w:val="000000"/>
          <w:kern w:val="24"/>
          <w:u w:val="single"/>
        </w:rPr>
      </w:pPr>
      <w:r w:rsidRPr="00856AA0">
        <w:rPr>
          <w:rFonts w:ascii="Arial" w:hAnsi="Arial" w:cs="Arial"/>
          <w:b/>
          <w:bCs/>
          <w:color w:val="000000"/>
          <w:kern w:val="24"/>
          <w:u w:val="single"/>
        </w:rPr>
        <w:t>Competition for vacancies</w:t>
      </w:r>
    </w:p>
    <w:p w:rsidR="00BC495C" w:rsidRPr="00856AA0" w:rsidRDefault="00BC495C" w:rsidP="00BC495C">
      <w:pPr>
        <w:autoSpaceDE w:val="0"/>
        <w:autoSpaceDN w:val="0"/>
        <w:adjustRightInd w:val="0"/>
        <w:rPr>
          <w:rFonts w:ascii="Arial" w:hAnsi="Arial" w:cs="Arial"/>
          <w:i/>
          <w:iCs/>
          <w:color w:val="000000"/>
          <w:kern w:val="24"/>
        </w:rPr>
      </w:pPr>
      <w:r w:rsidRPr="00856AA0">
        <w:rPr>
          <w:rFonts w:ascii="Arial" w:hAnsi="Arial" w:cs="Arial"/>
          <w:i/>
          <w:iCs/>
          <w:color w:val="000000"/>
          <w:kern w:val="24"/>
        </w:rPr>
        <w:t xml:space="preserve">Source: DEEWR, Survey of Employers’ Recruitment Experiences, April 2012, April 2010 Illawarra Priority Employment Area and combined data to June 2012   </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There was, on average, more competition for vacancies in the Illawarra PEA (10.6 applicants per vacancy and 2.7 applicants considered suitable) compared with all regions surveyed (7.9 applicants per vacancy and 2.3 applicants considered suitable).</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w:t>
      </w: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There was a high level of competition for Clerical and Administrative Workers, with an average of 23.8 applicants per vacancy, of whom, only an average of 3.5 were considered suitable. The competition was also high on average for Labourers (11.9 applicants with only 2.6 considered suitable) and for Managers and Professionals (11.3 applicants with 4.2 considered suitable).</w:t>
      </w:r>
    </w:p>
    <w:p w:rsidR="00BC495C" w:rsidRPr="00856AA0" w:rsidRDefault="00BC495C" w:rsidP="00BC495C">
      <w:pPr>
        <w:autoSpaceDE w:val="0"/>
        <w:autoSpaceDN w:val="0"/>
        <w:adjustRightInd w:val="0"/>
        <w:rPr>
          <w:rFonts w:ascii="Arial" w:hAnsi="Arial" w:cs="Arial"/>
          <w:color w:val="000000"/>
          <w:kern w:val="24"/>
        </w:rPr>
      </w:pPr>
    </w:p>
    <w:p w:rsidR="00BC495C" w:rsidRPr="00856AA0" w:rsidRDefault="00BC495C" w:rsidP="00BC495C">
      <w:pPr>
        <w:autoSpaceDE w:val="0"/>
        <w:autoSpaceDN w:val="0"/>
        <w:adjustRightInd w:val="0"/>
        <w:rPr>
          <w:rFonts w:ascii="Arial" w:hAnsi="Arial" w:cs="Arial"/>
          <w:color w:val="000000"/>
          <w:kern w:val="24"/>
        </w:rPr>
      </w:pPr>
      <w:r w:rsidRPr="00856AA0">
        <w:rPr>
          <w:rFonts w:ascii="Arial" w:hAnsi="Arial" w:cs="Arial"/>
          <w:color w:val="000000"/>
          <w:kern w:val="24"/>
        </w:rPr>
        <w:t xml:space="preserve">There </w:t>
      </w:r>
      <w:proofErr w:type="gramStart"/>
      <w:r w:rsidRPr="00856AA0">
        <w:rPr>
          <w:rFonts w:ascii="Arial" w:hAnsi="Arial" w:cs="Arial"/>
          <w:color w:val="000000"/>
          <w:kern w:val="24"/>
        </w:rPr>
        <w:t>was</w:t>
      </w:r>
      <w:proofErr w:type="gramEnd"/>
      <w:r w:rsidRPr="00856AA0">
        <w:rPr>
          <w:rFonts w:ascii="Arial" w:hAnsi="Arial" w:cs="Arial"/>
          <w:color w:val="000000"/>
          <w:kern w:val="24"/>
        </w:rPr>
        <w:t xml:space="preserve"> a lower average number of suitable applicants per vacancy for Community and Personal Service Workers (2.4) and Sales Workers (2.1).</w:t>
      </w:r>
    </w:p>
    <w:p w:rsidR="00BC495C" w:rsidRDefault="00BC495C" w:rsidP="00BC495C">
      <w:pPr>
        <w:autoSpaceDE w:val="0"/>
        <w:autoSpaceDN w:val="0"/>
        <w:adjustRightInd w:val="0"/>
        <w:rPr>
          <w:rFonts w:ascii="Arial" w:hAnsi="Arial" w:cs="Arial"/>
          <w:color w:val="000000"/>
          <w:kern w:val="24"/>
        </w:rPr>
      </w:pPr>
      <w:r>
        <w:rPr>
          <w:rFonts w:ascii="Arial" w:hAnsi="Arial" w:cs="Arial"/>
          <w:color w:val="000000"/>
          <w:kern w:val="24"/>
        </w:rPr>
        <w:t> </w:t>
      </w: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27</w:t>
      </w:r>
    </w:p>
    <w:p w:rsidR="00BC495C" w:rsidRDefault="00BC495C" w:rsidP="00BC495C">
      <w:pPr>
        <w:spacing w:line="360" w:lineRule="auto"/>
      </w:pPr>
    </w:p>
    <w:p w:rsidR="00BC495C" w:rsidRDefault="00BC495C" w:rsidP="00BC495C">
      <w:pPr>
        <w:spacing w:line="360" w:lineRule="auto"/>
        <w:jc w:val="center"/>
      </w:pPr>
      <w:r>
        <w:object w:dxaOrig="7216" w:dyaOrig="5409">
          <v:shape id="_x0000_i1051" type="#_x0000_t75" style="width:270.75pt;height:202.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51" DrawAspect="Content" ObjectID="_1416054911" r:id="rId59"/>
        </w:object>
      </w:r>
    </w:p>
    <w:p w:rsidR="00BC495C" w:rsidRDefault="00BC495C" w:rsidP="00BC495C">
      <w:pPr>
        <w:spacing w:line="360" w:lineRule="auto"/>
        <w:jc w:val="center"/>
      </w:pPr>
    </w:p>
    <w:p w:rsidR="00BC495C" w:rsidRPr="00C9099E" w:rsidRDefault="00BC495C" w:rsidP="00BC495C">
      <w:pPr>
        <w:autoSpaceDE w:val="0"/>
        <w:autoSpaceDN w:val="0"/>
        <w:adjustRightInd w:val="0"/>
        <w:rPr>
          <w:rFonts w:ascii="Arial" w:hAnsi="Arial" w:cs="Arial"/>
          <w:b/>
          <w:bCs/>
          <w:color w:val="000000"/>
          <w:kern w:val="24"/>
          <w:u w:val="single"/>
        </w:rPr>
      </w:pPr>
      <w:r w:rsidRPr="00C9099E">
        <w:rPr>
          <w:rFonts w:ascii="Arial" w:hAnsi="Arial" w:cs="Arial"/>
          <w:b/>
          <w:bCs/>
          <w:color w:val="000000"/>
          <w:kern w:val="24"/>
          <w:u w:val="single"/>
        </w:rPr>
        <w:t>Reasons Applicants Unsuitable</w:t>
      </w:r>
    </w:p>
    <w:p w:rsidR="00BC495C" w:rsidRPr="00C9099E" w:rsidRDefault="00BC495C" w:rsidP="00BC495C">
      <w:pPr>
        <w:autoSpaceDE w:val="0"/>
        <w:autoSpaceDN w:val="0"/>
        <w:adjustRightInd w:val="0"/>
        <w:rPr>
          <w:rFonts w:ascii="Arial" w:hAnsi="Arial" w:cs="Arial"/>
          <w:i/>
          <w:iCs/>
          <w:color w:val="000000"/>
          <w:kern w:val="24"/>
        </w:rPr>
      </w:pPr>
      <w:r w:rsidRPr="00C9099E">
        <w:rPr>
          <w:rFonts w:ascii="Arial" w:hAnsi="Arial" w:cs="Arial"/>
          <w:i/>
          <w:iCs/>
          <w:color w:val="000000"/>
          <w:kern w:val="24"/>
        </w:rPr>
        <w:t>Source: DEEWR, Survey of Employers’ Recruitment Experiences, April 2012 Illawarra Priority Employment Area</w:t>
      </w:r>
    </w:p>
    <w:p w:rsidR="00BC495C" w:rsidRPr="00C9099E" w:rsidRDefault="00BC495C" w:rsidP="00BC495C">
      <w:pPr>
        <w:autoSpaceDE w:val="0"/>
        <w:autoSpaceDN w:val="0"/>
        <w:adjustRightInd w:val="0"/>
        <w:rPr>
          <w:rFonts w:ascii="Arial" w:hAnsi="Arial" w:cs="Arial"/>
          <w:b/>
          <w:bCs/>
          <w:color w:val="000000"/>
          <w:kern w:val="24"/>
          <w:u w:val="single"/>
        </w:rPr>
      </w:pPr>
    </w:p>
    <w:p w:rsidR="00BC495C" w:rsidRPr="00C9099E" w:rsidRDefault="00BC495C" w:rsidP="00BC495C">
      <w:pPr>
        <w:autoSpaceDE w:val="0"/>
        <w:autoSpaceDN w:val="0"/>
        <w:adjustRightInd w:val="0"/>
        <w:rPr>
          <w:rFonts w:ascii="Arial" w:hAnsi="Arial" w:cs="Arial"/>
          <w:color w:val="000000"/>
          <w:kern w:val="24"/>
        </w:rPr>
      </w:pPr>
      <w:r w:rsidRPr="00C9099E">
        <w:rPr>
          <w:rFonts w:ascii="Arial" w:hAnsi="Arial" w:cs="Arial"/>
          <w:color w:val="000000"/>
          <w:kern w:val="24"/>
        </w:rPr>
        <w:t>75 per cent of applicants were regarded by employers as unsuitable in the Illawarra Priority Employment Area.</w:t>
      </w:r>
    </w:p>
    <w:p w:rsidR="00BC495C" w:rsidRPr="00C9099E" w:rsidRDefault="00BC495C" w:rsidP="00BC495C">
      <w:pPr>
        <w:autoSpaceDE w:val="0"/>
        <w:autoSpaceDN w:val="0"/>
        <w:adjustRightInd w:val="0"/>
        <w:rPr>
          <w:rFonts w:ascii="Arial" w:hAnsi="Arial" w:cs="Arial"/>
          <w:color w:val="000000"/>
          <w:kern w:val="24"/>
        </w:rPr>
      </w:pPr>
    </w:p>
    <w:p w:rsidR="00BC495C" w:rsidRPr="00C9099E" w:rsidRDefault="00BC495C" w:rsidP="00BC495C">
      <w:pPr>
        <w:autoSpaceDE w:val="0"/>
        <w:autoSpaceDN w:val="0"/>
        <w:adjustRightInd w:val="0"/>
        <w:rPr>
          <w:rFonts w:ascii="Arial" w:hAnsi="Arial" w:cs="Arial"/>
          <w:color w:val="000000"/>
          <w:kern w:val="24"/>
        </w:rPr>
      </w:pPr>
      <w:r w:rsidRPr="00C9099E">
        <w:rPr>
          <w:rFonts w:ascii="Arial" w:hAnsi="Arial" w:cs="Arial"/>
          <w:color w:val="000000"/>
          <w:kern w:val="24"/>
        </w:rPr>
        <w:t>Reasons cited by employers as to why applicants were considered unsuitable included:</w:t>
      </w:r>
    </w:p>
    <w:p w:rsidR="00BC495C" w:rsidRPr="00C9099E" w:rsidRDefault="00BC495C" w:rsidP="00BC495C">
      <w:pPr>
        <w:numPr>
          <w:ilvl w:val="0"/>
          <w:numId w:val="1"/>
        </w:numPr>
        <w:autoSpaceDE w:val="0"/>
        <w:autoSpaceDN w:val="0"/>
        <w:adjustRightInd w:val="0"/>
        <w:ind w:left="450" w:hanging="450"/>
        <w:rPr>
          <w:rFonts w:ascii="Arial" w:hAnsi="Arial" w:cs="Arial"/>
          <w:color w:val="000000"/>
        </w:rPr>
      </w:pPr>
      <w:r w:rsidRPr="00C9099E">
        <w:rPr>
          <w:rFonts w:ascii="Arial" w:hAnsi="Arial" w:cs="Arial"/>
          <w:color w:val="000000"/>
        </w:rPr>
        <w:t>insufficient experience to perform job duties (54 per cent)</w:t>
      </w:r>
    </w:p>
    <w:p w:rsidR="00BC495C" w:rsidRPr="00C9099E" w:rsidRDefault="00DC1F9C" w:rsidP="00BC495C">
      <w:pPr>
        <w:numPr>
          <w:ilvl w:val="0"/>
          <w:numId w:val="1"/>
        </w:numPr>
        <w:autoSpaceDE w:val="0"/>
        <w:autoSpaceDN w:val="0"/>
        <w:adjustRightInd w:val="0"/>
        <w:ind w:left="450" w:hanging="450"/>
        <w:rPr>
          <w:rFonts w:ascii="Arial" w:hAnsi="Arial" w:cs="Arial"/>
          <w:color w:val="000000"/>
        </w:rPr>
      </w:pPr>
      <w:r>
        <w:rPr>
          <w:rFonts w:ascii="Arial" w:hAnsi="Arial" w:cs="Arial"/>
          <w:color w:val="000000"/>
        </w:rPr>
        <w:t>e</w:t>
      </w:r>
      <w:r w:rsidR="00BC495C" w:rsidRPr="00C9099E">
        <w:rPr>
          <w:rFonts w:ascii="Arial" w:hAnsi="Arial" w:cs="Arial"/>
          <w:color w:val="000000"/>
        </w:rPr>
        <w:t>mployability skills and personal characteristics (31 per cent)</w:t>
      </w:r>
    </w:p>
    <w:p w:rsidR="00BC495C" w:rsidRPr="00C9099E" w:rsidRDefault="00BC495C" w:rsidP="00BC495C">
      <w:pPr>
        <w:numPr>
          <w:ilvl w:val="0"/>
          <w:numId w:val="1"/>
        </w:numPr>
        <w:autoSpaceDE w:val="0"/>
        <w:autoSpaceDN w:val="0"/>
        <w:adjustRightInd w:val="0"/>
        <w:ind w:left="450" w:hanging="450"/>
        <w:rPr>
          <w:rFonts w:ascii="Arial" w:hAnsi="Arial" w:cs="Arial"/>
          <w:color w:val="000000"/>
        </w:rPr>
      </w:pPr>
      <w:r w:rsidRPr="00C9099E">
        <w:rPr>
          <w:rFonts w:ascii="Arial" w:hAnsi="Arial" w:cs="Arial"/>
          <w:color w:val="000000"/>
        </w:rPr>
        <w:t>insufficient qualifications or training (27 per cent)</w:t>
      </w:r>
    </w:p>
    <w:p w:rsidR="00BC495C" w:rsidRPr="00C9099E" w:rsidRDefault="00BC495C" w:rsidP="00BC495C">
      <w:pPr>
        <w:autoSpaceDE w:val="0"/>
        <w:autoSpaceDN w:val="0"/>
        <w:adjustRightInd w:val="0"/>
        <w:ind w:left="450" w:hanging="450"/>
        <w:rPr>
          <w:rFonts w:ascii="Arial" w:hAnsi="Arial" w:cs="Arial"/>
          <w:color w:val="000000"/>
        </w:rPr>
      </w:pPr>
    </w:p>
    <w:p w:rsidR="00BC495C" w:rsidRPr="00C9099E" w:rsidRDefault="00BC495C" w:rsidP="00BC495C">
      <w:pPr>
        <w:autoSpaceDE w:val="0"/>
        <w:autoSpaceDN w:val="0"/>
        <w:adjustRightInd w:val="0"/>
        <w:rPr>
          <w:rFonts w:ascii="Arial" w:hAnsi="Arial" w:cs="Arial"/>
          <w:color w:val="000000"/>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28</w:t>
      </w:r>
    </w:p>
    <w:p w:rsidR="00BC495C" w:rsidRDefault="00BC495C" w:rsidP="00BC495C">
      <w:pPr>
        <w:spacing w:line="360" w:lineRule="auto"/>
      </w:pPr>
    </w:p>
    <w:p w:rsidR="00BC495C" w:rsidRDefault="00BC495C" w:rsidP="00BC495C">
      <w:pPr>
        <w:spacing w:line="360" w:lineRule="auto"/>
        <w:jc w:val="center"/>
      </w:pPr>
      <w:r>
        <w:object w:dxaOrig="7216" w:dyaOrig="5409">
          <v:shape id="_x0000_i1052" type="#_x0000_t75" style="width:270.75pt;height:202.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52" DrawAspect="Content" ObjectID="_1416054912" r:id="rId61"/>
        </w:object>
      </w:r>
    </w:p>
    <w:p w:rsidR="00BC495C" w:rsidRDefault="00BC495C" w:rsidP="00BC495C">
      <w:pPr>
        <w:spacing w:line="360" w:lineRule="auto"/>
        <w:jc w:val="center"/>
      </w:pPr>
    </w:p>
    <w:p w:rsidR="00BC495C" w:rsidRPr="00C9099E" w:rsidRDefault="00BC495C" w:rsidP="00BC495C">
      <w:pPr>
        <w:autoSpaceDE w:val="0"/>
        <w:autoSpaceDN w:val="0"/>
        <w:adjustRightInd w:val="0"/>
        <w:rPr>
          <w:rFonts w:ascii="Arial" w:hAnsi="Arial" w:cs="Arial"/>
          <w:b/>
          <w:bCs/>
          <w:color w:val="000000"/>
          <w:kern w:val="24"/>
          <w:u w:val="single"/>
        </w:rPr>
      </w:pPr>
      <w:r w:rsidRPr="00C9099E">
        <w:rPr>
          <w:rFonts w:ascii="Arial" w:hAnsi="Arial" w:cs="Arial"/>
          <w:b/>
          <w:bCs/>
          <w:color w:val="000000"/>
          <w:kern w:val="24"/>
          <w:u w:val="single"/>
        </w:rPr>
        <w:t>Basic Employability Skills</w:t>
      </w:r>
    </w:p>
    <w:p w:rsidR="00BC495C" w:rsidRPr="00C9099E" w:rsidRDefault="00BC495C" w:rsidP="00BC495C">
      <w:pPr>
        <w:autoSpaceDE w:val="0"/>
        <w:autoSpaceDN w:val="0"/>
        <w:adjustRightInd w:val="0"/>
        <w:rPr>
          <w:rFonts w:ascii="Arial" w:hAnsi="Arial" w:cs="Arial"/>
          <w:i/>
          <w:iCs/>
          <w:color w:val="000000"/>
          <w:kern w:val="24"/>
        </w:rPr>
      </w:pPr>
      <w:r w:rsidRPr="00C9099E">
        <w:rPr>
          <w:rFonts w:ascii="Arial" w:hAnsi="Arial" w:cs="Arial"/>
          <w:i/>
          <w:iCs/>
          <w:color w:val="000000"/>
          <w:kern w:val="24"/>
        </w:rPr>
        <w:t>Source: DEEWR, Survey of Employers’ Recruitment Experiences, All regions surveyed in the 12 months to December 2010</w:t>
      </w:r>
    </w:p>
    <w:p w:rsidR="00BC495C" w:rsidRPr="00C9099E" w:rsidRDefault="00BC495C" w:rsidP="00BC495C">
      <w:pPr>
        <w:autoSpaceDE w:val="0"/>
        <w:autoSpaceDN w:val="0"/>
        <w:adjustRightInd w:val="0"/>
        <w:rPr>
          <w:rFonts w:ascii="Arial" w:hAnsi="Arial" w:cs="Arial"/>
          <w:color w:val="000000"/>
          <w:kern w:val="24"/>
        </w:rPr>
      </w:pPr>
    </w:p>
    <w:p w:rsidR="00BC495C" w:rsidRPr="00C9099E" w:rsidRDefault="00BC495C" w:rsidP="00BC495C">
      <w:pPr>
        <w:autoSpaceDE w:val="0"/>
        <w:autoSpaceDN w:val="0"/>
        <w:adjustRightInd w:val="0"/>
        <w:rPr>
          <w:rFonts w:ascii="Arial" w:hAnsi="Arial" w:cs="Arial"/>
          <w:color w:val="000000"/>
          <w:kern w:val="24"/>
        </w:rPr>
      </w:pPr>
      <w:r w:rsidRPr="00C9099E">
        <w:rPr>
          <w:rFonts w:ascii="Arial" w:hAnsi="Arial" w:cs="Arial"/>
          <w:color w:val="000000"/>
          <w:kern w:val="24"/>
        </w:rPr>
        <w:t>Most importance placed on:</w:t>
      </w:r>
    </w:p>
    <w:p w:rsidR="00BC495C" w:rsidRPr="00C9099E" w:rsidRDefault="00BC495C" w:rsidP="00BC495C">
      <w:pPr>
        <w:numPr>
          <w:ilvl w:val="0"/>
          <w:numId w:val="1"/>
        </w:numPr>
        <w:autoSpaceDE w:val="0"/>
        <w:autoSpaceDN w:val="0"/>
        <w:adjustRightInd w:val="0"/>
        <w:rPr>
          <w:rFonts w:ascii="Arial" w:hAnsi="Arial" w:cs="Arial"/>
          <w:color w:val="000000"/>
          <w:kern w:val="24"/>
        </w:rPr>
      </w:pPr>
      <w:r w:rsidRPr="00C9099E">
        <w:rPr>
          <w:rFonts w:ascii="Arial" w:hAnsi="Arial" w:cs="Arial"/>
          <w:color w:val="000000"/>
          <w:kern w:val="24"/>
        </w:rPr>
        <w:t xml:space="preserve"> 30 per cent personal traits and qualities only</w:t>
      </w:r>
    </w:p>
    <w:p w:rsidR="00BC495C" w:rsidRPr="00C9099E" w:rsidRDefault="00BC495C" w:rsidP="00BC495C">
      <w:pPr>
        <w:numPr>
          <w:ilvl w:val="0"/>
          <w:numId w:val="1"/>
        </w:numPr>
        <w:autoSpaceDE w:val="0"/>
        <w:autoSpaceDN w:val="0"/>
        <w:adjustRightInd w:val="0"/>
        <w:rPr>
          <w:rFonts w:ascii="Arial" w:hAnsi="Arial" w:cs="Arial"/>
          <w:color w:val="000000"/>
          <w:kern w:val="24"/>
        </w:rPr>
      </w:pPr>
      <w:r w:rsidRPr="00C9099E">
        <w:rPr>
          <w:rFonts w:ascii="Arial" w:hAnsi="Arial" w:cs="Arial"/>
          <w:color w:val="000000"/>
          <w:kern w:val="24"/>
        </w:rPr>
        <w:t xml:space="preserve"> 28 per cent technical skills only</w:t>
      </w:r>
    </w:p>
    <w:p w:rsidR="00BC495C" w:rsidRPr="00C9099E" w:rsidRDefault="00BC495C" w:rsidP="00BC495C">
      <w:pPr>
        <w:numPr>
          <w:ilvl w:val="0"/>
          <w:numId w:val="1"/>
        </w:numPr>
        <w:autoSpaceDE w:val="0"/>
        <w:autoSpaceDN w:val="0"/>
        <w:adjustRightInd w:val="0"/>
        <w:rPr>
          <w:rFonts w:ascii="Arial" w:hAnsi="Arial" w:cs="Arial"/>
          <w:color w:val="000000"/>
          <w:kern w:val="24"/>
        </w:rPr>
      </w:pPr>
      <w:r w:rsidRPr="00C9099E">
        <w:rPr>
          <w:rFonts w:ascii="Arial" w:hAnsi="Arial" w:cs="Arial"/>
          <w:color w:val="000000"/>
          <w:kern w:val="24"/>
        </w:rPr>
        <w:t xml:space="preserve"> 41 per cent both equally important</w:t>
      </w:r>
    </w:p>
    <w:p w:rsidR="00BC495C" w:rsidRPr="00C9099E" w:rsidRDefault="00BC495C" w:rsidP="00BC495C">
      <w:pPr>
        <w:autoSpaceDE w:val="0"/>
        <w:autoSpaceDN w:val="0"/>
        <w:adjustRightInd w:val="0"/>
        <w:rPr>
          <w:rFonts w:ascii="Arial" w:hAnsi="Arial" w:cs="Arial"/>
          <w:color w:val="000000"/>
          <w:kern w:val="24"/>
        </w:rPr>
      </w:pPr>
      <w:r w:rsidRPr="00C9099E">
        <w:rPr>
          <w:rFonts w:ascii="Arial" w:hAnsi="Arial" w:cs="Arial"/>
          <w:color w:val="000000"/>
          <w:kern w:val="24"/>
        </w:rPr>
        <w:t> </w:t>
      </w:r>
    </w:p>
    <w:p w:rsidR="00BC495C" w:rsidRPr="00C9099E" w:rsidRDefault="00BC495C" w:rsidP="00BC495C">
      <w:pPr>
        <w:autoSpaceDE w:val="0"/>
        <w:autoSpaceDN w:val="0"/>
        <w:adjustRightInd w:val="0"/>
        <w:rPr>
          <w:rFonts w:ascii="Arial" w:hAnsi="Arial" w:cs="Arial"/>
          <w:color w:val="000000"/>
          <w:kern w:val="24"/>
        </w:rPr>
      </w:pPr>
      <w:r w:rsidRPr="00C9099E">
        <w:rPr>
          <w:rFonts w:ascii="Arial" w:hAnsi="Arial" w:cs="Arial"/>
          <w:color w:val="000000"/>
          <w:kern w:val="24"/>
        </w:rPr>
        <w:t>Personal traits and qualities applicants lacked:</w:t>
      </w:r>
    </w:p>
    <w:p w:rsidR="00BC495C" w:rsidRPr="00C9099E" w:rsidRDefault="00BC495C" w:rsidP="00BC495C">
      <w:pPr>
        <w:numPr>
          <w:ilvl w:val="0"/>
          <w:numId w:val="1"/>
        </w:numPr>
        <w:autoSpaceDE w:val="0"/>
        <w:autoSpaceDN w:val="0"/>
        <w:adjustRightInd w:val="0"/>
        <w:rPr>
          <w:rFonts w:ascii="Arial" w:hAnsi="Arial" w:cs="Arial"/>
          <w:color w:val="000000"/>
          <w:kern w:val="24"/>
        </w:rPr>
      </w:pPr>
      <w:r w:rsidRPr="00C9099E">
        <w:rPr>
          <w:rFonts w:ascii="Arial" w:hAnsi="Arial" w:cs="Arial"/>
          <w:color w:val="000000"/>
          <w:kern w:val="24"/>
        </w:rPr>
        <w:t xml:space="preserve"> Enthusiasm</w:t>
      </w:r>
    </w:p>
    <w:p w:rsidR="00BC495C" w:rsidRPr="00C9099E" w:rsidRDefault="00BC495C" w:rsidP="00BC495C">
      <w:pPr>
        <w:numPr>
          <w:ilvl w:val="0"/>
          <w:numId w:val="1"/>
        </w:numPr>
        <w:autoSpaceDE w:val="0"/>
        <w:autoSpaceDN w:val="0"/>
        <w:adjustRightInd w:val="0"/>
        <w:rPr>
          <w:rFonts w:ascii="Arial" w:hAnsi="Arial" w:cs="Arial"/>
          <w:color w:val="000000"/>
          <w:kern w:val="24"/>
        </w:rPr>
      </w:pPr>
      <w:r w:rsidRPr="00C9099E">
        <w:rPr>
          <w:rFonts w:ascii="Arial" w:hAnsi="Arial" w:cs="Arial"/>
          <w:color w:val="000000"/>
          <w:kern w:val="24"/>
        </w:rPr>
        <w:t xml:space="preserve"> Motivation</w:t>
      </w:r>
    </w:p>
    <w:p w:rsidR="00BC495C" w:rsidRPr="00C9099E" w:rsidRDefault="00BC495C" w:rsidP="00BC495C">
      <w:pPr>
        <w:numPr>
          <w:ilvl w:val="0"/>
          <w:numId w:val="1"/>
        </w:numPr>
        <w:autoSpaceDE w:val="0"/>
        <w:autoSpaceDN w:val="0"/>
        <w:adjustRightInd w:val="0"/>
        <w:rPr>
          <w:rFonts w:ascii="Arial" w:hAnsi="Arial" w:cs="Arial"/>
          <w:color w:val="000000"/>
          <w:kern w:val="24"/>
        </w:rPr>
      </w:pPr>
      <w:r w:rsidRPr="00C9099E">
        <w:rPr>
          <w:rFonts w:ascii="Arial" w:hAnsi="Arial" w:cs="Arial"/>
          <w:color w:val="000000"/>
          <w:kern w:val="24"/>
        </w:rPr>
        <w:t xml:space="preserve"> Communication</w:t>
      </w:r>
    </w:p>
    <w:p w:rsidR="00BC495C" w:rsidRPr="00C9099E" w:rsidRDefault="00BC495C" w:rsidP="00BC495C">
      <w:pPr>
        <w:numPr>
          <w:ilvl w:val="0"/>
          <w:numId w:val="1"/>
        </w:numPr>
        <w:autoSpaceDE w:val="0"/>
        <w:autoSpaceDN w:val="0"/>
        <w:adjustRightInd w:val="0"/>
        <w:rPr>
          <w:rFonts w:ascii="Arial" w:hAnsi="Arial" w:cs="Arial"/>
          <w:color w:val="000000"/>
          <w:kern w:val="24"/>
        </w:rPr>
      </w:pPr>
      <w:r w:rsidRPr="00C9099E">
        <w:rPr>
          <w:rFonts w:ascii="Arial" w:hAnsi="Arial" w:cs="Arial"/>
          <w:color w:val="000000"/>
          <w:kern w:val="24"/>
        </w:rPr>
        <w:t xml:space="preserve"> Confidence</w:t>
      </w:r>
    </w:p>
    <w:p w:rsidR="00BC495C" w:rsidRPr="00C9099E" w:rsidRDefault="00BC495C" w:rsidP="00BC495C">
      <w:pPr>
        <w:numPr>
          <w:ilvl w:val="0"/>
          <w:numId w:val="1"/>
        </w:numPr>
        <w:autoSpaceDE w:val="0"/>
        <w:autoSpaceDN w:val="0"/>
        <w:adjustRightInd w:val="0"/>
        <w:rPr>
          <w:rFonts w:ascii="Arial" w:hAnsi="Arial" w:cs="Arial"/>
          <w:color w:val="000000"/>
          <w:kern w:val="24"/>
        </w:rPr>
      </w:pPr>
      <w:r w:rsidRPr="00C9099E">
        <w:rPr>
          <w:rFonts w:ascii="Arial" w:hAnsi="Arial" w:cs="Arial"/>
          <w:color w:val="000000"/>
          <w:kern w:val="24"/>
        </w:rPr>
        <w:t xml:space="preserve"> Teamwork</w:t>
      </w: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29</w:t>
      </w:r>
    </w:p>
    <w:p w:rsidR="00BC495C" w:rsidRDefault="00BC495C" w:rsidP="00BC495C">
      <w:pPr>
        <w:spacing w:line="360" w:lineRule="auto"/>
      </w:pPr>
    </w:p>
    <w:p w:rsidR="00BC495C" w:rsidRDefault="00EB46D1" w:rsidP="00BC495C">
      <w:pPr>
        <w:spacing w:line="360" w:lineRule="auto"/>
        <w:jc w:val="center"/>
      </w:pPr>
      <w:r>
        <w:object w:dxaOrig="7117" w:dyaOrig="5335">
          <v:shape id="_x0000_i1053" type="#_x0000_t75" style="width:267pt;height:199.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53" DrawAspect="Content" ObjectID="_1416054913" r:id="rId63"/>
        </w:object>
      </w:r>
    </w:p>
    <w:p w:rsidR="00BC495C" w:rsidRDefault="00BC495C" w:rsidP="00BC495C">
      <w:pPr>
        <w:spacing w:line="360" w:lineRule="auto"/>
        <w:jc w:val="center"/>
      </w:pPr>
    </w:p>
    <w:p w:rsidR="00BC495C" w:rsidRPr="00C9099E" w:rsidRDefault="00BC495C" w:rsidP="00BC495C">
      <w:pPr>
        <w:autoSpaceDE w:val="0"/>
        <w:autoSpaceDN w:val="0"/>
        <w:adjustRightInd w:val="0"/>
        <w:rPr>
          <w:rFonts w:ascii="Arial" w:hAnsi="Arial" w:cs="Arial"/>
          <w:b/>
          <w:bCs/>
          <w:color w:val="000000"/>
          <w:kern w:val="24"/>
          <w:u w:val="single"/>
        </w:rPr>
      </w:pPr>
      <w:r w:rsidRPr="00C9099E">
        <w:rPr>
          <w:rFonts w:ascii="Arial" w:hAnsi="Arial" w:cs="Arial"/>
          <w:b/>
          <w:bCs/>
          <w:color w:val="000000"/>
          <w:kern w:val="24"/>
          <w:u w:val="single"/>
        </w:rPr>
        <w:t>Occupations Difficult to Fill</w:t>
      </w:r>
    </w:p>
    <w:p w:rsidR="00BC495C" w:rsidRPr="00C9099E" w:rsidRDefault="00BC495C" w:rsidP="00BC495C">
      <w:pPr>
        <w:autoSpaceDE w:val="0"/>
        <w:autoSpaceDN w:val="0"/>
        <w:adjustRightInd w:val="0"/>
        <w:rPr>
          <w:rFonts w:ascii="Arial" w:hAnsi="Arial" w:cs="Arial"/>
          <w:i/>
          <w:iCs/>
          <w:color w:val="000000"/>
          <w:kern w:val="24"/>
        </w:rPr>
      </w:pPr>
      <w:r w:rsidRPr="00C9099E">
        <w:rPr>
          <w:rFonts w:ascii="Arial" w:hAnsi="Arial" w:cs="Arial"/>
          <w:i/>
          <w:iCs/>
          <w:color w:val="000000"/>
          <w:kern w:val="24"/>
        </w:rPr>
        <w:t>Source: DEEWR, Survey of Employers’ Recruitment Experiences, April 2012 Illawarra Priority Employment Area</w:t>
      </w:r>
    </w:p>
    <w:p w:rsidR="00BC495C" w:rsidRPr="00C9099E" w:rsidRDefault="00BC495C" w:rsidP="00BC495C">
      <w:pPr>
        <w:autoSpaceDE w:val="0"/>
        <w:autoSpaceDN w:val="0"/>
        <w:adjustRightInd w:val="0"/>
        <w:rPr>
          <w:rFonts w:ascii="Arial" w:hAnsi="Arial" w:cs="Arial"/>
          <w:b/>
          <w:bCs/>
          <w:color w:val="000000"/>
          <w:kern w:val="24"/>
          <w:u w:val="single"/>
        </w:rPr>
      </w:pPr>
    </w:p>
    <w:p w:rsidR="00BC495C" w:rsidRPr="00C9099E" w:rsidRDefault="00BC495C" w:rsidP="00BC495C">
      <w:pPr>
        <w:autoSpaceDE w:val="0"/>
        <w:autoSpaceDN w:val="0"/>
        <w:adjustRightInd w:val="0"/>
        <w:rPr>
          <w:rFonts w:ascii="Arial" w:hAnsi="Arial" w:cs="Arial"/>
          <w:i/>
          <w:iCs/>
          <w:color w:val="000000"/>
          <w:kern w:val="24"/>
        </w:rPr>
      </w:pPr>
      <w:r w:rsidRPr="00C9099E">
        <w:rPr>
          <w:rFonts w:ascii="Arial" w:hAnsi="Arial" w:cs="Arial"/>
          <w:color w:val="000000"/>
          <w:kern w:val="24"/>
        </w:rPr>
        <w:t>This slide shows the vacancies that employers considered difficult to fill in the Illawarra PEA</w:t>
      </w:r>
      <w:r w:rsidR="00EB46D1">
        <w:rPr>
          <w:rFonts w:ascii="Arial" w:hAnsi="Arial" w:cs="Arial"/>
          <w:color w:val="000000"/>
          <w:kern w:val="24"/>
        </w:rPr>
        <w:t>.</w:t>
      </w:r>
    </w:p>
    <w:p w:rsidR="00BC495C" w:rsidRDefault="00BC495C" w:rsidP="00BC495C">
      <w:pPr>
        <w:autoSpaceDE w:val="0"/>
        <w:autoSpaceDN w:val="0"/>
        <w:adjustRightInd w:val="0"/>
        <w:rPr>
          <w:rFonts w:ascii="Calibri" w:hAnsi="Calibri" w:cs="Calibri"/>
          <w:b/>
          <w:bCs/>
          <w:i/>
          <w:iCs/>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30</w:t>
      </w:r>
    </w:p>
    <w:p w:rsidR="00BC495C" w:rsidRDefault="00BC495C" w:rsidP="00BC495C">
      <w:pPr>
        <w:spacing w:line="360" w:lineRule="auto"/>
      </w:pPr>
    </w:p>
    <w:p w:rsidR="00BC495C" w:rsidRDefault="00BC495C" w:rsidP="00BC495C">
      <w:pPr>
        <w:spacing w:line="360" w:lineRule="auto"/>
        <w:jc w:val="center"/>
      </w:pPr>
      <w:r>
        <w:object w:dxaOrig="7216" w:dyaOrig="5409">
          <v:shape id="_x0000_i1054" type="#_x0000_t75" style="width:270.75pt;height:202.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54" DrawAspect="Content" ObjectID="_1416054914" r:id="rId65"/>
        </w:object>
      </w:r>
    </w:p>
    <w:p w:rsidR="00BC495C" w:rsidRDefault="00BC495C" w:rsidP="00BC495C">
      <w:pPr>
        <w:spacing w:line="360" w:lineRule="auto"/>
        <w:jc w:val="center"/>
      </w:pPr>
    </w:p>
    <w:p w:rsidR="00BC495C" w:rsidRPr="00C9099E" w:rsidRDefault="00BC495C" w:rsidP="00BC495C">
      <w:pPr>
        <w:autoSpaceDE w:val="0"/>
        <w:autoSpaceDN w:val="0"/>
        <w:adjustRightInd w:val="0"/>
        <w:rPr>
          <w:rFonts w:ascii="Arial" w:hAnsi="Arial" w:cs="Arial"/>
          <w:b/>
          <w:bCs/>
          <w:color w:val="000000"/>
          <w:kern w:val="24"/>
          <w:u w:val="single"/>
        </w:rPr>
      </w:pPr>
      <w:r w:rsidRPr="00C9099E">
        <w:rPr>
          <w:rFonts w:ascii="Arial" w:hAnsi="Arial" w:cs="Arial"/>
          <w:b/>
          <w:bCs/>
          <w:color w:val="000000"/>
          <w:kern w:val="24"/>
          <w:u w:val="single"/>
        </w:rPr>
        <w:t>Future Recruitment Expectations</w:t>
      </w:r>
    </w:p>
    <w:p w:rsidR="00BC495C" w:rsidRPr="00C9099E" w:rsidRDefault="00BC495C" w:rsidP="00BC495C">
      <w:pPr>
        <w:autoSpaceDE w:val="0"/>
        <w:autoSpaceDN w:val="0"/>
        <w:adjustRightInd w:val="0"/>
        <w:rPr>
          <w:rFonts w:ascii="Arial" w:hAnsi="Arial" w:cs="Arial"/>
          <w:i/>
          <w:iCs/>
          <w:color w:val="000000"/>
          <w:kern w:val="24"/>
        </w:rPr>
      </w:pPr>
      <w:r w:rsidRPr="00C9099E">
        <w:rPr>
          <w:rFonts w:ascii="Arial" w:hAnsi="Arial" w:cs="Arial"/>
          <w:i/>
          <w:iCs/>
          <w:color w:val="000000"/>
          <w:kern w:val="24"/>
        </w:rPr>
        <w:t xml:space="preserve">Source: DEEWR, Survey of Employers’ Recruitment Experiences, April 2012, April 2010 Illawarra Priority Employment Area and Combined   </w:t>
      </w:r>
    </w:p>
    <w:p w:rsidR="00BC495C" w:rsidRPr="00C9099E" w:rsidRDefault="00BC495C" w:rsidP="00BC495C">
      <w:pPr>
        <w:autoSpaceDE w:val="0"/>
        <w:autoSpaceDN w:val="0"/>
        <w:adjustRightInd w:val="0"/>
        <w:rPr>
          <w:rFonts w:ascii="Arial" w:hAnsi="Arial" w:cs="Arial"/>
          <w:color w:val="000000"/>
          <w:kern w:val="24"/>
        </w:rPr>
      </w:pPr>
    </w:p>
    <w:p w:rsidR="00BC495C" w:rsidRPr="00C9099E" w:rsidRDefault="00BC495C" w:rsidP="00BC495C">
      <w:pPr>
        <w:autoSpaceDE w:val="0"/>
        <w:autoSpaceDN w:val="0"/>
        <w:adjustRightInd w:val="0"/>
        <w:rPr>
          <w:rFonts w:ascii="Arial" w:hAnsi="Arial" w:cs="Arial"/>
          <w:color w:val="000000"/>
          <w:kern w:val="24"/>
        </w:rPr>
      </w:pPr>
      <w:r w:rsidRPr="00C9099E">
        <w:rPr>
          <w:rFonts w:ascii="Arial" w:hAnsi="Arial" w:cs="Arial"/>
          <w:color w:val="000000"/>
          <w:kern w:val="24"/>
        </w:rPr>
        <w:t>Recruitment expectations for the 12 months following the survey were subdued in the Illawarra PEA. A lo</w:t>
      </w:r>
      <w:r w:rsidR="00C9099E">
        <w:rPr>
          <w:rFonts w:ascii="Arial" w:hAnsi="Arial" w:cs="Arial"/>
          <w:color w:val="000000"/>
          <w:kern w:val="24"/>
        </w:rPr>
        <w:t>wer proportion of employers (46 per cent</w:t>
      </w:r>
      <w:r w:rsidRPr="00C9099E">
        <w:rPr>
          <w:rFonts w:ascii="Arial" w:hAnsi="Arial" w:cs="Arial"/>
          <w:color w:val="000000"/>
          <w:kern w:val="24"/>
        </w:rPr>
        <w:t>) expected to recruit compare</w:t>
      </w:r>
      <w:r w:rsidR="00C9099E">
        <w:rPr>
          <w:rFonts w:ascii="Arial" w:hAnsi="Arial" w:cs="Arial"/>
          <w:color w:val="000000"/>
          <w:kern w:val="24"/>
        </w:rPr>
        <w:t>d with all regions surveyed (50 per cent</w:t>
      </w:r>
      <w:r w:rsidRPr="00C9099E">
        <w:rPr>
          <w:rFonts w:ascii="Arial" w:hAnsi="Arial" w:cs="Arial"/>
          <w:color w:val="000000"/>
          <w:kern w:val="24"/>
        </w:rPr>
        <w:t>). Of those that expect to recruit, a lower proportion expected difficulty compare</w:t>
      </w:r>
      <w:r w:rsidR="00C9099E">
        <w:rPr>
          <w:rFonts w:ascii="Arial" w:hAnsi="Arial" w:cs="Arial"/>
          <w:color w:val="000000"/>
          <w:kern w:val="24"/>
        </w:rPr>
        <w:t>d with all regions surveyed (38 per cent compared to 44 per cent). Only 22 per cent</w:t>
      </w:r>
      <w:r w:rsidRPr="00C9099E">
        <w:rPr>
          <w:rFonts w:ascii="Arial" w:hAnsi="Arial" w:cs="Arial"/>
          <w:color w:val="000000"/>
          <w:kern w:val="24"/>
        </w:rPr>
        <w:t xml:space="preserve"> of employers expected to increase staff numbers.</w:t>
      </w:r>
    </w:p>
    <w:p w:rsidR="00BC495C" w:rsidRPr="00C9099E" w:rsidRDefault="00BC495C" w:rsidP="00BC495C">
      <w:pPr>
        <w:autoSpaceDE w:val="0"/>
        <w:autoSpaceDN w:val="0"/>
        <w:adjustRightInd w:val="0"/>
        <w:rPr>
          <w:rFonts w:ascii="Arial" w:hAnsi="Arial" w:cs="Arial"/>
          <w:color w:val="000000"/>
          <w:kern w:val="24"/>
        </w:rPr>
      </w:pPr>
    </w:p>
    <w:p w:rsidR="00BC495C" w:rsidRPr="00C9099E" w:rsidRDefault="00BC495C" w:rsidP="00BC495C">
      <w:pPr>
        <w:autoSpaceDE w:val="0"/>
        <w:autoSpaceDN w:val="0"/>
        <w:adjustRightInd w:val="0"/>
        <w:rPr>
          <w:rFonts w:ascii="Arial" w:hAnsi="Arial" w:cs="Arial"/>
          <w:color w:val="000000"/>
          <w:kern w:val="24"/>
        </w:rPr>
      </w:pPr>
      <w:r w:rsidRPr="00C9099E">
        <w:rPr>
          <w:rFonts w:ascii="Arial" w:hAnsi="Arial" w:cs="Arial"/>
          <w:color w:val="000000"/>
          <w:kern w:val="24"/>
        </w:rPr>
        <w:t xml:space="preserve">Many employers remain cautious about their recruitment expectations for the next 12 months with 59 per cent expecting challenges to their business. </w:t>
      </w:r>
    </w:p>
    <w:p w:rsidR="00BC495C" w:rsidRPr="00C9099E" w:rsidRDefault="00BC495C" w:rsidP="00BC495C">
      <w:pPr>
        <w:autoSpaceDE w:val="0"/>
        <w:autoSpaceDN w:val="0"/>
        <w:adjustRightInd w:val="0"/>
        <w:rPr>
          <w:rFonts w:ascii="Arial" w:hAnsi="Arial" w:cs="Arial"/>
          <w:color w:val="000000"/>
          <w:kern w:val="24"/>
        </w:rPr>
      </w:pPr>
    </w:p>
    <w:p w:rsidR="00BC495C" w:rsidRPr="00C9099E" w:rsidRDefault="00BC495C" w:rsidP="00BC495C">
      <w:pPr>
        <w:autoSpaceDE w:val="0"/>
        <w:autoSpaceDN w:val="0"/>
        <w:adjustRightInd w:val="0"/>
        <w:rPr>
          <w:rFonts w:ascii="Arial" w:hAnsi="Arial" w:cs="Arial"/>
          <w:b/>
          <w:bCs/>
          <w:color w:val="000000"/>
          <w:kern w:val="24"/>
        </w:rPr>
      </w:pPr>
      <w:r w:rsidRPr="00C9099E">
        <w:rPr>
          <w:rFonts w:ascii="Arial" w:hAnsi="Arial" w:cs="Arial"/>
          <w:b/>
          <w:bCs/>
          <w:color w:val="000000"/>
          <w:kern w:val="24"/>
        </w:rPr>
        <w:t>Major challenges reported:</w:t>
      </w:r>
    </w:p>
    <w:p w:rsidR="00BC495C" w:rsidRPr="00C9099E" w:rsidRDefault="00BC495C" w:rsidP="00BC495C">
      <w:pPr>
        <w:numPr>
          <w:ilvl w:val="0"/>
          <w:numId w:val="1"/>
        </w:numPr>
        <w:autoSpaceDE w:val="0"/>
        <w:autoSpaceDN w:val="0"/>
        <w:adjustRightInd w:val="0"/>
        <w:rPr>
          <w:rFonts w:ascii="Arial" w:hAnsi="Arial" w:cs="Arial"/>
          <w:color w:val="000000"/>
          <w:kern w:val="24"/>
        </w:rPr>
      </w:pPr>
      <w:r w:rsidRPr="00C9099E">
        <w:rPr>
          <w:rFonts w:ascii="Arial" w:hAnsi="Arial" w:cs="Arial"/>
          <w:color w:val="000000"/>
          <w:kern w:val="24"/>
        </w:rPr>
        <w:t xml:space="preserve"> Reduced business activity and / or customers (36 per cent)</w:t>
      </w:r>
    </w:p>
    <w:p w:rsidR="00BC495C" w:rsidRPr="00C9099E" w:rsidRDefault="00BC495C" w:rsidP="00BC495C">
      <w:pPr>
        <w:numPr>
          <w:ilvl w:val="0"/>
          <w:numId w:val="1"/>
        </w:numPr>
        <w:autoSpaceDE w:val="0"/>
        <w:autoSpaceDN w:val="0"/>
        <w:adjustRightInd w:val="0"/>
        <w:rPr>
          <w:rFonts w:ascii="Arial" w:hAnsi="Arial" w:cs="Arial"/>
          <w:color w:val="000000"/>
          <w:kern w:val="24"/>
        </w:rPr>
      </w:pPr>
      <w:r w:rsidRPr="00C9099E">
        <w:rPr>
          <w:rFonts w:ascii="Arial" w:hAnsi="Arial" w:cs="Arial"/>
          <w:color w:val="000000"/>
          <w:kern w:val="24"/>
        </w:rPr>
        <w:t xml:space="preserve"> Business regulations (28 per cent)</w:t>
      </w:r>
    </w:p>
    <w:p w:rsidR="00BC495C" w:rsidRPr="00C9099E" w:rsidRDefault="00BC495C" w:rsidP="00BC495C">
      <w:pPr>
        <w:numPr>
          <w:ilvl w:val="0"/>
          <w:numId w:val="1"/>
        </w:numPr>
        <w:autoSpaceDE w:val="0"/>
        <w:autoSpaceDN w:val="0"/>
        <w:adjustRightInd w:val="0"/>
        <w:rPr>
          <w:rFonts w:ascii="Arial" w:hAnsi="Arial" w:cs="Arial"/>
          <w:color w:val="000000"/>
          <w:kern w:val="24"/>
        </w:rPr>
      </w:pPr>
      <w:r w:rsidRPr="00C9099E">
        <w:rPr>
          <w:rFonts w:ascii="Arial" w:hAnsi="Arial" w:cs="Arial"/>
          <w:color w:val="000000"/>
          <w:kern w:val="24"/>
        </w:rPr>
        <w:t xml:space="preserve"> Changes in the structure of the market (22 per cent)</w:t>
      </w: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31</w:t>
      </w:r>
    </w:p>
    <w:p w:rsidR="00BC495C" w:rsidRDefault="00BC495C" w:rsidP="00BC495C">
      <w:pPr>
        <w:spacing w:line="360" w:lineRule="auto"/>
      </w:pPr>
    </w:p>
    <w:p w:rsidR="00BC495C" w:rsidRDefault="00BC495C" w:rsidP="00BC495C">
      <w:pPr>
        <w:spacing w:line="360" w:lineRule="auto"/>
        <w:jc w:val="center"/>
      </w:pPr>
      <w:r>
        <w:object w:dxaOrig="7216" w:dyaOrig="5409">
          <v:shape id="_x0000_i1055" type="#_x0000_t75" style="width:270.75pt;height:202.5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055" DrawAspect="Content" ObjectID="_1416054915" r:id="rId67"/>
        </w:object>
      </w:r>
    </w:p>
    <w:p w:rsidR="00BC495C" w:rsidRDefault="00BC495C" w:rsidP="00BC495C">
      <w:pPr>
        <w:spacing w:line="360" w:lineRule="auto"/>
        <w:jc w:val="center"/>
      </w:pPr>
    </w:p>
    <w:p w:rsidR="00BC495C" w:rsidRPr="00524D82" w:rsidRDefault="00BC495C" w:rsidP="00BC495C">
      <w:pPr>
        <w:autoSpaceDE w:val="0"/>
        <w:autoSpaceDN w:val="0"/>
        <w:adjustRightInd w:val="0"/>
        <w:rPr>
          <w:rFonts w:ascii="Arial" w:hAnsi="Arial" w:cs="Arial"/>
          <w:b/>
          <w:bCs/>
          <w:color w:val="000000"/>
          <w:kern w:val="24"/>
          <w:u w:val="single"/>
        </w:rPr>
      </w:pPr>
      <w:r w:rsidRPr="00524D82">
        <w:rPr>
          <w:rFonts w:ascii="Arial" w:hAnsi="Arial" w:cs="Arial"/>
          <w:b/>
          <w:bCs/>
          <w:color w:val="000000"/>
          <w:kern w:val="24"/>
          <w:u w:val="single"/>
        </w:rPr>
        <w:t>Occupations employers expect to recruit for in the 12 months following the survey</w:t>
      </w:r>
    </w:p>
    <w:p w:rsidR="00BC495C" w:rsidRPr="00524D82" w:rsidRDefault="00BC495C" w:rsidP="00BC495C">
      <w:pPr>
        <w:autoSpaceDE w:val="0"/>
        <w:autoSpaceDN w:val="0"/>
        <w:adjustRightInd w:val="0"/>
        <w:rPr>
          <w:rFonts w:ascii="Arial" w:hAnsi="Arial" w:cs="Arial"/>
          <w:i/>
          <w:iCs/>
          <w:color w:val="000000"/>
          <w:kern w:val="24"/>
        </w:rPr>
      </w:pPr>
      <w:r w:rsidRPr="00524D82">
        <w:rPr>
          <w:rFonts w:ascii="Arial" w:hAnsi="Arial" w:cs="Arial"/>
          <w:i/>
          <w:iCs/>
          <w:color w:val="000000"/>
          <w:kern w:val="24"/>
        </w:rPr>
        <w:t>Source: DEEWR, Survey of Employers’ Recruitment Experiences, April 2012 Illawarra Priority Employment Area</w:t>
      </w:r>
    </w:p>
    <w:p w:rsidR="00BC495C" w:rsidRPr="00524D82" w:rsidRDefault="00BC495C" w:rsidP="00BC495C">
      <w:pPr>
        <w:autoSpaceDE w:val="0"/>
        <w:autoSpaceDN w:val="0"/>
        <w:adjustRightInd w:val="0"/>
        <w:rPr>
          <w:rFonts w:ascii="Arial" w:hAnsi="Arial" w:cs="Arial"/>
          <w:color w:val="000000"/>
          <w:kern w:val="24"/>
        </w:rPr>
      </w:pPr>
      <w:r w:rsidRPr="00524D82">
        <w:rPr>
          <w:rFonts w:ascii="Arial" w:hAnsi="Arial" w:cs="Arial"/>
          <w:color w:val="000000"/>
          <w:kern w:val="24"/>
        </w:rPr>
        <w:t> </w:t>
      </w:r>
    </w:p>
    <w:p w:rsidR="00BC495C" w:rsidRPr="00524D82" w:rsidRDefault="00BC495C" w:rsidP="00BC495C">
      <w:pPr>
        <w:autoSpaceDE w:val="0"/>
        <w:autoSpaceDN w:val="0"/>
        <w:adjustRightInd w:val="0"/>
        <w:rPr>
          <w:rFonts w:ascii="Arial" w:hAnsi="Arial" w:cs="Arial"/>
          <w:i/>
          <w:iCs/>
          <w:color w:val="000000"/>
          <w:kern w:val="24"/>
        </w:rPr>
      </w:pPr>
      <w:r w:rsidRPr="00524D82">
        <w:rPr>
          <w:rFonts w:ascii="Arial" w:hAnsi="Arial" w:cs="Arial"/>
          <w:color w:val="000000"/>
          <w:kern w:val="24"/>
        </w:rPr>
        <w:t xml:space="preserve">This slide shows the occupations that employers most commonly expected to recruit for in the Illawarra PEA in the 12 months following the survey. </w:t>
      </w:r>
    </w:p>
    <w:p w:rsidR="00BC495C" w:rsidRPr="00524D82" w:rsidRDefault="00BC495C" w:rsidP="00BC495C">
      <w:pPr>
        <w:autoSpaceDE w:val="0"/>
        <w:autoSpaceDN w:val="0"/>
        <w:adjustRightInd w:val="0"/>
        <w:rPr>
          <w:rFonts w:ascii="Arial" w:hAnsi="Arial" w:cs="Arial"/>
          <w:b/>
          <w:bCs/>
          <w:color w:val="000000"/>
          <w:kern w:val="24"/>
        </w:rPr>
      </w:pPr>
    </w:p>
    <w:p w:rsidR="00BC495C" w:rsidRPr="00524D82" w:rsidRDefault="00BC495C" w:rsidP="00BC495C">
      <w:pPr>
        <w:autoSpaceDE w:val="0"/>
        <w:autoSpaceDN w:val="0"/>
        <w:adjustRightInd w:val="0"/>
        <w:rPr>
          <w:rFonts w:ascii="Arial" w:hAnsi="Arial" w:cs="Arial"/>
          <w:color w:val="000000"/>
          <w:kern w:val="24"/>
        </w:rPr>
      </w:pPr>
      <w:r w:rsidRPr="00524D82">
        <w:rPr>
          <w:rFonts w:ascii="Arial" w:hAnsi="Arial" w:cs="Arial"/>
          <w:b/>
          <w:bCs/>
          <w:color w:val="000000"/>
          <w:kern w:val="24"/>
        </w:rPr>
        <w:t xml:space="preserve">Higher Skill Level (1) - Bachelor Degree or Higher and Medium Skill Level (2&amp;3) - Certificate IV to Associate Degree </w:t>
      </w:r>
    </w:p>
    <w:p w:rsidR="00BC495C" w:rsidRPr="00524D82" w:rsidRDefault="00BC495C" w:rsidP="00BC495C">
      <w:pPr>
        <w:numPr>
          <w:ilvl w:val="0"/>
          <w:numId w:val="1"/>
        </w:numPr>
        <w:autoSpaceDE w:val="0"/>
        <w:autoSpaceDN w:val="0"/>
        <w:adjustRightInd w:val="0"/>
        <w:rPr>
          <w:rFonts w:ascii="Arial" w:hAnsi="Arial" w:cs="Arial"/>
          <w:color w:val="000000"/>
          <w:kern w:val="24"/>
        </w:rPr>
      </w:pPr>
      <w:r w:rsidRPr="00524D82">
        <w:rPr>
          <w:rFonts w:ascii="Arial" w:hAnsi="Arial" w:cs="Arial"/>
          <w:color w:val="000000"/>
          <w:kern w:val="24"/>
        </w:rPr>
        <w:t xml:space="preserve"> Real Estate Sales Agents</w:t>
      </w:r>
    </w:p>
    <w:p w:rsidR="00BC495C" w:rsidRPr="00524D82" w:rsidRDefault="00BC495C" w:rsidP="00BC495C">
      <w:pPr>
        <w:numPr>
          <w:ilvl w:val="0"/>
          <w:numId w:val="1"/>
        </w:numPr>
        <w:autoSpaceDE w:val="0"/>
        <w:autoSpaceDN w:val="0"/>
        <w:adjustRightInd w:val="0"/>
        <w:rPr>
          <w:rFonts w:ascii="Arial" w:hAnsi="Arial" w:cs="Arial"/>
          <w:color w:val="000000"/>
          <w:kern w:val="24"/>
        </w:rPr>
      </w:pPr>
      <w:r w:rsidRPr="00524D82">
        <w:rPr>
          <w:rFonts w:ascii="Arial" w:hAnsi="Arial" w:cs="Arial"/>
          <w:color w:val="000000"/>
          <w:kern w:val="24"/>
        </w:rPr>
        <w:t xml:space="preserve"> Chefs</w:t>
      </w:r>
    </w:p>
    <w:p w:rsidR="00BC495C" w:rsidRPr="00524D82" w:rsidRDefault="00BC495C" w:rsidP="00BC495C">
      <w:pPr>
        <w:autoSpaceDE w:val="0"/>
        <w:autoSpaceDN w:val="0"/>
        <w:adjustRightInd w:val="0"/>
        <w:rPr>
          <w:rFonts w:ascii="Arial" w:hAnsi="Arial" w:cs="Arial"/>
          <w:color w:val="000000"/>
          <w:kern w:val="24"/>
        </w:rPr>
      </w:pPr>
    </w:p>
    <w:p w:rsidR="00BC495C" w:rsidRPr="00524D82" w:rsidRDefault="00BC495C" w:rsidP="00BC495C">
      <w:pPr>
        <w:autoSpaceDE w:val="0"/>
        <w:autoSpaceDN w:val="0"/>
        <w:adjustRightInd w:val="0"/>
        <w:rPr>
          <w:rFonts w:ascii="Arial" w:hAnsi="Arial" w:cs="Arial"/>
          <w:color w:val="000000"/>
          <w:kern w:val="24"/>
        </w:rPr>
      </w:pPr>
      <w:r w:rsidRPr="00524D82">
        <w:rPr>
          <w:rFonts w:ascii="Arial" w:hAnsi="Arial" w:cs="Arial"/>
          <w:b/>
          <w:bCs/>
          <w:color w:val="000000"/>
          <w:kern w:val="24"/>
        </w:rPr>
        <w:t>Lower Skill Level (4&amp;5) - Compulsory Secondary Education to Certificate III</w:t>
      </w:r>
    </w:p>
    <w:p w:rsidR="00BC495C" w:rsidRPr="00524D82" w:rsidRDefault="00BC495C" w:rsidP="00BC495C">
      <w:pPr>
        <w:numPr>
          <w:ilvl w:val="0"/>
          <w:numId w:val="1"/>
        </w:numPr>
        <w:autoSpaceDE w:val="0"/>
        <w:autoSpaceDN w:val="0"/>
        <w:adjustRightInd w:val="0"/>
        <w:rPr>
          <w:rFonts w:ascii="Arial" w:hAnsi="Arial" w:cs="Arial"/>
          <w:color w:val="000000"/>
          <w:kern w:val="24"/>
        </w:rPr>
      </w:pPr>
      <w:r w:rsidRPr="00524D82">
        <w:rPr>
          <w:rFonts w:ascii="Arial" w:hAnsi="Arial" w:cs="Arial"/>
          <w:color w:val="000000"/>
          <w:kern w:val="24"/>
        </w:rPr>
        <w:t xml:space="preserve"> Waiters</w:t>
      </w:r>
    </w:p>
    <w:p w:rsidR="00BC495C" w:rsidRPr="00524D82" w:rsidRDefault="00BC495C" w:rsidP="00BC495C">
      <w:pPr>
        <w:numPr>
          <w:ilvl w:val="0"/>
          <w:numId w:val="1"/>
        </w:numPr>
        <w:autoSpaceDE w:val="0"/>
        <w:autoSpaceDN w:val="0"/>
        <w:adjustRightInd w:val="0"/>
        <w:rPr>
          <w:rFonts w:ascii="Arial" w:hAnsi="Arial" w:cs="Arial"/>
          <w:color w:val="000000"/>
          <w:kern w:val="24"/>
        </w:rPr>
      </w:pPr>
      <w:r w:rsidRPr="00524D82">
        <w:rPr>
          <w:rFonts w:ascii="Arial" w:hAnsi="Arial" w:cs="Arial"/>
          <w:color w:val="000000"/>
          <w:kern w:val="24"/>
        </w:rPr>
        <w:t xml:space="preserve"> Child Carers</w:t>
      </w:r>
    </w:p>
    <w:p w:rsidR="00BC495C" w:rsidRPr="00524D82" w:rsidRDefault="00BC495C" w:rsidP="00BC495C">
      <w:pPr>
        <w:numPr>
          <w:ilvl w:val="0"/>
          <w:numId w:val="1"/>
        </w:numPr>
        <w:autoSpaceDE w:val="0"/>
        <w:autoSpaceDN w:val="0"/>
        <w:adjustRightInd w:val="0"/>
        <w:rPr>
          <w:rFonts w:ascii="Arial" w:hAnsi="Arial" w:cs="Arial"/>
          <w:color w:val="000000"/>
          <w:kern w:val="24"/>
        </w:rPr>
      </w:pPr>
      <w:r w:rsidRPr="00524D82">
        <w:rPr>
          <w:rFonts w:ascii="Arial" w:hAnsi="Arial" w:cs="Arial"/>
          <w:color w:val="000000"/>
          <w:kern w:val="24"/>
        </w:rPr>
        <w:t xml:space="preserve"> Sales Assistants (General)</w:t>
      </w:r>
    </w:p>
    <w:p w:rsidR="00BC495C" w:rsidRPr="00524D82" w:rsidRDefault="00BC495C" w:rsidP="00BC495C">
      <w:pPr>
        <w:numPr>
          <w:ilvl w:val="0"/>
          <w:numId w:val="1"/>
        </w:numPr>
        <w:autoSpaceDE w:val="0"/>
        <w:autoSpaceDN w:val="0"/>
        <w:adjustRightInd w:val="0"/>
        <w:rPr>
          <w:rFonts w:ascii="Arial" w:hAnsi="Arial" w:cs="Arial"/>
          <w:color w:val="000000"/>
          <w:kern w:val="24"/>
        </w:rPr>
      </w:pPr>
      <w:r w:rsidRPr="00524D82">
        <w:rPr>
          <w:rFonts w:ascii="Arial" w:hAnsi="Arial" w:cs="Arial"/>
          <w:color w:val="000000"/>
          <w:kern w:val="24"/>
        </w:rPr>
        <w:t xml:space="preserve"> Truck Drivers</w:t>
      </w:r>
    </w:p>
    <w:p w:rsidR="00BC495C" w:rsidRPr="00524D82" w:rsidRDefault="00BC495C" w:rsidP="00BC495C">
      <w:pPr>
        <w:numPr>
          <w:ilvl w:val="0"/>
          <w:numId w:val="1"/>
        </w:numPr>
        <w:autoSpaceDE w:val="0"/>
        <w:autoSpaceDN w:val="0"/>
        <w:adjustRightInd w:val="0"/>
        <w:rPr>
          <w:rFonts w:ascii="Arial" w:hAnsi="Arial" w:cs="Arial"/>
          <w:color w:val="000000"/>
          <w:kern w:val="24"/>
        </w:rPr>
      </w:pPr>
      <w:r w:rsidRPr="00524D82">
        <w:rPr>
          <w:rFonts w:ascii="Arial" w:hAnsi="Arial" w:cs="Arial"/>
          <w:color w:val="000000"/>
          <w:kern w:val="24"/>
        </w:rPr>
        <w:t xml:space="preserve"> Bar Attendants and Baristas</w:t>
      </w:r>
    </w:p>
    <w:p w:rsidR="00BC495C" w:rsidRPr="00524D82" w:rsidRDefault="00BC495C" w:rsidP="00BC495C">
      <w:pPr>
        <w:numPr>
          <w:ilvl w:val="0"/>
          <w:numId w:val="1"/>
        </w:numPr>
        <w:autoSpaceDE w:val="0"/>
        <w:autoSpaceDN w:val="0"/>
        <w:adjustRightInd w:val="0"/>
        <w:rPr>
          <w:rFonts w:ascii="Arial" w:hAnsi="Arial" w:cs="Arial"/>
          <w:color w:val="000000"/>
          <w:kern w:val="24"/>
        </w:rPr>
      </w:pPr>
      <w:r w:rsidRPr="00524D82">
        <w:rPr>
          <w:rFonts w:ascii="Arial" w:hAnsi="Arial" w:cs="Arial"/>
          <w:color w:val="000000"/>
          <w:kern w:val="24"/>
        </w:rPr>
        <w:t xml:space="preserve"> </w:t>
      </w:r>
      <w:proofErr w:type="spellStart"/>
      <w:r w:rsidRPr="00524D82">
        <w:rPr>
          <w:rFonts w:ascii="Arial" w:hAnsi="Arial" w:cs="Arial"/>
          <w:color w:val="000000"/>
          <w:kern w:val="24"/>
        </w:rPr>
        <w:t>Kitchenhands</w:t>
      </w:r>
      <w:proofErr w:type="spellEnd"/>
    </w:p>
    <w:p w:rsidR="00BC495C" w:rsidRPr="00524D82"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Calibri" w:hAnsi="Calibri" w:cs="Calibri"/>
          <w:color w:val="000000"/>
          <w:kern w:val="24"/>
        </w:rPr>
      </w:pPr>
    </w:p>
    <w:p w:rsidR="00116959" w:rsidRDefault="00116959"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Calibri" w:hAnsi="Calibri" w:cs="Calibri"/>
          <w:color w:val="000000"/>
          <w:kern w:val="24"/>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r>
        <w:lastRenderedPageBreak/>
        <w:t>Slide 32</w:t>
      </w:r>
    </w:p>
    <w:p w:rsidR="00BC495C" w:rsidRDefault="00BC495C" w:rsidP="00BC495C">
      <w:pPr>
        <w:spacing w:line="360" w:lineRule="auto"/>
      </w:pPr>
    </w:p>
    <w:p w:rsidR="00BC495C" w:rsidRDefault="00BC495C" w:rsidP="00BC495C">
      <w:pPr>
        <w:spacing w:line="360" w:lineRule="auto"/>
        <w:jc w:val="center"/>
      </w:pPr>
      <w:r>
        <w:object w:dxaOrig="7216" w:dyaOrig="5409">
          <v:shape id="_x0000_i1056" type="#_x0000_t75" style="width:270.75pt;height:202.5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056" DrawAspect="Content" ObjectID="_1416054916" r:id="rId69"/>
        </w:object>
      </w:r>
    </w:p>
    <w:p w:rsidR="00BC495C" w:rsidRDefault="00BC495C" w:rsidP="00BC495C">
      <w:pPr>
        <w:spacing w:line="360" w:lineRule="auto"/>
        <w:jc w:val="center"/>
      </w:pPr>
    </w:p>
    <w:p w:rsidR="00BC495C" w:rsidRPr="00524D82" w:rsidRDefault="00BC495C" w:rsidP="00BC495C">
      <w:pPr>
        <w:autoSpaceDE w:val="0"/>
        <w:autoSpaceDN w:val="0"/>
        <w:adjustRightInd w:val="0"/>
        <w:rPr>
          <w:rFonts w:ascii="Arial" w:hAnsi="Arial" w:cs="Arial"/>
          <w:color w:val="000000"/>
          <w:kern w:val="24"/>
          <w:u w:val="single"/>
        </w:rPr>
      </w:pPr>
      <w:r w:rsidRPr="00524D82">
        <w:rPr>
          <w:rFonts w:ascii="Arial" w:hAnsi="Arial" w:cs="Arial"/>
          <w:b/>
          <w:bCs/>
          <w:color w:val="000000"/>
          <w:kern w:val="24"/>
          <w:u w:val="single"/>
        </w:rPr>
        <w:t>Recruitment Using Informal Methods</w:t>
      </w:r>
    </w:p>
    <w:p w:rsidR="00BC495C" w:rsidRPr="00524D82" w:rsidRDefault="00BC495C" w:rsidP="00BC495C">
      <w:pPr>
        <w:autoSpaceDE w:val="0"/>
        <w:autoSpaceDN w:val="0"/>
        <w:adjustRightInd w:val="0"/>
        <w:rPr>
          <w:rFonts w:ascii="Arial" w:hAnsi="Arial" w:cs="Arial"/>
          <w:i/>
          <w:iCs/>
          <w:color w:val="000000"/>
          <w:kern w:val="24"/>
        </w:rPr>
      </w:pPr>
      <w:r w:rsidRPr="00524D82">
        <w:rPr>
          <w:rFonts w:ascii="Arial" w:hAnsi="Arial" w:cs="Arial"/>
          <w:i/>
          <w:iCs/>
          <w:color w:val="000000"/>
          <w:kern w:val="24"/>
        </w:rPr>
        <w:t>Source: DEEWR, Survey of Employers’ Recruitment Experiences, April 2012 Illawarra Priority Employment Area</w:t>
      </w:r>
    </w:p>
    <w:p w:rsidR="00BC495C" w:rsidRPr="00524D82" w:rsidRDefault="00BC495C" w:rsidP="00BC495C">
      <w:pPr>
        <w:autoSpaceDE w:val="0"/>
        <w:autoSpaceDN w:val="0"/>
        <w:adjustRightInd w:val="0"/>
        <w:rPr>
          <w:rFonts w:ascii="Arial" w:hAnsi="Arial" w:cs="Arial"/>
          <w:color w:val="000000"/>
          <w:kern w:val="24"/>
        </w:rPr>
      </w:pPr>
      <w:r w:rsidRPr="00524D82">
        <w:rPr>
          <w:rFonts w:ascii="Arial" w:hAnsi="Arial" w:cs="Arial"/>
          <w:color w:val="000000"/>
          <w:kern w:val="24"/>
        </w:rPr>
        <w:t> </w:t>
      </w:r>
    </w:p>
    <w:p w:rsidR="00BC495C" w:rsidRPr="00524D82" w:rsidRDefault="00BC495C" w:rsidP="00BC495C">
      <w:pPr>
        <w:autoSpaceDE w:val="0"/>
        <w:autoSpaceDN w:val="0"/>
        <w:adjustRightInd w:val="0"/>
        <w:rPr>
          <w:rFonts w:ascii="Arial" w:hAnsi="Arial" w:cs="Arial"/>
          <w:color w:val="000000"/>
          <w:kern w:val="24"/>
        </w:rPr>
      </w:pPr>
      <w:r w:rsidRPr="00524D82">
        <w:rPr>
          <w:rFonts w:ascii="Arial" w:hAnsi="Arial" w:cs="Arial"/>
          <w:color w:val="000000"/>
          <w:kern w:val="24"/>
        </w:rPr>
        <w:t>51 per cent of employers in the Illawarra PEA used informal methods in their most recent recruitment round compared to 44 per cent in all regions combined to June 2012.</w:t>
      </w:r>
    </w:p>
    <w:p w:rsidR="00BC495C" w:rsidRPr="00524D82" w:rsidRDefault="00BC495C" w:rsidP="00BC495C">
      <w:pPr>
        <w:autoSpaceDE w:val="0"/>
        <w:autoSpaceDN w:val="0"/>
        <w:adjustRightInd w:val="0"/>
        <w:rPr>
          <w:rFonts w:ascii="Arial" w:hAnsi="Arial" w:cs="Arial"/>
          <w:color w:val="000000"/>
          <w:kern w:val="24"/>
        </w:rPr>
      </w:pPr>
    </w:p>
    <w:p w:rsidR="00BC495C" w:rsidRPr="00524D82" w:rsidRDefault="00BC495C" w:rsidP="00BC495C">
      <w:pPr>
        <w:autoSpaceDE w:val="0"/>
        <w:autoSpaceDN w:val="0"/>
        <w:adjustRightInd w:val="0"/>
        <w:rPr>
          <w:rFonts w:ascii="Arial" w:hAnsi="Arial" w:cs="Arial"/>
          <w:color w:val="000000"/>
          <w:kern w:val="24"/>
        </w:rPr>
      </w:pPr>
      <w:r w:rsidRPr="00524D82">
        <w:rPr>
          <w:rFonts w:ascii="Arial" w:hAnsi="Arial" w:cs="Arial"/>
          <w:color w:val="000000"/>
          <w:kern w:val="24"/>
        </w:rPr>
        <w:t>In particular, employers reported the highest use of informal methods for Machinery Operators and Drivers (68 per cent) and Technicians and Trades Workers (63 per cent).</w:t>
      </w:r>
    </w:p>
    <w:p w:rsidR="00BC495C" w:rsidRPr="00524D82" w:rsidRDefault="00BC495C" w:rsidP="00BC495C">
      <w:pPr>
        <w:autoSpaceDE w:val="0"/>
        <w:autoSpaceDN w:val="0"/>
        <w:adjustRightInd w:val="0"/>
        <w:rPr>
          <w:rFonts w:ascii="Arial" w:hAnsi="Arial" w:cs="Arial"/>
          <w:color w:val="000000"/>
          <w:kern w:val="24"/>
        </w:rPr>
      </w:pPr>
    </w:p>
    <w:p w:rsidR="00BC495C" w:rsidRPr="00524D82" w:rsidRDefault="00BC495C" w:rsidP="00BC495C">
      <w:pPr>
        <w:autoSpaceDE w:val="0"/>
        <w:autoSpaceDN w:val="0"/>
        <w:adjustRightInd w:val="0"/>
        <w:rPr>
          <w:rFonts w:ascii="Arial" w:hAnsi="Arial" w:cs="Arial"/>
          <w:color w:val="000000"/>
          <w:kern w:val="24"/>
        </w:rPr>
      </w:pPr>
      <w:r w:rsidRPr="00524D82">
        <w:rPr>
          <w:rFonts w:ascii="Arial" w:hAnsi="Arial" w:cs="Arial"/>
          <w:color w:val="000000"/>
          <w:kern w:val="24"/>
        </w:rPr>
        <w:t>In contrast, the use of informal methods</w:t>
      </w:r>
      <w:r w:rsidRPr="00524D82">
        <w:rPr>
          <w:rFonts w:ascii="Arial" w:hAnsi="Arial" w:cs="Arial"/>
          <w:i/>
          <w:iCs/>
          <w:color w:val="000000"/>
          <w:kern w:val="24"/>
        </w:rPr>
        <w:t xml:space="preserve"> </w:t>
      </w:r>
      <w:r w:rsidRPr="00524D82">
        <w:rPr>
          <w:rFonts w:ascii="Arial" w:hAnsi="Arial" w:cs="Arial"/>
          <w:color w:val="000000"/>
          <w:kern w:val="24"/>
        </w:rPr>
        <w:t xml:space="preserve">was lowest for Managers and Professionals and Clerical and Administrative Workers (both 27 per cent). </w:t>
      </w:r>
    </w:p>
    <w:p w:rsidR="00BC495C" w:rsidRPr="00524D82" w:rsidRDefault="00BC495C" w:rsidP="00BC495C">
      <w:pPr>
        <w:autoSpaceDE w:val="0"/>
        <w:autoSpaceDN w:val="0"/>
        <w:adjustRightInd w:val="0"/>
        <w:rPr>
          <w:rFonts w:ascii="Arial" w:hAnsi="Arial" w:cs="Arial"/>
          <w:color w:val="000000"/>
          <w:kern w:val="24"/>
        </w:rPr>
      </w:pPr>
    </w:p>
    <w:p w:rsidR="00BC495C" w:rsidRPr="00524D82" w:rsidRDefault="00BC495C" w:rsidP="00BC495C">
      <w:pPr>
        <w:autoSpaceDE w:val="0"/>
        <w:autoSpaceDN w:val="0"/>
        <w:adjustRightInd w:val="0"/>
        <w:rPr>
          <w:rFonts w:ascii="Arial" w:hAnsi="Arial" w:cs="Arial"/>
          <w:color w:val="000000"/>
          <w:kern w:val="24"/>
        </w:rPr>
      </w:pPr>
      <w:r w:rsidRPr="00524D82">
        <w:rPr>
          <w:rFonts w:ascii="Arial" w:hAnsi="Arial" w:cs="Arial"/>
          <w:color w:val="000000"/>
          <w:kern w:val="24"/>
        </w:rPr>
        <w:t>Informal recruitment methods most mentioned were:</w:t>
      </w:r>
    </w:p>
    <w:p w:rsidR="00BC495C" w:rsidRPr="00524D82" w:rsidRDefault="00524D82" w:rsidP="00BC495C">
      <w:pPr>
        <w:numPr>
          <w:ilvl w:val="0"/>
          <w:numId w:val="1"/>
        </w:numPr>
        <w:autoSpaceDE w:val="0"/>
        <w:autoSpaceDN w:val="0"/>
        <w:adjustRightInd w:val="0"/>
        <w:rPr>
          <w:rFonts w:ascii="Arial" w:hAnsi="Arial" w:cs="Arial"/>
          <w:color w:val="000000"/>
          <w:kern w:val="24"/>
        </w:rPr>
      </w:pPr>
      <w:r>
        <w:rPr>
          <w:rFonts w:ascii="Arial" w:hAnsi="Arial" w:cs="Arial"/>
          <w:color w:val="000000"/>
          <w:kern w:val="24"/>
        </w:rPr>
        <w:t xml:space="preserve"> Word of mouth (34 per cent</w:t>
      </w:r>
      <w:r w:rsidR="00BC495C" w:rsidRPr="00524D82">
        <w:rPr>
          <w:rFonts w:ascii="Arial" w:hAnsi="Arial" w:cs="Arial"/>
          <w:color w:val="000000"/>
          <w:kern w:val="24"/>
        </w:rPr>
        <w:t>)</w:t>
      </w:r>
    </w:p>
    <w:p w:rsidR="00BC495C" w:rsidRPr="00524D82" w:rsidRDefault="00BC495C" w:rsidP="00BC495C">
      <w:pPr>
        <w:numPr>
          <w:ilvl w:val="0"/>
          <w:numId w:val="1"/>
        </w:numPr>
        <w:autoSpaceDE w:val="0"/>
        <w:autoSpaceDN w:val="0"/>
        <w:adjustRightInd w:val="0"/>
        <w:rPr>
          <w:rFonts w:ascii="Arial" w:hAnsi="Arial" w:cs="Arial"/>
          <w:color w:val="000000"/>
          <w:kern w:val="24"/>
        </w:rPr>
      </w:pPr>
      <w:r w:rsidRPr="00524D82">
        <w:rPr>
          <w:rFonts w:ascii="Arial" w:hAnsi="Arial" w:cs="Arial"/>
          <w:color w:val="000000"/>
          <w:kern w:val="24"/>
        </w:rPr>
        <w:t xml:space="preserve"> Employer approach</w:t>
      </w:r>
      <w:r w:rsidR="00524D82">
        <w:rPr>
          <w:rFonts w:ascii="Arial" w:hAnsi="Arial" w:cs="Arial"/>
          <w:color w:val="000000"/>
          <w:kern w:val="24"/>
        </w:rPr>
        <w:t>ed directly by a job seeker (21 per cent</w:t>
      </w:r>
      <w:r w:rsidRPr="00524D82">
        <w:rPr>
          <w:rFonts w:ascii="Arial" w:hAnsi="Arial" w:cs="Arial"/>
          <w:color w:val="000000"/>
          <w:kern w:val="24"/>
        </w:rPr>
        <w:t>)</w:t>
      </w:r>
    </w:p>
    <w:p w:rsidR="00BC495C" w:rsidRPr="00524D82" w:rsidRDefault="00BC495C" w:rsidP="00BC495C">
      <w:pPr>
        <w:numPr>
          <w:ilvl w:val="0"/>
          <w:numId w:val="1"/>
        </w:numPr>
        <w:autoSpaceDE w:val="0"/>
        <w:autoSpaceDN w:val="0"/>
        <w:adjustRightInd w:val="0"/>
        <w:rPr>
          <w:rFonts w:ascii="Arial" w:hAnsi="Arial" w:cs="Arial"/>
          <w:color w:val="000000"/>
          <w:kern w:val="24"/>
        </w:rPr>
      </w:pPr>
      <w:r w:rsidRPr="00524D82">
        <w:rPr>
          <w:rFonts w:ascii="Arial" w:hAnsi="Arial" w:cs="Arial"/>
          <w:color w:val="000000"/>
          <w:kern w:val="24"/>
        </w:rPr>
        <w:t xml:space="preserve"> Sig</w:t>
      </w:r>
      <w:r w:rsidR="00524D82">
        <w:rPr>
          <w:rFonts w:ascii="Arial" w:hAnsi="Arial" w:cs="Arial"/>
          <w:color w:val="000000"/>
          <w:kern w:val="24"/>
        </w:rPr>
        <w:t>n in the window or billboard (2 per cent</w:t>
      </w:r>
      <w:r w:rsidRPr="00524D82">
        <w:rPr>
          <w:rFonts w:ascii="Arial" w:hAnsi="Arial" w:cs="Arial"/>
          <w:color w:val="000000"/>
          <w:kern w:val="24"/>
        </w:rPr>
        <w:t>)</w:t>
      </w:r>
    </w:p>
    <w:p w:rsidR="00BC495C" w:rsidRPr="00524D82" w:rsidRDefault="00BC495C" w:rsidP="00BC495C">
      <w:pPr>
        <w:autoSpaceDE w:val="0"/>
        <w:autoSpaceDN w:val="0"/>
        <w:adjustRightInd w:val="0"/>
        <w:rPr>
          <w:rFonts w:ascii="Arial" w:hAnsi="Arial" w:cs="Arial"/>
          <w:color w:val="000000"/>
          <w:kern w:val="24"/>
        </w:rPr>
      </w:pPr>
    </w:p>
    <w:p w:rsidR="00BC495C" w:rsidRPr="00524D82" w:rsidRDefault="00BC495C" w:rsidP="00BC495C">
      <w:pPr>
        <w:autoSpaceDE w:val="0"/>
        <w:autoSpaceDN w:val="0"/>
        <w:adjustRightInd w:val="0"/>
        <w:rPr>
          <w:rFonts w:ascii="Arial" w:hAnsi="Arial" w:cs="Arial"/>
          <w:color w:val="000000"/>
          <w:kern w:val="24"/>
        </w:rPr>
      </w:pPr>
      <w:r w:rsidRPr="00524D82">
        <w:rPr>
          <w:rFonts w:ascii="Arial" w:hAnsi="Arial" w:cs="Arial"/>
          <w:color w:val="000000"/>
          <w:kern w:val="24"/>
        </w:rPr>
        <w:t xml:space="preserve">Some 42 per cent of employers in the Illawarra PEA used informal methods </w:t>
      </w:r>
      <w:proofErr w:type="gramStart"/>
      <w:r w:rsidRPr="00524D82">
        <w:rPr>
          <w:rFonts w:ascii="Arial" w:hAnsi="Arial" w:cs="Arial"/>
          <w:i/>
          <w:iCs/>
          <w:color w:val="000000"/>
          <w:kern w:val="24"/>
        </w:rPr>
        <w:t xml:space="preserve">only </w:t>
      </w:r>
      <w:r w:rsidRPr="00524D82">
        <w:rPr>
          <w:rFonts w:ascii="Arial" w:hAnsi="Arial" w:cs="Arial"/>
          <w:color w:val="000000"/>
          <w:kern w:val="24"/>
        </w:rPr>
        <w:t xml:space="preserve"> in</w:t>
      </w:r>
      <w:proofErr w:type="gramEnd"/>
      <w:r w:rsidRPr="00524D82">
        <w:rPr>
          <w:rFonts w:ascii="Arial" w:hAnsi="Arial" w:cs="Arial"/>
          <w:color w:val="000000"/>
          <w:kern w:val="24"/>
        </w:rPr>
        <w:t xml:space="preserve"> their most recent recruitment round compared with 32 per cent for all regions surveyed.</w:t>
      </w:r>
    </w:p>
    <w:p w:rsidR="00BC495C" w:rsidRPr="00524D82"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Calibri" w:hAnsi="Calibri" w:cs="Calibri"/>
          <w:color w:val="000000"/>
          <w:sz w:val="20"/>
          <w:szCs w:val="20"/>
        </w:rPr>
      </w:pPr>
    </w:p>
    <w:p w:rsidR="00BC495C" w:rsidRDefault="00BC495C" w:rsidP="00BC495C">
      <w:pPr>
        <w:autoSpaceDE w:val="0"/>
        <w:autoSpaceDN w:val="0"/>
        <w:adjustRightInd w:val="0"/>
        <w:rPr>
          <w:rFonts w:ascii="Calibri" w:hAnsi="Calibri" w:cs="Calibri"/>
          <w:color w:val="000000"/>
          <w:sz w:val="20"/>
          <w:szCs w:val="20"/>
        </w:rPr>
      </w:pPr>
    </w:p>
    <w:p w:rsidR="00BC495C" w:rsidRDefault="00BC495C" w:rsidP="00BC495C">
      <w:pPr>
        <w:autoSpaceDE w:val="0"/>
        <w:autoSpaceDN w:val="0"/>
        <w:adjustRightInd w:val="0"/>
        <w:rPr>
          <w:rFonts w:ascii="Calibri" w:hAnsi="Calibri" w:cs="Calibri"/>
          <w:color w:val="000000"/>
          <w:sz w:val="20"/>
          <w:szCs w:val="20"/>
        </w:rPr>
      </w:pPr>
    </w:p>
    <w:p w:rsidR="00BC495C" w:rsidRDefault="00BC495C" w:rsidP="00BC495C">
      <w:pPr>
        <w:autoSpaceDE w:val="0"/>
        <w:autoSpaceDN w:val="0"/>
        <w:adjustRightInd w:val="0"/>
        <w:rPr>
          <w:rFonts w:ascii="Calibri" w:hAnsi="Calibri" w:cs="Calibri"/>
          <w:color w:val="000000"/>
          <w:sz w:val="20"/>
          <w:szCs w:val="20"/>
        </w:rPr>
      </w:pPr>
    </w:p>
    <w:p w:rsidR="00BC495C" w:rsidRDefault="00BC495C" w:rsidP="00BC495C">
      <w:pPr>
        <w:autoSpaceDE w:val="0"/>
        <w:autoSpaceDN w:val="0"/>
        <w:adjustRightInd w:val="0"/>
        <w:rPr>
          <w:rFonts w:ascii="Calibri" w:hAnsi="Calibri" w:cs="Calibri"/>
          <w:color w:val="000000"/>
          <w:sz w:val="20"/>
          <w:szCs w:val="20"/>
        </w:rPr>
      </w:pP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sidP="00BC495C">
      <w:pPr>
        <w:spacing w:line="360" w:lineRule="auto"/>
      </w:pPr>
      <w:r>
        <w:lastRenderedPageBreak/>
        <w:t>Slide 33</w:t>
      </w:r>
    </w:p>
    <w:p w:rsidR="00BC495C" w:rsidRDefault="00BC495C" w:rsidP="00BC495C">
      <w:pPr>
        <w:spacing w:line="360" w:lineRule="auto"/>
      </w:pPr>
    </w:p>
    <w:p w:rsidR="00BC495C" w:rsidRDefault="00BC495C" w:rsidP="00BC495C">
      <w:pPr>
        <w:spacing w:line="360" w:lineRule="auto"/>
        <w:jc w:val="center"/>
      </w:pPr>
      <w:r>
        <w:object w:dxaOrig="7216" w:dyaOrig="5409">
          <v:shape id="_x0000_i1057" type="#_x0000_t75" style="width:270.75pt;height:202.5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057" DrawAspect="Content" ObjectID="_1416054917" r:id="rId71"/>
        </w:object>
      </w:r>
    </w:p>
    <w:p w:rsidR="00BC495C" w:rsidRDefault="00BC495C" w:rsidP="00BC495C">
      <w:pPr>
        <w:spacing w:line="360" w:lineRule="auto"/>
        <w:jc w:val="center"/>
      </w:pPr>
    </w:p>
    <w:p w:rsidR="00BC495C" w:rsidRPr="00524D82" w:rsidRDefault="00BC495C" w:rsidP="00BC495C">
      <w:pPr>
        <w:autoSpaceDE w:val="0"/>
        <w:autoSpaceDN w:val="0"/>
        <w:adjustRightInd w:val="0"/>
        <w:rPr>
          <w:rFonts w:ascii="Arial" w:hAnsi="Arial" w:cs="Arial"/>
          <w:b/>
          <w:bCs/>
          <w:color w:val="000000"/>
          <w:kern w:val="24"/>
          <w:u w:val="single"/>
          <w:lang w:val="en-US"/>
        </w:rPr>
      </w:pPr>
      <w:r w:rsidRPr="00524D82">
        <w:rPr>
          <w:rFonts w:ascii="Arial" w:hAnsi="Arial" w:cs="Arial"/>
          <w:b/>
          <w:bCs/>
          <w:color w:val="000000"/>
          <w:kern w:val="24"/>
          <w:u w:val="single"/>
          <w:lang w:val="en-US"/>
        </w:rPr>
        <w:t>Conclusion</w:t>
      </w:r>
    </w:p>
    <w:p w:rsidR="00BC495C" w:rsidRPr="00524D82" w:rsidRDefault="00BC495C" w:rsidP="00BC495C">
      <w:pPr>
        <w:numPr>
          <w:ilvl w:val="0"/>
          <w:numId w:val="2"/>
        </w:numPr>
        <w:autoSpaceDE w:val="0"/>
        <w:autoSpaceDN w:val="0"/>
        <w:adjustRightInd w:val="0"/>
        <w:rPr>
          <w:rFonts w:ascii="Arial" w:hAnsi="Arial" w:cs="Arial"/>
          <w:color w:val="000000"/>
          <w:kern w:val="24"/>
          <w:lang w:val="en-US"/>
        </w:rPr>
      </w:pPr>
      <w:r w:rsidRPr="00524D82">
        <w:rPr>
          <w:rFonts w:ascii="Arial" w:hAnsi="Arial" w:cs="Arial"/>
          <w:color w:val="000000"/>
          <w:kern w:val="24"/>
          <w:lang w:val="en-US"/>
        </w:rPr>
        <w:t xml:space="preserve">    Area faces some </w:t>
      </w:r>
      <w:proofErr w:type="spellStart"/>
      <w:r w:rsidRPr="00524D82">
        <w:rPr>
          <w:rFonts w:ascii="Arial" w:hAnsi="Arial" w:cs="Arial"/>
          <w:color w:val="000000"/>
          <w:kern w:val="24"/>
          <w:lang w:val="en-US"/>
        </w:rPr>
        <w:t>labour</w:t>
      </w:r>
      <w:proofErr w:type="spellEnd"/>
      <w:r w:rsidRPr="00524D82">
        <w:rPr>
          <w:rFonts w:ascii="Arial" w:hAnsi="Arial" w:cs="Arial"/>
          <w:color w:val="000000"/>
          <w:kern w:val="24"/>
          <w:lang w:val="en-US"/>
        </w:rPr>
        <w:t xml:space="preserve"> market challenges</w:t>
      </w:r>
    </w:p>
    <w:p w:rsidR="00BC495C" w:rsidRPr="00524D82" w:rsidRDefault="00BC495C" w:rsidP="00BC495C">
      <w:pPr>
        <w:numPr>
          <w:ilvl w:val="0"/>
          <w:numId w:val="3"/>
        </w:numPr>
        <w:autoSpaceDE w:val="0"/>
        <w:autoSpaceDN w:val="0"/>
        <w:adjustRightInd w:val="0"/>
        <w:ind w:left="720"/>
        <w:rPr>
          <w:rFonts w:ascii="Arial" w:hAnsi="Arial" w:cs="Arial"/>
          <w:color w:val="000000"/>
          <w:kern w:val="24"/>
          <w:lang w:val="en-US"/>
        </w:rPr>
      </w:pPr>
      <w:r w:rsidRPr="00524D82">
        <w:rPr>
          <w:rFonts w:ascii="Arial" w:hAnsi="Arial" w:cs="Arial"/>
          <w:color w:val="000000"/>
          <w:kern w:val="24"/>
          <w:lang w:val="en-US"/>
        </w:rPr>
        <w:t xml:space="preserve"> Above average unemployment</w:t>
      </w:r>
    </w:p>
    <w:p w:rsidR="00BC495C" w:rsidRPr="00524D82" w:rsidRDefault="00BC495C" w:rsidP="00BC495C">
      <w:pPr>
        <w:numPr>
          <w:ilvl w:val="0"/>
          <w:numId w:val="3"/>
        </w:numPr>
        <w:autoSpaceDE w:val="0"/>
        <w:autoSpaceDN w:val="0"/>
        <w:adjustRightInd w:val="0"/>
        <w:ind w:left="720"/>
        <w:rPr>
          <w:rFonts w:ascii="Arial" w:hAnsi="Arial" w:cs="Arial"/>
          <w:color w:val="000000"/>
          <w:kern w:val="24"/>
          <w:lang w:val="en-US"/>
        </w:rPr>
      </w:pPr>
      <w:r w:rsidRPr="00524D82">
        <w:rPr>
          <w:rFonts w:ascii="Arial" w:hAnsi="Arial" w:cs="Arial"/>
          <w:color w:val="000000"/>
          <w:kern w:val="24"/>
          <w:lang w:val="en-US"/>
        </w:rPr>
        <w:t xml:space="preserve"> Low participation rate</w:t>
      </w:r>
    </w:p>
    <w:p w:rsidR="00BC495C" w:rsidRPr="00524D82" w:rsidRDefault="00BC495C" w:rsidP="00BC495C">
      <w:pPr>
        <w:numPr>
          <w:ilvl w:val="0"/>
          <w:numId w:val="3"/>
        </w:numPr>
        <w:autoSpaceDE w:val="0"/>
        <w:autoSpaceDN w:val="0"/>
        <w:adjustRightInd w:val="0"/>
        <w:ind w:left="720"/>
        <w:rPr>
          <w:rFonts w:ascii="Arial" w:hAnsi="Arial" w:cs="Arial"/>
          <w:color w:val="000000"/>
          <w:kern w:val="24"/>
          <w:lang w:val="en-US"/>
        </w:rPr>
      </w:pPr>
      <w:r w:rsidRPr="00524D82">
        <w:rPr>
          <w:rFonts w:ascii="Arial" w:hAnsi="Arial" w:cs="Arial"/>
          <w:color w:val="000000"/>
          <w:kern w:val="24"/>
          <w:lang w:val="en-US"/>
        </w:rPr>
        <w:t xml:space="preserve"> Recruitment activity remains subdued</w:t>
      </w:r>
    </w:p>
    <w:p w:rsidR="00BC495C" w:rsidRPr="00524D82" w:rsidRDefault="00BC495C" w:rsidP="00BC495C">
      <w:pPr>
        <w:numPr>
          <w:ilvl w:val="0"/>
          <w:numId w:val="3"/>
        </w:numPr>
        <w:autoSpaceDE w:val="0"/>
        <w:autoSpaceDN w:val="0"/>
        <w:adjustRightInd w:val="0"/>
        <w:ind w:left="720"/>
        <w:rPr>
          <w:rFonts w:ascii="Arial" w:hAnsi="Arial" w:cs="Arial"/>
          <w:color w:val="000000"/>
          <w:kern w:val="24"/>
          <w:lang w:val="en-US"/>
        </w:rPr>
      </w:pPr>
      <w:r w:rsidRPr="00524D82">
        <w:rPr>
          <w:rFonts w:ascii="Arial" w:hAnsi="Arial" w:cs="Arial"/>
          <w:color w:val="000000"/>
          <w:kern w:val="24"/>
          <w:lang w:val="en-US"/>
        </w:rPr>
        <w:t xml:space="preserve"> Excess </w:t>
      </w:r>
      <w:proofErr w:type="spellStart"/>
      <w:r w:rsidRPr="00524D82">
        <w:rPr>
          <w:rFonts w:ascii="Arial" w:hAnsi="Arial" w:cs="Arial"/>
          <w:color w:val="000000"/>
          <w:kern w:val="24"/>
          <w:lang w:val="en-US"/>
        </w:rPr>
        <w:t>labour</w:t>
      </w:r>
      <w:proofErr w:type="spellEnd"/>
      <w:r w:rsidRPr="00524D82">
        <w:rPr>
          <w:rFonts w:ascii="Arial" w:hAnsi="Arial" w:cs="Arial"/>
          <w:color w:val="000000"/>
          <w:kern w:val="24"/>
          <w:lang w:val="en-US"/>
        </w:rPr>
        <w:t xml:space="preserve"> supply</w:t>
      </w:r>
    </w:p>
    <w:p w:rsidR="00BC495C" w:rsidRPr="00524D82" w:rsidRDefault="00BC495C" w:rsidP="00BC495C">
      <w:pPr>
        <w:numPr>
          <w:ilvl w:val="0"/>
          <w:numId w:val="3"/>
        </w:numPr>
        <w:autoSpaceDE w:val="0"/>
        <w:autoSpaceDN w:val="0"/>
        <w:adjustRightInd w:val="0"/>
        <w:ind w:left="720"/>
        <w:rPr>
          <w:rFonts w:ascii="Arial" w:hAnsi="Arial" w:cs="Arial"/>
          <w:color w:val="000000"/>
          <w:kern w:val="24"/>
          <w:lang w:val="en-US"/>
        </w:rPr>
      </w:pPr>
      <w:r w:rsidRPr="00524D82">
        <w:rPr>
          <w:rFonts w:ascii="Arial" w:hAnsi="Arial" w:cs="Arial"/>
          <w:color w:val="000000"/>
          <w:kern w:val="24"/>
          <w:lang w:val="en-US"/>
        </w:rPr>
        <w:t xml:space="preserve"> Recruitment expectations are subdued</w:t>
      </w:r>
    </w:p>
    <w:p w:rsidR="00BC495C" w:rsidRPr="00524D82" w:rsidRDefault="00BC495C" w:rsidP="00BC495C">
      <w:pPr>
        <w:numPr>
          <w:ilvl w:val="0"/>
          <w:numId w:val="4"/>
        </w:numPr>
        <w:autoSpaceDE w:val="0"/>
        <w:autoSpaceDN w:val="0"/>
        <w:adjustRightInd w:val="0"/>
        <w:rPr>
          <w:rFonts w:ascii="Arial" w:hAnsi="Arial" w:cs="Arial"/>
          <w:color w:val="000000"/>
          <w:kern w:val="24"/>
          <w:lang w:val="en-US"/>
        </w:rPr>
      </w:pPr>
      <w:r w:rsidRPr="00524D82">
        <w:rPr>
          <w:rFonts w:ascii="Arial" w:hAnsi="Arial" w:cs="Arial"/>
          <w:color w:val="000000"/>
          <w:kern w:val="24"/>
          <w:lang w:val="en-US"/>
        </w:rPr>
        <w:t xml:space="preserve"> Disadvantaged groups:</w:t>
      </w:r>
    </w:p>
    <w:p w:rsidR="00BC495C" w:rsidRPr="00524D82" w:rsidRDefault="00BC495C" w:rsidP="00BC495C">
      <w:pPr>
        <w:numPr>
          <w:ilvl w:val="0"/>
          <w:numId w:val="3"/>
        </w:numPr>
        <w:autoSpaceDE w:val="0"/>
        <w:autoSpaceDN w:val="0"/>
        <w:adjustRightInd w:val="0"/>
        <w:ind w:left="720"/>
        <w:rPr>
          <w:rFonts w:ascii="Arial" w:hAnsi="Arial" w:cs="Arial"/>
          <w:color w:val="000000"/>
          <w:kern w:val="24"/>
          <w:lang w:val="en-US"/>
        </w:rPr>
      </w:pPr>
      <w:r w:rsidRPr="00524D82">
        <w:rPr>
          <w:rFonts w:ascii="Arial" w:hAnsi="Arial" w:cs="Arial"/>
          <w:color w:val="000000"/>
          <w:kern w:val="24"/>
          <w:lang w:val="en-US"/>
        </w:rPr>
        <w:t xml:space="preserve"> Long term unemployed, disengaged youth</w:t>
      </w:r>
    </w:p>
    <w:p w:rsidR="00BC495C" w:rsidRPr="00524D82" w:rsidRDefault="00BC495C" w:rsidP="00BC495C">
      <w:pPr>
        <w:numPr>
          <w:ilvl w:val="0"/>
          <w:numId w:val="3"/>
        </w:numPr>
        <w:autoSpaceDE w:val="0"/>
        <w:autoSpaceDN w:val="0"/>
        <w:adjustRightInd w:val="0"/>
        <w:ind w:left="720"/>
        <w:rPr>
          <w:rFonts w:ascii="Arial" w:hAnsi="Arial" w:cs="Arial"/>
          <w:color w:val="000000"/>
          <w:kern w:val="24"/>
          <w:lang w:val="en-US"/>
        </w:rPr>
      </w:pPr>
      <w:r w:rsidRPr="00524D82">
        <w:rPr>
          <w:rFonts w:ascii="Arial" w:hAnsi="Arial" w:cs="Arial"/>
          <w:color w:val="000000"/>
          <w:kern w:val="24"/>
          <w:lang w:val="en-US"/>
        </w:rPr>
        <w:t xml:space="preserve"> Persons with lower levels of education</w:t>
      </w:r>
    </w:p>
    <w:p w:rsidR="00BC495C" w:rsidRPr="00524D82" w:rsidRDefault="00BC495C" w:rsidP="00BC495C">
      <w:pPr>
        <w:numPr>
          <w:ilvl w:val="0"/>
          <w:numId w:val="4"/>
        </w:numPr>
        <w:autoSpaceDE w:val="0"/>
        <w:autoSpaceDN w:val="0"/>
        <w:adjustRightInd w:val="0"/>
        <w:rPr>
          <w:rFonts w:ascii="Arial" w:hAnsi="Arial" w:cs="Arial"/>
          <w:color w:val="000000"/>
          <w:kern w:val="24"/>
          <w:lang w:val="en-US"/>
        </w:rPr>
      </w:pPr>
      <w:r w:rsidRPr="00524D82">
        <w:rPr>
          <w:rFonts w:ascii="Arial" w:hAnsi="Arial" w:cs="Arial"/>
          <w:color w:val="000000"/>
          <w:kern w:val="24"/>
          <w:lang w:val="en-US"/>
        </w:rPr>
        <w:t xml:space="preserve"> Opportunities exist:</w:t>
      </w:r>
    </w:p>
    <w:p w:rsidR="00BC495C" w:rsidRPr="00524D82" w:rsidRDefault="00BC495C" w:rsidP="00BC495C">
      <w:pPr>
        <w:numPr>
          <w:ilvl w:val="0"/>
          <w:numId w:val="3"/>
        </w:numPr>
        <w:autoSpaceDE w:val="0"/>
        <w:autoSpaceDN w:val="0"/>
        <w:adjustRightInd w:val="0"/>
        <w:ind w:left="720"/>
        <w:rPr>
          <w:rFonts w:ascii="Arial" w:hAnsi="Arial" w:cs="Arial"/>
          <w:color w:val="000000"/>
          <w:kern w:val="24"/>
          <w:lang w:val="en-US"/>
        </w:rPr>
      </w:pPr>
      <w:r w:rsidRPr="00524D82">
        <w:rPr>
          <w:rFonts w:ascii="Arial" w:hAnsi="Arial" w:cs="Arial"/>
          <w:color w:val="000000"/>
          <w:kern w:val="24"/>
          <w:lang w:val="en-US"/>
        </w:rPr>
        <w:t xml:space="preserve"> Some large and growing industries (Health)</w:t>
      </w:r>
    </w:p>
    <w:p w:rsidR="00BC495C" w:rsidRPr="00524D82" w:rsidRDefault="00BC495C" w:rsidP="00BC495C">
      <w:pPr>
        <w:numPr>
          <w:ilvl w:val="0"/>
          <w:numId w:val="3"/>
        </w:numPr>
        <w:autoSpaceDE w:val="0"/>
        <w:autoSpaceDN w:val="0"/>
        <w:adjustRightInd w:val="0"/>
        <w:ind w:left="720"/>
        <w:rPr>
          <w:rFonts w:ascii="Arial" w:hAnsi="Arial" w:cs="Arial"/>
          <w:color w:val="000000"/>
          <w:kern w:val="24"/>
          <w:lang w:val="en-US"/>
        </w:rPr>
      </w:pPr>
      <w:r w:rsidRPr="00524D82">
        <w:rPr>
          <w:rFonts w:ascii="Arial" w:hAnsi="Arial" w:cs="Arial"/>
          <w:color w:val="000000"/>
          <w:kern w:val="24"/>
          <w:lang w:val="en-US"/>
        </w:rPr>
        <w:t xml:space="preserve"> Broad range of occupations difficult to fill</w:t>
      </w:r>
    </w:p>
    <w:p w:rsidR="00BC495C" w:rsidRPr="00524D82" w:rsidRDefault="00BC495C" w:rsidP="00BC495C">
      <w:pPr>
        <w:numPr>
          <w:ilvl w:val="0"/>
          <w:numId w:val="3"/>
        </w:numPr>
        <w:autoSpaceDE w:val="0"/>
        <w:autoSpaceDN w:val="0"/>
        <w:adjustRightInd w:val="0"/>
        <w:ind w:left="720"/>
        <w:rPr>
          <w:rFonts w:ascii="Arial" w:hAnsi="Arial" w:cs="Arial"/>
          <w:color w:val="000000"/>
          <w:kern w:val="24"/>
          <w:lang w:val="en-US"/>
        </w:rPr>
      </w:pPr>
      <w:r w:rsidRPr="00524D82">
        <w:rPr>
          <w:rFonts w:ascii="Arial" w:hAnsi="Arial" w:cs="Arial"/>
          <w:color w:val="000000"/>
          <w:kern w:val="24"/>
          <w:lang w:val="en-US"/>
        </w:rPr>
        <w:t xml:space="preserve"> Opportunities in broader Sydney </w:t>
      </w:r>
      <w:proofErr w:type="spellStart"/>
      <w:r w:rsidRPr="00524D82">
        <w:rPr>
          <w:rFonts w:ascii="Arial" w:hAnsi="Arial" w:cs="Arial"/>
          <w:color w:val="000000"/>
          <w:kern w:val="24"/>
          <w:lang w:val="en-US"/>
        </w:rPr>
        <w:t>labour</w:t>
      </w:r>
      <w:proofErr w:type="spellEnd"/>
      <w:r w:rsidRPr="00524D82">
        <w:rPr>
          <w:rFonts w:ascii="Arial" w:hAnsi="Arial" w:cs="Arial"/>
          <w:color w:val="000000"/>
          <w:kern w:val="24"/>
          <w:lang w:val="en-US"/>
        </w:rPr>
        <w:t xml:space="preserve"> market</w:t>
      </w:r>
    </w:p>
    <w:p w:rsidR="00BC495C" w:rsidRPr="00524D82" w:rsidRDefault="00BC495C" w:rsidP="00BC495C">
      <w:pPr>
        <w:numPr>
          <w:ilvl w:val="0"/>
          <w:numId w:val="4"/>
        </w:numPr>
        <w:autoSpaceDE w:val="0"/>
        <w:autoSpaceDN w:val="0"/>
        <w:adjustRightInd w:val="0"/>
        <w:rPr>
          <w:rFonts w:ascii="Arial" w:hAnsi="Arial" w:cs="Arial"/>
          <w:color w:val="000000"/>
          <w:kern w:val="24"/>
        </w:rPr>
      </w:pPr>
      <w:r w:rsidRPr="00524D82">
        <w:rPr>
          <w:rFonts w:ascii="Arial" w:hAnsi="Arial" w:cs="Arial"/>
          <w:color w:val="000000"/>
          <w:kern w:val="24"/>
        </w:rPr>
        <w:t xml:space="preserve"> Job seekers need to be job ready:</w:t>
      </w:r>
    </w:p>
    <w:p w:rsidR="00BC495C" w:rsidRPr="00524D82" w:rsidRDefault="00BC495C" w:rsidP="00BC495C">
      <w:pPr>
        <w:numPr>
          <w:ilvl w:val="0"/>
          <w:numId w:val="3"/>
        </w:numPr>
        <w:autoSpaceDE w:val="0"/>
        <w:autoSpaceDN w:val="0"/>
        <w:adjustRightInd w:val="0"/>
        <w:ind w:left="720"/>
        <w:rPr>
          <w:rFonts w:ascii="Arial" w:hAnsi="Arial" w:cs="Arial"/>
          <w:color w:val="000000"/>
          <w:kern w:val="24"/>
          <w:lang w:val="en-US"/>
        </w:rPr>
      </w:pPr>
      <w:r w:rsidRPr="00524D82">
        <w:rPr>
          <w:rFonts w:ascii="Arial" w:hAnsi="Arial" w:cs="Arial"/>
          <w:color w:val="000000"/>
          <w:kern w:val="24"/>
          <w:lang w:val="en-US"/>
        </w:rPr>
        <w:t xml:space="preserve"> Opportunities for work experience</w:t>
      </w:r>
    </w:p>
    <w:p w:rsidR="00BC495C" w:rsidRPr="00524D82" w:rsidRDefault="00BC495C" w:rsidP="00BC495C">
      <w:pPr>
        <w:numPr>
          <w:ilvl w:val="0"/>
          <w:numId w:val="3"/>
        </w:numPr>
        <w:autoSpaceDE w:val="0"/>
        <w:autoSpaceDN w:val="0"/>
        <w:adjustRightInd w:val="0"/>
        <w:ind w:left="720"/>
        <w:rPr>
          <w:rFonts w:ascii="Arial" w:hAnsi="Arial" w:cs="Arial"/>
          <w:color w:val="000000"/>
          <w:kern w:val="24"/>
          <w:lang w:val="en-US"/>
        </w:rPr>
      </w:pPr>
      <w:r w:rsidRPr="00524D82">
        <w:rPr>
          <w:rFonts w:ascii="Arial" w:hAnsi="Arial" w:cs="Arial"/>
          <w:color w:val="000000"/>
          <w:kern w:val="24"/>
          <w:lang w:val="en-US"/>
        </w:rPr>
        <w:t xml:space="preserve"> Education and training</w:t>
      </w:r>
    </w:p>
    <w:p w:rsidR="00BC495C" w:rsidRPr="00524D82" w:rsidRDefault="00BC495C" w:rsidP="00BC495C">
      <w:pPr>
        <w:numPr>
          <w:ilvl w:val="0"/>
          <w:numId w:val="3"/>
        </w:numPr>
        <w:autoSpaceDE w:val="0"/>
        <w:autoSpaceDN w:val="0"/>
        <w:adjustRightInd w:val="0"/>
        <w:ind w:left="720"/>
        <w:rPr>
          <w:rFonts w:ascii="Arial" w:hAnsi="Arial" w:cs="Arial"/>
          <w:color w:val="000000"/>
          <w:kern w:val="24"/>
          <w:lang w:val="en-US"/>
        </w:rPr>
      </w:pPr>
      <w:r w:rsidRPr="00524D82">
        <w:rPr>
          <w:rFonts w:ascii="Arial" w:hAnsi="Arial" w:cs="Arial"/>
          <w:color w:val="000000"/>
          <w:kern w:val="24"/>
          <w:lang w:val="en-US"/>
        </w:rPr>
        <w:t xml:space="preserve"> Literacy and numeracy</w:t>
      </w:r>
    </w:p>
    <w:p w:rsidR="00BC495C" w:rsidRPr="00524D82" w:rsidRDefault="00BC495C" w:rsidP="00BC495C">
      <w:pPr>
        <w:numPr>
          <w:ilvl w:val="0"/>
          <w:numId w:val="4"/>
        </w:numPr>
        <w:autoSpaceDE w:val="0"/>
        <w:autoSpaceDN w:val="0"/>
        <w:adjustRightInd w:val="0"/>
        <w:rPr>
          <w:rFonts w:ascii="Arial" w:hAnsi="Arial" w:cs="Arial"/>
          <w:color w:val="000000"/>
          <w:kern w:val="24"/>
        </w:rPr>
      </w:pPr>
      <w:r w:rsidRPr="00524D82">
        <w:rPr>
          <w:rFonts w:ascii="Arial" w:hAnsi="Arial" w:cs="Arial"/>
          <w:color w:val="000000"/>
          <w:kern w:val="24"/>
        </w:rPr>
        <w:t xml:space="preserve"> Ongoing engagement with employers about their needs, expectations and recruitment methods</w:t>
      </w:r>
    </w:p>
    <w:p w:rsidR="00BC495C" w:rsidRPr="00524D82" w:rsidRDefault="00BC495C" w:rsidP="00BC495C">
      <w:pPr>
        <w:numPr>
          <w:ilvl w:val="0"/>
          <w:numId w:val="4"/>
        </w:numPr>
        <w:autoSpaceDE w:val="0"/>
        <w:autoSpaceDN w:val="0"/>
        <w:adjustRightInd w:val="0"/>
        <w:rPr>
          <w:rFonts w:ascii="Arial" w:hAnsi="Arial" w:cs="Arial"/>
          <w:color w:val="000000"/>
          <w:kern w:val="24"/>
        </w:rPr>
      </w:pPr>
      <w:r w:rsidRPr="00524D82">
        <w:rPr>
          <w:rFonts w:ascii="Arial" w:hAnsi="Arial" w:cs="Arial"/>
          <w:color w:val="000000"/>
          <w:kern w:val="24"/>
        </w:rPr>
        <w:t xml:space="preserve"> Collaboration amongst all key stakeholders, the Local Employment Coordinator and the Government Action Leader.</w:t>
      </w: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116959" w:rsidRDefault="00116959" w:rsidP="00BC495C">
      <w:pPr>
        <w:spacing w:line="360" w:lineRule="auto"/>
      </w:pPr>
    </w:p>
    <w:p w:rsidR="00BC495C" w:rsidRDefault="00BC495C">
      <w:r>
        <w:br w:type="page"/>
      </w:r>
    </w:p>
    <w:p w:rsidR="00BC495C" w:rsidRDefault="00BC495C" w:rsidP="00BC495C">
      <w:pPr>
        <w:spacing w:line="360" w:lineRule="auto"/>
      </w:pPr>
      <w:r>
        <w:lastRenderedPageBreak/>
        <w:t>Slide 34</w:t>
      </w:r>
    </w:p>
    <w:p w:rsidR="00BC495C" w:rsidRDefault="00BC495C" w:rsidP="00BC495C">
      <w:pPr>
        <w:spacing w:line="360" w:lineRule="auto"/>
      </w:pPr>
    </w:p>
    <w:p w:rsidR="00BC495C" w:rsidRDefault="00BC495C" w:rsidP="00BC495C">
      <w:pPr>
        <w:spacing w:line="360" w:lineRule="auto"/>
        <w:jc w:val="center"/>
      </w:pPr>
      <w:r>
        <w:object w:dxaOrig="7216" w:dyaOrig="5409">
          <v:shape id="_x0000_i1058" type="#_x0000_t75" style="width:270.75pt;height:202.5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058" DrawAspect="Content" ObjectID="_1416054918" r:id="rId73"/>
        </w:object>
      </w:r>
    </w:p>
    <w:p w:rsidR="00BC495C" w:rsidRDefault="00BC495C" w:rsidP="00BC495C">
      <w:pPr>
        <w:spacing w:line="360" w:lineRule="auto"/>
        <w:jc w:val="center"/>
      </w:pPr>
    </w:p>
    <w:p w:rsidR="00BC495C" w:rsidRPr="00524D82" w:rsidRDefault="00BC495C" w:rsidP="00BC495C">
      <w:pPr>
        <w:autoSpaceDE w:val="0"/>
        <w:autoSpaceDN w:val="0"/>
        <w:adjustRightInd w:val="0"/>
        <w:rPr>
          <w:rFonts w:ascii="Arial" w:hAnsi="Arial" w:cs="Arial"/>
          <w:b/>
          <w:bCs/>
          <w:color w:val="000000"/>
          <w:kern w:val="24"/>
          <w:u w:val="single"/>
        </w:rPr>
      </w:pPr>
      <w:r w:rsidRPr="00524D82">
        <w:rPr>
          <w:rFonts w:ascii="Arial" w:hAnsi="Arial" w:cs="Arial"/>
          <w:b/>
          <w:bCs/>
          <w:color w:val="000000"/>
          <w:kern w:val="24"/>
          <w:u w:val="single"/>
        </w:rPr>
        <w:t>Further Information</w:t>
      </w:r>
    </w:p>
    <w:p w:rsidR="00BC495C" w:rsidRPr="00524D82" w:rsidRDefault="00BC495C" w:rsidP="00BC495C">
      <w:pPr>
        <w:autoSpaceDE w:val="0"/>
        <w:autoSpaceDN w:val="0"/>
        <w:adjustRightInd w:val="0"/>
        <w:rPr>
          <w:rFonts w:ascii="Arial" w:hAnsi="Arial" w:cs="Arial"/>
          <w:b/>
          <w:bCs/>
          <w:color w:val="000000"/>
          <w:kern w:val="24"/>
          <w:u w:val="single"/>
        </w:rPr>
      </w:pPr>
    </w:p>
    <w:p w:rsidR="00BC495C" w:rsidRPr="00524D82" w:rsidRDefault="00BC495C" w:rsidP="00BC495C">
      <w:pPr>
        <w:autoSpaceDE w:val="0"/>
        <w:autoSpaceDN w:val="0"/>
        <w:adjustRightInd w:val="0"/>
        <w:rPr>
          <w:rFonts w:ascii="Arial" w:hAnsi="Arial" w:cs="Arial"/>
          <w:color w:val="000000"/>
          <w:kern w:val="24"/>
        </w:rPr>
      </w:pPr>
      <w:r w:rsidRPr="00524D82">
        <w:rPr>
          <w:rFonts w:ascii="Arial" w:hAnsi="Arial" w:cs="Arial"/>
          <w:color w:val="000000"/>
          <w:kern w:val="24"/>
        </w:rPr>
        <w:t>More information on labour market conditions and other research on small areas can be found on these web sites.</w:t>
      </w:r>
    </w:p>
    <w:p w:rsidR="00BC495C" w:rsidRPr="00524D82" w:rsidRDefault="00BC495C" w:rsidP="00BC495C">
      <w:pPr>
        <w:autoSpaceDE w:val="0"/>
        <w:autoSpaceDN w:val="0"/>
        <w:adjustRightInd w:val="0"/>
        <w:rPr>
          <w:rFonts w:ascii="Arial" w:hAnsi="Arial" w:cs="Arial"/>
          <w:color w:val="000000"/>
          <w:kern w:val="24"/>
        </w:rPr>
      </w:pPr>
    </w:p>
    <w:p w:rsidR="00BC495C" w:rsidRPr="00524D82" w:rsidRDefault="00BC495C" w:rsidP="00BC495C">
      <w:pPr>
        <w:autoSpaceDE w:val="0"/>
        <w:autoSpaceDN w:val="0"/>
        <w:adjustRightInd w:val="0"/>
        <w:rPr>
          <w:rFonts w:ascii="Arial" w:hAnsi="Arial" w:cs="Arial"/>
          <w:color w:val="000000"/>
          <w:kern w:val="24"/>
        </w:rPr>
      </w:pPr>
      <w:r w:rsidRPr="00524D82">
        <w:rPr>
          <w:rFonts w:ascii="Arial" w:hAnsi="Arial" w:cs="Arial"/>
          <w:color w:val="000000"/>
          <w:kern w:val="24"/>
        </w:rPr>
        <w:t>A report on the survey findings for the Illawarra Priority Employment Area is available on the regional reports section of the DEEWR web site.</w:t>
      </w:r>
    </w:p>
    <w:p w:rsidR="00BC495C" w:rsidRPr="00524D82" w:rsidRDefault="00BC495C" w:rsidP="00BC495C">
      <w:pPr>
        <w:autoSpaceDE w:val="0"/>
        <w:autoSpaceDN w:val="0"/>
        <w:adjustRightInd w:val="0"/>
        <w:rPr>
          <w:rFonts w:ascii="Arial" w:hAnsi="Arial" w:cs="Arial"/>
          <w:color w:val="000000"/>
          <w:kern w:val="24"/>
        </w:rPr>
      </w:pPr>
    </w:p>
    <w:p w:rsidR="00BC495C" w:rsidRDefault="00BC495C" w:rsidP="00BC495C">
      <w:pPr>
        <w:autoSpaceDE w:val="0"/>
        <w:autoSpaceDN w:val="0"/>
        <w:adjustRightInd w:val="0"/>
        <w:rPr>
          <w:rFonts w:ascii="Arial" w:hAnsi="Arial" w:cs="Arial"/>
        </w:rPr>
      </w:pPr>
      <w:bookmarkStart w:id="0" w:name="_GoBack"/>
      <w:bookmarkEnd w:id="0"/>
    </w:p>
    <w:p w:rsidR="00BC495C" w:rsidRDefault="00BC495C" w:rsidP="00BC495C">
      <w:pPr>
        <w:spacing w:line="360" w:lineRule="auto"/>
      </w:pPr>
    </w:p>
    <w:p w:rsidR="00BC495C" w:rsidRDefault="00BC495C">
      <w:r>
        <w:br w:type="page"/>
      </w:r>
    </w:p>
    <w:p w:rsidR="00BC495C" w:rsidRDefault="00BC495C" w:rsidP="00BC495C">
      <w:pPr>
        <w:spacing w:line="360" w:lineRule="auto"/>
      </w:pPr>
      <w:r>
        <w:lastRenderedPageBreak/>
        <w:t>Slide 35</w:t>
      </w:r>
    </w:p>
    <w:p w:rsidR="00BC495C" w:rsidRDefault="00BC495C" w:rsidP="00BC495C">
      <w:pPr>
        <w:spacing w:line="360" w:lineRule="auto"/>
      </w:pPr>
    </w:p>
    <w:p w:rsidR="00BC495C" w:rsidRDefault="00BC495C" w:rsidP="00BC495C">
      <w:pPr>
        <w:spacing w:line="360" w:lineRule="auto"/>
        <w:jc w:val="center"/>
      </w:pPr>
      <w:r>
        <w:object w:dxaOrig="7216" w:dyaOrig="5409">
          <v:shape id="_x0000_i1059" type="#_x0000_t75" style="width:270.75pt;height:202.5pt" o:ole=""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o:OLEObject Type="Embed" ProgID="PowerPoint.Slide.12" ShapeID="_x0000_i1059" DrawAspect="Content" ObjectID="_1416054919" r:id="rId75"/>
        </w:object>
      </w:r>
    </w:p>
    <w:p w:rsidR="00BC495C" w:rsidRDefault="00BC495C" w:rsidP="00BC495C">
      <w:pPr>
        <w:spacing w:line="360" w:lineRule="auto"/>
        <w:jc w:val="center"/>
      </w:pPr>
    </w:p>
    <w:p w:rsidR="00BC495C" w:rsidRDefault="00BC495C" w:rsidP="00BC495C">
      <w:pPr>
        <w:autoSpaceDE w:val="0"/>
        <w:autoSpaceDN w:val="0"/>
        <w:adjustRightInd w:val="0"/>
        <w:rPr>
          <w:rFonts w:ascii="Arial" w:hAnsi="Arial" w:cs="Arial"/>
          <w:b/>
          <w:bCs/>
          <w:color w:val="000000"/>
          <w:kern w:val="24"/>
        </w:rPr>
      </w:pPr>
      <w:r>
        <w:rPr>
          <w:rFonts w:ascii="Arial" w:hAnsi="Arial" w:cs="Arial"/>
          <w:b/>
          <w:bCs/>
          <w:color w:val="000000"/>
          <w:kern w:val="24"/>
        </w:rPr>
        <w:t>Australian Government</w:t>
      </w:r>
    </w:p>
    <w:p w:rsidR="00BC495C" w:rsidRDefault="00BC495C" w:rsidP="00BC495C">
      <w:pPr>
        <w:autoSpaceDE w:val="0"/>
        <w:autoSpaceDN w:val="0"/>
        <w:adjustRightInd w:val="0"/>
        <w:rPr>
          <w:rFonts w:ascii="Arial" w:hAnsi="Arial" w:cs="Arial"/>
          <w:b/>
          <w:bCs/>
          <w:color w:val="000000"/>
          <w:kern w:val="24"/>
        </w:rPr>
      </w:pPr>
      <w:r>
        <w:rPr>
          <w:rFonts w:ascii="Arial" w:hAnsi="Arial" w:cs="Arial"/>
          <w:b/>
          <w:bCs/>
          <w:color w:val="000000"/>
          <w:kern w:val="24"/>
        </w:rPr>
        <w:t>Department of Education, Employment and Workplace Relations</w:t>
      </w:r>
    </w:p>
    <w:p w:rsidR="00BC495C" w:rsidRDefault="00BC495C" w:rsidP="00BC495C">
      <w:pPr>
        <w:autoSpaceDE w:val="0"/>
        <w:autoSpaceDN w:val="0"/>
        <w:adjustRightInd w:val="0"/>
        <w:rPr>
          <w:rFonts w:ascii="Arial" w:hAnsi="Arial" w:cs="Arial"/>
        </w:rPr>
      </w:pPr>
    </w:p>
    <w:p w:rsidR="00BC495C" w:rsidRDefault="00BC495C" w:rsidP="00BC495C">
      <w:pPr>
        <w:spacing w:line="360" w:lineRule="auto"/>
      </w:pPr>
    </w:p>
    <w:p w:rsidR="00BC495C" w:rsidRDefault="00BC495C" w:rsidP="00BC495C">
      <w:pPr>
        <w:spacing w:line="360" w:lineRule="auto"/>
      </w:pPr>
    </w:p>
    <w:sectPr w:rsidR="00BC495C" w:rsidSect="00116959">
      <w:pgSz w:w="11906" w:h="16838"/>
      <w:pgMar w:top="1440" w:right="1416"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C76CFDE"/>
    <w:lvl w:ilvl="0">
      <w:numFmt w:val="bullet"/>
      <w:lvlText w:val="*"/>
      <w:lvlJc w:val="left"/>
    </w:lvl>
  </w:abstractNum>
  <w:num w:numId="1">
    <w:abstractNumId w:val="0"/>
    <w:lvlOverride w:ilvl="0">
      <w:lvl w:ilvl="0">
        <w:numFmt w:val="bullet"/>
        <w:lvlText w:val="•"/>
        <w:legacy w:legacy="1" w:legacySpace="0" w:legacyIndent="0"/>
        <w:lvlJc w:val="left"/>
        <w:rPr>
          <w:rFonts w:ascii="Arial" w:hAnsi="Arial" w:cs="Arial" w:hint="default"/>
          <w:sz w:val="24"/>
        </w:rPr>
      </w:lvl>
    </w:lvlOverride>
  </w:num>
  <w:num w:numId="2">
    <w:abstractNumId w:val="0"/>
    <w:lvlOverride w:ilvl="0">
      <w:lvl w:ilvl="0">
        <w:numFmt w:val="bullet"/>
        <w:lvlText w:val="•"/>
        <w:legacy w:legacy="1" w:legacySpace="0" w:legacyIndent="0"/>
        <w:lvlJc w:val="left"/>
        <w:rPr>
          <w:rFonts w:ascii="Arial" w:hAnsi="Arial" w:cs="Arial" w:hint="default"/>
          <w:sz w:val="29"/>
        </w:rPr>
      </w:lvl>
    </w:lvlOverride>
  </w:num>
  <w:num w:numId="3">
    <w:abstractNumId w:val="0"/>
    <w:lvlOverride w:ilvl="0">
      <w:lvl w:ilvl="0">
        <w:numFmt w:val="bullet"/>
        <w:lvlText w:val="o"/>
        <w:legacy w:legacy="1" w:legacySpace="0" w:legacyIndent="0"/>
        <w:lvlJc w:val="left"/>
        <w:rPr>
          <w:rFonts w:ascii="Courier New" w:hAnsi="Courier New" w:cs="Courier New" w:hint="default"/>
          <w:sz w:val="32"/>
        </w:rPr>
      </w:lvl>
    </w:lvlOverride>
  </w:num>
  <w:num w:numId="4">
    <w:abstractNumId w:val="0"/>
    <w:lvlOverride w:ilvl="0">
      <w:lvl w:ilvl="0">
        <w:numFmt w:val="bullet"/>
        <w:lvlText w:val="•"/>
        <w:legacy w:legacy="1" w:legacySpace="0" w:legacyIndent="0"/>
        <w:lvlJc w:val="left"/>
        <w:rPr>
          <w:rFonts w:ascii="Arial" w:hAnsi="Arial" w:cs="Arial" w:hint="default"/>
          <w:sz w:val="3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95C"/>
    <w:rsid w:val="00032B31"/>
    <w:rsid w:val="000465C0"/>
    <w:rsid w:val="000550F5"/>
    <w:rsid w:val="000708FA"/>
    <w:rsid w:val="00074A1A"/>
    <w:rsid w:val="000760CF"/>
    <w:rsid w:val="0008243A"/>
    <w:rsid w:val="00084A24"/>
    <w:rsid w:val="000A317D"/>
    <w:rsid w:val="000B3997"/>
    <w:rsid w:val="000B5D75"/>
    <w:rsid w:val="000D6280"/>
    <w:rsid w:val="000F1D39"/>
    <w:rsid w:val="000F297F"/>
    <w:rsid w:val="001008C3"/>
    <w:rsid w:val="001147BE"/>
    <w:rsid w:val="001162B2"/>
    <w:rsid w:val="00116959"/>
    <w:rsid w:val="001245A4"/>
    <w:rsid w:val="0012716A"/>
    <w:rsid w:val="00135A4E"/>
    <w:rsid w:val="001411E7"/>
    <w:rsid w:val="00142687"/>
    <w:rsid w:val="00156CC5"/>
    <w:rsid w:val="00160ACB"/>
    <w:rsid w:val="00165DED"/>
    <w:rsid w:val="00167F49"/>
    <w:rsid w:val="00186236"/>
    <w:rsid w:val="00196F0E"/>
    <w:rsid w:val="001B2640"/>
    <w:rsid w:val="001B58E1"/>
    <w:rsid w:val="001B7F4A"/>
    <w:rsid w:val="001C389E"/>
    <w:rsid w:val="001C4634"/>
    <w:rsid w:val="001C4E83"/>
    <w:rsid w:val="001D4E79"/>
    <w:rsid w:val="001D75B3"/>
    <w:rsid w:val="001E1882"/>
    <w:rsid w:val="001E2AC6"/>
    <w:rsid w:val="001E5663"/>
    <w:rsid w:val="001F5AE9"/>
    <w:rsid w:val="00205EC0"/>
    <w:rsid w:val="00214929"/>
    <w:rsid w:val="00217A2A"/>
    <w:rsid w:val="002326D2"/>
    <w:rsid w:val="00241CFB"/>
    <w:rsid w:val="00244A31"/>
    <w:rsid w:val="00246412"/>
    <w:rsid w:val="00261C7A"/>
    <w:rsid w:val="002624ED"/>
    <w:rsid w:val="00280487"/>
    <w:rsid w:val="002865D8"/>
    <w:rsid w:val="002929CF"/>
    <w:rsid w:val="002A3EA1"/>
    <w:rsid w:val="002B04D9"/>
    <w:rsid w:val="002C1014"/>
    <w:rsid w:val="002C624F"/>
    <w:rsid w:val="002D24EE"/>
    <w:rsid w:val="002D671A"/>
    <w:rsid w:val="002F31F9"/>
    <w:rsid w:val="00302F2E"/>
    <w:rsid w:val="003031C4"/>
    <w:rsid w:val="00306ED2"/>
    <w:rsid w:val="00310AC3"/>
    <w:rsid w:val="0032589A"/>
    <w:rsid w:val="00336F79"/>
    <w:rsid w:val="003421B9"/>
    <w:rsid w:val="00345271"/>
    <w:rsid w:val="00364EA4"/>
    <w:rsid w:val="00373A49"/>
    <w:rsid w:val="00375B3C"/>
    <w:rsid w:val="00391739"/>
    <w:rsid w:val="003A157C"/>
    <w:rsid w:val="003A6D7D"/>
    <w:rsid w:val="003C3162"/>
    <w:rsid w:val="003D4998"/>
    <w:rsid w:val="0042438C"/>
    <w:rsid w:val="00445F3E"/>
    <w:rsid w:val="00460C09"/>
    <w:rsid w:val="00461708"/>
    <w:rsid w:val="004672B3"/>
    <w:rsid w:val="0047519E"/>
    <w:rsid w:val="00491F87"/>
    <w:rsid w:val="004A652F"/>
    <w:rsid w:val="004B129F"/>
    <w:rsid w:val="004B5949"/>
    <w:rsid w:val="004C2F65"/>
    <w:rsid w:val="004C50F0"/>
    <w:rsid w:val="004E1117"/>
    <w:rsid w:val="004E7C28"/>
    <w:rsid w:val="004F64B9"/>
    <w:rsid w:val="005105F2"/>
    <w:rsid w:val="00523B8D"/>
    <w:rsid w:val="00524D82"/>
    <w:rsid w:val="00536933"/>
    <w:rsid w:val="00546EDB"/>
    <w:rsid w:val="00557EAC"/>
    <w:rsid w:val="00574870"/>
    <w:rsid w:val="00577C04"/>
    <w:rsid w:val="00586C21"/>
    <w:rsid w:val="005926AB"/>
    <w:rsid w:val="005978C5"/>
    <w:rsid w:val="005B424C"/>
    <w:rsid w:val="005C6E2A"/>
    <w:rsid w:val="005C769B"/>
    <w:rsid w:val="005D180A"/>
    <w:rsid w:val="005F0376"/>
    <w:rsid w:val="005F5A42"/>
    <w:rsid w:val="005F7A89"/>
    <w:rsid w:val="00622B98"/>
    <w:rsid w:val="00631460"/>
    <w:rsid w:val="00660A6D"/>
    <w:rsid w:val="00666578"/>
    <w:rsid w:val="00667A4B"/>
    <w:rsid w:val="006746FE"/>
    <w:rsid w:val="006777D3"/>
    <w:rsid w:val="0068521A"/>
    <w:rsid w:val="006C0F07"/>
    <w:rsid w:val="006C2829"/>
    <w:rsid w:val="006D4A44"/>
    <w:rsid w:val="006D5D5A"/>
    <w:rsid w:val="006F784D"/>
    <w:rsid w:val="007115F8"/>
    <w:rsid w:val="007130F7"/>
    <w:rsid w:val="00713A83"/>
    <w:rsid w:val="00721069"/>
    <w:rsid w:val="00726D18"/>
    <w:rsid w:val="00727E72"/>
    <w:rsid w:val="007300CD"/>
    <w:rsid w:val="00746D56"/>
    <w:rsid w:val="00751831"/>
    <w:rsid w:val="0076493F"/>
    <w:rsid w:val="00774478"/>
    <w:rsid w:val="00786733"/>
    <w:rsid w:val="00793114"/>
    <w:rsid w:val="00796168"/>
    <w:rsid w:val="007A0A88"/>
    <w:rsid w:val="007A3A96"/>
    <w:rsid w:val="007C1909"/>
    <w:rsid w:val="007C3D56"/>
    <w:rsid w:val="007D50B2"/>
    <w:rsid w:val="007D7540"/>
    <w:rsid w:val="007F000B"/>
    <w:rsid w:val="007F57D5"/>
    <w:rsid w:val="007F5C95"/>
    <w:rsid w:val="008150D9"/>
    <w:rsid w:val="008472AE"/>
    <w:rsid w:val="00856AA0"/>
    <w:rsid w:val="0086232E"/>
    <w:rsid w:val="008808AD"/>
    <w:rsid w:val="00885926"/>
    <w:rsid w:val="00896337"/>
    <w:rsid w:val="008A2880"/>
    <w:rsid w:val="008A45E6"/>
    <w:rsid w:val="008B049A"/>
    <w:rsid w:val="008B1217"/>
    <w:rsid w:val="008C46C6"/>
    <w:rsid w:val="008D01CB"/>
    <w:rsid w:val="008D26A6"/>
    <w:rsid w:val="008E39A5"/>
    <w:rsid w:val="008E43E4"/>
    <w:rsid w:val="008E4C22"/>
    <w:rsid w:val="00905771"/>
    <w:rsid w:val="0091089E"/>
    <w:rsid w:val="00912871"/>
    <w:rsid w:val="00932192"/>
    <w:rsid w:val="00940C88"/>
    <w:rsid w:val="00945599"/>
    <w:rsid w:val="00946069"/>
    <w:rsid w:val="0095261C"/>
    <w:rsid w:val="009564AC"/>
    <w:rsid w:val="00963479"/>
    <w:rsid w:val="00964401"/>
    <w:rsid w:val="00976D6D"/>
    <w:rsid w:val="00977737"/>
    <w:rsid w:val="009815B9"/>
    <w:rsid w:val="00981F02"/>
    <w:rsid w:val="009826E8"/>
    <w:rsid w:val="009A73AC"/>
    <w:rsid w:val="009B6860"/>
    <w:rsid w:val="009B7752"/>
    <w:rsid w:val="009C1305"/>
    <w:rsid w:val="009D1B07"/>
    <w:rsid w:val="009D7D1C"/>
    <w:rsid w:val="009E3906"/>
    <w:rsid w:val="009E46AC"/>
    <w:rsid w:val="009E6BA0"/>
    <w:rsid w:val="00A02D97"/>
    <w:rsid w:val="00A044C1"/>
    <w:rsid w:val="00A04A04"/>
    <w:rsid w:val="00A1371B"/>
    <w:rsid w:val="00A17E70"/>
    <w:rsid w:val="00A31E70"/>
    <w:rsid w:val="00A47E8D"/>
    <w:rsid w:val="00A745F7"/>
    <w:rsid w:val="00A8570D"/>
    <w:rsid w:val="00AA3958"/>
    <w:rsid w:val="00AB0647"/>
    <w:rsid w:val="00AC64D7"/>
    <w:rsid w:val="00AE0894"/>
    <w:rsid w:val="00AE3481"/>
    <w:rsid w:val="00AE5BE0"/>
    <w:rsid w:val="00B17F12"/>
    <w:rsid w:val="00B25714"/>
    <w:rsid w:val="00B31EA6"/>
    <w:rsid w:val="00B36466"/>
    <w:rsid w:val="00B450DA"/>
    <w:rsid w:val="00B514D3"/>
    <w:rsid w:val="00B5197F"/>
    <w:rsid w:val="00B55FBB"/>
    <w:rsid w:val="00B562CE"/>
    <w:rsid w:val="00B5708F"/>
    <w:rsid w:val="00B64196"/>
    <w:rsid w:val="00B6482E"/>
    <w:rsid w:val="00B65A31"/>
    <w:rsid w:val="00B72049"/>
    <w:rsid w:val="00B859E5"/>
    <w:rsid w:val="00B85C0A"/>
    <w:rsid w:val="00B94762"/>
    <w:rsid w:val="00B95353"/>
    <w:rsid w:val="00B97123"/>
    <w:rsid w:val="00BB2804"/>
    <w:rsid w:val="00BC3001"/>
    <w:rsid w:val="00BC3981"/>
    <w:rsid w:val="00BC495C"/>
    <w:rsid w:val="00BC5BF0"/>
    <w:rsid w:val="00BD2CF4"/>
    <w:rsid w:val="00BF0B6F"/>
    <w:rsid w:val="00BF6B1C"/>
    <w:rsid w:val="00C04428"/>
    <w:rsid w:val="00C27D8A"/>
    <w:rsid w:val="00C36C7B"/>
    <w:rsid w:val="00C53A85"/>
    <w:rsid w:val="00C619D1"/>
    <w:rsid w:val="00C634C2"/>
    <w:rsid w:val="00C76E02"/>
    <w:rsid w:val="00C87A48"/>
    <w:rsid w:val="00C9099E"/>
    <w:rsid w:val="00CB2508"/>
    <w:rsid w:val="00CB6961"/>
    <w:rsid w:val="00CD6ABE"/>
    <w:rsid w:val="00CF56AF"/>
    <w:rsid w:val="00CF630F"/>
    <w:rsid w:val="00CF71BE"/>
    <w:rsid w:val="00D00BFB"/>
    <w:rsid w:val="00D0411E"/>
    <w:rsid w:val="00D204FD"/>
    <w:rsid w:val="00D403CA"/>
    <w:rsid w:val="00D50435"/>
    <w:rsid w:val="00D50A6C"/>
    <w:rsid w:val="00D5384E"/>
    <w:rsid w:val="00D90DE8"/>
    <w:rsid w:val="00D92FC3"/>
    <w:rsid w:val="00DA4C23"/>
    <w:rsid w:val="00DB5943"/>
    <w:rsid w:val="00DC1F9C"/>
    <w:rsid w:val="00DD420C"/>
    <w:rsid w:val="00DE0440"/>
    <w:rsid w:val="00E03B7D"/>
    <w:rsid w:val="00E06C58"/>
    <w:rsid w:val="00E40912"/>
    <w:rsid w:val="00E41747"/>
    <w:rsid w:val="00E42F2B"/>
    <w:rsid w:val="00E550B7"/>
    <w:rsid w:val="00E5677B"/>
    <w:rsid w:val="00E62235"/>
    <w:rsid w:val="00E62AAA"/>
    <w:rsid w:val="00E65340"/>
    <w:rsid w:val="00E72B39"/>
    <w:rsid w:val="00E831A2"/>
    <w:rsid w:val="00E90E5C"/>
    <w:rsid w:val="00EA6EBF"/>
    <w:rsid w:val="00EB25D8"/>
    <w:rsid w:val="00EB277E"/>
    <w:rsid w:val="00EB46D1"/>
    <w:rsid w:val="00EC3DDB"/>
    <w:rsid w:val="00EC6AB1"/>
    <w:rsid w:val="00ED58EB"/>
    <w:rsid w:val="00ED6013"/>
    <w:rsid w:val="00EF6231"/>
    <w:rsid w:val="00F00C54"/>
    <w:rsid w:val="00F15987"/>
    <w:rsid w:val="00F2676B"/>
    <w:rsid w:val="00F3041B"/>
    <w:rsid w:val="00F31CB2"/>
    <w:rsid w:val="00F4601E"/>
    <w:rsid w:val="00F50445"/>
    <w:rsid w:val="00F82B55"/>
    <w:rsid w:val="00F8395A"/>
    <w:rsid w:val="00F83A85"/>
    <w:rsid w:val="00FC3DC6"/>
    <w:rsid w:val="00FD00E2"/>
    <w:rsid w:val="00FD17DE"/>
    <w:rsid w:val="00FD1B8A"/>
    <w:rsid w:val="00FD55AF"/>
    <w:rsid w:val="00FF615C"/>
    <w:rsid w:val="00FF662B"/>
    <w:rsid w:val="00FF6D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90DE8"/>
    <w:rPr>
      <w:rFonts w:ascii="Tahoma" w:hAnsi="Tahoma" w:cs="Tahoma"/>
      <w:sz w:val="16"/>
      <w:szCs w:val="16"/>
    </w:rPr>
  </w:style>
  <w:style w:type="character" w:customStyle="1" w:styleId="BalloonTextChar">
    <w:name w:val="Balloon Text Char"/>
    <w:basedOn w:val="DefaultParagraphFont"/>
    <w:link w:val="BalloonText"/>
    <w:rsid w:val="00D90D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90DE8"/>
    <w:rPr>
      <w:rFonts w:ascii="Tahoma" w:hAnsi="Tahoma" w:cs="Tahoma"/>
      <w:sz w:val="16"/>
      <w:szCs w:val="16"/>
    </w:rPr>
  </w:style>
  <w:style w:type="character" w:customStyle="1" w:styleId="BalloonTextChar">
    <w:name w:val="Balloon Text Char"/>
    <w:basedOn w:val="DefaultParagraphFont"/>
    <w:link w:val="BalloonText"/>
    <w:rsid w:val="00D90D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PowerPoint_Slide8.sldx"/><Relationship Id="rId42" Type="http://schemas.openxmlformats.org/officeDocument/2006/relationships/image" Target="media/image19.emf"/><Relationship Id="rId47" Type="http://schemas.openxmlformats.org/officeDocument/2006/relationships/package" Target="embeddings/Microsoft_PowerPoint_Slide21.sldx"/><Relationship Id="rId63" Type="http://schemas.openxmlformats.org/officeDocument/2006/relationships/package" Target="embeddings/Microsoft_PowerPoint_Slide29.sldx"/><Relationship Id="rId68" Type="http://schemas.openxmlformats.org/officeDocument/2006/relationships/image" Target="media/image32.emf"/><Relationship Id="rId16" Type="http://schemas.openxmlformats.org/officeDocument/2006/relationships/image" Target="media/image6.emf"/><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6.sldx"/><Relationship Id="rId40" Type="http://schemas.openxmlformats.org/officeDocument/2006/relationships/image" Target="media/image18.emf"/><Relationship Id="rId45" Type="http://schemas.openxmlformats.org/officeDocument/2006/relationships/package" Target="embeddings/Microsoft_PowerPoint_Slide20.sldx"/><Relationship Id="rId53" Type="http://schemas.openxmlformats.org/officeDocument/2006/relationships/package" Target="embeddings/Microsoft_PowerPoint_Slide24.sldx"/><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package" Target="embeddings/Microsoft_PowerPoint_Slide28.sldx"/><Relationship Id="rId19" Type="http://schemas.openxmlformats.org/officeDocument/2006/relationships/package" Target="embeddings/Microsoft_PowerPoint_Slide7.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 Id="rId43" Type="http://schemas.openxmlformats.org/officeDocument/2006/relationships/package" Target="embeddings/Microsoft_PowerPoint_Slide19.sld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PowerPoint_Slide32.sldx"/><Relationship Id="rId77"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package" Target="embeddings/Microsoft_PowerPoint_Slide23.sldx"/><Relationship Id="rId72" Type="http://schemas.openxmlformats.org/officeDocument/2006/relationships/image" Target="media/image34.emf"/><Relationship Id="rId80" Type="http://schemas.openxmlformats.org/officeDocument/2006/relationships/customXml" Target="../customXml/item3.xm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PowerPoint_Slide27.sldx"/><Relationship Id="rId67" Type="http://schemas.openxmlformats.org/officeDocument/2006/relationships/package" Target="embeddings/Microsoft_PowerPoint_Slide31.sldx"/><Relationship Id="rId20" Type="http://schemas.openxmlformats.org/officeDocument/2006/relationships/image" Target="media/image8.emf"/><Relationship Id="rId41" Type="http://schemas.openxmlformats.org/officeDocument/2006/relationships/package" Target="embeddings/Microsoft_PowerPoint_Slide18.sl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package" Target="embeddings/Microsoft_PowerPoint_Slide35.sldx"/><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PowerPoint_Slide22.sldx"/><Relationship Id="rId57" Type="http://schemas.openxmlformats.org/officeDocument/2006/relationships/package" Target="embeddings/Microsoft_PowerPoint_Slide26.sldx"/><Relationship Id="rId10" Type="http://schemas.openxmlformats.org/officeDocument/2006/relationships/image" Target="media/image3.emf"/><Relationship Id="rId31" Type="http://schemas.openxmlformats.org/officeDocument/2006/relationships/package" Target="embeddings/Microsoft_PowerPoint_Slide13.sl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PowerPoint_Slide30.sldx"/><Relationship Id="rId73" Type="http://schemas.openxmlformats.org/officeDocument/2006/relationships/package" Target="embeddings/Microsoft_PowerPoint_Slide34.sldx"/><Relationship Id="rId78"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package" Target="embeddings/Microsoft_PowerPoint_Slide2.sldx"/><Relationship Id="rId13" Type="http://schemas.openxmlformats.org/officeDocument/2006/relationships/package" Target="embeddings/Microsoft_PowerPoint_Slide4.sldx"/><Relationship Id="rId18" Type="http://schemas.openxmlformats.org/officeDocument/2006/relationships/image" Target="media/image7.emf"/><Relationship Id="rId39" Type="http://schemas.openxmlformats.org/officeDocument/2006/relationships/package" Target="embeddings/Microsoft_PowerPoint_Slide17.sld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Microsoft_PowerPoint_Slide25.sldx"/><Relationship Id="rId76" Type="http://schemas.openxmlformats.org/officeDocument/2006/relationships/fontTable" Target="fontTable.xml"/><Relationship Id="rId7" Type="http://schemas.openxmlformats.org/officeDocument/2006/relationships/package" Target="embeddings/Microsoft_PowerPoint_Slide1.sldx"/><Relationship Id="rId71" Type="http://schemas.openxmlformats.org/officeDocument/2006/relationships/package" Target="embeddings/Microsoft_PowerPoint_Slide33.sldx"/><Relationship Id="rId2" Type="http://schemas.openxmlformats.org/officeDocument/2006/relationships/styles" Target="styles.xml"/><Relationship Id="rId29" Type="http://schemas.openxmlformats.org/officeDocument/2006/relationships/package" Target="embeddings/Microsoft_PowerPoint_Slide1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1805D0-F547-46B2-BAE0-B70A081259AB}"/>
</file>

<file path=customXml/itemProps2.xml><?xml version="1.0" encoding="utf-8"?>
<ds:datastoreItem xmlns:ds="http://schemas.openxmlformats.org/officeDocument/2006/customXml" ds:itemID="{F68A3220-85EC-4131-88E3-35FF920508E0}"/>
</file>

<file path=customXml/itemProps3.xml><?xml version="1.0" encoding="utf-8"?>
<ds:datastoreItem xmlns:ds="http://schemas.openxmlformats.org/officeDocument/2006/customXml" ds:itemID="{3D5580C7-0AF4-426F-B405-16810667C344}"/>
</file>

<file path=docProps/app.xml><?xml version="1.0" encoding="utf-8"?>
<Properties xmlns="http://schemas.openxmlformats.org/officeDocument/2006/extended-properties" xmlns:vt="http://schemas.openxmlformats.org/officeDocument/2006/docPropsVTypes">
  <Template>7BDC3341.dotm</Template>
  <TotalTime>4</TotalTime>
  <Pages>35</Pages>
  <Words>3733</Words>
  <Characters>20917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24601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 Suridge</dc:creator>
  <cp:lastModifiedBy>Travis Suridge</cp:lastModifiedBy>
  <cp:revision>3</cp:revision>
  <cp:lastPrinted>2012-11-29T03:17:00Z</cp:lastPrinted>
  <dcterms:created xsi:type="dcterms:W3CDTF">2012-12-03T04:43:00Z</dcterms:created>
  <dcterms:modified xsi:type="dcterms:W3CDTF">2012-12-03T04:47:00Z</dcterms:modified>
</cp:coreProperties>
</file>