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C28" w:rsidRDefault="00D8413A" w:rsidP="00D8413A">
      <w:pPr>
        <w:spacing w:line="360" w:lineRule="auto"/>
      </w:pPr>
      <w:r>
        <w:t>Slide 1</w:t>
      </w:r>
    </w:p>
    <w:p w:rsidR="00D8413A" w:rsidRDefault="00D8413A" w:rsidP="00D8413A">
      <w:pPr>
        <w:spacing w:line="360" w:lineRule="auto"/>
      </w:pPr>
    </w:p>
    <w:p w:rsidR="00D8413A" w:rsidRDefault="00D8413A" w:rsidP="00D8413A">
      <w:pPr>
        <w:spacing w:line="360" w:lineRule="auto"/>
        <w:jc w:val="center"/>
      </w:pPr>
      <w:r>
        <w:object w:dxaOrig="7216" w:dyaOrig="5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75pt;height:202.5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1025" DrawAspect="Content" ObjectID="_1424612426" r:id="rId7"/>
        </w:object>
      </w:r>
    </w:p>
    <w:p w:rsidR="00D8413A" w:rsidRDefault="00D8413A" w:rsidP="00D8413A">
      <w:pPr>
        <w:spacing w:line="360" w:lineRule="auto"/>
        <w:jc w:val="center"/>
      </w:pPr>
    </w:p>
    <w:p w:rsidR="00D8413A" w:rsidRDefault="00D8413A" w:rsidP="00D8413A">
      <w:pPr>
        <w:autoSpaceDE w:val="0"/>
        <w:autoSpaceDN w:val="0"/>
        <w:adjustRightInd w:val="0"/>
        <w:rPr>
          <w:rFonts w:ascii="Arial" w:hAnsi="Arial" w:cs="Arial"/>
          <w:color w:val="000000"/>
          <w:kern w:val="24"/>
          <w:lang w:val="en-US"/>
        </w:rPr>
      </w:pPr>
    </w:p>
    <w:p w:rsidR="00D8413A" w:rsidRDefault="00D8413A" w:rsidP="00D8413A">
      <w:pPr>
        <w:autoSpaceDE w:val="0"/>
        <w:autoSpaceDN w:val="0"/>
        <w:adjustRightInd w:val="0"/>
        <w:rPr>
          <w:rFonts w:ascii="Arial" w:hAnsi="Arial" w:cs="Arial"/>
          <w:color w:val="000000"/>
          <w:kern w:val="24"/>
          <w:lang w:val="en-US"/>
        </w:rPr>
      </w:pPr>
    </w:p>
    <w:p w:rsidR="00D8413A" w:rsidRDefault="00D8413A" w:rsidP="00D8413A">
      <w:pPr>
        <w:autoSpaceDE w:val="0"/>
        <w:autoSpaceDN w:val="0"/>
        <w:adjustRightInd w:val="0"/>
        <w:rPr>
          <w:rFonts w:ascii="Arial" w:hAnsi="Arial" w:cs="Arial"/>
          <w:color w:val="000000"/>
          <w:kern w:val="24"/>
          <w:lang w:val="en-US"/>
        </w:rPr>
      </w:pPr>
    </w:p>
    <w:p w:rsidR="00D8413A" w:rsidRDefault="00D8413A" w:rsidP="00D8413A">
      <w:pPr>
        <w:autoSpaceDE w:val="0"/>
        <w:autoSpaceDN w:val="0"/>
        <w:adjustRightInd w:val="0"/>
        <w:rPr>
          <w:rFonts w:ascii="Arial" w:hAnsi="Arial" w:cs="Arial"/>
          <w:color w:val="000000"/>
          <w:kern w:val="24"/>
          <w:lang w:val="en-US"/>
        </w:rPr>
      </w:pPr>
    </w:p>
    <w:p w:rsidR="00D8413A" w:rsidRDefault="00D8413A" w:rsidP="00D8413A">
      <w:pPr>
        <w:autoSpaceDE w:val="0"/>
        <w:autoSpaceDN w:val="0"/>
        <w:adjustRightInd w:val="0"/>
        <w:rPr>
          <w:rFonts w:ascii="Arial" w:hAnsi="Arial" w:cs="Arial"/>
        </w:rPr>
      </w:pPr>
    </w:p>
    <w:p w:rsidR="00D8413A" w:rsidRDefault="00D8413A" w:rsidP="00D8413A">
      <w:pPr>
        <w:spacing w:line="360" w:lineRule="auto"/>
      </w:pPr>
    </w:p>
    <w:p w:rsidR="00D8413A" w:rsidRDefault="00D8413A">
      <w:r>
        <w:br w:type="page"/>
      </w:r>
    </w:p>
    <w:p w:rsidR="00D8413A" w:rsidRDefault="00D8413A" w:rsidP="00D8413A">
      <w:pPr>
        <w:spacing w:line="360" w:lineRule="auto"/>
      </w:pPr>
      <w:r>
        <w:lastRenderedPageBreak/>
        <w:t>Slide 2</w:t>
      </w:r>
    </w:p>
    <w:p w:rsidR="00D8413A" w:rsidRDefault="00D8413A" w:rsidP="00D8413A">
      <w:pPr>
        <w:spacing w:line="360" w:lineRule="auto"/>
      </w:pPr>
    </w:p>
    <w:p w:rsidR="00D8413A" w:rsidRDefault="00D8413A" w:rsidP="00D8413A">
      <w:pPr>
        <w:spacing w:line="360" w:lineRule="auto"/>
        <w:jc w:val="center"/>
      </w:pPr>
      <w:r>
        <w:object w:dxaOrig="7216" w:dyaOrig="5409">
          <v:shape id="_x0000_i1026" type="#_x0000_t75" style="width:270.75pt;height:202.5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26" DrawAspect="Content" ObjectID="_1424612427" r:id="rId9"/>
        </w:object>
      </w:r>
    </w:p>
    <w:p w:rsidR="00D8413A" w:rsidRDefault="00D8413A" w:rsidP="00D8413A">
      <w:pPr>
        <w:spacing w:line="360" w:lineRule="auto"/>
        <w:jc w:val="center"/>
      </w:pPr>
    </w:p>
    <w:p w:rsidR="00D8413A" w:rsidRDefault="00D8413A" w:rsidP="00D8413A">
      <w:pPr>
        <w:autoSpaceDE w:val="0"/>
        <w:autoSpaceDN w:val="0"/>
        <w:adjustRightInd w:val="0"/>
        <w:rPr>
          <w:rFonts w:ascii="Calibri" w:hAnsi="Calibri" w:cs="Calibri"/>
          <w:i/>
          <w:iCs/>
          <w:color w:val="000000"/>
          <w:sz w:val="22"/>
          <w:szCs w:val="22"/>
        </w:rPr>
      </w:pPr>
      <w:r>
        <w:rPr>
          <w:rFonts w:ascii="Calibri" w:hAnsi="Calibri" w:cs="Calibri"/>
          <w:b/>
          <w:bCs/>
          <w:color w:val="000000"/>
          <w:sz w:val="22"/>
          <w:szCs w:val="22"/>
          <w:u w:val="single"/>
        </w:rPr>
        <w:t>Central Victoria:</w:t>
      </w:r>
    </w:p>
    <w:p w:rsidR="00D8413A" w:rsidRDefault="00D8413A" w:rsidP="00D8413A">
      <w:pPr>
        <w:autoSpaceDE w:val="0"/>
        <w:autoSpaceDN w:val="0"/>
        <w:adjustRightInd w:val="0"/>
        <w:rPr>
          <w:rFonts w:ascii="Calibri" w:hAnsi="Calibri" w:cs="Calibri"/>
          <w:i/>
          <w:iCs/>
          <w:color w:val="000000"/>
          <w:sz w:val="22"/>
          <w:szCs w:val="22"/>
        </w:rPr>
      </w:pPr>
      <w:r>
        <w:rPr>
          <w:rFonts w:ascii="Calibri" w:hAnsi="Calibri" w:cs="Calibri"/>
          <w:i/>
          <w:iCs/>
          <w:color w:val="000000"/>
          <w:sz w:val="22"/>
          <w:szCs w:val="22"/>
        </w:rPr>
        <w:t>Source: ABS (</w:t>
      </w:r>
      <w:proofErr w:type="spellStart"/>
      <w:r>
        <w:rPr>
          <w:rFonts w:ascii="Calibri" w:hAnsi="Calibri" w:cs="Calibri"/>
          <w:i/>
          <w:iCs/>
          <w:color w:val="000000"/>
          <w:sz w:val="22"/>
          <w:szCs w:val="22"/>
        </w:rPr>
        <w:t>ASGC</w:t>
      </w:r>
      <w:proofErr w:type="spellEnd"/>
      <w:r>
        <w:rPr>
          <w:rFonts w:ascii="Calibri" w:hAnsi="Calibri" w:cs="Calibri"/>
          <w:i/>
          <w:iCs/>
          <w:color w:val="000000"/>
          <w:sz w:val="22"/>
          <w:szCs w:val="22"/>
        </w:rPr>
        <w:t xml:space="preserve">), 2006 </w:t>
      </w:r>
      <w:proofErr w:type="spellStart"/>
      <w:r>
        <w:rPr>
          <w:rFonts w:ascii="Calibri" w:hAnsi="Calibri" w:cs="Calibri"/>
          <w:i/>
          <w:iCs/>
          <w:color w:val="000000"/>
          <w:sz w:val="22"/>
          <w:szCs w:val="22"/>
        </w:rPr>
        <w:t>LGA</w:t>
      </w:r>
      <w:proofErr w:type="spellEnd"/>
      <w:r>
        <w:rPr>
          <w:rFonts w:ascii="Calibri" w:hAnsi="Calibri" w:cs="Calibri"/>
          <w:i/>
          <w:iCs/>
          <w:color w:val="000000"/>
          <w:sz w:val="22"/>
          <w:szCs w:val="22"/>
        </w:rPr>
        <w:t xml:space="preserve"> boundaries</w:t>
      </w:r>
    </w:p>
    <w:p w:rsidR="00D8413A" w:rsidRDefault="00D8413A" w:rsidP="00D8413A">
      <w:pPr>
        <w:autoSpaceDE w:val="0"/>
        <w:autoSpaceDN w:val="0"/>
        <w:adjustRightInd w:val="0"/>
        <w:rPr>
          <w:rFonts w:ascii="Calibri" w:hAnsi="Calibri" w:cs="Calibri"/>
          <w:i/>
          <w:iCs/>
          <w:color w:val="000000"/>
          <w:sz w:val="22"/>
          <w:szCs w:val="22"/>
        </w:rPr>
      </w:pPr>
    </w:p>
    <w:p w:rsidR="00D8413A" w:rsidRDefault="00D8413A" w:rsidP="00D8413A">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The Central Victoria PEA region includes the Local Government Areas (</w:t>
      </w:r>
      <w:proofErr w:type="spellStart"/>
      <w:r>
        <w:rPr>
          <w:rFonts w:ascii="Calibri" w:hAnsi="Calibri" w:cs="Calibri"/>
          <w:b/>
          <w:bCs/>
          <w:color w:val="000000"/>
          <w:sz w:val="22"/>
          <w:szCs w:val="22"/>
        </w:rPr>
        <w:t>LGAs</w:t>
      </w:r>
      <w:proofErr w:type="spellEnd"/>
      <w:r>
        <w:rPr>
          <w:rFonts w:ascii="Calibri" w:hAnsi="Calibri" w:cs="Calibri"/>
          <w:b/>
          <w:bCs/>
          <w:color w:val="000000"/>
          <w:sz w:val="22"/>
          <w:szCs w:val="22"/>
        </w:rPr>
        <w:t>) of:</w:t>
      </w:r>
    </w:p>
    <w:p w:rsidR="00D8413A" w:rsidRDefault="00D8413A" w:rsidP="00D8413A">
      <w:pPr>
        <w:numPr>
          <w:ilvl w:val="0"/>
          <w:numId w:val="1"/>
        </w:numPr>
        <w:autoSpaceDE w:val="0"/>
        <w:autoSpaceDN w:val="0"/>
        <w:adjustRightInd w:val="0"/>
        <w:rPr>
          <w:rFonts w:ascii="Calibri" w:hAnsi="Calibri" w:cs="Calibri"/>
          <w:color w:val="000000"/>
          <w:sz w:val="22"/>
          <w:szCs w:val="22"/>
        </w:rPr>
      </w:pPr>
      <w:r>
        <w:rPr>
          <w:rFonts w:ascii="Calibri" w:hAnsi="Calibri" w:cs="Calibri"/>
          <w:color w:val="000000"/>
          <w:sz w:val="22"/>
          <w:szCs w:val="22"/>
        </w:rPr>
        <w:t>Ararat (RC)</w:t>
      </w:r>
    </w:p>
    <w:p w:rsidR="00D8413A" w:rsidRDefault="00D8413A" w:rsidP="00D8413A">
      <w:pPr>
        <w:numPr>
          <w:ilvl w:val="0"/>
          <w:numId w:val="1"/>
        </w:numPr>
        <w:autoSpaceDE w:val="0"/>
        <w:autoSpaceDN w:val="0"/>
        <w:adjustRightInd w:val="0"/>
        <w:rPr>
          <w:rFonts w:ascii="Calibri" w:hAnsi="Calibri" w:cs="Calibri"/>
          <w:color w:val="000000"/>
          <w:sz w:val="22"/>
          <w:szCs w:val="22"/>
        </w:rPr>
      </w:pPr>
      <w:r>
        <w:rPr>
          <w:rFonts w:ascii="Calibri" w:hAnsi="Calibri" w:cs="Calibri"/>
          <w:color w:val="000000"/>
          <w:sz w:val="22"/>
          <w:szCs w:val="22"/>
        </w:rPr>
        <w:t>Ballarat (C)</w:t>
      </w:r>
    </w:p>
    <w:p w:rsidR="00D8413A" w:rsidRDefault="00D8413A" w:rsidP="00D8413A">
      <w:pPr>
        <w:numPr>
          <w:ilvl w:val="0"/>
          <w:numId w:val="1"/>
        </w:numPr>
        <w:autoSpaceDE w:val="0"/>
        <w:autoSpaceDN w:val="0"/>
        <w:adjustRightInd w:val="0"/>
        <w:rPr>
          <w:rFonts w:ascii="Calibri" w:hAnsi="Calibri" w:cs="Calibri"/>
          <w:color w:val="000000"/>
          <w:sz w:val="22"/>
          <w:szCs w:val="22"/>
        </w:rPr>
      </w:pPr>
      <w:r>
        <w:rPr>
          <w:rFonts w:ascii="Calibri" w:hAnsi="Calibri" w:cs="Calibri"/>
          <w:color w:val="000000"/>
          <w:sz w:val="22"/>
          <w:szCs w:val="22"/>
        </w:rPr>
        <w:t>Central Goldfields (S)</w:t>
      </w:r>
    </w:p>
    <w:p w:rsidR="00D8413A" w:rsidRDefault="00D8413A" w:rsidP="00D8413A">
      <w:pPr>
        <w:numPr>
          <w:ilvl w:val="0"/>
          <w:numId w:val="1"/>
        </w:numPr>
        <w:autoSpaceDE w:val="0"/>
        <w:autoSpaceDN w:val="0"/>
        <w:adjustRightInd w:val="0"/>
        <w:rPr>
          <w:rFonts w:ascii="Calibri" w:hAnsi="Calibri" w:cs="Calibri"/>
          <w:color w:val="000000"/>
          <w:sz w:val="22"/>
          <w:szCs w:val="22"/>
        </w:rPr>
      </w:pPr>
      <w:r>
        <w:rPr>
          <w:rFonts w:ascii="Calibri" w:hAnsi="Calibri" w:cs="Calibri"/>
          <w:color w:val="000000"/>
          <w:sz w:val="22"/>
          <w:szCs w:val="22"/>
        </w:rPr>
        <w:t>Greater Bendigo (C)</w:t>
      </w:r>
    </w:p>
    <w:p w:rsidR="00D8413A" w:rsidRDefault="00D8413A" w:rsidP="00D8413A">
      <w:pPr>
        <w:numPr>
          <w:ilvl w:val="0"/>
          <w:numId w:val="1"/>
        </w:numPr>
        <w:autoSpaceDE w:val="0"/>
        <w:autoSpaceDN w:val="0"/>
        <w:adjustRightInd w:val="0"/>
        <w:rPr>
          <w:rFonts w:ascii="Calibri" w:hAnsi="Calibri" w:cs="Calibri"/>
          <w:color w:val="000000"/>
          <w:sz w:val="22"/>
          <w:szCs w:val="22"/>
        </w:rPr>
      </w:pPr>
      <w:r>
        <w:rPr>
          <w:rFonts w:ascii="Calibri" w:hAnsi="Calibri" w:cs="Calibri"/>
          <w:color w:val="000000"/>
          <w:sz w:val="22"/>
          <w:szCs w:val="22"/>
        </w:rPr>
        <w:t>Hepburn (S)</w:t>
      </w:r>
    </w:p>
    <w:p w:rsidR="00D8413A" w:rsidRDefault="00D8413A" w:rsidP="00D8413A">
      <w:pPr>
        <w:numPr>
          <w:ilvl w:val="0"/>
          <w:numId w:val="1"/>
        </w:numPr>
        <w:autoSpaceDE w:val="0"/>
        <w:autoSpaceDN w:val="0"/>
        <w:adjustRightInd w:val="0"/>
        <w:rPr>
          <w:rFonts w:ascii="Calibri" w:hAnsi="Calibri" w:cs="Calibri"/>
          <w:color w:val="000000"/>
          <w:sz w:val="22"/>
          <w:szCs w:val="22"/>
        </w:rPr>
      </w:pPr>
      <w:proofErr w:type="spellStart"/>
      <w:r>
        <w:rPr>
          <w:rFonts w:ascii="Calibri" w:hAnsi="Calibri" w:cs="Calibri"/>
          <w:color w:val="000000"/>
          <w:sz w:val="22"/>
          <w:szCs w:val="22"/>
        </w:rPr>
        <w:t>Moorabool</w:t>
      </w:r>
      <w:proofErr w:type="spellEnd"/>
      <w:r>
        <w:rPr>
          <w:rFonts w:ascii="Calibri" w:hAnsi="Calibri" w:cs="Calibri"/>
          <w:color w:val="000000"/>
          <w:sz w:val="22"/>
          <w:szCs w:val="22"/>
        </w:rPr>
        <w:t xml:space="preserve"> (S)</w:t>
      </w:r>
    </w:p>
    <w:p w:rsidR="00D8413A" w:rsidRDefault="00D8413A" w:rsidP="00D8413A">
      <w:pPr>
        <w:numPr>
          <w:ilvl w:val="0"/>
          <w:numId w:val="1"/>
        </w:numPr>
        <w:autoSpaceDE w:val="0"/>
        <w:autoSpaceDN w:val="0"/>
        <w:adjustRightInd w:val="0"/>
        <w:rPr>
          <w:rFonts w:ascii="Calibri" w:hAnsi="Calibri" w:cs="Calibri"/>
          <w:color w:val="000000"/>
          <w:sz w:val="22"/>
          <w:szCs w:val="22"/>
        </w:rPr>
      </w:pPr>
      <w:r>
        <w:rPr>
          <w:rFonts w:ascii="Calibri" w:hAnsi="Calibri" w:cs="Calibri"/>
          <w:color w:val="000000"/>
          <w:sz w:val="22"/>
          <w:szCs w:val="22"/>
        </w:rPr>
        <w:t>Mount Alexander (S)</w:t>
      </w:r>
    </w:p>
    <w:p w:rsidR="00D8413A" w:rsidRDefault="00D8413A" w:rsidP="00D8413A">
      <w:pPr>
        <w:numPr>
          <w:ilvl w:val="0"/>
          <w:numId w:val="1"/>
        </w:numPr>
        <w:autoSpaceDE w:val="0"/>
        <w:autoSpaceDN w:val="0"/>
        <w:adjustRightInd w:val="0"/>
        <w:rPr>
          <w:rFonts w:ascii="Calibri" w:hAnsi="Calibri" w:cs="Calibri"/>
          <w:color w:val="000000"/>
          <w:sz w:val="22"/>
          <w:szCs w:val="22"/>
        </w:rPr>
      </w:pPr>
      <w:r>
        <w:rPr>
          <w:rFonts w:ascii="Calibri" w:hAnsi="Calibri" w:cs="Calibri"/>
          <w:color w:val="000000"/>
          <w:sz w:val="22"/>
          <w:szCs w:val="22"/>
        </w:rPr>
        <w:t>Northern Grampians (S)</w:t>
      </w:r>
    </w:p>
    <w:p w:rsidR="00D8413A" w:rsidRDefault="00D8413A" w:rsidP="00D8413A">
      <w:pPr>
        <w:numPr>
          <w:ilvl w:val="0"/>
          <w:numId w:val="1"/>
        </w:numPr>
        <w:autoSpaceDE w:val="0"/>
        <w:autoSpaceDN w:val="0"/>
        <w:adjustRightInd w:val="0"/>
        <w:rPr>
          <w:rFonts w:ascii="Calibri" w:hAnsi="Calibri" w:cs="Calibri"/>
          <w:color w:val="000000"/>
          <w:sz w:val="22"/>
          <w:szCs w:val="22"/>
        </w:rPr>
      </w:pPr>
      <w:r>
        <w:rPr>
          <w:rFonts w:ascii="Calibri" w:hAnsi="Calibri" w:cs="Calibri"/>
          <w:color w:val="000000"/>
          <w:sz w:val="22"/>
          <w:szCs w:val="22"/>
        </w:rPr>
        <w:t>Pyrenees (S)</w:t>
      </w:r>
    </w:p>
    <w:p w:rsidR="00D8413A" w:rsidRDefault="00D8413A" w:rsidP="00D8413A">
      <w:pPr>
        <w:autoSpaceDE w:val="0"/>
        <w:autoSpaceDN w:val="0"/>
        <w:adjustRightInd w:val="0"/>
        <w:rPr>
          <w:rFonts w:ascii="Calibri" w:hAnsi="Calibri" w:cs="Calibri"/>
          <w:b/>
          <w:bCs/>
          <w:color w:val="000000"/>
          <w:sz w:val="22"/>
          <w:szCs w:val="22"/>
        </w:rPr>
      </w:pPr>
    </w:p>
    <w:p w:rsidR="00D8413A" w:rsidRDefault="00D8413A" w:rsidP="00D8413A">
      <w:pPr>
        <w:autoSpaceDE w:val="0"/>
        <w:autoSpaceDN w:val="0"/>
        <w:adjustRightInd w:val="0"/>
        <w:rPr>
          <w:rFonts w:ascii="Calibri" w:hAnsi="Calibri" w:cs="Calibri"/>
          <w:b/>
          <w:bCs/>
          <w:color w:val="000000"/>
          <w:sz w:val="22"/>
          <w:szCs w:val="22"/>
        </w:rPr>
      </w:pPr>
    </w:p>
    <w:p w:rsidR="00D8413A" w:rsidRDefault="00D8413A" w:rsidP="00D8413A">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The Ballarat area includes the Local Government Areas (</w:t>
      </w:r>
      <w:proofErr w:type="spellStart"/>
      <w:r>
        <w:rPr>
          <w:rFonts w:ascii="Calibri" w:hAnsi="Calibri" w:cs="Calibri"/>
          <w:b/>
          <w:bCs/>
          <w:color w:val="000000"/>
          <w:sz w:val="22"/>
          <w:szCs w:val="22"/>
        </w:rPr>
        <w:t>LGAs</w:t>
      </w:r>
      <w:proofErr w:type="spellEnd"/>
      <w:r>
        <w:rPr>
          <w:rFonts w:ascii="Calibri" w:hAnsi="Calibri" w:cs="Calibri"/>
          <w:b/>
          <w:bCs/>
          <w:color w:val="000000"/>
          <w:sz w:val="22"/>
          <w:szCs w:val="22"/>
        </w:rPr>
        <w:t>) of:</w:t>
      </w:r>
    </w:p>
    <w:p w:rsidR="00D8413A" w:rsidRDefault="00D8413A" w:rsidP="00D8413A">
      <w:pPr>
        <w:numPr>
          <w:ilvl w:val="0"/>
          <w:numId w:val="1"/>
        </w:numPr>
        <w:autoSpaceDE w:val="0"/>
        <w:autoSpaceDN w:val="0"/>
        <w:adjustRightInd w:val="0"/>
        <w:rPr>
          <w:rFonts w:ascii="Calibri" w:hAnsi="Calibri" w:cs="Calibri"/>
          <w:color w:val="000000"/>
          <w:sz w:val="22"/>
          <w:szCs w:val="22"/>
        </w:rPr>
      </w:pPr>
      <w:r>
        <w:rPr>
          <w:rFonts w:ascii="Calibri" w:hAnsi="Calibri" w:cs="Calibri"/>
          <w:color w:val="000000"/>
          <w:sz w:val="22"/>
          <w:szCs w:val="22"/>
        </w:rPr>
        <w:t>Ararat (RC)</w:t>
      </w:r>
    </w:p>
    <w:p w:rsidR="00D8413A" w:rsidRDefault="00D8413A" w:rsidP="00D8413A">
      <w:pPr>
        <w:numPr>
          <w:ilvl w:val="0"/>
          <w:numId w:val="1"/>
        </w:numPr>
        <w:autoSpaceDE w:val="0"/>
        <w:autoSpaceDN w:val="0"/>
        <w:adjustRightInd w:val="0"/>
        <w:rPr>
          <w:rFonts w:ascii="Calibri" w:hAnsi="Calibri" w:cs="Calibri"/>
          <w:color w:val="000000"/>
          <w:sz w:val="22"/>
          <w:szCs w:val="22"/>
        </w:rPr>
      </w:pPr>
      <w:r>
        <w:rPr>
          <w:rFonts w:ascii="Calibri" w:hAnsi="Calibri" w:cs="Calibri"/>
          <w:color w:val="000000"/>
          <w:sz w:val="22"/>
          <w:szCs w:val="22"/>
        </w:rPr>
        <w:t>Ballarat (C)</w:t>
      </w:r>
    </w:p>
    <w:p w:rsidR="00D8413A" w:rsidRDefault="00D8413A" w:rsidP="00D8413A">
      <w:pPr>
        <w:numPr>
          <w:ilvl w:val="0"/>
          <w:numId w:val="1"/>
        </w:numPr>
        <w:autoSpaceDE w:val="0"/>
        <w:autoSpaceDN w:val="0"/>
        <w:adjustRightInd w:val="0"/>
        <w:rPr>
          <w:rFonts w:ascii="Calibri" w:hAnsi="Calibri" w:cs="Calibri"/>
          <w:color w:val="000000"/>
          <w:sz w:val="22"/>
          <w:szCs w:val="22"/>
        </w:rPr>
      </w:pPr>
      <w:r>
        <w:rPr>
          <w:rFonts w:ascii="Calibri" w:hAnsi="Calibri" w:cs="Calibri"/>
          <w:color w:val="000000"/>
          <w:sz w:val="22"/>
          <w:szCs w:val="22"/>
        </w:rPr>
        <w:t>Northern Grampians (S)</w:t>
      </w:r>
    </w:p>
    <w:p w:rsidR="00D8413A" w:rsidRDefault="00D8413A" w:rsidP="00D8413A">
      <w:pPr>
        <w:numPr>
          <w:ilvl w:val="0"/>
          <w:numId w:val="1"/>
        </w:numPr>
        <w:autoSpaceDE w:val="0"/>
        <w:autoSpaceDN w:val="0"/>
        <w:adjustRightInd w:val="0"/>
        <w:rPr>
          <w:rFonts w:ascii="Calibri" w:hAnsi="Calibri" w:cs="Calibri"/>
          <w:color w:val="000000"/>
          <w:sz w:val="22"/>
          <w:szCs w:val="22"/>
        </w:rPr>
      </w:pPr>
      <w:r>
        <w:rPr>
          <w:rFonts w:ascii="Calibri" w:hAnsi="Calibri" w:cs="Calibri"/>
          <w:color w:val="000000"/>
          <w:sz w:val="22"/>
          <w:szCs w:val="22"/>
        </w:rPr>
        <w:t>Hepburn (S)</w:t>
      </w:r>
    </w:p>
    <w:p w:rsidR="00D8413A" w:rsidRDefault="00D8413A" w:rsidP="00D8413A">
      <w:pPr>
        <w:numPr>
          <w:ilvl w:val="0"/>
          <w:numId w:val="1"/>
        </w:numPr>
        <w:autoSpaceDE w:val="0"/>
        <w:autoSpaceDN w:val="0"/>
        <w:adjustRightInd w:val="0"/>
        <w:rPr>
          <w:rFonts w:ascii="Calibri" w:hAnsi="Calibri" w:cs="Calibri"/>
          <w:color w:val="000000"/>
          <w:sz w:val="22"/>
          <w:szCs w:val="22"/>
        </w:rPr>
      </w:pPr>
      <w:proofErr w:type="spellStart"/>
      <w:r>
        <w:rPr>
          <w:rFonts w:ascii="Calibri" w:hAnsi="Calibri" w:cs="Calibri"/>
          <w:color w:val="000000"/>
          <w:sz w:val="22"/>
          <w:szCs w:val="22"/>
        </w:rPr>
        <w:t>Moorabool</w:t>
      </w:r>
      <w:proofErr w:type="spellEnd"/>
      <w:r>
        <w:rPr>
          <w:rFonts w:ascii="Calibri" w:hAnsi="Calibri" w:cs="Calibri"/>
          <w:color w:val="000000"/>
          <w:sz w:val="22"/>
          <w:szCs w:val="22"/>
        </w:rPr>
        <w:t xml:space="preserve"> (S)</w:t>
      </w:r>
    </w:p>
    <w:p w:rsidR="00D8413A" w:rsidRDefault="00D8413A" w:rsidP="00D8413A">
      <w:pPr>
        <w:numPr>
          <w:ilvl w:val="0"/>
          <w:numId w:val="1"/>
        </w:numPr>
        <w:autoSpaceDE w:val="0"/>
        <w:autoSpaceDN w:val="0"/>
        <w:adjustRightInd w:val="0"/>
        <w:rPr>
          <w:rFonts w:ascii="Calibri" w:hAnsi="Calibri" w:cs="Calibri"/>
          <w:color w:val="000000"/>
          <w:sz w:val="22"/>
          <w:szCs w:val="22"/>
        </w:rPr>
      </w:pPr>
      <w:r>
        <w:rPr>
          <w:rFonts w:ascii="Calibri" w:hAnsi="Calibri" w:cs="Calibri"/>
          <w:color w:val="000000"/>
          <w:sz w:val="22"/>
          <w:szCs w:val="22"/>
        </w:rPr>
        <w:t>Pyrenees (S)</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i/>
          <w:iCs/>
          <w:color w:val="000000"/>
          <w:sz w:val="22"/>
          <w:szCs w:val="22"/>
        </w:rPr>
      </w:pPr>
      <w:r>
        <w:rPr>
          <w:rFonts w:ascii="Calibri" w:hAnsi="Calibri" w:cs="Calibri"/>
          <w:i/>
          <w:iCs/>
          <w:color w:val="000000"/>
          <w:sz w:val="22"/>
          <w:szCs w:val="22"/>
        </w:rPr>
        <w:t>The Ballarat area covers 83% of the Central Highlands-Wimmera Labour Force Region (</w:t>
      </w:r>
      <w:proofErr w:type="spellStart"/>
      <w:r>
        <w:rPr>
          <w:rFonts w:ascii="Calibri" w:hAnsi="Calibri" w:cs="Calibri"/>
          <w:i/>
          <w:iCs/>
          <w:color w:val="000000"/>
          <w:sz w:val="22"/>
          <w:szCs w:val="22"/>
        </w:rPr>
        <w:t>LFR</w:t>
      </w:r>
      <w:proofErr w:type="spellEnd"/>
      <w:r>
        <w:rPr>
          <w:rFonts w:ascii="Calibri" w:hAnsi="Calibri" w:cs="Calibri"/>
          <w:i/>
          <w:iCs/>
          <w:color w:val="000000"/>
          <w:sz w:val="22"/>
          <w:szCs w:val="22"/>
        </w:rPr>
        <w:t>) based on 2010 Working Age Population Estimated Resident Population.</w:t>
      </w:r>
    </w:p>
    <w:p w:rsidR="00D8413A" w:rsidRDefault="00D8413A" w:rsidP="00D8413A">
      <w:pPr>
        <w:autoSpaceDE w:val="0"/>
        <w:autoSpaceDN w:val="0"/>
        <w:adjustRightInd w:val="0"/>
        <w:rPr>
          <w:rFonts w:ascii="Arial" w:hAnsi="Arial" w:cs="Arial"/>
        </w:rPr>
      </w:pPr>
    </w:p>
    <w:p w:rsidR="00D8413A" w:rsidRDefault="00D8413A" w:rsidP="00D8413A">
      <w:pPr>
        <w:spacing w:line="360" w:lineRule="auto"/>
      </w:pPr>
    </w:p>
    <w:p w:rsidR="00D8413A" w:rsidRDefault="00D8413A">
      <w:r>
        <w:br w:type="page"/>
      </w:r>
    </w:p>
    <w:p w:rsidR="00D8413A" w:rsidRDefault="00D8413A" w:rsidP="00D8413A">
      <w:pPr>
        <w:spacing w:line="360" w:lineRule="auto"/>
      </w:pPr>
      <w:r>
        <w:lastRenderedPageBreak/>
        <w:t>Slide 3</w:t>
      </w:r>
    </w:p>
    <w:p w:rsidR="00D8413A" w:rsidRDefault="00D8413A" w:rsidP="00D8413A">
      <w:pPr>
        <w:spacing w:line="360" w:lineRule="auto"/>
      </w:pPr>
    </w:p>
    <w:p w:rsidR="00D8413A" w:rsidRDefault="00D8413A" w:rsidP="00D8413A">
      <w:pPr>
        <w:spacing w:line="360" w:lineRule="auto"/>
        <w:jc w:val="center"/>
      </w:pPr>
      <w:r>
        <w:object w:dxaOrig="7216" w:dyaOrig="5409">
          <v:shape id="_x0000_i1027" type="#_x0000_t75" style="width:270.75pt;height:202.5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27" DrawAspect="Content" ObjectID="_1424612428" r:id="rId11"/>
        </w:object>
      </w:r>
    </w:p>
    <w:p w:rsidR="00D8413A" w:rsidRDefault="00D8413A" w:rsidP="00D8413A">
      <w:pPr>
        <w:spacing w:line="360" w:lineRule="auto"/>
        <w:jc w:val="center"/>
      </w:pPr>
    </w:p>
    <w:p w:rsidR="00D8413A" w:rsidRDefault="00D8413A" w:rsidP="00D8413A">
      <w:pPr>
        <w:autoSpaceDE w:val="0"/>
        <w:autoSpaceDN w:val="0"/>
        <w:adjustRightInd w:val="0"/>
        <w:rPr>
          <w:rFonts w:ascii="Calibri" w:cs="Calibri"/>
          <w:color w:val="000000"/>
          <w:sz w:val="22"/>
          <w:szCs w:val="22"/>
        </w:rPr>
      </w:pPr>
      <w:r>
        <w:rPr>
          <w:rFonts w:ascii="Calibri" w:cs="Calibri"/>
          <w:b/>
          <w:bCs/>
          <w:color w:val="000000"/>
          <w:sz w:val="22"/>
          <w:szCs w:val="22"/>
          <w:u w:val="single"/>
        </w:rPr>
        <w:t>Central Victoria PEA Profile:</w:t>
      </w:r>
    </w:p>
    <w:p w:rsidR="00D8413A" w:rsidRDefault="00D8413A" w:rsidP="00D8413A">
      <w:pPr>
        <w:autoSpaceDE w:val="0"/>
        <w:autoSpaceDN w:val="0"/>
        <w:adjustRightInd w:val="0"/>
        <w:rPr>
          <w:rFonts w:ascii="Calibri" w:cs="Calibri"/>
          <w:color w:val="000000"/>
          <w:sz w:val="22"/>
          <w:szCs w:val="22"/>
        </w:rPr>
      </w:pPr>
      <w:r>
        <w:rPr>
          <w:rFonts w:ascii="Calibri" w:cs="Calibri"/>
          <w:i/>
          <w:iCs/>
          <w:color w:val="000000"/>
          <w:sz w:val="22"/>
          <w:szCs w:val="22"/>
        </w:rPr>
        <w:t>Source: ABS Estimated Resident Population, 2006 and 2011, ABS Census of Population and Housing, 2011</w:t>
      </w:r>
    </w:p>
    <w:p w:rsidR="00D8413A" w:rsidRDefault="00D8413A" w:rsidP="00D8413A">
      <w:pPr>
        <w:autoSpaceDE w:val="0"/>
        <w:autoSpaceDN w:val="0"/>
        <w:adjustRightInd w:val="0"/>
        <w:rPr>
          <w:rFonts w:ascii="Calibri" w:cs="Calibri"/>
          <w:color w:val="000000"/>
          <w:sz w:val="22"/>
          <w:szCs w:val="22"/>
        </w:rPr>
      </w:pPr>
      <w:r>
        <w:rPr>
          <w:rFonts w:ascii="Calibri" w:cs="Calibri"/>
          <w:color w:val="000000"/>
          <w:sz w:val="22"/>
          <w:szCs w:val="22"/>
        </w:rPr>
        <w:t> </w:t>
      </w:r>
    </w:p>
    <w:p w:rsidR="00D8413A" w:rsidRPr="0036565E" w:rsidRDefault="00D8413A" w:rsidP="00D8413A">
      <w:pPr>
        <w:autoSpaceDE w:val="0"/>
        <w:autoSpaceDN w:val="0"/>
        <w:adjustRightInd w:val="0"/>
        <w:rPr>
          <w:rFonts w:asciiTheme="minorHAnsi" w:hAnsiTheme="minorHAnsi" w:cstheme="minorHAnsi"/>
          <w:color w:val="000000"/>
          <w:sz w:val="22"/>
          <w:szCs w:val="22"/>
        </w:rPr>
      </w:pPr>
      <w:r w:rsidRPr="0036565E">
        <w:rPr>
          <w:rFonts w:asciiTheme="minorHAnsi" w:hAnsiTheme="minorHAnsi" w:cstheme="minorHAnsi"/>
          <w:color w:val="000000"/>
          <w:sz w:val="22"/>
          <w:szCs w:val="22"/>
        </w:rPr>
        <w:t xml:space="preserve">The adult population (15 years+) in the Central Victoria PEA (243,860) has increased by 6.1 per cent in the five years to June 2011. The adult population for Victoria and Australia have both increased in the same </w:t>
      </w:r>
      <w:proofErr w:type="gramStart"/>
      <w:r w:rsidRPr="0036565E">
        <w:rPr>
          <w:rFonts w:asciiTheme="minorHAnsi" w:hAnsiTheme="minorHAnsi" w:cstheme="minorHAnsi"/>
          <w:color w:val="000000"/>
          <w:sz w:val="22"/>
          <w:szCs w:val="22"/>
        </w:rPr>
        <w:t>period  (</w:t>
      </w:r>
      <w:proofErr w:type="gramEnd"/>
      <w:r w:rsidRPr="0036565E">
        <w:rPr>
          <w:rFonts w:asciiTheme="minorHAnsi" w:hAnsiTheme="minorHAnsi" w:cstheme="minorHAnsi"/>
          <w:color w:val="000000"/>
          <w:sz w:val="22"/>
          <w:szCs w:val="22"/>
        </w:rPr>
        <w:t>9.0 per cent and 8.8 per cent, respectively).</w:t>
      </w:r>
    </w:p>
    <w:p w:rsidR="00D8413A" w:rsidRDefault="00D8413A" w:rsidP="00D8413A">
      <w:pPr>
        <w:autoSpaceDE w:val="0"/>
        <w:autoSpaceDN w:val="0"/>
        <w:adjustRightInd w:val="0"/>
        <w:rPr>
          <w:rFonts w:ascii="Calibri" w:cs="Calibri"/>
          <w:color w:val="000000"/>
          <w:sz w:val="22"/>
          <w:szCs w:val="22"/>
        </w:rPr>
      </w:pPr>
    </w:p>
    <w:p w:rsidR="00D8413A" w:rsidRDefault="00D8413A" w:rsidP="00D8413A">
      <w:pPr>
        <w:autoSpaceDE w:val="0"/>
        <w:autoSpaceDN w:val="0"/>
        <w:adjustRightInd w:val="0"/>
        <w:rPr>
          <w:rFonts w:ascii="Calibri" w:cs="Calibri"/>
          <w:color w:val="000000"/>
          <w:sz w:val="22"/>
          <w:szCs w:val="22"/>
        </w:rPr>
      </w:pPr>
      <w:r>
        <w:rPr>
          <w:rFonts w:ascii="Calibri" w:cs="Calibri"/>
          <w:color w:val="000000"/>
          <w:sz w:val="22"/>
          <w:szCs w:val="22"/>
        </w:rPr>
        <w:t xml:space="preserve">At the time of the 2011 Census, the Working Age Population (15-64 years) participation rate for the PEA was 73.5 per cent, similar to that of Victoria (75.6 per cent) and Australia </w:t>
      </w:r>
      <w:r w:rsidR="0036565E">
        <w:rPr>
          <w:rFonts w:ascii="Calibri" w:cs="Calibri"/>
          <w:color w:val="000000"/>
          <w:sz w:val="22"/>
          <w:szCs w:val="22"/>
        </w:rPr>
        <w:br/>
      </w:r>
      <w:r>
        <w:rPr>
          <w:rFonts w:ascii="Calibri" w:cs="Calibri"/>
          <w:color w:val="000000"/>
          <w:sz w:val="22"/>
          <w:szCs w:val="22"/>
        </w:rPr>
        <w:t>(75.8 per cent).</w:t>
      </w:r>
    </w:p>
    <w:p w:rsidR="00D8413A" w:rsidRDefault="00D8413A" w:rsidP="00D8413A">
      <w:pPr>
        <w:autoSpaceDE w:val="0"/>
        <w:autoSpaceDN w:val="0"/>
        <w:adjustRightInd w:val="0"/>
        <w:rPr>
          <w:rFonts w:ascii="Calibri" w:cs="Calibri"/>
          <w:color w:val="000000"/>
          <w:sz w:val="22"/>
          <w:szCs w:val="22"/>
        </w:rPr>
      </w:pPr>
    </w:p>
    <w:p w:rsidR="00D8413A" w:rsidRDefault="00D8413A" w:rsidP="00D8413A">
      <w:pPr>
        <w:autoSpaceDE w:val="0"/>
        <w:autoSpaceDN w:val="0"/>
        <w:adjustRightInd w:val="0"/>
        <w:rPr>
          <w:rFonts w:ascii="Calibri" w:cs="Calibri"/>
          <w:color w:val="000000"/>
          <w:sz w:val="22"/>
          <w:szCs w:val="22"/>
        </w:rPr>
      </w:pPr>
      <w:r>
        <w:rPr>
          <w:rFonts w:ascii="Calibri" w:cs="Calibri"/>
          <w:color w:val="000000"/>
          <w:sz w:val="22"/>
          <w:szCs w:val="22"/>
        </w:rPr>
        <w:t>The median age in the PEA was 40 years at the time of the 2011 Census, a slightly higher age compared with Victoria and Australia (both 37 years).</w:t>
      </w:r>
    </w:p>
    <w:p w:rsidR="00D8413A" w:rsidRDefault="00D8413A" w:rsidP="00D8413A">
      <w:pPr>
        <w:autoSpaceDE w:val="0"/>
        <w:autoSpaceDN w:val="0"/>
        <w:adjustRightInd w:val="0"/>
        <w:rPr>
          <w:rFonts w:ascii="Calibri" w:cs="Calibri"/>
          <w:color w:val="000000"/>
          <w:sz w:val="22"/>
          <w:szCs w:val="22"/>
        </w:rPr>
      </w:pPr>
    </w:p>
    <w:p w:rsidR="00D8413A" w:rsidRDefault="00D8413A" w:rsidP="00D8413A">
      <w:pPr>
        <w:autoSpaceDE w:val="0"/>
        <w:autoSpaceDN w:val="0"/>
        <w:adjustRightInd w:val="0"/>
        <w:rPr>
          <w:rFonts w:ascii="Arial" w:hAnsi="Arial" w:cs="Arial"/>
        </w:rPr>
      </w:pPr>
    </w:p>
    <w:p w:rsidR="00D8413A" w:rsidRDefault="00D8413A" w:rsidP="00D8413A">
      <w:pPr>
        <w:spacing w:line="360" w:lineRule="auto"/>
      </w:pPr>
    </w:p>
    <w:p w:rsidR="00D8413A" w:rsidRDefault="00D8413A">
      <w:r>
        <w:br w:type="page"/>
      </w:r>
    </w:p>
    <w:p w:rsidR="00D8413A" w:rsidRDefault="00D8413A" w:rsidP="00D8413A">
      <w:pPr>
        <w:spacing w:line="360" w:lineRule="auto"/>
      </w:pPr>
      <w:r>
        <w:lastRenderedPageBreak/>
        <w:t>Slide 4</w:t>
      </w:r>
    </w:p>
    <w:p w:rsidR="00D8413A" w:rsidRDefault="00D8413A" w:rsidP="00D8413A">
      <w:pPr>
        <w:spacing w:line="360" w:lineRule="auto"/>
      </w:pPr>
    </w:p>
    <w:p w:rsidR="00D8413A" w:rsidRDefault="00D8413A" w:rsidP="00D8413A">
      <w:pPr>
        <w:spacing w:line="360" w:lineRule="auto"/>
        <w:jc w:val="center"/>
      </w:pPr>
      <w:r>
        <w:object w:dxaOrig="7216" w:dyaOrig="5409">
          <v:shape id="_x0000_i1028" type="#_x0000_t75" style="width:270.75pt;height:202.5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28" DrawAspect="Content" ObjectID="_1424612429" r:id="rId13"/>
        </w:object>
      </w:r>
    </w:p>
    <w:p w:rsidR="00D8413A" w:rsidRDefault="00D8413A" w:rsidP="00D8413A">
      <w:pPr>
        <w:spacing w:line="360" w:lineRule="auto"/>
        <w:jc w:val="center"/>
      </w:pPr>
    </w:p>
    <w:p w:rsidR="00D8413A" w:rsidRDefault="00D8413A" w:rsidP="00D8413A">
      <w:pPr>
        <w:autoSpaceDE w:val="0"/>
        <w:autoSpaceDN w:val="0"/>
        <w:adjustRightInd w:val="0"/>
        <w:rPr>
          <w:rFonts w:ascii="Calibri" w:cs="Calibri"/>
          <w:b/>
          <w:bCs/>
          <w:color w:val="000000"/>
          <w:sz w:val="22"/>
          <w:szCs w:val="22"/>
          <w:u w:val="single"/>
        </w:rPr>
      </w:pPr>
      <w:r>
        <w:rPr>
          <w:rFonts w:ascii="Calibri" w:cs="Calibri"/>
          <w:b/>
          <w:bCs/>
          <w:color w:val="000000"/>
          <w:sz w:val="22"/>
          <w:szCs w:val="22"/>
          <w:u w:val="single"/>
        </w:rPr>
        <w:t xml:space="preserve">Age Distribution </w:t>
      </w:r>
      <w:r>
        <w:rPr>
          <w:rFonts w:ascii="Calibri" w:cs="Calibri"/>
          <w:b/>
          <w:bCs/>
          <w:color w:val="000000"/>
          <w:sz w:val="22"/>
          <w:szCs w:val="22"/>
          <w:u w:val="single"/>
        </w:rPr>
        <w:t>—</w:t>
      </w:r>
      <w:r>
        <w:rPr>
          <w:rFonts w:ascii="Calibri" w:cs="Calibri"/>
          <w:color w:val="000000"/>
          <w:sz w:val="22"/>
          <w:szCs w:val="22"/>
          <w:u w:val="single"/>
        </w:rPr>
        <w:t xml:space="preserve"> </w:t>
      </w:r>
      <w:r>
        <w:rPr>
          <w:rFonts w:ascii="Calibri" w:cs="Calibri"/>
          <w:b/>
          <w:bCs/>
          <w:color w:val="000000"/>
          <w:sz w:val="22"/>
          <w:szCs w:val="22"/>
          <w:u w:val="single"/>
        </w:rPr>
        <w:t>Central Victoria PEA</w:t>
      </w:r>
    </w:p>
    <w:p w:rsidR="00D8413A" w:rsidRDefault="00D8413A" w:rsidP="00D8413A">
      <w:pPr>
        <w:autoSpaceDE w:val="0"/>
        <w:autoSpaceDN w:val="0"/>
        <w:adjustRightInd w:val="0"/>
        <w:rPr>
          <w:rFonts w:ascii="Calibri" w:cs="Calibri"/>
          <w:color w:val="000000"/>
          <w:sz w:val="22"/>
          <w:szCs w:val="22"/>
        </w:rPr>
      </w:pPr>
      <w:r>
        <w:rPr>
          <w:rFonts w:ascii="Calibri" w:cs="Calibri"/>
          <w:i/>
          <w:iCs/>
          <w:color w:val="000000"/>
          <w:sz w:val="22"/>
          <w:szCs w:val="22"/>
        </w:rPr>
        <w:t>Source: ABS 2011 Census of Population and Housing</w:t>
      </w:r>
    </w:p>
    <w:p w:rsidR="00D8413A" w:rsidRDefault="00D8413A" w:rsidP="00D8413A">
      <w:pPr>
        <w:autoSpaceDE w:val="0"/>
        <w:autoSpaceDN w:val="0"/>
        <w:adjustRightInd w:val="0"/>
        <w:rPr>
          <w:rFonts w:ascii="Calibri" w:cs="Calibri"/>
          <w:color w:val="000000"/>
          <w:sz w:val="22"/>
          <w:szCs w:val="22"/>
        </w:rPr>
      </w:pPr>
    </w:p>
    <w:p w:rsidR="00D8413A" w:rsidRDefault="00D8413A" w:rsidP="00D8413A">
      <w:pPr>
        <w:autoSpaceDE w:val="0"/>
        <w:autoSpaceDN w:val="0"/>
        <w:adjustRightInd w:val="0"/>
        <w:rPr>
          <w:rFonts w:ascii="Calibri" w:cs="Calibri"/>
          <w:color w:val="000000"/>
          <w:sz w:val="22"/>
          <w:szCs w:val="22"/>
        </w:rPr>
      </w:pPr>
      <w:r>
        <w:rPr>
          <w:rFonts w:ascii="Calibri" w:cs="Calibri"/>
          <w:color w:val="000000"/>
          <w:sz w:val="22"/>
          <w:szCs w:val="22"/>
        </w:rPr>
        <w:t>The age distribution of the Central Victoria PEA population shows a markedly smaller proportion of the population is made up of people aged between 20 and 39 years, when compared with the Victorian and Australian age distributions. Similar demographic patterns exist for other regional areas and are due in part to young adults moving to major urban centres such as Melbourne.</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Arial" w:hAnsi="Arial" w:cs="Arial"/>
        </w:rPr>
      </w:pPr>
    </w:p>
    <w:p w:rsidR="00D8413A" w:rsidRDefault="00D8413A" w:rsidP="00D8413A">
      <w:pPr>
        <w:spacing w:line="360" w:lineRule="auto"/>
      </w:pPr>
    </w:p>
    <w:p w:rsidR="00D8413A" w:rsidRDefault="00D8413A">
      <w:r>
        <w:br w:type="page"/>
      </w:r>
    </w:p>
    <w:p w:rsidR="00D8413A" w:rsidRDefault="00D8413A" w:rsidP="00D8413A">
      <w:pPr>
        <w:spacing w:line="360" w:lineRule="auto"/>
      </w:pPr>
      <w:r>
        <w:lastRenderedPageBreak/>
        <w:t>Slide 5</w:t>
      </w:r>
    </w:p>
    <w:p w:rsidR="00D8413A" w:rsidRDefault="00D8413A" w:rsidP="00D8413A">
      <w:pPr>
        <w:spacing w:line="360" w:lineRule="auto"/>
      </w:pPr>
    </w:p>
    <w:p w:rsidR="00D8413A" w:rsidRDefault="00D8413A" w:rsidP="00D8413A">
      <w:pPr>
        <w:spacing w:line="360" w:lineRule="auto"/>
        <w:jc w:val="center"/>
      </w:pPr>
      <w:r>
        <w:object w:dxaOrig="7216" w:dyaOrig="5409">
          <v:shape id="_x0000_i1029" type="#_x0000_t75" style="width:270.75pt;height:202.5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29" DrawAspect="Content" ObjectID="_1424612430" r:id="rId15"/>
        </w:object>
      </w:r>
    </w:p>
    <w:p w:rsidR="00D8413A" w:rsidRDefault="00D8413A" w:rsidP="00D8413A">
      <w:pPr>
        <w:spacing w:line="360" w:lineRule="auto"/>
        <w:jc w:val="center"/>
      </w:pPr>
    </w:p>
    <w:p w:rsidR="00D8413A" w:rsidRDefault="00D8413A" w:rsidP="00D8413A">
      <w:pPr>
        <w:autoSpaceDE w:val="0"/>
        <w:autoSpaceDN w:val="0"/>
        <w:adjustRightInd w:val="0"/>
        <w:rPr>
          <w:rFonts w:ascii="Calibri" w:cs="Calibri"/>
          <w:b/>
          <w:bCs/>
          <w:color w:val="000000"/>
          <w:sz w:val="22"/>
          <w:szCs w:val="22"/>
          <w:u w:val="single"/>
        </w:rPr>
      </w:pPr>
      <w:r>
        <w:rPr>
          <w:rFonts w:ascii="Calibri" w:cs="Calibri"/>
          <w:b/>
          <w:bCs/>
          <w:color w:val="000000"/>
          <w:sz w:val="22"/>
          <w:szCs w:val="22"/>
          <w:u w:val="single"/>
        </w:rPr>
        <w:t>Unemployment Rate</w:t>
      </w:r>
    </w:p>
    <w:p w:rsidR="00D8413A" w:rsidRDefault="00D8413A" w:rsidP="00D8413A">
      <w:pPr>
        <w:autoSpaceDE w:val="0"/>
        <w:autoSpaceDN w:val="0"/>
        <w:adjustRightInd w:val="0"/>
        <w:rPr>
          <w:rFonts w:ascii="Calibri" w:cs="Calibri"/>
          <w:i/>
          <w:iCs/>
          <w:color w:val="000000"/>
          <w:sz w:val="22"/>
          <w:szCs w:val="22"/>
        </w:rPr>
      </w:pPr>
      <w:r>
        <w:rPr>
          <w:rFonts w:ascii="Calibri" w:cs="Calibri"/>
          <w:i/>
          <w:iCs/>
          <w:color w:val="000000"/>
          <w:sz w:val="22"/>
          <w:szCs w:val="22"/>
        </w:rPr>
        <w:t>Source: DEEWR Small Area Labour Markets, September 2012</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In September 2012, the unemployment rate in the Ballarat Area was 5.4 per cent, comparable to both the Central Victoria PEA (5.5 per cent) and Victoria (5.4 per cent).</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While the unemployment rate in the Ballarat Area has decreased over the last few years, the region has consistently had an unemployment rate higher than both Victoria and Australia.</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w:t>
      </w:r>
    </w:p>
    <w:p w:rsidR="00D8413A" w:rsidRDefault="00D8413A" w:rsidP="00D8413A">
      <w:pPr>
        <w:autoSpaceDE w:val="0"/>
        <w:autoSpaceDN w:val="0"/>
        <w:adjustRightInd w:val="0"/>
        <w:rPr>
          <w:rFonts w:ascii="Arial" w:hAnsi="Arial" w:cs="Arial"/>
        </w:rPr>
      </w:pPr>
    </w:p>
    <w:p w:rsidR="00D8413A" w:rsidRDefault="00D8413A" w:rsidP="00D8413A">
      <w:pPr>
        <w:spacing w:line="360" w:lineRule="auto"/>
      </w:pPr>
    </w:p>
    <w:p w:rsidR="00D8413A" w:rsidRDefault="00D8413A">
      <w:r>
        <w:br w:type="page"/>
      </w:r>
    </w:p>
    <w:p w:rsidR="00D8413A" w:rsidRDefault="00D8413A" w:rsidP="00D8413A">
      <w:pPr>
        <w:spacing w:line="360" w:lineRule="auto"/>
      </w:pPr>
      <w:r>
        <w:lastRenderedPageBreak/>
        <w:t>Slide 6</w:t>
      </w:r>
    </w:p>
    <w:p w:rsidR="00D8413A" w:rsidRDefault="00D8413A" w:rsidP="00D8413A">
      <w:pPr>
        <w:spacing w:line="360" w:lineRule="auto"/>
      </w:pPr>
    </w:p>
    <w:p w:rsidR="00D8413A" w:rsidRDefault="00D8413A" w:rsidP="00D8413A">
      <w:pPr>
        <w:spacing w:line="360" w:lineRule="auto"/>
        <w:jc w:val="center"/>
      </w:pPr>
      <w:r>
        <w:object w:dxaOrig="7216" w:dyaOrig="5409">
          <v:shape id="_x0000_i1030" type="#_x0000_t75" style="width:270.75pt;height:202.5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30" DrawAspect="Content" ObjectID="_1424612431" r:id="rId17"/>
        </w:object>
      </w:r>
    </w:p>
    <w:p w:rsidR="00D8413A" w:rsidRDefault="00D8413A" w:rsidP="00D8413A">
      <w:pPr>
        <w:spacing w:line="360" w:lineRule="auto"/>
        <w:jc w:val="center"/>
      </w:pPr>
    </w:p>
    <w:p w:rsidR="00D8413A" w:rsidRDefault="00D8413A" w:rsidP="00D8413A">
      <w:pPr>
        <w:autoSpaceDE w:val="0"/>
        <w:autoSpaceDN w:val="0"/>
        <w:adjustRightInd w:val="0"/>
        <w:rPr>
          <w:rFonts w:ascii="Calibri" w:hAnsi="Calibri" w:cs="Calibri"/>
          <w:color w:val="000000"/>
          <w:sz w:val="22"/>
          <w:szCs w:val="22"/>
          <w:u w:val="single"/>
        </w:rPr>
      </w:pPr>
      <w:r>
        <w:rPr>
          <w:rFonts w:ascii="Calibri" w:hAnsi="Calibri" w:cs="Calibri"/>
          <w:b/>
          <w:bCs/>
          <w:color w:val="000000"/>
          <w:sz w:val="22"/>
          <w:szCs w:val="22"/>
          <w:u w:val="single"/>
        </w:rPr>
        <w:t xml:space="preserve">Unemployment Rate </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i/>
          <w:iCs/>
          <w:color w:val="000000"/>
          <w:sz w:val="22"/>
          <w:szCs w:val="22"/>
        </w:rPr>
        <w:t>Source: DEEWR, Small Area Labour Markets, September 2012, smoothed series</w:t>
      </w:r>
    </w:p>
    <w:p w:rsidR="00D8413A" w:rsidRDefault="00D8413A" w:rsidP="00D8413A">
      <w:pPr>
        <w:autoSpaceDE w:val="0"/>
        <w:autoSpaceDN w:val="0"/>
        <w:adjustRightInd w:val="0"/>
        <w:rPr>
          <w:rFonts w:ascii="Calibri" w:hAnsi="Calibri" w:cs="Calibri"/>
          <w:i/>
          <w:iCs/>
          <w:color w:val="000000"/>
          <w:sz w:val="22"/>
          <w:szCs w:val="22"/>
        </w:rPr>
      </w:pPr>
      <w:r>
        <w:rPr>
          <w:rFonts w:ascii="Calibri" w:hAnsi="Calibri" w:cs="Calibri"/>
          <w:i/>
          <w:iCs/>
          <w:color w:val="000000"/>
          <w:sz w:val="22"/>
          <w:szCs w:val="22"/>
        </w:rPr>
        <w:t> </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In September 2012, the unemployment rate in the Central Victoria PEA was 5.5 per cent, slightly higher compared with the State (5.4 per cent) and Australia (5.2 per cent). </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The </w:t>
      </w:r>
      <w:proofErr w:type="spellStart"/>
      <w:r>
        <w:rPr>
          <w:rFonts w:ascii="Calibri" w:hAnsi="Calibri" w:cs="Calibri"/>
          <w:color w:val="000000"/>
          <w:sz w:val="22"/>
          <w:szCs w:val="22"/>
        </w:rPr>
        <w:t>LGAs</w:t>
      </w:r>
      <w:proofErr w:type="spellEnd"/>
      <w:r>
        <w:rPr>
          <w:rFonts w:ascii="Calibri" w:hAnsi="Calibri" w:cs="Calibri"/>
          <w:color w:val="000000"/>
          <w:sz w:val="22"/>
          <w:szCs w:val="22"/>
        </w:rPr>
        <w:t xml:space="preserve"> of Ballarat and Hepburn reported the highest unemployment rates in the Ballarat area (6.0 and 5.6 per cent, respectively). In contrast, the </w:t>
      </w:r>
      <w:proofErr w:type="spellStart"/>
      <w:r>
        <w:rPr>
          <w:rFonts w:ascii="Calibri" w:hAnsi="Calibri" w:cs="Calibri"/>
          <w:color w:val="000000"/>
          <w:sz w:val="22"/>
          <w:szCs w:val="22"/>
        </w:rPr>
        <w:t>Moorabool</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LGA</w:t>
      </w:r>
      <w:proofErr w:type="spellEnd"/>
      <w:r>
        <w:rPr>
          <w:rFonts w:ascii="Calibri" w:hAnsi="Calibri" w:cs="Calibri"/>
          <w:color w:val="000000"/>
          <w:sz w:val="22"/>
          <w:szCs w:val="22"/>
        </w:rPr>
        <w:t xml:space="preserve"> reported a</w:t>
      </w:r>
      <w:r w:rsidR="0036565E">
        <w:rPr>
          <w:rFonts w:ascii="Calibri" w:hAnsi="Calibri" w:cs="Calibri"/>
          <w:color w:val="000000"/>
          <w:sz w:val="22"/>
          <w:szCs w:val="22"/>
        </w:rPr>
        <w:t>n</w:t>
      </w:r>
      <w:r>
        <w:rPr>
          <w:rFonts w:ascii="Calibri" w:hAnsi="Calibri" w:cs="Calibri"/>
          <w:color w:val="000000"/>
          <w:sz w:val="22"/>
          <w:szCs w:val="22"/>
        </w:rPr>
        <w:t xml:space="preserve"> unemployment rate of only 4.0 per cent.</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In the 12 months to September 2012, the unemployment in the Central Victoria PEA has decreased (by 0.4 percentage points) while Victoria and Australia have both increased (by 0.4 and 0.1 percentage points, respectively).</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Arial" w:hAnsi="Arial" w:cs="Arial"/>
        </w:rPr>
      </w:pPr>
    </w:p>
    <w:p w:rsidR="00D8413A" w:rsidRDefault="00D8413A" w:rsidP="00D8413A">
      <w:pPr>
        <w:spacing w:line="360" w:lineRule="auto"/>
      </w:pPr>
    </w:p>
    <w:p w:rsidR="00D8413A" w:rsidRDefault="00D8413A">
      <w:r>
        <w:br w:type="page"/>
      </w:r>
    </w:p>
    <w:p w:rsidR="00D8413A" w:rsidRDefault="00D8413A" w:rsidP="00D8413A">
      <w:pPr>
        <w:spacing w:line="360" w:lineRule="auto"/>
      </w:pPr>
      <w:r>
        <w:lastRenderedPageBreak/>
        <w:t>Slide 7</w:t>
      </w:r>
    </w:p>
    <w:p w:rsidR="00D8413A" w:rsidRDefault="00D8413A" w:rsidP="00D8413A">
      <w:pPr>
        <w:spacing w:line="360" w:lineRule="auto"/>
      </w:pPr>
    </w:p>
    <w:p w:rsidR="00D8413A" w:rsidRDefault="00D8413A" w:rsidP="00D8413A">
      <w:pPr>
        <w:spacing w:line="360" w:lineRule="auto"/>
        <w:jc w:val="center"/>
      </w:pPr>
      <w:r>
        <w:object w:dxaOrig="7216" w:dyaOrig="5409">
          <v:shape id="_x0000_i1031" type="#_x0000_t75" style="width:270.75pt;height:202.5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31" DrawAspect="Content" ObjectID="_1424612432" r:id="rId19"/>
        </w:object>
      </w:r>
    </w:p>
    <w:p w:rsidR="00D8413A" w:rsidRDefault="00D8413A" w:rsidP="00D8413A">
      <w:pPr>
        <w:spacing w:line="360" w:lineRule="auto"/>
        <w:jc w:val="center"/>
      </w:pPr>
    </w:p>
    <w:p w:rsidR="00D8413A" w:rsidRDefault="00D8413A" w:rsidP="00D8413A">
      <w:pPr>
        <w:autoSpaceDE w:val="0"/>
        <w:autoSpaceDN w:val="0"/>
        <w:adjustRightInd w:val="0"/>
        <w:rPr>
          <w:rFonts w:ascii="Calibri" w:hAnsi="Calibri" w:cs="Calibri"/>
          <w:color w:val="000000"/>
          <w:sz w:val="22"/>
          <w:szCs w:val="22"/>
          <w:u w:val="single"/>
        </w:rPr>
      </w:pPr>
      <w:r>
        <w:rPr>
          <w:rFonts w:ascii="Calibri" w:hAnsi="Calibri" w:cs="Calibri"/>
          <w:b/>
          <w:bCs/>
          <w:color w:val="000000"/>
          <w:sz w:val="22"/>
          <w:szCs w:val="22"/>
          <w:u w:val="single"/>
        </w:rPr>
        <w:t xml:space="preserve">Unemployment Rate </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i/>
          <w:iCs/>
          <w:color w:val="000000"/>
          <w:sz w:val="22"/>
          <w:szCs w:val="22"/>
        </w:rPr>
        <w:t>Source: DEEWR, Small Area Labour Markets, September 2012, smoothed series</w:t>
      </w:r>
    </w:p>
    <w:p w:rsidR="00D8413A" w:rsidRDefault="00D8413A" w:rsidP="00D8413A">
      <w:pPr>
        <w:autoSpaceDE w:val="0"/>
        <w:autoSpaceDN w:val="0"/>
        <w:adjustRightInd w:val="0"/>
        <w:rPr>
          <w:rFonts w:ascii="Calibri" w:hAnsi="Calibri" w:cs="Calibri"/>
          <w:i/>
          <w:iCs/>
          <w:color w:val="000000"/>
          <w:sz w:val="22"/>
          <w:szCs w:val="22"/>
        </w:rPr>
      </w:pPr>
      <w:r>
        <w:rPr>
          <w:rFonts w:ascii="Calibri" w:hAnsi="Calibri" w:cs="Calibri"/>
          <w:i/>
          <w:iCs/>
          <w:color w:val="000000"/>
          <w:sz w:val="22"/>
          <w:szCs w:val="22"/>
        </w:rPr>
        <w:t> </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In September 2012, the unemployment rate in the Central Victoria PEA was 5.5 per cent, slightly higher compared with the State (5.4 per cent) and Australia (5.2 per cent). </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The </w:t>
      </w:r>
      <w:r>
        <w:rPr>
          <w:rFonts w:ascii="Calibri" w:cs="Calibri"/>
          <w:color w:val="000000"/>
          <w:sz w:val="22"/>
          <w:szCs w:val="22"/>
        </w:rPr>
        <w:t xml:space="preserve">Ballarat (C) </w:t>
      </w:r>
      <w:r>
        <w:rPr>
          <w:rFonts w:ascii="Calibri" w:cs="Calibri"/>
          <w:color w:val="000000"/>
          <w:sz w:val="22"/>
          <w:szCs w:val="22"/>
        </w:rPr>
        <w:t>–</w:t>
      </w:r>
      <w:r>
        <w:rPr>
          <w:rFonts w:ascii="Calibri" w:cs="Calibri"/>
          <w:color w:val="000000"/>
          <w:sz w:val="22"/>
          <w:szCs w:val="22"/>
        </w:rPr>
        <w:t xml:space="preserve"> South </w:t>
      </w:r>
      <w:r>
        <w:rPr>
          <w:rFonts w:ascii="Calibri" w:hAnsi="Calibri" w:cs="Calibri"/>
          <w:color w:val="000000"/>
          <w:sz w:val="22"/>
          <w:szCs w:val="22"/>
        </w:rPr>
        <w:t xml:space="preserve">SLA reported the highest unemployment rate in the Ballarat Area (6.7 per cent), while the </w:t>
      </w:r>
      <w:r>
        <w:rPr>
          <w:rFonts w:ascii="Calibri" w:cs="Calibri"/>
          <w:color w:val="000000"/>
          <w:sz w:val="22"/>
          <w:szCs w:val="22"/>
        </w:rPr>
        <w:t xml:space="preserve">Ballarat (C) </w:t>
      </w:r>
      <w:r>
        <w:rPr>
          <w:rFonts w:ascii="Calibri" w:cs="Calibri"/>
          <w:color w:val="000000"/>
          <w:sz w:val="22"/>
          <w:szCs w:val="22"/>
        </w:rPr>
        <w:t>–</w:t>
      </w:r>
      <w:r>
        <w:rPr>
          <w:rFonts w:ascii="Calibri" w:cs="Calibri"/>
          <w:color w:val="000000"/>
          <w:sz w:val="22"/>
          <w:szCs w:val="22"/>
        </w:rPr>
        <w:t xml:space="preserve"> North and </w:t>
      </w:r>
      <w:proofErr w:type="spellStart"/>
      <w:r>
        <w:rPr>
          <w:rFonts w:ascii="Calibri" w:cs="Calibri"/>
          <w:color w:val="000000"/>
          <w:sz w:val="22"/>
          <w:szCs w:val="22"/>
        </w:rPr>
        <w:t>Moorabool</w:t>
      </w:r>
      <w:proofErr w:type="spellEnd"/>
      <w:r>
        <w:rPr>
          <w:rFonts w:ascii="Calibri" w:cs="Calibri"/>
          <w:color w:val="000000"/>
          <w:sz w:val="22"/>
          <w:szCs w:val="22"/>
        </w:rPr>
        <w:t xml:space="preserve"> (S) </w:t>
      </w:r>
      <w:r>
        <w:rPr>
          <w:rFonts w:ascii="Calibri" w:cs="Calibri"/>
          <w:color w:val="000000"/>
          <w:sz w:val="22"/>
          <w:szCs w:val="22"/>
        </w:rPr>
        <w:t>–</w:t>
      </w:r>
      <w:r>
        <w:rPr>
          <w:rFonts w:ascii="Calibri" w:cs="Calibri"/>
          <w:color w:val="000000"/>
          <w:sz w:val="22"/>
          <w:szCs w:val="22"/>
        </w:rPr>
        <w:t xml:space="preserve"> Ballan </w:t>
      </w:r>
      <w:proofErr w:type="spellStart"/>
      <w:r>
        <w:rPr>
          <w:rFonts w:ascii="Calibri" w:hAnsi="Calibri" w:cs="Calibri"/>
          <w:color w:val="000000"/>
          <w:sz w:val="22"/>
          <w:szCs w:val="22"/>
        </w:rPr>
        <w:t>SLAs</w:t>
      </w:r>
      <w:proofErr w:type="spellEnd"/>
      <w:r>
        <w:rPr>
          <w:rFonts w:ascii="Calibri" w:hAnsi="Calibri" w:cs="Calibri"/>
          <w:color w:val="000000"/>
          <w:sz w:val="22"/>
          <w:szCs w:val="22"/>
        </w:rPr>
        <w:t xml:space="preserve"> reported the lowest (both 3.4 per cent).</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Arial" w:hAnsi="Arial" w:cs="Arial"/>
        </w:rPr>
      </w:pPr>
    </w:p>
    <w:p w:rsidR="00D8413A" w:rsidRDefault="00D8413A" w:rsidP="00D8413A">
      <w:pPr>
        <w:spacing w:line="360" w:lineRule="auto"/>
      </w:pPr>
    </w:p>
    <w:p w:rsidR="00D8413A" w:rsidRDefault="00D8413A">
      <w:r>
        <w:br w:type="page"/>
      </w:r>
    </w:p>
    <w:p w:rsidR="00D8413A" w:rsidRDefault="00D8413A" w:rsidP="00D8413A">
      <w:pPr>
        <w:spacing w:line="360" w:lineRule="auto"/>
      </w:pPr>
      <w:r>
        <w:lastRenderedPageBreak/>
        <w:t>Slide 8</w:t>
      </w:r>
    </w:p>
    <w:p w:rsidR="00D8413A" w:rsidRDefault="00D8413A" w:rsidP="00D8413A">
      <w:pPr>
        <w:spacing w:line="360" w:lineRule="auto"/>
      </w:pPr>
    </w:p>
    <w:p w:rsidR="00D8413A" w:rsidRDefault="00D8413A" w:rsidP="00D8413A">
      <w:pPr>
        <w:spacing w:line="360" w:lineRule="auto"/>
        <w:jc w:val="center"/>
      </w:pPr>
      <w:r>
        <w:object w:dxaOrig="7216" w:dyaOrig="5409">
          <v:shape id="_x0000_i1032" type="#_x0000_t75" style="width:270.75pt;height:202.5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32" DrawAspect="Content" ObjectID="_1424612433" r:id="rId21"/>
        </w:object>
      </w:r>
    </w:p>
    <w:p w:rsidR="00D8413A" w:rsidRDefault="00D8413A" w:rsidP="00D8413A">
      <w:pPr>
        <w:spacing w:line="360" w:lineRule="auto"/>
        <w:jc w:val="center"/>
      </w:pPr>
    </w:p>
    <w:p w:rsidR="00D8413A" w:rsidRDefault="00D8413A" w:rsidP="00D8413A">
      <w:pPr>
        <w:autoSpaceDE w:val="0"/>
        <w:autoSpaceDN w:val="0"/>
        <w:adjustRightInd w:val="0"/>
        <w:rPr>
          <w:rFonts w:ascii="Calibri" w:hAnsi="Calibri" w:cs="Calibri"/>
          <w:color w:val="000000"/>
          <w:sz w:val="22"/>
          <w:szCs w:val="22"/>
          <w:u w:val="single"/>
        </w:rPr>
      </w:pPr>
      <w:r>
        <w:rPr>
          <w:rFonts w:ascii="Calibri" w:hAnsi="Calibri" w:cs="Calibri"/>
          <w:b/>
          <w:bCs/>
          <w:color w:val="000000"/>
          <w:sz w:val="22"/>
          <w:szCs w:val="22"/>
          <w:u w:val="single"/>
        </w:rPr>
        <w:t>Long-term Unemployment:</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i/>
          <w:iCs/>
          <w:color w:val="000000"/>
          <w:sz w:val="22"/>
          <w:szCs w:val="22"/>
        </w:rPr>
        <w:t>Source: ABS Labour Force Data, January 2013, 12 month averages of original data</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b/>
          <w:bCs/>
          <w:i/>
          <w:iCs/>
          <w:color w:val="000000"/>
          <w:sz w:val="22"/>
          <w:szCs w:val="22"/>
        </w:rPr>
        <w:t> </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Long-term unemployed are those who have been unemployed and looking for work for at least 52 weeks. </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The proportion of unemployed persons who were long-term unemployed in the Central Highlands-Wimmera </w:t>
      </w:r>
      <w:proofErr w:type="spellStart"/>
      <w:r>
        <w:rPr>
          <w:rFonts w:ascii="Calibri" w:hAnsi="Calibri" w:cs="Calibri"/>
          <w:color w:val="000000"/>
          <w:sz w:val="22"/>
          <w:szCs w:val="22"/>
        </w:rPr>
        <w:t>LFR</w:t>
      </w:r>
      <w:proofErr w:type="spellEnd"/>
      <w:r>
        <w:rPr>
          <w:rFonts w:ascii="Calibri" w:hAnsi="Calibri" w:cs="Calibri"/>
          <w:color w:val="000000"/>
          <w:sz w:val="22"/>
          <w:szCs w:val="22"/>
        </w:rPr>
        <w:t xml:space="preserve"> (26.8%) was higher than both Victoria (17.5%) and Australia (19.0%). </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In the 12 months to November 2012, the average duration of unemployment in the Central Highlands-Wimmera </w:t>
      </w:r>
      <w:proofErr w:type="spellStart"/>
      <w:r>
        <w:rPr>
          <w:rFonts w:ascii="Calibri" w:hAnsi="Calibri" w:cs="Calibri"/>
          <w:color w:val="000000"/>
          <w:sz w:val="22"/>
          <w:szCs w:val="22"/>
        </w:rPr>
        <w:t>LFR</w:t>
      </w:r>
      <w:proofErr w:type="spellEnd"/>
      <w:r>
        <w:rPr>
          <w:rFonts w:ascii="Calibri" w:hAnsi="Calibri" w:cs="Calibri"/>
          <w:color w:val="000000"/>
          <w:sz w:val="22"/>
          <w:szCs w:val="22"/>
        </w:rPr>
        <w:t xml:space="preserve"> has increased significantly (72 weeks, an increase of 14 weeks) and remains well above the average for Victoria (34 weeks) and Australia (37 weeks).</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Arial" w:hAnsi="Arial" w:cs="Arial"/>
        </w:rPr>
      </w:pPr>
    </w:p>
    <w:p w:rsidR="00D8413A" w:rsidRDefault="00D8413A" w:rsidP="00D8413A">
      <w:pPr>
        <w:spacing w:line="360" w:lineRule="auto"/>
      </w:pPr>
    </w:p>
    <w:p w:rsidR="00D8413A" w:rsidRDefault="00D8413A">
      <w:r>
        <w:br w:type="page"/>
      </w:r>
    </w:p>
    <w:p w:rsidR="00D8413A" w:rsidRDefault="00D8413A" w:rsidP="00D8413A">
      <w:pPr>
        <w:spacing w:line="360" w:lineRule="auto"/>
      </w:pPr>
      <w:r>
        <w:lastRenderedPageBreak/>
        <w:t>Slide 9</w:t>
      </w:r>
    </w:p>
    <w:p w:rsidR="00D8413A" w:rsidRDefault="00D8413A" w:rsidP="00D8413A">
      <w:pPr>
        <w:spacing w:line="360" w:lineRule="auto"/>
      </w:pPr>
    </w:p>
    <w:p w:rsidR="00D8413A" w:rsidRDefault="00D8413A" w:rsidP="00D8413A">
      <w:pPr>
        <w:spacing w:line="360" w:lineRule="auto"/>
        <w:jc w:val="center"/>
      </w:pPr>
      <w:r>
        <w:object w:dxaOrig="7216" w:dyaOrig="5409">
          <v:shape id="_x0000_i1033" type="#_x0000_t75" style="width:270.75pt;height:202.5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33" DrawAspect="Content" ObjectID="_1424612434" r:id="rId23"/>
        </w:object>
      </w:r>
    </w:p>
    <w:p w:rsidR="00D8413A" w:rsidRDefault="00D8413A" w:rsidP="00D8413A">
      <w:pPr>
        <w:spacing w:line="360" w:lineRule="auto"/>
        <w:jc w:val="cente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b/>
          <w:bCs/>
          <w:color w:val="000000"/>
          <w:sz w:val="22"/>
          <w:szCs w:val="22"/>
          <w:u w:val="single"/>
        </w:rPr>
        <w:t>Teenage Full-time Unemployment</w:t>
      </w:r>
    </w:p>
    <w:p w:rsidR="00D8413A" w:rsidRDefault="00D8413A" w:rsidP="00D8413A">
      <w:pPr>
        <w:autoSpaceDE w:val="0"/>
        <w:autoSpaceDN w:val="0"/>
        <w:adjustRightInd w:val="0"/>
        <w:rPr>
          <w:rFonts w:ascii="Calibri" w:hAnsi="Calibri" w:cs="Calibri"/>
          <w:i/>
          <w:iCs/>
          <w:color w:val="000000"/>
          <w:sz w:val="22"/>
          <w:szCs w:val="22"/>
        </w:rPr>
      </w:pPr>
      <w:r>
        <w:rPr>
          <w:rFonts w:ascii="Calibri" w:hAnsi="Calibri" w:cs="Calibri"/>
          <w:i/>
          <w:iCs/>
          <w:color w:val="000000"/>
          <w:sz w:val="22"/>
          <w:szCs w:val="22"/>
        </w:rPr>
        <w:t>Source:</w:t>
      </w:r>
      <w:r>
        <w:rPr>
          <w:rFonts w:ascii="Calibri" w:hAnsi="Calibri" w:cs="Calibri"/>
          <w:color w:val="000000"/>
          <w:sz w:val="22"/>
          <w:szCs w:val="22"/>
        </w:rPr>
        <w:t xml:space="preserve"> </w:t>
      </w:r>
      <w:r>
        <w:rPr>
          <w:rFonts w:ascii="Calibri" w:hAnsi="Calibri" w:cs="Calibri"/>
          <w:i/>
          <w:iCs/>
          <w:color w:val="000000"/>
          <w:sz w:val="22"/>
          <w:szCs w:val="22"/>
        </w:rPr>
        <w:t>ABS Labour Force, January 2013 (12 month averages); ABS Census of Population and Housing, 2011</w:t>
      </w:r>
    </w:p>
    <w:p w:rsidR="00D8413A" w:rsidRDefault="00D8413A" w:rsidP="00D8413A">
      <w:pPr>
        <w:autoSpaceDE w:val="0"/>
        <w:autoSpaceDN w:val="0"/>
        <w:adjustRightInd w:val="0"/>
        <w:rPr>
          <w:rFonts w:ascii="Calibri" w:hAnsi="Calibri" w:cs="Calibri"/>
          <w:b/>
          <w:bCs/>
          <w:color w:val="000000"/>
          <w:sz w:val="22"/>
          <w:szCs w:val="22"/>
          <w:lang w:val="en-US"/>
        </w:rPr>
      </w:pPr>
    </w:p>
    <w:p w:rsidR="00D8413A" w:rsidRDefault="00D8413A" w:rsidP="00D8413A">
      <w:pPr>
        <w:autoSpaceDE w:val="0"/>
        <w:autoSpaceDN w:val="0"/>
        <w:adjustRightInd w:val="0"/>
        <w:rPr>
          <w:rFonts w:ascii="Calibri" w:hAnsi="Calibri" w:cs="Calibri"/>
          <w:color w:val="000000"/>
          <w:sz w:val="22"/>
          <w:szCs w:val="22"/>
          <w:lang w:val="en-US"/>
        </w:rPr>
      </w:pPr>
      <w:r>
        <w:rPr>
          <w:rFonts w:ascii="Calibri" w:hAnsi="Calibri" w:cs="Calibri"/>
          <w:color w:val="000000"/>
          <w:sz w:val="22"/>
          <w:szCs w:val="22"/>
          <w:lang w:val="en-US"/>
        </w:rPr>
        <w:t xml:space="preserve">Due to their lack of skills and experience, teenagers participating in the full-time </w:t>
      </w:r>
      <w:proofErr w:type="spellStart"/>
      <w:r>
        <w:rPr>
          <w:rFonts w:ascii="Calibri" w:hAnsi="Calibri" w:cs="Calibri"/>
          <w:color w:val="000000"/>
          <w:sz w:val="22"/>
          <w:szCs w:val="22"/>
          <w:lang w:val="en-US"/>
        </w:rPr>
        <w:t>labour</w:t>
      </w:r>
      <w:proofErr w:type="spellEnd"/>
      <w:r>
        <w:rPr>
          <w:rFonts w:ascii="Calibri" w:hAnsi="Calibri" w:cs="Calibri"/>
          <w:color w:val="000000"/>
          <w:sz w:val="22"/>
          <w:szCs w:val="22"/>
          <w:lang w:val="en-US"/>
        </w:rPr>
        <w:t xml:space="preserve"> market can be particularly vulnerable during a </w:t>
      </w:r>
      <w:proofErr w:type="spellStart"/>
      <w:r>
        <w:rPr>
          <w:rFonts w:ascii="Calibri" w:hAnsi="Calibri" w:cs="Calibri"/>
          <w:color w:val="000000"/>
          <w:sz w:val="22"/>
          <w:szCs w:val="22"/>
          <w:lang w:val="en-US"/>
        </w:rPr>
        <w:t>labour</w:t>
      </w:r>
      <w:proofErr w:type="spellEnd"/>
      <w:r>
        <w:rPr>
          <w:rFonts w:ascii="Calibri" w:hAnsi="Calibri" w:cs="Calibri"/>
          <w:color w:val="000000"/>
          <w:sz w:val="22"/>
          <w:szCs w:val="22"/>
          <w:lang w:val="en-US"/>
        </w:rPr>
        <w:t xml:space="preserve"> market downturn.</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In January 2013, the full-time unemployment rate for the Central Highlands-Wimmera </w:t>
      </w:r>
      <w:proofErr w:type="spellStart"/>
      <w:r>
        <w:rPr>
          <w:rFonts w:ascii="Calibri" w:hAnsi="Calibri" w:cs="Calibri"/>
          <w:color w:val="000000"/>
          <w:sz w:val="22"/>
          <w:szCs w:val="22"/>
        </w:rPr>
        <w:t>LFR</w:t>
      </w:r>
      <w:proofErr w:type="spellEnd"/>
      <w:r>
        <w:rPr>
          <w:rFonts w:ascii="Calibri" w:hAnsi="Calibri" w:cs="Calibri"/>
          <w:color w:val="000000"/>
          <w:sz w:val="22"/>
          <w:szCs w:val="22"/>
        </w:rPr>
        <w:t xml:space="preserve"> was 45 per cent, an increase of 7 per cent since the previous year. The full-time unemployment rate was significantly higher than both Victoria (28 per cent) and Australia (24 per cent).</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Similarly, the teenage full-time unemployment to population ratio in the Central Highlands-Wimmera </w:t>
      </w:r>
      <w:proofErr w:type="spellStart"/>
      <w:r>
        <w:rPr>
          <w:rFonts w:ascii="Calibri" w:hAnsi="Calibri" w:cs="Calibri"/>
          <w:color w:val="000000"/>
          <w:sz w:val="22"/>
          <w:szCs w:val="22"/>
        </w:rPr>
        <w:t>LFR</w:t>
      </w:r>
      <w:proofErr w:type="spellEnd"/>
      <w:r>
        <w:rPr>
          <w:rFonts w:ascii="Calibri" w:hAnsi="Calibri" w:cs="Calibri"/>
          <w:color w:val="000000"/>
          <w:sz w:val="22"/>
          <w:szCs w:val="22"/>
        </w:rPr>
        <w:t xml:space="preserve"> (7 per cent) was higher than Victoria and Australia (both 4 per cent).</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At the time of the 2011 Census, 7 per cent of 15 to 19 year olds in the Ballarat Area were </w:t>
      </w:r>
      <w:proofErr w:type="gramStart"/>
      <w:r>
        <w:rPr>
          <w:rFonts w:ascii="Calibri" w:hAnsi="Calibri" w:cs="Calibri"/>
          <w:color w:val="000000"/>
          <w:sz w:val="22"/>
          <w:szCs w:val="22"/>
        </w:rPr>
        <w:t>neither studying nor working, a figure reflecting the national average at that time</w:t>
      </w:r>
      <w:proofErr w:type="gramEnd"/>
      <w:r>
        <w:rPr>
          <w:rFonts w:ascii="Calibri" w:hAnsi="Calibri" w:cs="Calibri"/>
          <w:color w:val="000000"/>
          <w:sz w:val="22"/>
          <w:szCs w:val="22"/>
        </w:rPr>
        <w:t xml:space="preserve">. </w:t>
      </w:r>
    </w:p>
    <w:p w:rsidR="00D8413A" w:rsidRDefault="00D8413A" w:rsidP="00D8413A">
      <w:pPr>
        <w:autoSpaceDE w:val="0"/>
        <w:autoSpaceDN w:val="0"/>
        <w:adjustRightInd w:val="0"/>
        <w:rPr>
          <w:rFonts w:ascii="Arial" w:hAnsi="Arial" w:cs="Arial"/>
          <w:color w:val="000000"/>
          <w:sz w:val="22"/>
          <w:szCs w:val="22"/>
        </w:rPr>
      </w:pPr>
    </w:p>
    <w:p w:rsidR="00D8413A" w:rsidRDefault="00D8413A" w:rsidP="00D8413A">
      <w:pPr>
        <w:autoSpaceDE w:val="0"/>
        <w:autoSpaceDN w:val="0"/>
        <w:adjustRightInd w:val="0"/>
        <w:rPr>
          <w:rFonts w:ascii="Arial" w:hAnsi="Arial" w:cs="Arial"/>
        </w:rPr>
      </w:pPr>
    </w:p>
    <w:p w:rsidR="00D8413A" w:rsidRDefault="00D8413A" w:rsidP="00D8413A">
      <w:pPr>
        <w:spacing w:line="360" w:lineRule="auto"/>
      </w:pPr>
    </w:p>
    <w:p w:rsidR="00D8413A" w:rsidRDefault="00D8413A">
      <w:r>
        <w:br w:type="page"/>
      </w:r>
    </w:p>
    <w:p w:rsidR="00D8413A" w:rsidRDefault="00D8413A" w:rsidP="00D8413A">
      <w:pPr>
        <w:spacing w:line="360" w:lineRule="auto"/>
      </w:pPr>
      <w:r>
        <w:lastRenderedPageBreak/>
        <w:t>Slide 10</w:t>
      </w:r>
    </w:p>
    <w:p w:rsidR="00D8413A" w:rsidRDefault="00D8413A" w:rsidP="00D8413A">
      <w:pPr>
        <w:spacing w:line="360" w:lineRule="auto"/>
      </w:pPr>
    </w:p>
    <w:p w:rsidR="00D8413A" w:rsidRDefault="00D8413A" w:rsidP="00D8413A">
      <w:pPr>
        <w:spacing w:line="360" w:lineRule="auto"/>
        <w:jc w:val="center"/>
      </w:pPr>
      <w:r>
        <w:object w:dxaOrig="7216" w:dyaOrig="5409">
          <v:shape id="_x0000_i1034" type="#_x0000_t75" style="width:270.75pt;height:202.5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34" DrawAspect="Content" ObjectID="_1424612435" r:id="rId25"/>
        </w:object>
      </w:r>
    </w:p>
    <w:p w:rsidR="00D8413A" w:rsidRDefault="00D8413A" w:rsidP="00D8413A">
      <w:pPr>
        <w:spacing w:line="360" w:lineRule="auto"/>
        <w:jc w:val="center"/>
      </w:pPr>
    </w:p>
    <w:p w:rsidR="00D8413A" w:rsidRDefault="00D8413A" w:rsidP="00D8413A">
      <w:pPr>
        <w:autoSpaceDE w:val="0"/>
        <w:autoSpaceDN w:val="0"/>
        <w:adjustRightInd w:val="0"/>
        <w:rPr>
          <w:rFonts w:ascii="Calibri" w:cs="Calibri"/>
          <w:b/>
          <w:bCs/>
          <w:color w:val="000000"/>
          <w:sz w:val="22"/>
          <w:szCs w:val="22"/>
          <w:u w:val="single"/>
        </w:rPr>
      </w:pPr>
      <w:r>
        <w:rPr>
          <w:rFonts w:ascii="Calibri" w:cs="Calibri"/>
          <w:b/>
          <w:bCs/>
          <w:color w:val="000000"/>
          <w:sz w:val="22"/>
          <w:szCs w:val="22"/>
          <w:u w:val="single"/>
        </w:rPr>
        <w:t>Jobless Families:</w:t>
      </w:r>
    </w:p>
    <w:p w:rsidR="00D8413A" w:rsidRDefault="00D8413A" w:rsidP="00D8413A">
      <w:pPr>
        <w:autoSpaceDE w:val="0"/>
        <w:autoSpaceDN w:val="0"/>
        <w:adjustRightInd w:val="0"/>
        <w:rPr>
          <w:rFonts w:ascii="Calibri" w:cs="Calibri"/>
          <w:color w:val="000000"/>
          <w:sz w:val="22"/>
          <w:szCs w:val="22"/>
        </w:rPr>
      </w:pPr>
      <w:r>
        <w:rPr>
          <w:rFonts w:ascii="Calibri" w:cs="Calibri"/>
          <w:i/>
          <w:iCs/>
          <w:color w:val="000000"/>
          <w:sz w:val="22"/>
          <w:szCs w:val="22"/>
        </w:rPr>
        <w:t>Source: ABS 2011 Census of Population and Housing</w:t>
      </w:r>
    </w:p>
    <w:p w:rsidR="00D8413A" w:rsidRDefault="00D8413A" w:rsidP="00D8413A">
      <w:pPr>
        <w:autoSpaceDE w:val="0"/>
        <w:autoSpaceDN w:val="0"/>
        <w:adjustRightInd w:val="0"/>
        <w:rPr>
          <w:rFonts w:asci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Jobless families are families where no parent is employed (</w:t>
      </w:r>
      <w:r>
        <w:rPr>
          <w:rFonts w:ascii="Calibri" w:hAnsi="Calibri" w:cs="Calibri"/>
          <w:i/>
          <w:iCs/>
          <w:color w:val="000000"/>
          <w:sz w:val="22"/>
          <w:szCs w:val="22"/>
        </w:rPr>
        <w:t>ABS 2006 Census of Population and Housing</w:t>
      </w:r>
      <w:r>
        <w:rPr>
          <w:rFonts w:ascii="Calibri" w:hAnsi="Calibri" w:cs="Calibri"/>
          <w:color w:val="000000"/>
          <w:sz w:val="22"/>
          <w:szCs w:val="22"/>
        </w:rPr>
        <w:t>)</w:t>
      </w:r>
    </w:p>
    <w:p w:rsidR="00D8413A" w:rsidRDefault="00D8413A" w:rsidP="00D8413A">
      <w:pPr>
        <w:autoSpaceDE w:val="0"/>
        <w:autoSpaceDN w:val="0"/>
        <w:adjustRightInd w:val="0"/>
        <w:rPr>
          <w:rFonts w:ascii="Calibri" w:cs="Calibri"/>
          <w:color w:val="000000"/>
          <w:sz w:val="22"/>
          <w:szCs w:val="22"/>
        </w:rPr>
      </w:pPr>
    </w:p>
    <w:p w:rsidR="00D8413A" w:rsidRDefault="00D8413A" w:rsidP="00D8413A">
      <w:pPr>
        <w:autoSpaceDE w:val="0"/>
        <w:autoSpaceDN w:val="0"/>
        <w:adjustRightInd w:val="0"/>
        <w:rPr>
          <w:rFonts w:ascii="Calibri" w:cs="Calibri"/>
          <w:color w:val="000000"/>
          <w:sz w:val="22"/>
          <w:szCs w:val="22"/>
        </w:rPr>
      </w:pPr>
      <w:r>
        <w:rPr>
          <w:rFonts w:ascii="Calibri" w:cs="Calibri"/>
          <w:color w:val="000000"/>
          <w:sz w:val="22"/>
          <w:szCs w:val="22"/>
        </w:rPr>
        <w:t xml:space="preserve">The proportion of families with children under 15 years in the Central Victoria PEA who are jobless (16%) is above both Victoria (13%) and Australia (14%). </w:t>
      </w:r>
    </w:p>
    <w:p w:rsidR="00D8413A" w:rsidRDefault="00D8413A" w:rsidP="00D8413A">
      <w:pPr>
        <w:autoSpaceDE w:val="0"/>
        <w:autoSpaceDN w:val="0"/>
        <w:adjustRightInd w:val="0"/>
        <w:rPr>
          <w:rFonts w:ascii="Calibri" w:cs="Calibri"/>
          <w:color w:val="000000"/>
          <w:sz w:val="22"/>
          <w:szCs w:val="22"/>
        </w:rPr>
      </w:pPr>
    </w:p>
    <w:p w:rsidR="00D8413A" w:rsidRPr="0036565E" w:rsidRDefault="00D8413A" w:rsidP="00D8413A">
      <w:pPr>
        <w:autoSpaceDE w:val="0"/>
        <w:autoSpaceDN w:val="0"/>
        <w:adjustRightInd w:val="0"/>
        <w:rPr>
          <w:rFonts w:asciiTheme="minorHAnsi" w:hAnsiTheme="minorHAnsi" w:cstheme="minorHAnsi"/>
          <w:color w:val="000000"/>
          <w:sz w:val="22"/>
          <w:szCs w:val="22"/>
        </w:rPr>
      </w:pPr>
      <w:r w:rsidRPr="0036565E">
        <w:rPr>
          <w:rFonts w:asciiTheme="minorHAnsi" w:hAnsiTheme="minorHAnsi" w:cstheme="minorHAnsi"/>
          <w:color w:val="000000"/>
          <w:sz w:val="22"/>
          <w:szCs w:val="22"/>
        </w:rPr>
        <w:t xml:space="preserve">One in six families with children under 15 in the Central Victoria PEA </w:t>
      </w:r>
      <w:proofErr w:type="gramStart"/>
      <w:r w:rsidRPr="0036565E">
        <w:rPr>
          <w:rFonts w:asciiTheme="minorHAnsi" w:hAnsiTheme="minorHAnsi" w:cstheme="minorHAnsi"/>
          <w:color w:val="000000"/>
          <w:sz w:val="22"/>
          <w:szCs w:val="22"/>
        </w:rPr>
        <w:t>are</w:t>
      </w:r>
      <w:proofErr w:type="gramEnd"/>
      <w:r w:rsidRPr="0036565E">
        <w:rPr>
          <w:rFonts w:asciiTheme="minorHAnsi" w:hAnsiTheme="minorHAnsi" w:cstheme="minorHAnsi"/>
          <w:color w:val="000000"/>
          <w:sz w:val="22"/>
          <w:szCs w:val="22"/>
        </w:rPr>
        <w:t xml:space="preserve"> jobless.</w:t>
      </w:r>
    </w:p>
    <w:p w:rsidR="00D8413A" w:rsidRPr="0036565E" w:rsidRDefault="00D8413A" w:rsidP="00D8413A">
      <w:pPr>
        <w:numPr>
          <w:ilvl w:val="0"/>
          <w:numId w:val="2"/>
        </w:numPr>
        <w:autoSpaceDE w:val="0"/>
        <w:autoSpaceDN w:val="0"/>
        <w:adjustRightInd w:val="0"/>
        <w:rPr>
          <w:rFonts w:asciiTheme="minorHAnsi" w:hAnsiTheme="minorHAnsi" w:cstheme="minorHAnsi"/>
          <w:color w:val="000000"/>
          <w:sz w:val="22"/>
          <w:szCs w:val="22"/>
        </w:rPr>
      </w:pPr>
      <w:r w:rsidRPr="0036565E">
        <w:rPr>
          <w:rFonts w:asciiTheme="minorHAnsi" w:hAnsiTheme="minorHAnsi" w:cstheme="minorHAnsi"/>
          <w:color w:val="000000"/>
          <w:sz w:val="22"/>
          <w:szCs w:val="22"/>
        </w:rPr>
        <w:t xml:space="preserve"> 1 in 18 couple families are jobless</w:t>
      </w:r>
    </w:p>
    <w:p w:rsidR="00D8413A" w:rsidRPr="0036565E" w:rsidRDefault="00D8413A" w:rsidP="00D8413A">
      <w:pPr>
        <w:numPr>
          <w:ilvl w:val="0"/>
          <w:numId w:val="2"/>
        </w:numPr>
        <w:autoSpaceDE w:val="0"/>
        <w:autoSpaceDN w:val="0"/>
        <w:adjustRightInd w:val="0"/>
        <w:rPr>
          <w:rFonts w:asciiTheme="minorHAnsi" w:hAnsiTheme="minorHAnsi" w:cstheme="minorHAnsi"/>
          <w:color w:val="000000"/>
          <w:sz w:val="22"/>
          <w:szCs w:val="22"/>
        </w:rPr>
      </w:pPr>
      <w:r w:rsidRPr="0036565E">
        <w:rPr>
          <w:rFonts w:asciiTheme="minorHAnsi" w:hAnsiTheme="minorHAnsi" w:cstheme="minorHAnsi"/>
          <w:color w:val="000000"/>
          <w:sz w:val="22"/>
          <w:szCs w:val="22"/>
        </w:rPr>
        <w:t xml:space="preserve"> Almost 1 in 2 lone parent families are jobless</w:t>
      </w:r>
    </w:p>
    <w:p w:rsidR="00D8413A" w:rsidRDefault="00D8413A" w:rsidP="00D8413A">
      <w:pPr>
        <w:autoSpaceDE w:val="0"/>
        <w:autoSpaceDN w:val="0"/>
        <w:adjustRightInd w:val="0"/>
        <w:rPr>
          <w:rFonts w:ascii="Calibri" w:cs="Calibri"/>
          <w:color w:val="000000"/>
          <w:sz w:val="22"/>
          <w:szCs w:val="22"/>
        </w:rPr>
      </w:pPr>
    </w:p>
    <w:p w:rsidR="00D8413A" w:rsidRDefault="00D8413A" w:rsidP="00D8413A">
      <w:pPr>
        <w:autoSpaceDE w:val="0"/>
        <w:autoSpaceDN w:val="0"/>
        <w:adjustRightInd w:val="0"/>
        <w:rPr>
          <w:rFonts w:ascii="Arial" w:hAnsi="Arial" w:cs="Arial"/>
        </w:rPr>
      </w:pPr>
    </w:p>
    <w:p w:rsidR="00D8413A" w:rsidRDefault="00D8413A" w:rsidP="00D8413A">
      <w:pPr>
        <w:spacing w:line="360" w:lineRule="auto"/>
      </w:pPr>
    </w:p>
    <w:p w:rsidR="00D8413A" w:rsidRDefault="00D8413A">
      <w:r>
        <w:br w:type="page"/>
      </w:r>
    </w:p>
    <w:p w:rsidR="00D8413A" w:rsidRDefault="00D8413A" w:rsidP="00D8413A">
      <w:pPr>
        <w:spacing w:line="360" w:lineRule="auto"/>
      </w:pPr>
      <w:r>
        <w:lastRenderedPageBreak/>
        <w:t>Slide 11</w:t>
      </w:r>
    </w:p>
    <w:p w:rsidR="00D8413A" w:rsidRDefault="00D8413A" w:rsidP="00D8413A">
      <w:pPr>
        <w:spacing w:line="360" w:lineRule="auto"/>
      </w:pPr>
    </w:p>
    <w:p w:rsidR="00D8413A" w:rsidRDefault="00D8413A" w:rsidP="00D8413A">
      <w:pPr>
        <w:spacing w:line="360" w:lineRule="auto"/>
        <w:jc w:val="center"/>
      </w:pPr>
      <w:r>
        <w:object w:dxaOrig="7216" w:dyaOrig="5409">
          <v:shape id="_x0000_i1035" type="#_x0000_t75" style="width:270.75pt;height:202.5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35" DrawAspect="Content" ObjectID="_1424612436" r:id="rId27"/>
        </w:object>
      </w:r>
    </w:p>
    <w:p w:rsidR="00D8413A" w:rsidRDefault="00D8413A" w:rsidP="00D8413A">
      <w:pPr>
        <w:spacing w:line="360" w:lineRule="auto"/>
        <w:jc w:val="center"/>
      </w:pPr>
    </w:p>
    <w:p w:rsidR="00D8413A" w:rsidRDefault="00D8413A" w:rsidP="00D8413A">
      <w:pPr>
        <w:autoSpaceDE w:val="0"/>
        <w:autoSpaceDN w:val="0"/>
        <w:adjustRightInd w:val="0"/>
        <w:rPr>
          <w:rFonts w:ascii="Calibri" w:hAnsi="Calibri" w:cs="Calibri"/>
          <w:b/>
          <w:bCs/>
          <w:color w:val="000000"/>
          <w:sz w:val="22"/>
          <w:szCs w:val="22"/>
          <w:u w:val="single"/>
        </w:rPr>
      </w:pPr>
      <w:r>
        <w:rPr>
          <w:rFonts w:ascii="Calibri" w:hAnsi="Calibri" w:cs="Calibri"/>
          <w:b/>
          <w:bCs/>
          <w:color w:val="000000"/>
          <w:sz w:val="22"/>
          <w:szCs w:val="22"/>
          <w:u w:val="single"/>
        </w:rPr>
        <w:t>Disengaged Youth:</w:t>
      </w:r>
    </w:p>
    <w:p w:rsidR="00D8413A" w:rsidRDefault="00D8413A" w:rsidP="00D8413A">
      <w:pPr>
        <w:autoSpaceDE w:val="0"/>
        <w:autoSpaceDN w:val="0"/>
        <w:adjustRightInd w:val="0"/>
        <w:rPr>
          <w:rFonts w:ascii="Calibri" w:hAnsi="Calibri" w:cs="Calibri"/>
          <w:i/>
          <w:iCs/>
          <w:color w:val="000000"/>
          <w:sz w:val="22"/>
          <w:szCs w:val="22"/>
        </w:rPr>
      </w:pPr>
      <w:r>
        <w:rPr>
          <w:rFonts w:ascii="Calibri" w:hAnsi="Calibri" w:cs="Calibri"/>
          <w:i/>
          <w:iCs/>
          <w:color w:val="000000"/>
          <w:sz w:val="22"/>
          <w:szCs w:val="22"/>
        </w:rPr>
        <w:t>Source: ABS 2011 Census of Population and Housing.</w:t>
      </w:r>
    </w:p>
    <w:p w:rsidR="00D8413A" w:rsidRDefault="00D8413A" w:rsidP="00D8413A">
      <w:pPr>
        <w:autoSpaceDE w:val="0"/>
        <w:autoSpaceDN w:val="0"/>
        <w:adjustRightInd w:val="0"/>
        <w:rPr>
          <w:rFonts w:ascii="Calibri" w:hAnsi="Calibri" w:cs="Calibri"/>
          <w:i/>
          <w:iCs/>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This chart shows persons aged 20-24 years who are neither working nor studying.</w:t>
      </w:r>
    </w:p>
    <w:p w:rsidR="00D8413A" w:rsidRDefault="00D8413A" w:rsidP="00D8413A">
      <w:pPr>
        <w:autoSpaceDE w:val="0"/>
        <w:autoSpaceDN w:val="0"/>
        <w:adjustRightInd w:val="0"/>
        <w:rPr>
          <w:rFonts w:ascii="Arial" w:hAnsi="Arial" w:cs="Arial"/>
        </w:rPr>
      </w:pPr>
    </w:p>
    <w:p w:rsidR="00D8413A" w:rsidRDefault="00D8413A" w:rsidP="00D8413A">
      <w:pPr>
        <w:spacing w:line="360" w:lineRule="auto"/>
      </w:pPr>
    </w:p>
    <w:p w:rsidR="00D8413A" w:rsidRDefault="00D8413A">
      <w:r>
        <w:br w:type="page"/>
      </w:r>
    </w:p>
    <w:p w:rsidR="00D8413A" w:rsidRDefault="00D8413A" w:rsidP="00D8413A">
      <w:pPr>
        <w:spacing w:line="360" w:lineRule="auto"/>
      </w:pPr>
      <w:r>
        <w:lastRenderedPageBreak/>
        <w:t>Slide 12</w:t>
      </w:r>
    </w:p>
    <w:p w:rsidR="00D8413A" w:rsidRDefault="00D8413A" w:rsidP="00D8413A">
      <w:pPr>
        <w:spacing w:line="360" w:lineRule="auto"/>
      </w:pPr>
    </w:p>
    <w:p w:rsidR="00D8413A" w:rsidRDefault="00D8413A" w:rsidP="00D8413A">
      <w:pPr>
        <w:spacing w:line="360" w:lineRule="auto"/>
        <w:jc w:val="center"/>
      </w:pPr>
      <w:r>
        <w:object w:dxaOrig="7216" w:dyaOrig="5409">
          <v:shape id="_x0000_i1036" type="#_x0000_t75" style="width:270.75pt;height:202.5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36" DrawAspect="Content" ObjectID="_1424612437" r:id="rId29"/>
        </w:object>
      </w:r>
    </w:p>
    <w:p w:rsidR="00D8413A" w:rsidRDefault="00D8413A" w:rsidP="00D8413A">
      <w:pPr>
        <w:spacing w:line="360" w:lineRule="auto"/>
        <w:jc w:val="center"/>
      </w:pPr>
    </w:p>
    <w:p w:rsidR="00D8413A" w:rsidRDefault="00D8413A" w:rsidP="00D8413A">
      <w:pPr>
        <w:autoSpaceDE w:val="0"/>
        <w:autoSpaceDN w:val="0"/>
        <w:adjustRightInd w:val="0"/>
        <w:rPr>
          <w:rFonts w:ascii="Calibri" w:hAnsi="Calibri" w:cs="Calibri"/>
          <w:color w:val="000000"/>
          <w:sz w:val="22"/>
          <w:szCs w:val="22"/>
          <w:u w:val="single"/>
        </w:rPr>
      </w:pPr>
      <w:r>
        <w:rPr>
          <w:rFonts w:ascii="Calibri" w:hAnsi="Calibri" w:cs="Calibri"/>
          <w:color w:val="000000"/>
          <w:sz w:val="22"/>
          <w:szCs w:val="22"/>
        </w:rPr>
        <w:t> </w:t>
      </w:r>
      <w:r>
        <w:rPr>
          <w:rFonts w:ascii="Calibri" w:hAnsi="Calibri" w:cs="Calibri"/>
          <w:b/>
          <w:bCs/>
          <w:color w:val="000000"/>
          <w:sz w:val="22"/>
          <w:szCs w:val="22"/>
          <w:u w:val="single"/>
        </w:rPr>
        <w:t>Recipients of Income Support Payment</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i/>
          <w:iCs/>
          <w:color w:val="000000"/>
          <w:sz w:val="22"/>
          <w:szCs w:val="22"/>
        </w:rPr>
        <w:t>Source: DEEWR administrative data, December 2012; ABS Population Estimates by Age and Sex, 2011</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w:t>
      </w:r>
    </w:p>
    <w:p w:rsidR="00D8413A" w:rsidRPr="0036565E" w:rsidRDefault="00D8413A" w:rsidP="00D8413A">
      <w:pPr>
        <w:autoSpaceDE w:val="0"/>
        <w:autoSpaceDN w:val="0"/>
        <w:adjustRightInd w:val="0"/>
        <w:rPr>
          <w:rFonts w:asciiTheme="minorHAnsi" w:hAnsiTheme="minorHAnsi" w:cstheme="minorHAnsi"/>
          <w:color w:val="000000"/>
          <w:sz w:val="22"/>
          <w:szCs w:val="22"/>
        </w:rPr>
      </w:pPr>
      <w:r w:rsidRPr="0036565E">
        <w:rPr>
          <w:rFonts w:asciiTheme="minorHAnsi" w:hAnsiTheme="minorHAnsi" w:cstheme="minorHAnsi"/>
          <w:color w:val="000000"/>
          <w:sz w:val="22"/>
          <w:szCs w:val="22"/>
        </w:rPr>
        <w:t xml:space="preserve">In December 2012, almost one in four (23 per cent) of the working age population were in receipt of an Income Support benefit in the Central Victoria PEA, higher compared with Victoria and Australia (both 16 per cent). Disability Support Pension was particularly high </w:t>
      </w:r>
      <w:r w:rsidR="0036565E">
        <w:rPr>
          <w:rFonts w:asciiTheme="minorHAnsi" w:hAnsiTheme="minorHAnsi" w:cstheme="minorHAnsi"/>
          <w:color w:val="000000"/>
          <w:sz w:val="22"/>
          <w:szCs w:val="22"/>
        </w:rPr>
        <w:br/>
      </w:r>
      <w:r w:rsidRPr="0036565E">
        <w:rPr>
          <w:rFonts w:asciiTheme="minorHAnsi" w:hAnsiTheme="minorHAnsi" w:cstheme="minorHAnsi"/>
          <w:color w:val="000000"/>
          <w:sz w:val="22"/>
          <w:szCs w:val="22"/>
        </w:rPr>
        <w:t xml:space="preserve">(8 per cent of the </w:t>
      </w:r>
      <w:proofErr w:type="spellStart"/>
      <w:r w:rsidRPr="0036565E">
        <w:rPr>
          <w:rFonts w:asciiTheme="minorHAnsi" w:hAnsiTheme="minorHAnsi" w:cstheme="minorHAnsi"/>
          <w:color w:val="000000"/>
          <w:sz w:val="22"/>
          <w:szCs w:val="22"/>
        </w:rPr>
        <w:t>WAP</w:t>
      </w:r>
      <w:proofErr w:type="spellEnd"/>
      <w:r w:rsidRPr="0036565E">
        <w:rPr>
          <w:rFonts w:asciiTheme="minorHAnsi" w:hAnsiTheme="minorHAnsi" w:cstheme="minorHAnsi"/>
          <w:color w:val="000000"/>
          <w:sz w:val="22"/>
          <w:szCs w:val="22"/>
        </w:rPr>
        <w:t xml:space="preserve">) compared with the State and Australia (both 5 per cent of the </w:t>
      </w:r>
      <w:proofErr w:type="spellStart"/>
      <w:r w:rsidRPr="0036565E">
        <w:rPr>
          <w:rFonts w:asciiTheme="minorHAnsi" w:hAnsiTheme="minorHAnsi" w:cstheme="minorHAnsi"/>
          <w:color w:val="000000"/>
          <w:sz w:val="22"/>
          <w:szCs w:val="22"/>
        </w:rPr>
        <w:t>WAP</w:t>
      </w:r>
      <w:proofErr w:type="spellEnd"/>
      <w:r w:rsidRPr="0036565E">
        <w:rPr>
          <w:rFonts w:asciiTheme="minorHAnsi" w:hAnsiTheme="minorHAnsi" w:cstheme="minorHAnsi"/>
          <w:color w:val="000000"/>
          <w:sz w:val="22"/>
          <w:szCs w:val="22"/>
        </w:rPr>
        <w:t>).</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There is significant variation across the </w:t>
      </w:r>
      <w:proofErr w:type="spellStart"/>
      <w:r>
        <w:rPr>
          <w:rFonts w:ascii="Calibri" w:hAnsi="Calibri" w:cs="Calibri"/>
          <w:color w:val="000000"/>
          <w:sz w:val="22"/>
          <w:szCs w:val="22"/>
        </w:rPr>
        <w:t>LGAs</w:t>
      </w:r>
      <w:proofErr w:type="spellEnd"/>
      <w:r>
        <w:rPr>
          <w:rFonts w:ascii="Calibri" w:hAnsi="Calibri" w:cs="Calibri"/>
          <w:color w:val="000000"/>
          <w:sz w:val="22"/>
          <w:szCs w:val="22"/>
        </w:rPr>
        <w:t xml:space="preserve"> for example, 26 per cent of persons in the Pyrenees </w:t>
      </w:r>
      <w:proofErr w:type="spellStart"/>
      <w:r>
        <w:rPr>
          <w:rFonts w:ascii="Calibri" w:hAnsi="Calibri" w:cs="Calibri"/>
          <w:color w:val="000000"/>
          <w:sz w:val="22"/>
          <w:szCs w:val="22"/>
        </w:rPr>
        <w:t>LGA</w:t>
      </w:r>
      <w:proofErr w:type="spellEnd"/>
      <w:r>
        <w:rPr>
          <w:rFonts w:ascii="Calibri" w:hAnsi="Calibri" w:cs="Calibri"/>
          <w:color w:val="000000"/>
          <w:sz w:val="22"/>
          <w:szCs w:val="22"/>
        </w:rPr>
        <w:t xml:space="preserve"> were on Income Support benefits compared with only 16 per cent in the </w:t>
      </w:r>
      <w:proofErr w:type="spellStart"/>
      <w:r>
        <w:rPr>
          <w:rFonts w:ascii="Calibri" w:hAnsi="Calibri" w:cs="Calibri"/>
          <w:color w:val="000000"/>
          <w:sz w:val="22"/>
          <w:szCs w:val="22"/>
        </w:rPr>
        <w:t>Moorabool</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LGA</w:t>
      </w:r>
      <w:proofErr w:type="spellEnd"/>
      <w:r>
        <w:rPr>
          <w:rFonts w:ascii="Calibri" w:hAnsi="Calibri" w:cs="Calibri"/>
          <w:color w:val="000000"/>
          <w:sz w:val="22"/>
          <w:szCs w:val="22"/>
        </w:rPr>
        <w:t xml:space="preserve">. </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Arial" w:hAnsi="Arial" w:cs="Arial"/>
        </w:rPr>
      </w:pPr>
    </w:p>
    <w:p w:rsidR="00D8413A" w:rsidRDefault="00D8413A" w:rsidP="00D8413A">
      <w:pPr>
        <w:spacing w:line="360" w:lineRule="auto"/>
      </w:pPr>
    </w:p>
    <w:p w:rsidR="00D8413A" w:rsidRDefault="00D8413A">
      <w:r>
        <w:br w:type="page"/>
      </w:r>
    </w:p>
    <w:p w:rsidR="00D8413A" w:rsidRDefault="00D8413A" w:rsidP="00D8413A">
      <w:pPr>
        <w:spacing w:line="360" w:lineRule="auto"/>
      </w:pPr>
      <w:r>
        <w:lastRenderedPageBreak/>
        <w:t>Slide 13</w:t>
      </w:r>
    </w:p>
    <w:p w:rsidR="00D8413A" w:rsidRDefault="00D8413A" w:rsidP="00D8413A">
      <w:pPr>
        <w:spacing w:line="360" w:lineRule="auto"/>
      </w:pPr>
    </w:p>
    <w:p w:rsidR="00D8413A" w:rsidRDefault="00D8413A" w:rsidP="00D8413A">
      <w:pPr>
        <w:spacing w:line="360" w:lineRule="auto"/>
        <w:jc w:val="center"/>
      </w:pPr>
      <w:r>
        <w:object w:dxaOrig="7216" w:dyaOrig="5409">
          <v:shape id="_x0000_i1037" type="#_x0000_t75" style="width:270.75pt;height:202.5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37" DrawAspect="Content" ObjectID="_1424612438" r:id="rId31"/>
        </w:object>
      </w:r>
    </w:p>
    <w:p w:rsidR="00D8413A" w:rsidRDefault="00D8413A" w:rsidP="00D8413A">
      <w:pPr>
        <w:spacing w:line="360" w:lineRule="auto"/>
        <w:jc w:val="center"/>
      </w:pPr>
    </w:p>
    <w:p w:rsidR="00D8413A" w:rsidRDefault="00D8413A" w:rsidP="00D8413A">
      <w:pPr>
        <w:autoSpaceDE w:val="0"/>
        <w:autoSpaceDN w:val="0"/>
        <w:adjustRightInd w:val="0"/>
        <w:rPr>
          <w:rFonts w:ascii="Calibri" w:hAnsi="Calibri" w:cs="Calibri"/>
          <w:b/>
          <w:bCs/>
          <w:color w:val="000000"/>
          <w:sz w:val="22"/>
          <w:szCs w:val="22"/>
          <w:u w:val="single"/>
        </w:rPr>
      </w:pPr>
      <w:r>
        <w:rPr>
          <w:rFonts w:ascii="Calibri" w:hAnsi="Calibri" w:cs="Calibri"/>
          <w:b/>
          <w:bCs/>
          <w:color w:val="000000"/>
          <w:sz w:val="22"/>
          <w:szCs w:val="22"/>
          <w:u w:val="single"/>
        </w:rPr>
        <w:t>Labour Market Outcomes for Persons (aged 15-74) with a Disability, 2009</w:t>
      </w:r>
    </w:p>
    <w:p w:rsidR="00D8413A" w:rsidRDefault="00D8413A" w:rsidP="00D8413A">
      <w:pPr>
        <w:autoSpaceDE w:val="0"/>
        <w:autoSpaceDN w:val="0"/>
        <w:adjustRightInd w:val="0"/>
        <w:rPr>
          <w:rFonts w:ascii="Calibri" w:hAnsi="Calibri" w:cs="Calibri"/>
          <w:i/>
          <w:iCs/>
          <w:color w:val="000000"/>
          <w:sz w:val="22"/>
          <w:szCs w:val="22"/>
        </w:rPr>
      </w:pPr>
      <w:r>
        <w:rPr>
          <w:rFonts w:ascii="Calibri" w:hAnsi="Calibri" w:cs="Calibri"/>
          <w:i/>
          <w:iCs/>
          <w:color w:val="000000"/>
          <w:sz w:val="22"/>
          <w:szCs w:val="22"/>
        </w:rPr>
        <w:t>Source: ABS Customised Tables, Survey of Education and Training, 2009</w:t>
      </w:r>
    </w:p>
    <w:p w:rsidR="00D8413A" w:rsidRDefault="00D8413A" w:rsidP="00D8413A">
      <w:pPr>
        <w:autoSpaceDE w:val="0"/>
        <w:autoSpaceDN w:val="0"/>
        <w:adjustRightInd w:val="0"/>
        <w:rPr>
          <w:rFonts w:ascii="Calibri" w:hAnsi="Calibri" w:cs="Calibri"/>
          <w:b/>
          <w:bCs/>
          <w:i/>
          <w:iCs/>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This slide shows the effect of having a disability on labour market outcomes.</w:t>
      </w:r>
    </w:p>
    <w:p w:rsidR="00D8413A" w:rsidRDefault="00D8413A" w:rsidP="00D8413A">
      <w:pPr>
        <w:autoSpaceDE w:val="0"/>
        <w:autoSpaceDN w:val="0"/>
        <w:adjustRightInd w:val="0"/>
        <w:rPr>
          <w:rFonts w:ascii="Calibri" w:hAnsi="Calibri" w:cs="Calibri"/>
          <w:b/>
          <w:bCs/>
          <w:i/>
          <w:iCs/>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In 2009, over one in four (28.7 per cent) of employed persons aged 15-74 years reported having a disability. </w:t>
      </w:r>
    </w:p>
    <w:p w:rsidR="00D8413A" w:rsidRDefault="00D8413A" w:rsidP="00D8413A">
      <w:pPr>
        <w:numPr>
          <w:ilvl w:val="0"/>
          <w:numId w:val="1"/>
        </w:num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 10.4 per cent of employed persons (aged 15-74 years) reported having a disability that restricted their employment or schooling. </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In contrast, almost one in three (32.9 per cent) of the total population aged 15-74 years reported having a disability in 2009. </w:t>
      </w:r>
    </w:p>
    <w:p w:rsidR="00D8413A" w:rsidRDefault="00D8413A" w:rsidP="00D8413A">
      <w:pPr>
        <w:numPr>
          <w:ilvl w:val="0"/>
          <w:numId w:val="1"/>
        </w:num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 15.5 per cent of the population (aged 15-74 years) reported having a disability that restricted their employment or schooling. </w:t>
      </w:r>
    </w:p>
    <w:p w:rsidR="00D8413A" w:rsidRDefault="00D8413A" w:rsidP="00D8413A">
      <w:pPr>
        <w:numPr>
          <w:ilvl w:val="0"/>
          <w:numId w:val="1"/>
        </w:numPr>
        <w:autoSpaceDE w:val="0"/>
        <w:autoSpaceDN w:val="0"/>
        <w:adjustRightInd w:val="0"/>
        <w:rPr>
          <w:rFonts w:ascii="Calibri" w:hAnsi="Calibri" w:cs="Calibri"/>
          <w:color w:val="000000"/>
          <w:sz w:val="22"/>
          <w:szCs w:val="22"/>
        </w:rPr>
      </w:pPr>
      <w:r>
        <w:rPr>
          <w:rFonts w:ascii="Calibri" w:hAnsi="Calibri" w:cs="Calibri"/>
          <w:color w:val="000000"/>
          <w:sz w:val="22"/>
          <w:szCs w:val="22"/>
          <w:lang w:val="en-US"/>
        </w:rPr>
        <w:t xml:space="preserve"> The unemployment rate was much higher and the participation rate was much lower for people with a disability that restricts their employment/schooling.</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i/>
          <w:iCs/>
          <w:color w:val="000000"/>
          <w:sz w:val="22"/>
          <w:szCs w:val="22"/>
        </w:rPr>
      </w:pPr>
      <w:r>
        <w:rPr>
          <w:rFonts w:ascii="Calibri" w:hAnsi="Calibri" w:cs="Calibri"/>
          <w:i/>
          <w:iCs/>
          <w:color w:val="000000"/>
          <w:sz w:val="22"/>
          <w:szCs w:val="22"/>
        </w:rPr>
        <w:t>Please note: data excludes persons aged 65-74 years who are not in or marginally attached to the labour force.</w:t>
      </w:r>
    </w:p>
    <w:p w:rsidR="00D8413A" w:rsidRDefault="00D8413A" w:rsidP="00D8413A">
      <w:pPr>
        <w:autoSpaceDE w:val="0"/>
        <w:autoSpaceDN w:val="0"/>
        <w:adjustRightInd w:val="0"/>
        <w:rPr>
          <w:rFonts w:ascii="Arial" w:hAnsi="Arial" w:cs="Arial"/>
        </w:rPr>
      </w:pPr>
    </w:p>
    <w:p w:rsidR="00D8413A" w:rsidRDefault="00D8413A" w:rsidP="00D8413A">
      <w:pPr>
        <w:spacing w:line="360" w:lineRule="auto"/>
      </w:pPr>
    </w:p>
    <w:p w:rsidR="00D8413A" w:rsidRDefault="00D8413A">
      <w:r>
        <w:br w:type="page"/>
      </w:r>
    </w:p>
    <w:p w:rsidR="00D8413A" w:rsidRDefault="00D8413A" w:rsidP="00D8413A">
      <w:pPr>
        <w:spacing w:line="360" w:lineRule="auto"/>
      </w:pPr>
      <w:r>
        <w:lastRenderedPageBreak/>
        <w:t>Slide 14</w:t>
      </w:r>
    </w:p>
    <w:p w:rsidR="00D8413A" w:rsidRDefault="00D8413A" w:rsidP="00D8413A">
      <w:pPr>
        <w:spacing w:line="360" w:lineRule="auto"/>
      </w:pPr>
    </w:p>
    <w:p w:rsidR="00D8413A" w:rsidRDefault="00D8413A" w:rsidP="00D8413A">
      <w:pPr>
        <w:spacing w:line="360" w:lineRule="auto"/>
        <w:jc w:val="center"/>
      </w:pPr>
      <w:r>
        <w:object w:dxaOrig="7216" w:dyaOrig="5409">
          <v:shape id="_x0000_i1038" type="#_x0000_t75" style="width:270.75pt;height:202.5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38" DrawAspect="Content" ObjectID="_1424612439" r:id="rId33"/>
        </w:object>
      </w:r>
    </w:p>
    <w:p w:rsidR="00D8413A" w:rsidRDefault="00D8413A" w:rsidP="00D8413A">
      <w:pPr>
        <w:spacing w:line="360" w:lineRule="auto"/>
        <w:jc w:val="center"/>
      </w:pPr>
    </w:p>
    <w:p w:rsidR="00D8413A" w:rsidRDefault="00D8413A" w:rsidP="00D8413A">
      <w:pPr>
        <w:autoSpaceDE w:val="0"/>
        <w:autoSpaceDN w:val="0"/>
        <w:adjustRightInd w:val="0"/>
        <w:rPr>
          <w:rFonts w:ascii="Calibri" w:hAnsi="Calibri" w:cs="Calibri"/>
          <w:b/>
          <w:bCs/>
          <w:color w:val="000000"/>
          <w:sz w:val="22"/>
          <w:szCs w:val="22"/>
          <w:u w:val="single"/>
        </w:rPr>
      </w:pPr>
      <w:r>
        <w:rPr>
          <w:rFonts w:ascii="Calibri" w:hAnsi="Calibri" w:cs="Calibri"/>
          <w:b/>
          <w:bCs/>
          <w:color w:val="000000"/>
          <w:sz w:val="22"/>
          <w:szCs w:val="22"/>
          <w:u w:val="single"/>
        </w:rPr>
        <w:t>Educational Attainment:</w:t>
      </w:r>
    </w:p>
    <w:p w:rsidR="00D8413A" w:rsidRDefault="00D8413A" w:rsidP="00D8413A">
      <w:pPr>
        <w:autoSpaceDE w:val="0"/>
        <w:autoSpaceDN w:val="0"/>
        <w:adjustRightInd w:val="0"/>
        <w:rPr>
          <w:rFonts w:ascii="Calibri" w:hAnsi="Calibri" w:cs="Calibri"/>
          <w:i/>
          <w:iCs/>
          <w:color w:val="000000"/>
          <w:sz w:val="22"/>
          <w:szCs w:val="22"/>
        </w:rPr>
      </w:pPr>
      <w:r>
        <w:rPr>
          <w:rFonts w:ascii="Calibri" w:hAnsi="Calibri" w:cs="Calibri"/>
          <w:i/>
          <w:iCs/>
          <w:color w:val="000000"/>
          <w:sz w:val="22"/>
          <w:szCs w:val="22"/>
        </w:rPr>
        <w:t>Source: ABS 2011 Census of Population and Housing</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Year 12 completion rates for people aged 25-34 years old are considerably lower in the Central Victoria PEA (66 per cent) compared with both Victoria (79 per cent) and Australia (75 per cent). However, results vary across the PEA, with 70 per cent of 25-34 year olds in the Ballarat </w:t>
      </w:r>
      <w:proofErr w:type="spellStart"/>
      <w:r>
        <w:rPr>
          <w:rFonts w:ascii="Calibri" w:hAnsi="Calibri" w:cs="Calibri"/>
          <w:color w:val="000000"/>
          <w:sz w:val="22"/>
          <w:szCs w:val="22"/>
        </w:rPr>
        <w:t>LGA</w:t>
      </w:r>
      <w:proofErr w:type="spellEnd"/>
      <w:r>
        <w:rPr>
          <w:rFonts w:ascii="Calibri" w:hAnsi="Calibri" w:cs="Calibri"/>
          <w:color w:val="000000"/>
          <w:sz w:val="22"/>
          <w:szCs w:val="22"/>
        </w:rPr>
        <w:t xml:space="preserve"> having a Year 12 Certificate compared with 57 per cent for those in the Northern Grampians </w:t>
      </w:r>
      <w:proofErr w:type="spellStart"/>
      <w:r>
        <w:rPr>
          <w:rFonts w:ascii="Calibri" w:hAnsi="Calibri" w:cs="Calibri"/>
          <w:color w:val="000000"/>
          <w:sz w:val="22"/>
          <w:szCs w:val="22"/>
        </w:rPr>
        <w:t>LGA</w:t>
      </w:r>
      <w:proofErr w:type="spellEnd"/>
      <w:r>
        <w:rPr>
          <w:rFonts w:ascii="Calibri" w:hAnsi="Calibri" w:cs="Calibri"/>
          <w:color w:val="000000"/>
          <w:sz w:val="22"/>
          <w:szCs w:val="22"/>
        </w:rPr>
        <w:t>.</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While a relatively high proportion of people aged 25-34 have obtained an Adv. Dip/Cert III/IV, a low proportion have obtained a bachelor degree or higher.</w:t>
      </w:r>
    </w:p>
    <w:p w:rsidR="00D8413A" w:rsidRDefault="00D8413A" w:rsidP="00D8413A">
      <w:pPr>
        <w:autoSpaceDE w:val="0"/>
        <w:autoSpaceDN w:val="0"/>
        <w:adjustRightInd w:val="0"/>
        <w:rPr>
          <w:rFonts w:ascii="Arial" w:hAnsi="Arial" w:cs="Arial"/>
        </w:rPr>
      </w:pPr>
    </w:p>
    <w:p w:rsidR="00D8413A" w:rsidRDefault="00D8413A" w:rsidP="00D8413A">
      <w:pPr>
        <w:spacing w:line="360" w:lineRule="auto"/>
      </w:pPr>
    </w:p>
    <w:p w:rsidR="00D8413A" w:rsidRDefault="00D8413A">
      <w:r>
        <w:br w:type="page"/>
      </w:r>
    </w:p>
    <w:p w:rsidR="00D8413A" w:rsidRDefault="00D8413A" w:rsidP="00D8413A">
      <w:pPr>
        <w:spacing w:line="360" w:lineRule="auto"/>
      </w:pPr>
      <w:r>
        <w:lastRenderedPageBreak/>
        <w:t>Slide 15</w:t>
      </w:r>
    </w:p>
    <w:p w:rsidR="00D8413A" w:rsidRDefault="00D8413A" w:rsidP="00D8413A">
      <w:pPr>
        <w:spacing w:line="360" w:lineRule="auto"/>
      </w:pPr>
    </w:p>
    <w:p w:rsidR="00D8413A" w:rsidRDefault="00D8413A" w:rsidP="00D8413A">
      <w:pPr>
        <w:spacing w:line="360" w:lineRule="auto"/>
        <w:jc w:val="center"/>
      </w:pPr>
      <w:r>
        <w:object w:dxaOrig="7216" w:dyaOrig="5409">
          <v:shape id="_x0000_i1039" type="#_x0000_t75" style="width:270.75pt;height:202.5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39" DrawAspect="Content" ObjectID="_1424612440" r:id="rId35"/>
        </w:object>
      </w:r>
    </w:p>
    <w:p w:rsidR="00D8413A" w:rsidRDefault="00D8413A" w:rsidP="00D8413A">
      <w:pPr>
        <w:spacing w:line="360" w:lineRule="auto"/>
        <w:jc w:val="center"/>
      </w:pPr>
    </w:p>
    <w:p w:rsidR="00D8413A" w:rsidRDefault="00D8413A" w:rsidP="00D8413A">
      <w:pPr>
        <w:autoSpaceDE w:val="0"/>
        <w:autoSpaceDN w:val="0"/>
        <w:adjustRightInd w:val="0"/>
        <w:rPr>
          <w:rFonts w:ascii="Calibri" w:hAnsi="Calibri" w:cs="Calibri"/>
          <w:b/>
          <w:bCs/>
          <w:color w:val="000000"/>
          <w:sz w:val="22"/>
          <w:szCs w:val="22"/>
          <w:u w:val="single"/>
        </w:rPr>
      </w:pPr>
      <w:r>
        <w:rPr>
          <w:rFonts w:ascii="Calibri" w:hAnsi="Calibri" w:cs="Calibri"/>
          <w:b/>
          <w:bCs/>
          <w:color w:val="000000"/>
          <w:sz w:val="22"/>
          <w:szCs w:val="22"/>
          <w:u w:val="single"/>
        </w:rPr>
        <w:t>Educational Attainment and Labour Market Outcomes:</w:t>
      </w:r>
    </w:p>
    <w:p w:rsidR="00D8413A" w:rsidRDefault="00D8413A" w:rsidP="00D8413A">
      <w:pPr>
        <w:autoSpaceDE w:val="0"/>
        <w:autoSpaceDN w:val="0"/>
        <w:adjustRightInd w:val="0"/>
        <w:rPr>
          <w:rFonts w:ascii="Calibri" w:hAnsi="Calibri" w:cs="Calibri"/>
          <w:i/>
          <w:iCs/>
          <w:color w:val="000000"/>
          <w:sz w:val="22"/>
          <w:szCs w:val="22"/>
        </w:rPr>
      </w:pPr>
      <w:r>
        <w:rPr>
          <w:rFonts w:ascii="Calibri" w:hAnsi="Calibri" w:cs="Calibri"/>
          <w:i/>
          <w:iCs/>
          <w:color w:val="000000"/>
          <w:sz w:val="22"/>
          <w:szCs w:val="22"/>
        </w:rPr>
        <w:t>Source: ABS 2011 Census of Population and Housing</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This slide illustrates the correlation between education and labour market outcomes in the Central Victoria PEA, with higher labour force participation rates and lower unemployment rates for those with higher levels of educational attainment. This reflects the pattern seen across Australia and demonstrates the importance of continuing education to help job seekers obtain employment and participate in the labour market.</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Arial" w:hAnsi="Arial" w:cs="Arial"/>
        </w:rPr>
      </w:pPr>
    </w:p>
    <w:p w:rsidR="00D8413A" w:rsidRDefault="00D8413A" w:rsidP="00D8413A">
      <w:pPr>
        <w:spacing w:line="360" w:lineRule="auto"/>
      </w:pPr>
    </w:p>
    <w:p w:rsidR="00D8413A" w:rsidRDefault="00D8413A">
      <w:r>
        <w:br w:type="page"/>
      </w:r>
    </w:p>
    <w:p w:rsidR="00D8413A" w:rsidRDefault="00D8413A" w:rsidP="00D8413A">
      <w:pPr>
        <w:spacing w:line="360" w:lineRule="auto"/>
      </w:pPr>
      <w:r>
        <w:lastRenderedPageBreak/>
        <w:t>Slide 16</w:t>
      </w:r>
    </w:p>
    <w:p w:rsidR="00D8413A" w:rsidRDefault="00D8413A" w:rsidP="00D8413A">
      <w:pPr>
        <w:spacing w:line="360" w:lineRule="auto"/>
      </w:pPr>
    </w:p>
    <w:p w:rsidR="00D8413A" w:rsidRDefault="00D8413A" w:rsidP="00D8413A">
      <w:pPr>
        <w:spacing w:line="360" w:lineRule="auto"/>
        <w:jc w:val="center"/>
      </w:pPr>
      <w:r>
        <w:object w:dxaOrig="7216" w:dyaOrig="5409">
          <v:shape id="_x0000_i1040" type="#_x0000_t75" style="width:270.75pt;height:202.5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040" DrawAspect="Content" ObjectID="_1424612441" r:id="rId37"/>
        </w:object>
      </w:r>
    </w:p>
    <w:p w:rsidR="00D8413A" w:rsidRDefault="00D8413A" w:rsidP="00D8413A">
      <w:pPr>
        <w:spacing w:line="360" w:lineRule="auto"/>
        <w:jc w:val="center"/>
      </w:pPr>
    </w:p>
    <w:p w:rsidR="00D8413A" w:rsidRDefault="00D8413A" w:rsidP="00D8413A">
      <w:pPr>
        <w:autoSpaceDE w:val="0"/>
        <w:autoSpaceDN w:val="0"/>
        <w:adjustRightInd w:val="0"/>
        <w:rPr>
          <w:rFonts w:ascii="Calibri" w:hAnsi="Calibri" w:cs="Calibri"/>
          <w:b/>
          <w:bCs/>
          <w:color w:val="000000"/>
          <w:sz w:val="22"/>
          <w:szCs w:val="22"/>
          <w:u w:val="single"/>
        </w:rPr>
      </w:pPr>
      <w:r>
        <w:rPr>
          <w:rFonts w:ascii="Calibri" w:hAnsi="Calibri" w:cs="Calibri"/>
          <w:b/>
          <w:bCs/>
          <w:color w:val="000000"/>
          <w:sz w:val="22"/>
          <w:szCs w:val="22"/>
          <w:u w:val="single"/>
        </w:rPr>
        <w:t>School Results – Reading and Numeracy:</w:t>
      </w:r>
    </w:p>
    <w:p w:rsidR="00D8413A" w:rsidRDefault="00D8413A" w:rsidP="00D8413A">
      <w:pPr>
        <w:autoSpaceDE w:val="0"/>
        <w:autoSpaceDN w:val="0"/>
        <w:adjustRightInd w:val="0"/>
        <w:rPr>
          <w:rFonts w:ascii="Calibri" w:hAnsi="Calibri" w:cs="Calibri"/>
          <w:i/>
          <w:iCs/>
          <w:color w:val="000000"/>
          <w:sz w:val="22"/>
          <w:szCs w:val="22"/>
        </w:rPr>
      </w:pPr>
      <w:r>
        <w:rPr>
          <w:rFonts w:ascii="Calibri" w:hAnsi="Calibri" w:cs="Calibri"/>
          <w:i/>
          <w:iCs/>
          <w:color w:val="000000"/>
          <w:sz w:val="22"/>
          <w:szCs w:val="22"/>
        </w:rPr>
        <w:t xml:space="preserve">Source: </w:t>
      </w:r>
      <w:proofErr w:type="spellStart"/>
      <w:r>
        <w:rPr>
          <w:rFonts w:ascii="Calibri" w:hAnsi="Calibri" w:cs="Calibri"/>
          <w:i/>
          <w:iCs/>
          <w:color w:val="000000"/>
          <w:sz w:val="22"/>
          <w:szCs w:val="22"/>
        </w:rPr>
        <w:t>Myschool</w:t>
      </w:r>
      <w:proofErr w:type="spellEnd"/>
      <w:r>
        <w:rPr>
          <w:rFonts w:ascii="Calibri" w:hAnsi="Calibri" w:cs="Calibri"/>
          <w:i/>
          <w:iCs/>
          <w:color w:val="000000"/>
          <w:sz w:val="22"/>
          <w:szCs w:val="22"/>
        </w:rPr>
        <w:t xml:space="preserve"> website</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This slide shows the proportion of Year 9 students at a selected government high school in the Ararat and Ballarat </w:t>
      </w:r>
      <w:proofErr w:type="spellStart"/>
      <w:r>
        <w:rPr>
          <w:rFonts w:ascii="Calibri" w:hAnsi="Calibri" w:cs="Calibri"/>
          <w:color w:val="000000"/>
          <w:sz w:val="22"/>
          <w:szCs w:val="22"/>
        </w:rPr>
        <w:t>LGA</w:t>
      </w:r>
      <w:proofErr w:type="spellEnd"/>
      <w:r>
        <w:rPr>
          <w:rFonts w:ascii="Calibri" w:hAnsi="Calibri" w:cs="Calibri"/>
          <w:color w:val="000000"/>
          <w:sz w:val="22"/>
          <w:szCs w:val="22"/>
        </w:rPr>
        <w:t xml:space="preserve"> who did not meet minimum standards for literacy and numeracy in 2011, compared with the proportions of Year 9 students who did not meet minimum standards for literacy and numeracy in Victoria and Australia.</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While the selected government school’s data are not necessarily representative of all Year 9 students in the regions identified, it demonstrates that there are some pockets of disadvantage.</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Arial" w:hAnsi="Arial" w:cs="Arial"/>
        </w:rPr>
      </w:pPr>
    </w:p>
    <w:p w:rsidR="00D8413A" w:rsidRDefault="00D8413A" w:rsidP="00D8413A">
      <w:pPr>
        <w:spacing w:line="360" w:lineRule="auto"/>
      </w:pPr>
    </w:p>
    <w:p w:rsidR="00D8413A" w:rsidRDefault="00D8413A">
      <w:r>
        <w:br w:type="page"/>
      </w:r>
    </w:p>
    <w:p w:rsidR="00D8413A" w:rsidRDefault="00D8413A" w:rsidP="00D8413A">
      <w:pPr>
        <w:spacing w:line="360" w:lineRule="auto"/>
      </w:pPr>
      <w:r>
        <w:lastRenderedPageBreak/>
        <w:t>Slide 17</w:t>
      </w:r>
    </w:p>
    <w:p w:rsidR="00D8413A" w:rsidRDefault="00D8413A" w:rsidP="00D8413A">
      <w:pPr>
        <w:spacing w:line="360" w:lineRule="auto"/>
      </w:pPr>
    </w:p>
    <w:p w:rsidR="00D8413A" w:rsidRDefault="00D8413A" w:rsidP="00D8413A">
      <w:pPr>
        <w:spacing w:line="360" w:lineRule="auto"/>
        <w:jc w:val="center"/>
      </w:pPr>
      <w:r>
        <w:object w:dxaOrig="7216" w:dyaOrig="5409">
          <v:shape id="_x0000_i1041" type="#_x0000_t75" style="width:270.75pt;height:202.5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041" DrawAspect="Content" ObjectID="_1424612442" r:id="rId39"/>
        </w:object>
      </w:r>
    </w:p>
    <w:p w:rsidR="00D8413A" w:rsidRDefault="00D8413A" w:rsidP="00D8413A">
      <w:pPr>
        <w:spacing w:line="360" w:lineRule="auto"/>
        <w:jc w:val="center"/>
      </w:pPr>
    </w:p>
    <w:p w:rsidR="00D8413A" w:rsidRDefault="00D8413A" w:rsidP="00D8413A">
      <w:pPr>
        <w:autoSpaceDE w:val="0"/>
        <w:autoSpaceDN w:val="0"/>
        <w:adjustRightInd w:val="0"/>
        <w:rPr>
          <w:rFonts w:ascii="Calibri" w:hAnsi="Calibri" w:cs="Calibri"/>
          <w:b/>
          <w:bCs/>
          <w:color w:val="000000"/>
          <w:sz w:val="22"/>
          <w:szCs w:val="22"/>
          <w:u w:val="single"/>
        </w:rPr>
      </w:pPr>
      <w:r>
        <w:rPr>
          <w:rFonts w:ascii="Calibri" w:hAnsi="Calibri" w:cs="Calibri"/>
          <w:b/>
          <w:bCs/>
          <w:color w:val="000000"/>
          <w:sz w:val="22"/>
          <w:szCs w:val="22"/>
          <w:u w:val="single"/>
        </w:rPr>
        <w:t>Employment by Industry:</w:t>
      </w:r>
    </w:p>
    <w:p w:rsidR="00D8413A" w:rsidRDefault="00D8413A" w:rsidP="00D8413A">
      <w:pPr>
        <w:autoSpaceDE w:val="0"/>
        <w:autoSpaceDN w:val="0"/>
        <w:adjustRightInd w:val="0"/>
        <w:rPr>
          <w:rFonts w:ascii="Calibri" w:hAnsi="Calibri" w:cs="Calibri"/>
          <w:i/>
          <w:iCs/>
          <w:color w:val="000000"/>
          <w:sz w:val="22"/>
          <w:szCs w:val="22"/>
        </w:rPr>
      </w:pPr>
      <w:r>
        <w:rPr>
          <w:rFonts w:ascii="Calibri" w:hAnsi="Calibri" w:cs="Calibri"/>
          <w:i/>
          <w:iCs/>
          <w:color w:val="000000"/>
          <w:sz w:val="22"/>
          <w:szCs w:val="22"/>
        </w:rPr>
        <w:t>Source: ABS 2011 Census of Population and Housing</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Employment in the Ballarat Area was highest in the Health Care and Social Assistance (14 per cent of all employed), Retail Trade (12 per cent) and Manufacturing Industries (11 per cent).</w:t>
      </w:r>
    </w:p>
    <w:p w:rsidR="00D8413A" w:rsidRDefault="00D8413A" w:rsidP="00D8413A">
      <w:pPr>
        <w:autoSpaceDE w:val="0"/>
        <w:autoSpaceDN w:val="0"/>
        <w:adjustRightInd w:val="0"/>
        <w:rPr>
          <w:rFonts w:ascii="Arial" w:hAnsi="Arial" w:cs="Arial"/>
        </w:rPr>
      </w:pPr>
    </w:p>
    <w:p w:rsidR="00D8413A" w:rsidRDefault="00D8413A" w:rsidP="00D8413A">
      <w:pPr>
        <w:spacing w:line="360" w:lineRule="auto"/>
      </w:pPr>
    </w:p>
    <w:p w:rsidR="00D8413A" w:rsidRDefault="00D8413A">
      <w:r>
        <w:br w:type="page"/>
      </w:r>
    </w:p>
    <w:p w:rsidR="00D8413A" w:rsidRDefault="00D8413A" w:rsidP="00D8413A">
      <w:pPr>
        <w:spacing w:line="360" w:lineRule="auto"/>
      </w:pPr>
      <w:r>
        <w:lastRenderedPageBreak/>
        <w:t>Slide 18</w:t>
      </w:r>
    </w:p>
    <w:p w:rsidR="00D8413A" w:rsidRDefault="00D8413A" w:rsidP="00D8413A">
      <w:pPr>
        <w:spacing w:line="360" w:lineRule="auto"/>
      </w:pPr>
    </w:p>
    <w:p w:rsidR="00D8413A" w:rsidRDefault="00D8413A" w:rsidP="00D8413A">
      <w:pPr>
        <w:spacing w:line="360" w:lineRule="auto"/>
        <w:jc w:val="center"/>
      </w:pPr>
      <w:r>
        <w:object w:dxaOrig="7216" w:dyaOrig="5409">
          <v:shape id="_x0000_i1042" type="#_x0000_t75" style="width:270.75pt;height:202.5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042" DrawAspect="Content" ObjectID="_1424612443" r:id="rId41"/>
        </w:object>
      </w:r>
    </w:p>
    <w:p w:rsidR="00D8413A" w:rsidRDefault="00D8413A" w:rsidP="00D8413A">
      <w:pPr>
        <w:spacing w:line="360" w:lineRule="auto"/>
        <w:jc w:val="center"/>
      </w:pPr>
    </w:p>
    <w:p w:rsidR="00D8413A" w:rsidRDefault="00D8413A" w:rsidP="00D8413A">
      <w:pPr>
        <w:autoSpaceDE w:val="0"/>
        <w:autoSpaceDN w:val="0"/>
        <w:adjustRightInd w:val="0"/>
        <w:rPr>
          <w:rFonts w:ascii="Calibri" w:cs="Calibri"/>
          <w:b/>
          <w:bCs/>
          <w:color w:val="000000"/>
          <w:sz w:val="22"/>
          <w:szCs w:val="22"/>
          <w:u w:val="single"/>
        </w:rPr>
      </w:pPr>
      <w:r>
        <w:rPr>
          <w:rFonts w:ascii="Calibri" w:cs="Calibri"/>
          <w:b/>
          <w:bCs/>
          <w:color w:val="000000"/>
          <w:sz w:val="22"/>
          <w:szCs w:val="22"/>
          <w:u w:val="single"/>
        </w:rPr>
        <w:t xml:space="preserve">Employment Growth by Industry </w:t>
      </w:r>
      <w:r>
        <w:rPr>
          <w:rFonts w:ascii="Calibri" w:cs="Calibri"/>
          <w:b/>
          <w:bCs/>
          <w:color w:val="000000"/>
          <w:sz w:val="22"/>
          <w:szCs w:val="22"/>
          <w:u w:val="single"/>
        </w:rPr>
        <w:t>–</w:t>
      </w:r>
      <w:r>
        <w:rPr>
          <w:rFonts w:ascii="Calibri" w:cs="Calibri"/>
          <w:b/>
          <w:bCs/>
          <w:color w:val="000000"/>
          <w:sz w:val="22"/>
          <w:szCs w:val="22"/>
          <w:u w:val="single"/>
        </w:rPr>
        <w:t xml:space="preserve"> Five years to 2011, Ballarat Area:</w:t>
      </w:r>
    </w:p>
    <w:p w:rsidR="00D8413A" w:rsidRDefault="00D8413A" w:rsidP="00D8413A">
      <w:pPr>
        <w:autoSpaceDE w:val="0"/>
        <w:autoSpaceDN w:val="0"/>
        <w:adjustRightInd w:val="0"/>
        <w:rPr>
          <w:rFonts w:ascii="Calibri" w:cs="Calibri"/>
          <w:i/>
          <w:iCs/>
          <w:color w:val="000000"/>
          <w:sz w:val="22"/>
          <w:szCs w:val="22"/>
        </w:rPr>
      </w:pPr>
      <w:r>
        <w:rPr>
          <w:rFonts w:ascii="Calibri" w:cs="Calibri"/>
          <w:i/>
          <w:iCs/>
          <w:color w:val="000000"/>
          <w:sz w:val="22"/>
          <w:szCs w:val="22"/>
        </w:rPr>
        <w:t>Source: ABS 2011 Census of Population and Housing</w:t>
      </w:r>
    </w:p>
    <w:p w:rsidR="00D8413A" w:rsidRDefault="00D8413A" w:rsidP="00D8413A">
      <w:pPr>
        <w:autoSpaceDE w:val="0"/>
        <w:autoSpaceDN w:val="0"/>
        <w:adjustRightInd w:val="0"/>
        <w:rPr>
          <w:rFonts w:ascii="Calibri" w:cs="Calibri"/>
          <w:color w:val="000000"/>
          <w:sz w:val="22"/>
          <w:szCs w:val="22"/>
        </w:rPr>
      </w:pPr>
    </w:p>
    <w:p w:rsidR="00D8413A" w:rsidRDefault="00D8413A" w:rsidP="00D8413A">
      <w:pPr>
        <w:autoSpaceDE w:val="0"/>
        <w:autoSpaceDN w:val="0"/>
        <w:adjustRightInd w:val="0"/>
        <w:rPr>
          <w:rFonts w:ascii="Calibri" w:cs="Calibri"/>
          <w:color w:val="000000"/>
          <w:sz w:val="22"/>
          <w:szCs w:val="22"/>
        </w:rPr>
      </w:pPr>
      <w:r>
        <w:rPr>
          <w:rFonts w:ascii="Calibri" w:cs="Calibri"/>
          <w:color w:val="000000"/>
          <w:sz w:val="22"/>
          <w:szCs w:val="22"/>
        </w:rPr>
        <w:t xml:space="preserve">Employment growth in the Ballarat Area over the five years to 2011 was highest in the Health Care and Social Assistance (increase of 1,715 employed persons) and Construction (1,293) industries. </w:t>
      </w:r>
    </w:p>
    <w:p w:rsidR="00D8413A" w:rsidRDefault="00D8413A" w:rsidP="00D8413A">
      <w:pPr>
        <w:autoSpaceDE w:val="0"/>
        <w:autoSpaceDN w:val="0"/>
        <w:adjustRightInd w:val="0"/>
        <w:rPr>
          <w:rFonts w:ascii="Calibri" w:cs="Calibri"/>
          <w:color w:val="000000"/>
          <w:sz w:val="22"/>
          <w:szCs w:val="22"/>
        </w:rPr>
      </w:pPr>
    </w:p>
    <w:p w:rsidR="00D8413A" w:rsidRDefault="00D8413A" w:rsidP="00D8413A">
      <w:pPr>
        <w:autoSpaceDE w:val="0"/>
        <w:autoSpaceDN w:val="0"/>
        <w:adjustRightInd w:val="0"/>
        <w:rPr>
          <w:rFonts w:ascii="Calibri" w:cs="Calibri"/>
          <w:color w:val="000000"/>
          <w:sz w:val="22"/>
          <w:szCs w:val="22"/>
        </w:rPr>
      </w:pPr>
      <w:r>
        <w:rPr>
          <w:rFonts w:ascii="Calibri" w:cs="Calibri"/>
          <w:color w:val="000000"/>
          <w:sz w:val="22"/>
          <w:szCs w:val="22"/>
        </w:rPr>
        <w:t>Employment growth was negative in the Manufacturing, Agriculture, Forestry and Fishing and Information Media and Telecommunications industries.</w:t>
      </w:r>
    </w:p>
    <w:p w:rsidR="00D8413A" w:rsidRDefault="00D8413A" w:rsidP="00D8413A">
      <w:pPr>
        <w:autoSpaceDE w:val="0"/>
        <w:autoSpaceDN w:val="0"/>
        <w:adjustRightInd w:val="0"/>
        <w:rPr>
          <w:rFonts w:ascii="Calibri" w:cs="Calibri"/>
          <w:color w:val="000000"/>
          <w:sz w:val="22"/>
          <w:szCs w:val="22"/>
        </w:rPr>
      </w:pPr>
    </w:p>
    <w:p w:rsidR="00D8413A" w:rsidRDefault="00D8413A" w:rsidP="00D8413A">
      <w:pPr>
        <w:autoSpaceDE w:val="0"/>
        <w:autoSpaceDN w:val="0"/>
        <w:adjustRightInd w:val="0"/>
        <w:rPr>
          <w:rFonts w:ascii="Arial" w:hAnsi="Arial" w:cs="Arial"/>
        </w:rPr>
      </w:pPr>
    </w:p>
    <w:p w:rsidR="00D8413A" w:rsidRDefault="00D8413A" w:rsidP="00D8413A">
      <w:pPr>
        <w:spacing w:line="360" w:lineRule="auto"/>
      </w:pPr>
    </w:p>
    <w:p w:rsidR="00D8413A" w:rsidRDefault="00D8413A">
      <w:r>
        <w:br w:type="page"/>
      </w:r>
    </w:p>
    <w:p w:rsidR="00D8413A" w:rsidRDefault="00D8413A" w:rsidP="00D8413A">
      <w:pPr>
        <w:spacing w:line="360" w:lineRule="auto"/>
      </w:pPr>
      <w:r>
        <w:lastRenderedPageBreak/>
        <w:t>Slide 19</w:t>
      </w:r>
    </w:p>
    <w:p w:rsidR="00D8413A" w:rsidRDefault="00D8413A" w:rsidP="00D8413A">
      <w:pPr>
        <w:spacing w:line="360" w:lineRule="auto"/>
      </w:pPr>
    </w:p>
    <w:p w:rsidR="00D8413A" w:rsidRDefault="00D8413A" w:rsidP="00D8413A">
      <w:pPr>
        <w:spacing w:line="360" w:lineRule="auto"/>
        <w:jc w:val="center"/>
      </w:pPr>
      <w:r>
        <w:object w:dxaOrig="7216" w:dyaOrig="5409">
          <v:shape id="_x0000_i1043" type="#_x0000_t75" style="width:270.75pt;height:202.5pt"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o:OLEObject Type="Embed" ProgID="PowerPoint.Slide.12" ShapeID="_x0000_i1043" DrawAspect="Content" ObjectID="_1424612444" r:id="rId43"/>
        </w:object>
      </w:r>
    </w:p>
    <w:p w:rsidR="00D8413A" w:rsidRDefault="00D8413A" w:rsidP="00D8413A">
      <w:pPr>
        <w:spacing w:line="360" w:lineRule="auto"/>
        <w:jc w:val="center"/>
      </w:pPr>
    </w:p>
    <w:p w:rsidR="00D8413A" w:rsidRDefault="00D8413A" w:rsidP="00D8413A">
      <w:pPr>
        <w:autoSpaceDE w:val="0"/>
        <w:autoSpaceDN w:val="0"/>
        <w:adjustRightInd w:val="0"/>
        <w:rPr>
          <w:rFonts w:ascii="Calibri" w:hAnsi="Calibri" w:cs="Calibri"/>
          <w:b/>
          <w:bCs/>
          <w:color w:val="000000"/>
          <w:sz w:val="22"/>
          <w:szCs w:val="22"/>
          <w:u w:val="single"/>
        </w:rPr>
      </w:pPr>
      <w:r>
        <w:rPr>
          <w:rFonts w:ascii="Calibri" w:hAnsi="Calibri" w:cs="Calibri"/>
          <w:b/>
          <w:bCs/>
          <w:color w:val="000000"/>
          <w:sz w:val="22"/>
          <w:szCs w:val="22"/>
          <w:u w:val="single"/>
        </w:rPr>
        <w:t>Journey to work:</w:t>
      </w:r>
    </w:p>
    <w:p w:rsidR="00D8413A" w:rsidRDefault="00D8413A" w:rsidP="00D8413A">
      <w:pPr>
        <w:autoSpaceDE w:val="0"/>
        <w:autoSpaceDN w:val="0"/>
        <w:adjustRightInd w:val="0"/>
        <w:rPr>
          <w:rFonts w:ascii="Calibri" w:hAnsi="Calibri" w:cs="Calibri"/>
          <w:i/>
          <w:iCs/>
          <w:color w:val="000000"/>
          <w:sz w:val="22"/>
          <w:szCs w:val="22"/>
        </w:rPr>
      </w:pPr>
      <w:r>
        <w:rPr>
          <w:rFonts w:ascii="Calibri" w:hAnsi="Calibri" w:cs="Calibri"/>
          <w:i/>
          <w:iCs/>
          <w:color w:val="000000"/>
          <w:sz w:val="22"/>
          <w:szCs w:val="22"/>
        </w:rPr>
        <w:t>Source: ABS, Census of Population and Housing, 2011</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At the time of the 2011 Census, there were 115,268 people living in the Central Victoria PEA. Of these people, 13 per cent (14,999 people) worked outside of the PEA, the largest proportions travelled to:</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Region</w:t>
      </w:r>
      <w:r>
        <w:rPr>
          <w:rFonts w:ascii="Calibri" w:hAnsi="Calibri" w:cs="Calibri"/>
          <w:color w:val="000000"/>
          <w:sz w:val="22"/>
          <w:szCs w:val="22"/>
        </w:rPr>
        <w:tab/>
      </w:r>
      <w:r>
        <w:rPr>
          <w:rFonts w:ascii="Calibri" w:hAnsi="Calibri" w:cs="Calibri"/>
          <w:color w:val="000000"/>
          <w:sz w:val="22"/>
          <w:szCs w:val="22"/>
        </w:rPr>
        <w:tab/>
      </w:r>
      <w:r w:rsidR="0036565E">
        <w:rPr>
          <w:rFonts w:ascii="Calibri" w:hAnsi="Calibri" w:cs="Calibri"/>
          <w:color w:val="000000"/>
          <w:sz w:val="22"/>
          <w:szCs w:val="22"/>
        </w:rPr>
        <w:tab/>
      </w:r>
      <w:r>
        <w:rPr>
          <w:rFonts w:ascii="Calibri" w:hAnsi="Calibri" w:cs="Calibri"/>
          <w:b/>
          <w:bCs/>
          <w:color w:val="000000"/>
          <w:sz w:val="22"/>
          <w:szCs w:val="22"/>
        </w:rPr>
        <w:t>People</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Melbourne SD</w:t>
      </w:r>
      <w:r>
        <w:rPr>
          <w:rFonts w:ascii="Calibri" w:hAnsi="Calibri" w:cs="Calibri"/>
          <w:color w:val="000000"/>
          <w:sz w:val="22"/>
          <w:szCs w:val="22"/>
        </w:rPr>
        <w:tab/>
      </w:r>
      <w:r w:rsidR="0036565E">
        <w:rPr>
          <w:rFonts w:ascii="Calibri" w:hAnsi="Calibri" w:cs="Calibri"/>
          <w:color w:val="000000"/>
          <w:sz w:val="22"/>
          <w:szCs w:val="22"/>
        </w:rPr>
        <w:tab/>
      </w:r>
      <w:r>
        <w:rPr>
          <w:rFonts w:ascii="Calibri" w:hAnsi="Calibri" w:cs="Calibri"/>
          <w:color w:val="000000"/>
          <w:sz w:val="22"/>
          <w:szCs w:val="22"/>
        </w:rPr>
        <w:t>9,790</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Macedon Ranges</w:t>
      </w:r>
      <w:r>
        <w:rPr>
          <w:rFonts w:ascii="Calibri" w:hAnsi="Calibri" w:cs="Calibri"/>
          <w:color w:val="000000"/>
          <w:sz w:val="22"/>
          <w:szCs w:val="22"/>
        </w:rPr>
        <w:tab/>
        <w:t>916</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Greater Geelong</w:t>
      </w:r>
      <w:r>
        <w:rPr>
          <w:rFonts w:ascii="Calibri" w:hAnsi="Calibri" w:cs="Calibri"/>
          <w:color w:val="000000"/>
          <w:sz w:val="22"/>
          <w:szCs w:val="22"/>
        </w:rPr>
        <w:tab/>
        <w:t>521</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Loddon</w:t>
      </w:r>
      <w:r>
        <w:rPr>
          <w:rFonts w:ascii="Calibri" w:hAnsi="Calibri" w:cs="Calibri"/>
          <w:color w:val="000000"/>
          <w:sz w:val="22"/>
          <w:szCs w:val="22"/>
        </w:rPr>
        <w:tab/>
      </w:r>
      <w:r>
        <w:rPr>
          <w:rFonts w:ascii="Calibri" w:hAnsi="Calibri" w:cs="Calibri"/>
          <w:color w:val="000000"/>
          <w:sz w:val="22"/>
          <w:szCs w:val="22"/>
        </w:rPr>
        <w:tab/>
      </w:r>
      <w:r w:rsidR="0036565E">
        <w:rPr>
          <w:rFonts w:ascii="Calibri" w:hAnsi="Calibri" w:cs="Calibri"/>
          <w:color w:val="000000"/>
          <w:sz w:val="22"/>
          <w:szCs w:val="22"/>
        </w:rPr>
        <w:tab/>
      </w:r>
      <w:r>
        <w:rPr>
          <w:rFonts w:ascii="Calibri" w:hAnsi="Calibri" w:cs="Calibri"/>
          <w:color w:val="000000"/>
          <w:sz w:val="22"/>
          <w:szCs w:val="22"/>
        </w:rPr>
        <w:t>390</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Golden Plains</w:t>
      </w:r>
      <w:r>
        <w:rPr>
          <w:rFonts w:ascii="Calibri" w:hAnsi="Calibri" w:cs="Calibri"/>
          <w:color w:val="000000"/>
          <w:sz w:val="22"/>
          <w:szCs w:val="22"/>
        </w:rPr>
        <w:tab/>
      </w:r>
      <w:r>
        <w:rPr>
          <w:rFonts w:ascii="Calibri" w:hAnsi="Calibri" w:cs="Calibri"/>
          <w:color w:val="000000"/>
          <w:sz w:val="22"/>
          <w:szCs w:val="22"/>
        </w:rPr>
        <w:tab/>
        <w:t>329</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Campaspe</w:t>
      </w:r>
      <w:r>
        <w:rPr>
          <w:rFonts w:ascii="Calibri" w:hAnsi="Calibri" w:cs="Calibri"/>
          <w:color w:val="000000"/>
          <w:sz w:val="22"/>
          <w:szCs w:val="22"/>
        </w:rPr>
        <w:tab/>
      </w:r>
      <w:r>
        <w:rPr>
          <w:rFonts w:ascii="Calibri" w:hAnsi="Calibri" w:cs="Calibri"/>
          <w:color w:val="000000"/>
          <w:sz w:val="22"/>
          <w:szCs w:val="22"/>
        </w:rPr>
        <w:tab/>
        <w:t>268</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At the time of the 2011 Census, there were 100,269 people working in the Central Victoria PEA. A small proportion of the working age population who work within the PEA (7 per cent) live outside the PEA. This includes relatively large numbers from the Golden Plains </w:t>
      </w:r>
      <w:proofErr w:type="spellStart"/>
      <w:r>
        <w:rPr>
          <w:rFonts w:ascii="Calibri" w:hAnsi="Calibri" w:cs="Calibri"/>
          <w:color w:val="000000"/>
          <w:sz w:val="22"/>
          <w:szCs w:val="22"/>
        </w:rPr>
        <w:t>LGA</w:t>
      </w:r>
      <w:proofErr w:type="spellEnd"/>
      <w:r>
        <w:rPr>
          <w:rFonts w:ascii="Calibri" w:hAnsi="Calibri" w:cs="Calibri"/>
          <w:color w:val="000000"/>
          <w:sz w:val="22"/>
          <w:szCs w:val="22"/>
        </w:rPr>
        <w:t xml:space="preserve"> (2,500) and Melbourne SD (2,490 people).</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Of the people that work in the PEA but live outside, here are the most common places they’re coming from:</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Region</w:t>
      </w:r>
      <w:r>
        <w:rPr>
          <w:rFonts w:ascii="Calibri" w:hAnsi="Calibri" w:cs="Calibri"/>
          <w:color w:val="000000"/>
          <w:sz w:val="22"/>
          <w:szCs w:val="22"/>
        </w:rPr>
        <w:tab/>
      </w:r>
      <w:r>
        <w:rPr>
          <w:rFonts w:ascii="Calibri" w:hAnsi="Calibri" w:cs="Calibri"/>
          <w:color w:val="000000"/>
          <w:sz w:val="22"/>
          <w:szCs w:val="22"/>
        </w:rPr>
        <w:tab/>
      </w:r>
      <w:r w:rsidR="0036565E">
        <w:rPr>
          <w:rFonts w:ascii="Calibri" w:hAnsi="Calibri" w:cs="Calibri"/>
          <w:color w:val="000000"/>
          <w:sz w:val="22"/>
          <w:szCs w:val="22"/>
        </w:rPr>
        <w:tab/>
      </w:r>
      <w:r>
        <w:rPr>
          <w:rFonts w:ascii="Calibri" w:hAnsi="Calibri" w:cs="Calibri"/>
          <w:b/>
          <w:bCs/>
          <w:color w:val="000000"/>
          <w:sz w:val="22"/>
          <w:szCs w:val="22"/>
        </w:rPr>
        <w:t>People</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Golden Plains </w:t>
      </w:r>
      <w:proofErr w:type="spellStart"/>
      <w:r>
        <w:rPr>
          <w:rFonts w:ascii="Calibri" w:hAnsi="Calibri" w:cs="Calibri"/>
          <w:color w:val="000000"/>
          <w:sz w:val="22"/>
          <w:szCs w:val="22"/>
        </w:rPr>
        <w:t>LGA</w:t>
      </w:r>
      <w:proofErr w:type="spellEnd"/>
      <w:r>
        <w:rPr>
          <w:rFonts w:ascii="Calibri" w:hAnsi="Calibri" w:cs="Calibri"/>
          <w:color w:val="000000"/>
          <w:sz w:val="22"/>
          <w:szCs w:val="22"/>
        </w:rPr>
        <w:tab/>
        <w:t>2506</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Melbourne SD</w:t>
      </w:r>
      <w:r>
        <w:rPr>
          <w:rFonts w:ascii="Calibri" w:hAnsi="Calibri" w:cs="Calibri"/>
          <w:color w:val="000000"/>
          <w:sz w:val="22"/>
          <w:szCs w:val="22"/>
        </w:rPr>
        <w:tab/>
      </w:r>
      <w:r w:rsidR="0036565E">
        <w:rPr>
          <w:rFonts w:ascii="Calibri" w:hAnsi="Calibri" w:cs="Calibri"/>
          <w:color w:val="000000"/>
          <w:sz w:val="22"/>
          <w:szCs w:val="22"/>
        </w:rPr>
        <w:tab/>
      </w:r>
      <w:r>
        <w:rPr>
          <w:rFonts w:ascii="Calibri" w:hAnsi="Calibri" w:cs="Calibri"/>
          <w:color w:val="000000"/>
          <w:sz w:val="22"/>
          <w:szCs w:val="22"/>
        </w:rPr>
        <w:t>2490</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Macedon Ranges </w:t>
      </w:r>
      <w:proofErr w:type="spellStart"/>
      <w:r>
        <w:rPr>
          <w:rFonts w:ascii="Calibri" w:hAnsi="Calibri" w:cs="Calibri"/>
          <w:color w:val="000000"/>
          <w:sz w:val="22"/>
          <w:szCs w:val="22"/>
        </w:rPr>
        <w:t>LGA</w:t>
      </w:r>
      <w:proofErr w:type="spellEnd"/>
      <w:r>
        <w:rPr>
          <w:rFonts w:ascii="Calibri" w:hAnsi="Calibri" w:cs="Calibri"/>
          <w:color w:val="000000"/>
          <w:sz w:val="22"/>
          <w:szCs w:val="22"/>
        </w:rPr>
        <w:tab/>
        <w:t>608</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Loddon </w:t>
      </w:r>
      <w:proofErr w:type="spellStart"/>
      <w:r>
        <w:rPr>
          <w:rFonts w:ascii="Calibri" w:hAnsi="Calibri" w:cs="Calibri"/>
          <w:color w:val="000000"/>
          <w:sz w:val="22"/>
          <w:szCs w:val="22"/>
        </w:rPr>
        <w:t>LGA</w:t>
      </w:r>
      <w:proofErr w:type="spellEnd"/>
      <w:r>
        <w:rPr>
          <w:rFonts w:ascii="Calibri" w:hAnsi="Calibri" w:cs="Calibri"/>
          <w:color w:val="000000"/>
          <w:sz w:val="22"/>
          <w:szCs w:val="22"/>
        </w:rPr>
        <w:tab/>
      </w:r>
      <w:r>
        <w:rPr>
          <w:rFonts w:ascii="Calibri" w:hAnsi="Calibri" w:cs="Calibri"/>
          <w:color w:val="000000"/>
          <w:sz w:val="22"/>
          <w:szCs w:val="22"/>
        </w:rPr>
        <w:tab/>
        <w:t>460</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Greater Geelong </w:t>
      </w:r>
      <w:proofErr w:type="spellStart"/>
      <w:r>
        <w:rPr>
          <w:rFonts w:ascii="Calibri" w:hAnsi="Calibri" w:cs="Calibri"/>
          <w:color w:val="000000"/>
          <w:sz w:val="22"/>
          <w:szCs w:val="22"/>
        </w:rPr>
        <w:t>LGA</w:t>
      </w:r>
      <w:proofErr w:type="spellEnd"/>
      <w:r>
        <w:rPr>
          <w:rFonts w:ascii="Calibri" w:hAnsi="Calibri" w:cs="Calibri"/>
          <w:color w:val="000000"/>
          <w:sz w:val="22"/>
          <w:szCs w:val="22"/>
        </w:rPr>
        <w:tab/>
        <w:t>423</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spacing w:line="360" w:lineRule="auto"/>
      </w:pPr>
      <w:r>
        <w:lastRenderedPageBreak/>
        <w:t>Slide 20</w:t>
      </w:r>
    </w:p>
    <w:p w:rsidR="00D8413A" w:rsidRDefault="00D8413A" w:rsidP="00D8413A">
      <w:pPr>
        <w:spacing w:line="360" w:lineRule="auto"/>
      </w:pPr>
    </w:p>
    <w:p w:rsidR="00D8413A" w:rsidRDefault="00D8413A" w:rsidP="00D8413A">
      <w:pPr>
        <w:spacing w:line="360" w:lineRule="auto"/>
        <w:jc w:val="center"/>
      </w:pPr>
      <w:r>
        <w:object w:dxaOrig="7216" w:dyaOrig="5409">
          <v:shape id="_x0000_i1044" type="#_x0000_t75" style="width:270.75pt;height:202.5pt" o:ole="" o:bordertopcolor="this" o:borderleftcolor="this" o:borderbottomcolor="this" o:borderrightcolor="this">
            <v:imagedata r:id="rId44" o:title=""/>
            <w10:bordertop type="single" width="4" shadow="t"/>
            <w10:borderleft type="single" width="4" shadow="t"/>
            <w10:borderbottom type="single" width="4" shadow="t"/>
            <w10:borderright type="single" width="4" shadow="t"/>
          </v:shape>
          <o:OLEObject Type="Embed" ProgID="PowerPoint.Slide.12" ShapeID="_x0000_i1044" DrawAspect="Content" ObjectID="_1424612445" r:id="rId45"/>
        </w:object>
      </w:r>
    </w:p>
    <w:p w:rsidR="00D8413A" w:rsidRDefault="00D8413A" w:rsidP="00D8413A">
      <w:pPr>
        <w:spacing w:line="360" w:lineRule="auto"/>
        <w:jc w:val="center"/>
      </w:pPr>
    </w:p>
    <w:p w:rsidR="00D8413A" w:rsidRDefault="00D8413A" w:rsidP="00D8413A">
      <w:pPr>
        <w:autoSpaceDE w:val="0"/>
        <w:autoSpaceDN w:val="0"/>
        <w:adjustRightInd w:val="0"/>
        <w:rPr>
          <w:rFonts w:ascii="Calibri" w:cs="Calibri"/>
          <w:b/>
          <w:bCs/>
          <w:color w:val="000000"/>
          <w:sz w:val="22"/>
          <w:szCs w:val="22"/>
          <w:u w:val="single"/>
        </w:rPr>
      </w:pPr>
      <w:r>
        <w:rPr>
          <w:rFonts w:ascii="Calibri" w:cs="Calibri"/>
          <w:b/>
          <w:bCs/>
          <w:color w:val="000000"/>
          <w:sz w:val="22"/>
          <w:szCs w:val="22"/>
          <w:u w:val="single"/>
        </w:rPr>
        <w:t xml:space="preserve">Employer Survey Results </w:t>
      </w:r>
      <w:r>
        <w:rPr>
          <w:rFonts w:ascii="Calibri" w:cs="Calibri"/>
          <w:b/>
          <w:bCs/>
          <w:color w:val="000000"/>
          <w:sz w:val="22"/>
          <w:szCs w:val="22"/>
          <w:u w:val="single"/>
        </w:rPr>
        <w:t>–</w:t>
      </w:r>
      <w:r>
        <w:rPr>
          <w:rFonts w:ascii="Calibri" w:cs="Calibri"/>
          <w:b/>
          <w:bCs/>
          <w:color w:val="000000"/>
          <w:sz w:val="22"/>
          <w:szCs w:val="22"/>
          <w:u w:val="single"/>
        </w:rPr>
        <w:t xml:space="preserve"> Central Victoria PEA:</w:t>
      </w:r>
    </w:p>
    <w:p w:rsidR="00D8413A" w:rsidRDefault="00D8413A" w:rsidP="00D8413A">
      <w:pPr>
        <w:autoSpaceDE w:val="0"/>
        <w:autoSpaceDN w:val="0"/>
        <w:adjustRightInd w:val="0"/>
        <w:rPr>
          <w:rFonts w:ascii="Calibri" w:hAnsi="Calibri" w:cs="Calibri"/>
          <w:i/>
          <w:iCs/>
          <w:color w:val="000000"/>
          <w:sz w:val="22"/>
          <w:szCs w:val="22"/>
        </w:rPr>
      </w:pPr>
      <w:r>
        <w:rPr>
          <w:rFonts w:ascii="Calibri" w:hAnsi="Calibri" w:cs="Calibri"/>
          <w:i/>
          <w:iCs/>
          <w:color w:val="000000"/>
          <w:sz w:val="22"/>
          <w:szCs w:val="22"/>
        </w:rPr>
        <w:t>Source:  DEEWR, Survey of Employers’ Recruitment Experiences, Central Victoria PEA, October 2012</w:t>
      </w:r>
    </w:p>
    <w:p w:rsidR="00D8413A" w:rsidRDefault="00D8413A" w:rsidP="00D8413A">
      <w:pPr>
        <w:autoSpaceDE w:val="0"/>
        <w:autoSpaceDN w:val="0"/>
        <w:adjustRightInd w:val="0"/>
        <w:rPr>
          <w:rFonts w:ascii="Calibri" w:cs="Calibri"/>
          <w:color w:val="000000"/>
          <w:sz w:val="22"/>
          <w:szCs w:val="22"/>
        </w:rPr>
      </w:pPr>
    </w:p>
    <w:p w:rsidR="00D8413A" w:rsidRDefault="00D8413A" w:rsidP="0036565E">
      <w:pPr>
        <w:autoSpaceDE w:val="0"/>
        <w:autoSpaceDN w:val="0"/>
        <w:adjustRightInd w:val="0"/>
        <w:rPr>
          <w:rFonts w:ascii="Calibri" w:hAnsi="Calibri" w:cs="Calibri"/>
          <w:color w:val="000000"/>
          <w:sz w:val="22"/>
          <w:szCs w:val="22"/>
        </w:rPr>
      </w:pPr>
      <w:proofErr w:type="gramStart"/>
      <w:r>
        <w:rPr>
          <w:rFonts w:ascii="Calibri" w:hAnsi="Calibri" w:cs="Calibri"/>
          <w:color w:val="000000"/>
          <w:sz w:val="22"/>
          <w:szCs w:val="22"/>
        </w:rPr>
        <w:t>Moderate level of recruitment activity</w:t>
      </w:r>
      <w:r w:rsidR="0036565E">
        <w:rPr>
          <w:rFonts w:ascii="Calibri" w:hAnsi="Calibri" w:cs="Calibri"/>
          <w:color w:val="000000"/>
          <w:sz w:val="22"/>
          <w:szCs w:val="22"/>
        </w:rPr>
        <w:t xml:space="preserve"> with 1 in 6 jobs becoming </w:t>
      </w:r>
      <w:r>
        <w:rPr>
          <w:rFonts w:ascii="Calibri" w:hAnsi="Calibri" w:cs="Calibri"/>
          <w:color w:val="000000"/>
          <w:sz w:val="22"/>
          <w:szCs w:val="22"/>
        </w:rPr>
        <w:t>vacant in last 12 months</w:t>
      </w:r>
      <w:r w:rsidR="0036565E">
        <w:rPr>
          <w:rFonts w:ascii="Calibri" w:hAnsi="Calibri" w:cs="Calibri"/>
          <w:color w:val="000000"/>
          <w:sz w:val="22"/>
          <w:szCs w:val="22"/>
        </w:rPr>
        <w:t>.</w:t>
      </w:r>
      <w:proofErr w:type="gramEnd"/>
    </w:p>
    <w:p w:rsidR="00D8413A" w:rsidRDefault="00D8413A" w:rsidP="00D8413A">
      <w:pPr>
        <w:autoSpaceDE w:val="0"/>
        <w:autoSpaceDN w:val="0"/>
        <w:adjustRightInd w:val="0"/>
        <w:rPr>
          <w:rFonts w:ascii="Calibri" w:hAnsi="Calibri" w:cs="Calibri"/>
          <w:color w:val="000000"/>
          <w:sz w:val="22"/>
          <w:szCs w:val="22"/>
        </w:rPr>
      </w:pPr>
    </w:p>
    <w:p w:rsidR="00D8413A" w:rsidRDefault="00D8413A" w:rsidP="0036565E">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Two out of five employers had difficulty filling a vacancy in the last 12 </w:t>
      </w:r>
      <w:proofErr w:type="gramStart"/>
      <w:r>
        <w:rPr>
          <w:rFonts w:ascii="Calibri" w:hAnsi="Calibri" w:cs="Calibri"/>
          <w:color w:val="000000"/>
          <w:sz w:val="22"/>
          <w:szCs w:val="22"/>
        </w:rPr>
        <w:t>months</w:t>
      </w:r>
      <w:r w:rsidR="0036565E">
        <w:rPr>
          <w:rFonts w:ascii="Calibri" w:hAnsi="Calibri" w:cs="Calibri"/>
          <w:color w:val="000000"/>
          <w:sz w:val="22"/>
          <w:szCs w:val="22"/>
        </w:rPr>
        <w:t>,</w:t>
      </w:r>
      <w:proofErr w:type="gramEnd"/>
      <w:r w:rsidR="0036565E">
        <w:rPr>
          <w:rFonts w:ascii="Calibri" w:hAnsi="Calibri" w:cs="Calibri"/>
          <w:color w:val="000000"/>
          <w:sz w:val="22"/>
          <w:szCs w:val="22"/>
        </w:rPr>
        <w:t xml:space="preserve"> h</w:t>
      </w:r>
      <w:r>
        <w:rPr>
          <w:rFonts w:ascii="Calibri" w:hAnsi="Calibri" w:cs="Calibri"/>
          <w:color w:val="000000"/>
          <w:sz w:val="22"/>
          <w:szCs w:val="22"/>
        </w:rPr>
        <w:t>owever</w:t>
      </w:r>
      <w:r w:rsidR="0036565E">
        <w:rPr>
          <w:rFonts w:ascii="Calibri" w:hAnsi="Calibri" w:cs="Calibri"/>
          <w:color w:val="000000"/>
          <w:sz w:val="22"/>
          <w:szCs w:val="22"/>
        </w:rPr>
        <w:t xml:space="preserve"> </w:t>
      </w:r>
      <w:r>
        <w:rPr>
          <w:rFonts w:ascii="Calibri" w:hAnsi="Calibri" w:cs="Calibri"/>
          <w:color w:val="000000"/>
          <w:sz w:val="22"/>
          <w:szCs w:val="22"/>
        </w:rPr>
        <w:t>difficulty has eased since the 2011 survey</w:t>
      </w:r>
      <w:r w:rsidR="0036565E">
        <w:rPr>
          <w:rFonts w:ascii="Calibri" w:hAnsi="Calibri" w:cs="Calibri"/>
          <w:color w:val="000000"/>
          <w:sz w:val="22"/>
          <w:szCs w:val="22"/>
        </w:rPr>
        <w:t>.</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Recruitment expectations for the 12 months following the survey were moderate compared to All Regions Surveyed.</w:t>
      </w:r>
    </w:p>
    <w:p w:rsidR="00D8413A" w:rsidRDefault="00D8413A" w:rsidP="00D8413A">
      <w:pPr>
        <w:autoSpaceDE w:val="0"/>
        <w:autoSpaceDN w:val="0"/>
        <w:adjustRightInd w:val="0"/>
        <w:rPr>
          <w:rFonts w:ascii="Calibri" w:cs="Calibri"/>
          <w:color w:val="000000"/>
          <w:sz w:val="22"/>
          <w:szCs w:val="22"/>
        </w:rPr>
      </w:pPr>
    </w:p>
    <w:p w:rsidR="00D8413A" w:rsidRDefault="00D8413A" w:rsidP="00D8413A">
      <w:pPr>
        <w:autoSpaceDE w:val="0"/>
        <w:autoSpaceDN w:val="0"/>
        <w:adjustRightInd w:val="0"/>
        <w:rPr>
          <w:rFonts w:ascii="Arial" w:hAnsi="Arial" w:cs="Arial"/>
        </w:rPr>
      </w:pPr>
    </w:p>
    <w:p w:rsidR="00D8413A" w:rsidRDefault="00D8413A" w:rsidP="00D8413A">
      <w:pPr>
        <w:spacing w:line="360" w:lineRule="auto"/>
      </w:pPr>
    </w:p>
    <w:p w:rsidR="00D8413A" w:rsidRDefault="00D8413A">
      <w:r>
        <w:br w:type="page"/>
      </w:r>
    </w:p>
    <w:p w:rsidR="00D8413A" w:rsidRDefault="00D8413A" w:rsidP="00D8413A">
      <w:pPr>
        <w:spacing w:line="360" w:lineRule="auto"/>
      </w:pPr>
      <w:r>
        <w:lastRenderedPageBreak/>
        <w:t>Slide 21</w:t>
      </w:r>
    </w:p>
    <w:p w:rsidR="00D8413A" w:rsidRDefault="00D8413A" w:rsidP="00D8413A">
      <w:pPr>
        <w:spacing w:line="360" w:lineRule="auto"/>
      </w:pPr>
    </w:p>
    <w:p w:rsidR="00D8413A" w:rsidRDefault="00D8413A" w:rsidP="00D8413A">
      <w:pPr>
        <w:spacing w:line="360" w:lineRule="auto"/>
        <w:jc w:val="center"/>
      </w:pPr>
      <w:r>
        <w:object w:dxaOrig="7216" w:dyaOrig="5409">
          <v:shape id="_x0000_i1045" type="#_x0000_t75" style="width:270.75pt;height:202.5pt" o:ole="" o:bordertopcolor="this" o:borderleftcolor="this" o:borderbottomcolor="this" o:borderrightcolor="this">
            <v:imagedata r:id="rId46" o:title=""/>
            <w10:bordertop type="single" width="4" shadow="t"/>
            <w10:borderleft type="single" width="4" shadow="t"/>
            <w10:borderbottom type="single" width="4" shadow="t"/>
            <w10:borderright type="single" width="4" shadow="t"/>
          </v:shape>
          <o:OLEObject Type="Embed" ProgID="PowerPoint.Slide.12" ShapeID="_x0000_i1045" DrawAspect="Content" ObjectID="_1424612446" r:id="rId47"/>
        </w:object>
      </w:r>
    </w:p>
    <w:p w:rsidR="00D8413A" w:rsidRDefault="00D8413A" w:rsidP="00D8413A">
      <w:pPr>
        <w:spacing w:line="360" w:lineRule="auto"/>
        <w:jc w:val="center"/>
      </w:pPr>
    </w:p>
    <w:p w:rsidR="00D8413A" w:rsidRDefault="00D8413A" w:rsidP="00D8413A">
      <w:pPr>
        <w:autoSpaceDE w:val="0"/>
        <w:autoSpaceDN w:val="0"/>
        <w:adjustRightInd w:val="0"/>
        <w:rPr>
          <w:rFonts w:ascii="Calibri" w:hAnsi="Calibri" w:cs="Calibri"/>
          <w:b/>
          <w:bCs/>
          <w:color w:val="000000"/>
          <w:sz w:val="22"/>
          <w:szCs w:val="22"/>
          <w:u w:val="single"/>
        </w:rPr>
      </w:pPr>
      <w:r>
        <w:rPr>
          <w:rFonts w:ascii="Calibri" w:hAnsi="Calibri" w:cs="Calibri"/>
          <w:b/>
          <w:bCs/>
          <w:color w:val="000000"/>
          <w:sz w:val="22"/>
          <w:szCs w:val="22"/>
          <w:u w:val="single"/>
        </w:rPr>
        <w:t>Unfilled vacancies varied by occupation:</w:t>
      </w:r>
    </w:p>
    <w:p w:rsidR="00D8413A" w:rsidRDefault="00D8413A" w:rsidP="00D8413A">
      <w:pPr>
        <w:autoSpaceDE w:val="0"/>
        <w:autoSpaceDN w:val="0"/>
        <w:adjustRightInd w:val="0"/>
        <w:rPr>
          <w:rFonts w:ascii="Calibri" w:hAnsi="Calibri" w:cs="Calibri"/>
          <w:i/>
          <w:iCs/>
          <w:color w:val="000000"/>
          <w:sz w:val="22"/>
          <w:szCs w:val="22"/>
        </w:rPr>
      </w:pPr>
      <w:r>
        <w:rPr>
          <w:rFonts w:ascii="Calibri" w:hAnsi="Calibri" w:cs="Calibri"/>
          <w:i/>
          <w:iCs/>
          <w:color w:val="000000"/>
          <w:sz w:val="22"/>
          <w:szCs w:val="22"/>
        </w:rPr>
        <w:t>Source:  DEEWR, Survey of Employers’ Recruitment Experiences, Central Victoria PEA, October 2012</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The proportion of vacancies that remained unfilled in employers’ most recent recruitment round varied across the occupation groups. </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There </w:t>
      </w:r>
      <w:proofErr w:type="gramStart"/>
      <w:r>
        <w:rPr>
          <w:rFonts w:ascii="Calibri" w:hAnsi="Calibri" w:cs="Calibri"/>
          <w:color w:val="000000"/>
          <w:sz w:val="22"/>
          <w:szCs w:val="22"/>
        </w:rPr>
        <w:t>was</w:t>
      </w:r>
      <w:proofErr w:type="gramEnd"/>
      <w:r>
        <w:rPr>
          <w:rFonts w:ascii="Calibri" w:hAnsi="Calibri" w:cs="Calibri"/>
          <w:color w:val="000000"/>
          <w:sz w:val="22"/>
          <w:szCs w:val="22"/>
        </w:rPr>
        <w:t xml:space="preserve"> a high proportion of Technicians and Trades Workers (18.3 per cent) vacancies that were unfilled while there were few vacancies for Sales Workers (1.2 per cent) and Labourers (2.0 per cent) remained unfilled. </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Employers recruiting for </w:t>
      </w:r>
      <w:proofErr w:type="gramStart"/>
      <w:r>
        <w:rPr>
          <w:rFonts w:ascii="Calibri" w:hAnsi="Calibri" w:cs="Calibri"/>
          <w:color w:val="000000"/>
          <w:sz w:val="22"/>
          <w:szCs w:val="22"/>
        </w:rPr>
        <w:t>Managers &amp;</w:t>
      </w:r>
      <w:proofErr w:type="gramEnd"/>
      <w:r>
        <w:rPr>
          <w:rFonts w:ascii="Calibri" w:hAnsi="Calibri" w:cs="Calibri"/>
          <w:color w:val="000000"/>
          <w:sz w:val="22"/>
          <w:szCs w:val="22"/>
        </w:rPr>
        <w:t xml:space="preserve"> Professionals and Clerical and Administrative Workers occupations filled all their vacancies in their most recent recruitment round.</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Arial" w:hAnsi="Arial" w:cs="Arial"/>
        </w:rPr>
      </w:pPr>
    </w:p>
    <w:p w:rsidR="00D8413A" w:rsidRDefault="00D8413A" w:rsidP="00D8413A">
      <w:pPr>
        <w:spacing w:line="360" w:lineRule="auto"/>
      </w:pPr>
    </w:p>
    <w:p w:rsidR="00D8413A" w:rsidRDefault="00D8413A">
      <w:r>
        <w:br w:type="page"/>
      </w:r>
    </w:p>
    <w:p w:rsidR="00D8413A" w:rsidRDefault="00D8413A" w:rsidP="00D8413A">
      <w:pPr>
        <w:spacing w:line="360" w:lineRule="auto"/>
      </w:pPr>
      <w:r>
        <w:lastRenderedPageBreak/>
        <w:t>Slide 22</w:t>
      </w:r>
    </w:p>
    <w:p w:rsidR="00D8413A" w:rsidRDefault="00D8413A" w:rsidP="00D8413A">
      <w:pPr>
        <w:spacing w:line="360" w:lineRule="auto"/>
      </w:pPr>
    </w:p>
    <w:p w:rsidR="00D8413A" w:rsidRDefault="00D8413A" w:rsidP="00D8413A">
      <w:pPr>
        <w:spacing w:line="360" w:lineRule="auto"/>
        <w:jc w:val="center"/>
      </w:pPr>
      <w:r>
        <w:object w:dxaOrig="7216" w:dyaOrig="5409">
          <v:shape id="_x0000_i1046" type="#_x0000_t75" style="width:270.75pt;height:202.5pt" o:ole="" o:bordertopcolor="this" o:borderleftcolor="this" o:borderbottomcolor="this" o:borderrightcolor="this">
            <v:imagedata r:id="rId48" o:title=""/>
            <w10:bordertop type="single" width="4" shadow="t"/>
            <w10:borderleft type="single" width="4" shadow="t"/>
            <w10:borderbottom type="single" width="4" shadow="t"/>
            <w10:borderright type="single" width="4" shadow="t"/>
          </v:shape>
          <o:OLEObject Type="Embed" ProgID="PowerPoint.Slide.12" ShapeID="_x0000_i1046" DrawAspect="Content" ObjectID="_1424612447" r:id="rId49"/>
        </w:object>
      </w:r>
    </w:p>
    <w:p w:rsidR="00D8413A" w:rsidRDefault="00D8413A" w:rsidP="00D8413A">
      <w:pPr>
        <w:spacing w:line="360" w:lineRule="auto"/>
        <w:jc w:val="center"/>
      </w:pPr>
    </w:p>
    <w:p w:rsidR="00D8413A" w:rsidRDefault="00D8413A" w:rsidP="00D8413A">
      <w:pPr>
        <w:autoSpaceDE w:val="0"/>
        <w:autoSpaceDN w:val="0"/>
        <w:adjustRightInd w:val="0"/>
        <w:rPr>
          <w:rFonts w:ascii="Calibri" w:hAnsi="Calibri" w:cs="Calibri"/>
          <w:b/>
          <w:bCs/>
          <w:color w:val="000000"/>
          <w:sz w:val="22"/>
          <w:szCs w:val="22"/>
          <w:u w:val="single"/>
        </w:rPr>
      </w:pPr>
      <w:r>
        <w:rPr>
          <w:rFonts w:ascii="Calibri" w:hAnsi="Calibri" w:cs="Calibri"/>
          <w:b/>
          <w:bCs/>
          <w:color w:val="000000"/>
          <w:sz w:val="22"/>
          <w:szCs w:val="22"/>
          <w:u w:val="single"/>
        </w:rPr>
        <w:t>Competition for vacancies:</w:t>
      </w:r>
    </w:p>
    <w:p w:rsidR="00D8413A" w:rsidRDefault="00D8413A" w:rsidP="00D8413A">
      <w:pPr>
        <w:autoSpaceDE w:val="0"/>
        <w:autoSpaceDN w:val="0"/>
        <w:adjustRightInd w:val="0"/>
        <w:rPr>
          <w:rFonts w:ascii="Calibri" w:hAnsi="Calibri" w:cs="Calibri"/>
          <w:i/>
          <w:iCs/>
          <w:color w:val="000000"/>
          <w:sz w:val="22"/>
          <w:szCs w:val="22"/>
        </w:rPr>
      </w:pPr>
      <w:r>
        <w:rPr>
          <w:rFonts w:ascii="Calibri" w:hAnsi="Calibri" w:cs="Calibri"/>
          <w:i/>
          <w:iCs/>
          <w:color w:val="000000"/>
          <w:sz w:val="22"/>
          <w:szCs w:val="22"/>
        </w:rPr>
        <w:t>Source:  DEEWR, Survey of Employers’ Recruitment Experiences, Central Victoria PEA, October 2012</w:t>
      </w:r>
    </w:p>
    <w:p w:rsidR="00D8413A" w:rsidRDefault="00D8413A" w:rsidP="00D8413A">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 </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There was a low average number of applicants per vacancy (5.2) compared with previous surveys (7.8 in September 2011) and all regions surveyed (8.2). The average number of suitable applicants per vacancy (1.7) was also low compared with previous surveys (2.3 in September 2011 and all regions surveyed).</w:t>
      </w:r>
    </w:p>
    <w:p w:rsidR="00D8413A" w:rsidRDefault="00D8413A" w:rsidP="00D8413A">
      <w:pPr>
        <w:autoSpaceDE w:val="0"/>
        <w:autoSpaceDN w:val="0"/>
        <w:adjustRightInd w:val="0"/>
        <w:rPr>
          <w:rFonts w:ascii="Arial" w:hAnsi="Arial" w:cs="Arial"/>
        </w:rPr>
      </w:pPr>
    </w:p>
    <w:p w:rsidR="00D8413A" w:rsidRDefault="00D8413A" w:rsidP="00D8413A">
      <w:pPr>
        <w:spacing w:line="360" w:lineRule="auto"/>
      </w:pPr>
    </w:p>
    <w:p w:rsidR="00D8413A" w:rsidRDefault="00D8413A">
      <w:r>
        <w:br w:type="page"/>
      </w:r>
    </w:p>
    <w:p w:rsidR="00D8413A" w:rsidRDefault="00D8413A" w:rsidP="00D8413A">
      <w:pPr>
        <w:spacing w:line="360" w:lineRule="auto"/>
      </w:pPr>
      <w:r>
        <w:lastRenderedPageBreak/>
        <w:t>Slide 23</w:t>
      </w:r>
    </w:p>
    <w:p w:rsidR="00D8413A" w:rsidRDefault="00D8413A" w:rsidP="00D8413A">
      <w:pPr>
        <w:spacing w:line="360" w:lineRule="auto"/>
      </w:pPr>
    </w:p>
    <w:p w:rsidR="00D8413A" w:rsidRDefault="00D8413A" w:rsidP="00D8413A">
      <w:pPr>
        <w:spacing w:line="360" w:lineRule="auto"/>
        <w:jc w:val="center"/>
      </w:pPr>
      <w:r>
        <w:object w:dxaOrig="7216" w:dyaOrig="5409">
          <v:shape id="_x0000_i1047" type="#_x0000_t75" style="width:270.75pt;height:202.5pt" o:ole="" o:bordertopcolor="this" o:borderleftcolor="this" o:borderbottomcolor="this" o:borderrightcolor="this">
            <v:imagedata r:id="rId50" o:title=""/>
            <w10:bordertop type="single" width="4" shadow="t"/>
            <w10:borderleft type="single" width="4" shadow="t"/>
            <w10:borderbottom type="single" width="4" shadow="t"/>
            <w10:borderright type="single" width="4" shadow="t"/>
          </v:shape>
          <o:OLEObject Type="Embed" ProgID="PowerPoint.Slide.12" ShapeID="_x0000_i1047" DrawAspect="Content" ObjectID="_1424612448" r:id="rId51"/>
        </w:object>
      </w:r>
    </w:p>
    <w:p w:rsidR="00D8413A" w:rsidRDefault="00D8413A" w:rsidP="00D8413A">
      <w:pPr>
        <w:spacing w:line="360" w:lineRule="auto"/>
        <w:jc w:val="center"/>
      </w:pPr>
    </w:p>
    <w:p w:rsidR="00D8413A" w:rsidRDefault="00D8413A" w:rsidP="00D8413A">
      <w:pPr>
        <w:autoSpaceDE w:val="0"/>
        <w:autoSpaceDN w:val="0"/>
        <w:adjustRightInd w:val="0"/>
        <w:rPr>
          <w:rFonts w:ascii="Calibri" w:hAnsi="Calibri" w:cs="Calibri"/>
          <w:b/>
          <w:bCs/>
          <w:color w:val="000000"/>
          <w:sz w:val="22"/>
          <w:szCs w:val="22"/>
          <w:u w:val="single"/>
        </w:rPr>
      </w:pPr>
      <w:r>
        <w:rPr>
          <w:rFonts w:ascii="Calibri" w:hAnsi="Calibri" w:cs="Calibri"/>
          <w:b/>
          <w:bCs/>
          <w:color w:val="000000"/>
          <w:sz w:val="22"/>
          <w:szCs w:val="22"/>
          <w:u w:val="single"/>
        </w:rPr>
        <w:t>Unfilled Vacancies and Recruitment Difficulty:</w:t>
      </w:r>
    </w:p>
    <w:p w:rsidR="00D8413A" w:rsidRDefault="00D8413A" w:rsidP="00D8413A">
      <w:pPr>
        <w:autoSpaceDE w:val="0"/>
        <w:autoSpaceDN w:val="0"/>
        <w:adjustRightInd w:val="0"/>
        <w:rPr>
          <w:rFonts w:ascii="Calibri" w:hAnsi="Calibri" w:cs="Calibri"/>
          <w:i/>
          <w:iCs/>
          <w:color w:val="000000"/>
          <w:sz w:val="22"/>
          <w:szCs w:val="22"/>
        </w:rPr>
      </w:pPr>
      <w:r>
        <w:rPr>
          <w:rFonts w:ascii="Calibri" w:hAnsi="Calibri" w:cs="Calibri"/>
          <w:i/>
          <w:iCs/>
          <w:color w:val="000000"/>
          <w:sz w:val="22"/>
          <w:szCs w:val="22"/>
        </w:rPr>
        <w:t>Source:  DEEWR, Survey of Employers’ Recruitment Experiences, Central Victoria PEA, October 2012</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This slide shows the industries where there were many unfilled vacancies and where employers frequently reported difficulty. Employers in the Accommodation and Food Services industries were at the top of both lists.</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Arial" w:hAnsi="Arial" w:cs="Arial"/>
        </w:rPr>
      </w:pPr>
    </w:p>
    <w:p w:rsidR="00D8413A" w:rsidRDefault="00D8413A" w:rsidP="00D8413A">
      <w:pPr>
        <w:spacing w:line="360" w:lineRule="auto"/>
      </w:pPr>
    </w:p>
    <w:p w:rsidR="00D8413A" w:rsidRDefault="00D8413A">
      <w:r>
        <w:br w:type="page"/>
      </w:r>
    </w:p>
    <w:p w:rsidR="00D8413A" w:rsidRDefault="00D8413A" w:rsidP="00D8413A">
      <w:pPr>
        <w:spacing w:line="360" w:lineRule="auto"/>
      </w:pPr>
      <w:r>
        <w:lastRenderedPageBreak/>
        <w:t>Slide 24</w:t>
      </w:r>
    </w:p>
    <w:p w:rsidR="00D8413A" w:rsidRDefault="00D8413A" w:rsidP="00D8413A">
      <w:pPr>
        <w:spacing w:line="360" w:lineRule="auto"/>
      </w:pPr>
    </w:p>
    <w:p w:rsidR="00D8413A" w:rsidRDefault="00D8413A" w:rsidP="00D8413A">
      <w:pPr>
        <w:spacing w:line="360" w:lineRule="auto"/>
        <w:jc w:val="center"/>
      </w:pPr>
      <w:r>
        <w:object w:dxaOrig="7216" w:dyaOrig="5409">
          <v:shape id="_x0000_i1048" type="#_x0000_t75" style="width:270.75pt;height:202.5pt" o:ole="" o:bordertopcolor="this" o:borderleftcolor="this" o:borderbottomcolor="this" o:borderrightcolor="this">
            <v:imagedata r:id="rId52" o:title=""/>
            <w10:bordertop type="single" width="4" shadow="t"/>
            <w10:borderleft type="single" width="4" shadow="t"/>
            <w10:borderbottom type="single" width="4" shadow="t"/>
            <w10:borderright type="single" width="4" shadow="t"/>
          </v:shape>
          <o:OLEObject Type="Embed" ProgID="PowerPoint.Slide.12" ShapeID="_x0000_i1048" DrawAspect="Content" ObjectID="_1424612449" r:id="rId53"/>
        </w:object>
      </w:r>
    </w:p>
    <w:p w:rsidR="00D8413A" w:rsidRDefault="00D8413A" w:rsidP="00D8413A">
      <w:pPr>
        <w:spacing w:line="360" w:lineRule="auto"/>
        <w:jc w:val="cente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b/>
          <w:bCs/>
          <w:color w:val="000000"/>
          <w:sz w:val="22"/>
          <w:szCs w:val="22"/>
          <w:u w:val="single"/>
        </w:rPr>
        <w:t>Reasons applicants are unsuitable:</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i/>
          <w:iCs/>
          <w:color w:val="000000"/>
          <w:sz w:val="22"/>
          <w:szCs w:val="22"/>
        </w:rPr>
        <w:t>Source:  DEEWR, Survey of Employers’ Recruitment Experiences, October 2012</w:t>
      </w:r>
      <w:r>
        <w:rPr>
          <w:rFonts w:ascii="Calibri" w:hAnsi="Calibri" w:cs="Calibri"/>
          <w:b/>
          <w:bCs/>
          <w:color w:val="000000"/>
          <w:sz w:val="22"/>
          <w:szCs w:val="22"/>
        </w:rPr>
        <w:t> </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cs="Calibri"/>
          <w:color w:val="000000"/>
          <w:sz w:val="22"/>
          <w:szCs w:val="22"/>
        </w:rPr>
      </w:pPr>
      <w:r>
        <w:rPr>
          <w:rFonts w:ascii="Calibri" w:cs="Calibri"/>
          <w:color w:val="000000"/>
          <w:sz w:val="22"/>
          <w:szCs w:val="22"/>
        </w:rPr>
        <w:t>Common reasons job applicants were unsuitable were:</w:t>
      </w:r>
    </w:p>
    <w:p w:rsidR="00D8413A" w:rsidRDefault="00D8413A" w:rsidP="00D8413A">
      <w:pPr>
        <w:numPr>
          <w:ilvl w:val="0"/>
          <w:numId w:val="3"/>
        </w:numPr>
        <w:autoSpaceDE w:val="0"/>
        <w:autoSpaceDN w:val="0"/>
        <w:adjustRightInd w:val="0"/>
        <w:ind w:left="1170" w:hanging="450"/>
        <w:rPr>
          <w:rFonts w:ascii="Calibri" w:cs="Calibri"/>
          <w:color w:val="000000"/>
          <w:sz w:val="22"/>
          <w:szCs w:val="22"/>
        </w:rPr>
      </w:pPr>
      <w:r>
        <w:rPr>
          <w:rFonts w:ascii="Calibri" w:cs="Calibri"/>
          <w:color w:val="000000"/>
          <w:sz w:val="22"/>
          <w:szCs w:val="22"/>
        </w:rPr>
        <w:t>Insufficient technical skills or experience (66%)</w:t>
      </w:r>
    </w:p>
    <w:p w:rsidR="00D8413A" w:rsidRDefault="00D8413A" w:rsidP="00D8413A">
      <w:pPr>
        <w:numPr>
          <w:ilvl w:val="0"/>
          <w:numId w:val="3"/>
        </w:numPr>
        <w:autoSpaceDE w:val="0"/>
        <w:autoSpaceDN w:val="0"/>
        <w:adjustRightInd w:val="0"/>
        <w:ind w:left="1170" w:hanging="450"/>
        <w:rPr>
          <w:rFonts w:ascii="Calibri" w:cs="Calibri"/>
          <w:color w:val="000000"/>
          <w:sz w:val="22"/>
          <w:szCs w:val="22"/>
        </w:rPr>
      </w:pPr>
      <w:r>
        <w:rPr>
          <w:rFonts w:ascii="Calibri" w:cs="Calibri"/>
          <w:color w:val="000000"/>
          <w:sz w:val="22"/>
          <w:szCs w:val="22"/>
        </w:rPr>
        <w:t>Lack of employability skills and personal characteristics (37%)</w:t>
      </w:r>
    </w:p>
    <w:p w:rsidR="00D8413A" w:rsidRDefault="00D8413A" w:rsidP="00D8413A">
      <w:pPr>
        <w:numPr>
          <w:ilvl w:val="0"/>
          <w:numId w:val="3"/>
        </w:numPr>
        <w:autoSpaceDE w:val="0"/>
        <w:autoSpaceDN w:val="0"/>
        <w:adjustRightInd w:val="0"/>
        <w:ind w:left="1170" w:hanging="450"/>
        <w:rPr>
          <w:rFonts w:ascii="Calibri" w:cs="Calibri"/>
          <w:color w:val="000000"/>
          <w:sz w:val="22"/>
          <w:szCs w:val="22"/>
        </w:rPr>
      </w:pPr>
      <w:r>
        <w:rPr>
          <w:rFonts w:ascii="Calibri" w:cs="Calibri"/>
          <w:color w:val="000000"/>
          <w:sz w:val="22"/>
          <w:szCs w:val="22"/>
        </w:rPr>
        <w:t>Not available to work hours required (13%)</w:t>
      </w:r>
    </w:p>
    <w:p w:rsidR="00D8413A" w:rsidRDefault="00D8413A" w:rsidP="00D8413A">
      <w:pPr>
        <w:numPr>
          <w:ilvl w:val="0"/>
          <w:numId w:val="3"/>
        </w:numPr>
        <w:autoSpaceDE w:val="0"/>
        <w:autoSpaceDN w:val="0"/>
        <w:adjustRightInd w:val="0"/>
        <w:ind w:left="1170" w:hanging="450"/>
        <w:rPr>
          <w:rFonts w:ascii="Calibri" w:cs="Calibri"/>
          <w:color w:val="000000"/>
          <w:sz w:val="22"/>
          <w:szCs w:val="22"/>
        </w:rPr>
      </w:pPr>
      <w:r>
        <w:rPr>
          <w:rFonts w:ascii="Calibri" w:cs="Calibri"/>
          <w:color w:val="000000"/>
          <w:sz w:val="22"/>
          <w:szCs w:val="22"/>
        </w:rPr>
        <w:t>Poor interview skills / written application (12%)</w:t>
      </w:r>
    </w:p>
    <w:p w:rsidR="00D8413A" w:rsidRDefault="00D8413A" w:rsidP="00D8413A">
      <w:pPr>
        <w:autoSpaceDE w:val="0"/>
        <w:autoSpaceDN w:val="0"/>
        <w:adjustRightInd w:val="0"/>
        <w:rPr>
          <w:rFonts w:ascii="Arial" w:hAnsi="Arial" w:cs="Arial"/>
        </w:rPr>
      </w:pPr>
    </w:p>
    <w:p w:rsidR="00D8413A" w:rsidRDefault="00D8413A" w:rsidP="00D8413A">
      <w:pPr>
        <w:spacing w:line="360" w:lineRule="auto"/>
      </w:pPr>
    </w:p>
    <w:p w:rsidR="00D8413A" w:rsidRDefault="00D8413A">
      <w:r>
        <w:br w:type="page"/>
      </w:r>
    </w:p>
    <w:p w:rsidR="00D8413A" w:rsidRDefault="00D8413A" w:rsidP="00D8413A">
      <w:pPr>
        <w:spacing w:line="360" w:lineRule="auto"/>
      </w:pPr>
      <w:r>
        <w:lastRenderedPageBreak/>
        <w:t>Slide 25</w:t>
      </w:r>
    </w:p>
    <w:p w:rsidR="00D8413A" w:rsidRDefault="00D8413A" w:rsidP="00D8413A">
      <w:pPr>
        <w:spacing w:line="360" w:lineRule="auto"/>
      </w:pPr>
    </w:p>
    <w:p w:rsidR="00D8413A" w:rsidRDefault="00D8413A" w:rsidP="00D8413A">
      <w:pPr>
        <w:spacing w:line="360" w:lineRule="auto"/>
        <w:jc w:val="center"/>
      </w:pPr>
      <w:r>
        <w:object w:dxaOrig="7216" w:dyaOrig="5409">
          <v:shape id="_x0000_i1049" type="#_x0000_t75" style="width:270.75pt;height:202.5pt" o:ole="" o:bordertopcolor="this" o:borderleftcolor="this" o:borderbottomcolor="this" o:borderrightcolor="this">
            <v:imagedata r:id="rId54" o:title=""/>
            <w10:bordertop type="single" width="4" shadow="t"/>
            <w10:borderleft type="single" width="4" shadow="t"/>
            <w10:borderbottom type="single" width="4" shadow="t"/>
            <w10:borderright type="single" width="4" shadow="t"/>
          </v:shape>
          <o:OLEObject Type="Embed" ProgID="PowerPoint.Slide.12" ShapeID="_x0000_i1049" DrawAspect="Content" ObjectID="_1424612450" r:id="rId55"/>
        </w:object>
      </w:r>
    </w:p>
    <w:p w:rsidR="00D8413A" w:rsidRDefault="00D8413A" w:rsidP="00D8413A">
      <w:pPr>
        <w:spacing w:line="360" w:lineRule="auto"/>
        <w:jc w:val="cente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b/>
          <w:bCs/>
          <w:color w:val="000000"/>
          <w:sz w:val="22"/>
          <w:szCs w:val="22"/>
          <w:u w:val="single"/>
        </w:rPr>
        <w:t>Basic Employability Skills</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i/>
          <w:iCs/>
          <w:color w:val="000000"/>
          <w:sz w:val="22"/>
          <w:szCs w:val="22"/>
        </w:rPr>
        <w:t>Source: DEEWR, Survey of Employers’ Recruitment Experiences, all regions surveyed in the 12 months to December 2010.</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b/>
          <w:bCs/>
          <w:color w:val="000000"/>
          <w:sz w:val="22"/>
          <w:szCs w:val="22"/>
        </w:rPr>
        <w:t> </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Most importance placed on:</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 - 30 per cent personal traits and qualities only</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 - 28 per cent technical skills only</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 - 41 per cent both equally important</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Personal traits and qualities applicants lacked:</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 - Enthusiasm</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 - Motivation</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 - Communication</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 - Confidence</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Arial" w:hAnsi="Arial" w:cs="Arial"/>
        </w:rPr>
      </w:pPr>
    </w:p>
    <w:p w:rsidR="00D8413A" w:rsidRDefault="00D8413A" w:rsidP="00D8413A">
      <w:pPr>
        <w:spacing w:line="360" w:lineRule="auto"/>
      </w:pPr>
    </w:p>
    <w:p w:rsidR="00D8413A" w:rsidRDefault="00D8413A">
      <w:r>
        <w:br w:type="page"/>
      </w:r>
    </w:p>
    <w:p w:rsidR="00D8413A" w:rsidRDefault="00D8413A" w:rsidP="00D8413A">
      <w:pPr>
        <w:spacing w:line="360" w:lineRule="auto"/>
      </w:pPr>
      <w:r>
        <w:lastRenderedPageBreak/>
        <w:t>Slide 26</w:t>
      </w:r>
    </w:p>
    <w:p w:rsidR="00D8413A" w:rsidRDefault="00D8413A" w:rsidP="00D8413A">
      <w:pPr>
        <w:spacing w:line="360" w:lineRule="auto"/>
      </w:pPr>
    </w:p>
    <w:p w:rsidR="00D8413A" w:rsidRDefault="00D8413A" w:rsidP="00D8413A">
      <w:pPr>
        <w:spacing w:line="360" w:lineRule="auto"/>
        <w:jc w:val="center"/>
      </w:pPr>
      <w:r>
        <w:object w:dxaOrig="7216" w:dyaOrig="5409">
          <v:shape id="_x0000_i1050" type="#_x0000_t75" style="width:270.75pt;height:202.5pt" o:ole="" o:bordertopcolor="this" o:borderleftcolor="this" o:borderbottomcolor="this" o:borderrightcolor="this">
            <v:imagedata r:id="rId56" o:title=""/>
            <w10:bordertop type="single" width="4" shadow="t"/>
            <w10:borderleft type="single" width="4" shadow="t"/>
            <w10:borderbottom type="single" width="4" shadow="t"/>
            <w10:borderright type="single" width="4" shadow="t"/>
          </v:shape>
          <o:OLEObject Type="Embed" ProgID="PowerPoint.Slide.12" ShapeID="_x0000_i1050" DrawAspect="Content" ObjectID="_1424612451" r:id="rId57"/>
        </w:object>
      </w:r>
    </w:p>
    <w:p w:rsidR="00D8413A" w:rsidRDefault="00D8413A" w:rsidP="00D8413A">
      <w:pPr>
        <w:spacing w:line="360" w:lineRule="auto"/>
        <w:jc w:val="center"/>
      </w:pPr>
    </w:p>
    <w:p w:rsidR="00D8413A" w:rsidRDefault="00D8413A" w:rsidP="00D8413A">
      <w:pPr>
        <w:autoSpaceDE w:val="0"/>
        <w:autoSpaceDN w:val="0"/>
        <w:adjustRightInd w:val="0"/>
        <w:rPr>
          <w:rFonts w:ascii="Calibri" w:hAnsi="Calibri" w:cs="Calibri"/>
          <w:b/>
          <w:bCs/>
          <w:color w:val="000000"/>
          <w:sz w:val="22"/>
          <w:szCs w:val="22"/>
          <w:u w:val="single"/>
        </w:rPr>
      </w:pPr>
      <w:r>
        <w:rPr>
          <w:rFonts w:ascii="Calibri" w:hAnsi="Calibri" w:cs="Calibri"/>
          <w:b/>
          <w:bCs/>
          <w:color w:val="000000"/>
          <w:sz w:val="22"/>
          <w:szCs w:val="22"/>
          <w:u w:val="single"/>
        </w:rPr>
        <w:t xml:space="preserve">Recruitment Methods Used for the </w:t>
      </w:r>
      <w:proofErr w:type="spellStart"/>
      <w:r>
        <w:rPr>
          <w:rFonts w:ascii="Calibri" w:hAnsi="Calibri" w:cs="Calibri"/>
          <w:b/>
          <w:bCs/>
          <w:color w:val="000000"/>
          <w:sz w:val="22"/>
          <w:szCs w:val="22"/>
          <w:u w:val="single"/>
        </w:rPr>
        <w:t>Lastest</w:t>
      </w:r>
      <w:proofErr w:type="spellEnd"/>
      <w:r>
        <w:rPr>
          <w:rFonts w:ascii="Calibri" w:hAnsi="Calibri" w:cs="Calibri"/>
          <w:b/>
          <w:bCs/>
          <w:color w:val="000000"/>
          <w:sz w:val="22"/>
          <w:szCs w:val="22"/>
          <w:u w:val="single"/>
        </w:rPr>
        <w:t xml:space="preserve"> Recruitment Round:</w:t>
      </w:r>
    </w:p>
    <w:p w:rsidR="00D8413A" w:rsidRDefault="00D8413A" w:rsidP="00D8413A">
      <w:pPr>
        <w:autoSpaceDE w:val="0"/>
        <w:autoSpaceDN w:val="0"/>
        <w:adjustRightInd w:val="0"/>
        <w:rPr>
          <w:rFonts w:ascii="Calibri" w:hAnsi="Calibri" w:cs="Calibri"/>
          <w:i/>
          <w:iCs/>
          <w:color w:val="000000"/>
          <w:sz w:val="22"/>
          <w:szCs w:val="22"/>
        </w:rPr>
      </w:pPr>
      <w:r>
        <w:rPr>
          <w:rFonts w:ascii="Calibri" w:hAnsi="Calibri" w:cs="Calibri"/>
          <w:i/>
          <w:iCs/>
          <w:color w:val="000000"/>
          <w:sz w:val="22"/>
          <w:szCs w:val="22"/>
        </w:rPr>
        <w:t>Source:  DEEWR, Survey of Employers’ Recruitment Experiences, Central Victoria PEA, October 2012</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w:t>
      </w:r>
    </w:p>
    <w:p w:rsidR="00D8413A" w:rsidRDefault="00D8413A" w:rsidP="00D8413A">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Methods of Formal Recruitment Used by Employers:</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Newspapers (42 per cent)</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Internet (20 per cent)</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Recruitment Agency (8 per cent)</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Methods of Informal Recruitment Used by Employers:</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Word of mouth/ approached job seeker (28 per cent)</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Approached by job seeker (14 per cent)</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Almost one third of recruiting employers used informal recruitment methods only. </w:t>
      </w:r>
    </w:p>
    <w:p w:rsidR="00D8413A" w:rsidRDefault="00D8413A" w:rsidP="00D8413A">
      <w:pPr>
        <w:autoSpaceDE w:val="0"/>
        <w:autoSpaceDN w:val="0"/>
        <w:adjustRightInd w:val="0"/>
        <w:rPr>
          <w:rFonts w:ascii="Arial" w:hAnsi="Arial" w:cs="Arial"/>
        </w:rPr>
      </w:pPr>
    </w:p>
    <w:p w:rsidR="00D8413A" w:rsidRDefault="00D8413A" w:rsidP="00D8413A">
      <w:pPr>
        <w:spacing w:line="360" w:lineRule="auto"/>
      </w:pPr>
    </w:p>
    <w:p w:rsidR="00D8413A" w:rsidRDefault="00D8413A">
      <w:r>
        <w:br w:type="page"/>
      </w:r>
    </w:p>
    <w:p w:rsidR="00D8413A" w:rsidRDefault="00D8413A" w:rsidP="00D8413A">
      <w:pPr>
        <w:spacing w:line="360" w:lineRule="auto"/>
      </w:pPr>
      <w:r>
        <w:lastRenderedPageBreak/>
        <w:t>Slide 27</w:t>
      </w:r>
    </w:p>
    <w:p w:rsidR="00D8413A" w:rsidRDefault="00D8413A" w:rsidP="00D8413A">
      <w:pPr>
        <w:spacing w:line="360" w:lineRule="auto"/>
      </w:pPr>
    </w:p>
    <w:p w:rsidR="00D8413A" w:rsidRDefault="00D8413A" w:rsidP="00D8413A">
      <w:pPr>
        <w:spacing w:line="360" w:lineRule="auto"/>
        <w:jc w:val="center"/>
      </w:pPr>
      <w:r>
        <w:object w:dxaOrig="7216" w:dyaOrig="5409">
          <v:shape id="_x0000_i1051" type="#_x0000_t75" style="width:270.75pt;height:202.5pt" o:ole="" o:bordertopcolor="this" o:borderleftcolor="this" o:borderbottomcolor="this" o:borderrightcolor="this">
            <v:imagedata r:id="rId58" o:title=""/>
            <w10:bordertop type="single" width="4" shadow="t"/>
            <w10:borderleft type="single" width="4" shadow="t"/>
            <w10:borderbottom type="single" width="4" shadow="t"/>
            <w10:borderright type="single" width="4" shadow="t"/>
          </v:shape>
          <o:OLEObject Type="Embed" ProgID="PowerPoint.Slide.12" ShapeID="_x0000_i1051" DrawAspect="Content" ObjectID="_1424612452" r:id="rId59"/>
        </w:object>
      </w:r>
    </w:p>
    <w:p w:rsidR="00D8413A" w:rsidRDefault="00D8413A" w:rsidP="00D8413A">
      <w:pPr>
        <w:spacing w:line="360" w:lineRule="auto"/>
        <w:jc w:val="cente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b/>
          <w:bCs/>
          <w:color w:val="000000"/>
          <w:sz w:val="22"/>
          <w:szCs w:val="22"/>
          <w:u w:val="single"/>
        </w:rPr>
        <w:t>Occupations Difficult to Fill</w:t>
      </w:r>
    </w:p>
    <w:p w:rsidR="00D8413A" w:rsidRDefault="00D8413A" w:rsidP="00D8413A">
      <w:pPr>
        <w:autoSpaceDE w:val="0"/>
        <w:autoSpaceDN w:val="0"/>
        <w:adjustRightInd w:val="0"/>
        <w:rPr>
          <w:rFonts w:ascii="Calibri" w:hAnsi="Calibri" w:cs="Calibri"/>
          <w:i/>
          <w:iCs/>
          <w:color w:val="000000"/>
          <w:sz w:val="22"/>
          <w:szCs w:val="22"/>
        </w:rPr>
      </w:pPr>
      <w:r>
        <w:rPr>
          <w:rFonts w:ascii="Calibri" w:hAnsi="Calibri" w:cs="Calibri"/>
          <w:i/>
          <w:iCs/>
          <w:color w:val="000000"/>
          <w:sz w:val="22"/>
          <w:szCs w:val="22"/>
        </w:rPr>
        <w:t>Source:  DEEWR, Survey of Employers’ Recruitment Experiences, Central Victoria PEA, October 2012</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w:t>
      </w: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This slide shows the vacancies that employers most commonly reported as being difficult to fill in the Central Victoria PEA. </w:t>
      </w:r>
    </w:p>
    <w:p w:rsidR="00D8413A" w:rsidRDefault="00D8413A" w:rsidP="00D8413A">
      <w:pPr>
        <w:autoSpaceDE w:val="0"/>
        <w:autoSpaceDN w:val="0"/>
        <w:adjustRightInd w:val="0"/>
        <w:rPr>
          <w:rFonts w:ascii="Calibri" w:hAnsi="Calibri" w:cs="Calibri"/>
          <w:i/>
          <w:iCs/>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b/>
          <w:bCs/>
          <w:color w:val="000000"/>
          <w:sz w:val="22"/>
          <w:szCs w:val="22"/>
        </w:rPr>
        <w:t xml:space="preserve">Bachelor Degree or Higher VET qualifications </w:t>
      </w:r>
    </w:p>
    <w:p w:rsidR="00D8413A" w:rsidRDefault="00D8413A" w:rsidP="00D8413A">
      <w:pPr>
        <w:numPr>
          <w:ilvl w:val="0"/>
          <w:numId w:val="2"/>
        </w:num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 Chefs</w:t>
      </w:r>
    </w:p>
    <w:p w:rsidR="00D8413A" w:rsidRDefault="00D8413A" w:rsidP="00D8413A">
      <w:pPr>
        <w:numPr>
          <w:ilvl w:val="0"/>
          <w:numId w:val="2"/>
        </w:num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 Motor Mechanics</w:t>
      </w:r>
    </w:p>
    <w:p w:rsidR="00D8413A" w:rsidRDefault="00D8413A" w:rsidP="00D8413A">
      <w:pPr>
        <w:numPr>
          <w:ilvl w:val="0"/>
          <w:numId w:val="2"/>
        </w:num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 Structural Steel and Welding Trades Workers</w:t>
      </w:r>
    </w:p>
    <w:p w:rsidR="00D8413A" w:rsidRDefault="00D8413A" w:rsidP="00D8413A">
      <w:pPr>
        <w:numPr>
          <w:ilvl w:val="0"/>
          <w:numId w:val="2"/>
        </w:num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 Child Carers</w:t>
      </w:r>
    </w:p>
    <w:p w:rsidR="00D8413A" w:rsidRDefault="00D8413A" w:rsidP="00D8413A">
      <w:pPr>
        <w:numPr>
          <w:ilvl w:val="0"/>
          <w:numId w:val="2"/>
        </w:num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 Cooks</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b/>
          <w:bCs/>
          <w:color w:val="000000"/>
          <w:sz w:val="22"/>
          <w:szCs w:val="22"/>
        </w:rPr>
        <w:t>Other VET qualifications and lower skilled occupations</w:t>
      </w:r>
    </w:p>
    <w:p w:rsidR="00D8413A" w:rsidRDefault="00D8413A" w:rsidP="00D8413A">
      <w:pPr>
        <w:numPr>
          <w:ilvl w:val="0"/>
          <w:numId w:val="2"/>
        </w:num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 Housekeepers</w:t>
      </w:r>
    </w:p>
    <w:p w:rsidR="00D8413A" w:rsidRDefault="00D8413A" w:rsidP="00D8413A">
      <w:pPr>
        <w:numPr>
          <w:ilvl w:val="0"/>
          <w:numId w:val="2"/>
        </w:num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 Truck Drivers</w:t>
      </w:r>
    </w:p>
    <w:p w:rsidR="00D8413A" w:rsidRDefault="00D8413A" w:rsidP="00D8413A">
      <w:pPr>
        <w:numPr>
          <w:ilvl w:val="0"/>
          <w:numId w:val="2"/>
        </w:num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 Waiters</w:t>
      </w:r>
    </w:p>
    <w:p w:rsidR="00D8413A" w:rsidRDefault="00D8413A" w:rsidP="00D8413A">
      <w:pPr>
        <w:numPr>
          <w:ilvl w:val="0"/>
          <w:numId w:val="2"/>
        </w:num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 Motor Vehicle and Vehicle Parts Salespersons</w:t>
      </w:r>
    </w:p>
    <w:p w:rsidR="00D8413A" w:rsidRDefault="00D8413A" w:rsidP="00D8413A">
      <w:pPr>
        <w:numPr>
          <w:ilvl w:val="0"/>
          <w:numId w:val="2"/>
        </w:num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 Service Station Attendants</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b/>
          <w:bCs/>
          <w:color w:val="000000"/>
          <w:sz w:val="22"/>
          <w:szCs w:val="22"/>
          <w:u w:val="single"/>
        </w:rPr>
      </w:pP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Arial" w:hAnsi="Arial" w:cs="Arial"/>
        </w:rPr>
      </w:pPr>
    </w:p>
    <w:p w:rsidR="00D8413A" w:rsidRDefault="00D8413A" w:rsidP="00D8413A">
      <w:pPr>
        <w:spacing w:line="360" w:lineRule="auto"/>
      </w:pPr>
    </w:p>
    <w:p w:rsidR="00D8413A" w:rsidRDefault="00D8413A">
      <w:r>
        <w:br w:type="page"/>
      </w:r>
    </w:p>
    <w:p w:rsidR="00D8413A" w:rsidRDefault="00D8413A" w:rsidP="00D8413A">
      <w:pPr>
        <w:spacing w:line="360" w:lineRule="auto"/>
      </w:pPr>
      <w:r>
        <w:lastRenderedPageBreak/>
        <w:t>Slide 28</w:t>
      </w:r>
    </w:p>
    <w:p w:rsidR="00D8413A" w:rsidRDefault="00D8413A" w:rsidP="00D8413A">
      <w:pPr>
        <w:spacing w:line="360" w:lineRule="auto"/>
      </w:pPr>
    </w:p>
    <w:p w:rsidR="00D8413A" w:rsidRDefault="00D8413A" w:rsidP="00D8413A">
      <w:pPr>
        <w:spacing w:line="360" w:lineRule="auto"/>
        <w:jc w:val="center"/>
      </w:pPr>
      <w:r>
        <w:object w:dxaOrig="7216" w:dyaOrig="5409">
          <v:shape id="_x0000_i1052" type="#_x0000_t75" style="width:270.75pt;height:202.5pt" o:ole="" o:bordertopcolor="this" o:borderleftcolor="this" o:borderbottomcolor="this" o:borderrightcolor="this">
            <v:imagedata r:id="rId60" o:title=""/>
            <w10:bordertop type="single" width="4" shadow="t"/>
            <w10:borderleft type="single" width="4" shadow="t"/>
            <w10:borderbottom type="single" width="4" shadow="t"/>
            <w10:borderright type="single" width="4" shadow="t"/>
          </v:shape>
          <o:OLEObject Type="Embed" ProgID="PowerPoint.Slide.12" ShapeID="_x0000_i1052" DrawAspect="Content" ObjectID="_1424612453" r:id="rId61"/>
        </w:object>
      </w:r>
    </w:p>
    <w:p w:rsidR="00D8413A" w:rsidRDefault="00D8413A" w:rsidP="00D8413A">
      <w:pPr>
        <w:spacing w:line="360" w:lineRule="auto"/>
        <w:jc w:val="cente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b/>
          <w:bCs/>
          <w:color w:val="000000"/>
          <w:sz w:val="22"/>
          <w:szCs w:val="22"/>
          <w:u w:val="single"/>
        </w:rPr>
        <w:t>Basic Employability Skills</w:t>
      </w:r>
    </w:p>
    <w:p w:rsidR="00D8413A" w:rsidRDefault="00D8413A" w:rsidP="00D8413A">
      <w:pPr>
        <w:autoSpaceDE w:val="0"/>
        <w:autoSpaceDN w:val="0"/>
        <w:adjustRightInd w:val="0"/>
        <w:rPr>
          <w:rFonts w:ascii="Calibri" w:hAnsi="Calibri" w:cs="Calibri"/>
          <w:i/>
          <w:iCs/>
          <w:color w:val="000000"/>
          <w:sz w:val="22"/>
          <w:szCs w:val="22"/>
        </w:rPr>
      </w:pPr>
      <w:r>
        <w:rPr>
          <w:rFonts w:ascii="Calibri" w:hAnsi="Calibri" w:cs="Calibri"/>
          <w:i/>
          <w:iCs/>
          <w:color w:val="000000"/>
          <w:sz w:val="22"/>
          <w:szCs w:val="22"/>
        </w:rPr>
        <w:t>Source:  DEEWR, Survey of Employers’ Recruitment Experiences, Central Victoria PEA, October 2012</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cs="Calibri"/>
          <w:color w:val="000000"/>
          <w:sz w:val="22"/>
          <w:szCs w:val="22"/>
        </w:rPr>
      </w:pPr>
      <w:r>
        <w:rPr>
          <w:rFonts w:ascii="Calibri" w:cs="Calibri"/>
          <w:color w:val="000000"/>
          <w:sz w:val="22"/>
          <w:szCs w:val="22"/>
        </w:rPr>
        <w:t>Over one in three (35%) businesses employed at least one Apprentice of Trainee:</w:t>
      </w:r>
    </w:p>
    <w:p w:rsidR="00D8413A" w:rsidRDefault="00D8413A" w:rsidP="00D8413A">
      <w:pPr>
        <w:numPr>
          <w:ilvl w:val="0"/>
          <w:numId w:val="3"/>
        </w:numPr>
        <w:autoSpaceDE w:val="0"/>
        <w:autoSpaceDN w:val="0"/>
        <w:adjustRightInd w:val="0"/>
        <w:ind w:left="1170" w:hanging="450"/>
        <w:rPr>
          <w:rFonts w:ascii="Calibri" w:cs="Calibri"/>
          <w:color w:val="000000"/>
          <w:sz w:val="22"/>
          <w:szCs w:val="22"/>
        </w:rPr>
      </w:pPr>
      <w:r>
        <w:rPr>
          <w:rFonts w:ascii="Calibri" w:cs="Calibri"/>
          <w:color w:val="000000"/>
          <w:sz w:val="22"/>
          <w:szCs w:val="22"/>
        </w:rPr>
        <w:t>28% of these businesses experienced challenges employing an apprentice or trainee</w:t>
      </w:r>
    </w:p>
    <w:p w:rsidR="00D8413A" w:rsidRDefault="00D8413A" w:rsidP="00D8413A">
      <w:pPr>
        <w:numPr>
          <w:ilvl w:val="0"/>
          <w:numId w:val="3"/>
        </w:numPr>
        <w:autoSpaceDE w:val="0"/>
        <w:autoSpaceDN w:val="0"/>
        <w:adjustRightInd w:val="0"/>
        <w:ind w:left="1170" w:hanging="450"/>
        <w:rPr>
          <w:rFonts w:ascii="Calibri" w:cs="Calibri"/>
          <w:color w:val="000000"/>
          <w:sz w:val="22"/>
          <w:szCs w:val="22"/>
        </w:rPr>
      </w:pPr>
      <w:r>
        <w:rPr>
          <w:rFonts w:ascii="Calibri" w:cs="Calibri"/>
          <w:color w:val="000000"/>
          <w:sz w:val="22"/>
          <w:szCs w:val="22"/>
        </w:rPr>
        <w:t>The most commonly reported challenges was a lack of work readiness (50%) and a lack of soft skills (45%)</w:t>
      </w:r>
    </w:p>
    <w:p w:rsidR="00D8413A" w:rsidRDefault="00D8413A" w:rsidP="00D8413A">
      <w:pPr>
        <w:autoSpaceDE w:val="0"/>
        <w:autoSpaceDN w:val="0"/>
        <w:adjustRightInd w:val="0"/>
        <w:rPr>
          <w:rFonts w:ascii="Calibri" w:cs="Calibri"/>
          <w:color w:val="000000"/>
          <w:sz w:val="22"/>
          <w:szCs w:val="22"/>
        </w:rPr>
      </w:pPr>
    </w:p>
    <w:p w:rsidR="00D8413A" w:rsidRDefault="00D8413A" w:rsidP="00D8413A">
      <w:pPr>
        <w:autoSpaceDE w:val="0"/>
        <w:autoSpaceDN w:val="0"/>
        <w:adjustRightInd w:val="0"/>
        <w:rPr>
          <w:rFonts w:ascii="Calibri" w:cs="Calibri"/>
          <w:color w:val="000000"/>
          <w:sz w:val="22"/>
          <w:szCs w:val="22"/>
        </w:rPr>
      </w:pPr>
      <w:r>
        <w:rPr>
          <w:rFonts w:ascii="Calibri" w:cs="Calibri"/>
          <w:color w:val="000000"/>
          <w:sz w:val="22"/>
          <w:szCs w:val="22"/>
        </w:rPr>
        <w:t xml:space="preserve">Nearly one in five (19%) employers </w:t>
      </w:r>
      <w:proofErr w:type="gramStart"/>
      <w:r>
        <w:rPr>
          <w:rFonts w:ascii="Calibri" w:cs="Calibri"/>
          <w:color w:val="000000"/>
          <w:sz w:val="22"/>
          <w:szCs w:val="22"/>
        </w:rPr>
        <w:t>expect</w:t>
      </w:r>
      <w:proofErr w:type="gramEnd"/>
      <w:r>
        <w:rPr>
          <w:rFonts w:ascii="Calibri" w:cs="Calibri"/>
          <w:color w:val="000000"/>
          <w:sz w:val="22"/>
          <w:szCs w:val="22"/>
        </w:rPr>
        <w:t xml:space="preserve"> to recruit at least one apprentice or trainee in the 12 months following the survey.</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Arial" w:hAnsi="Arial" w:cs="Arial"/>
        </w:rPr>
      </w:pPr>
    </w:p>
    <w:p w:rsidR="00D8413A" w:rsidRDefault="00D8413A" w:rsidP="00D8413A">
      <w:pPr>
        <w:spacing w:line="360" w:lineRule="auto"/>
      </w:pPr>
    </w:p>
    <w:p w:rsidR="00D8413A" w:rsidRDefault="00D8413A">
      <w:r>
        <w:br w:type="page"/>
      </w:r>
    </w:p>
    <w:p w:rsidR="00D8413A" w:rsidRDefault="00D8413A" w:rsidP="00D8413A">
      <w:pPr>
        <w:spacing w:line="360" w:lineRule="auto"/>
      </w:pPr>
      <w:r>
        <w:lastRenderedPageBreak/>
        <w:t>Slide 29</w:t>
      </w:r>
    </w:p>
    <w:p w:rsidR="00D8413A" w:rsidRDefault="00D8413A" w:rsidP="00D8413A">
      <w:pPr>
        <w:spacing w:line="360" w:lineRule="auto"/>
      </w:pPr>
    </w:p>
    <w:p w:rsidR="00D8413A" w:rsidRDefault="00D8413A" w:rsidP="00D8413A">
      <w:pPr>
        <w:spacing w:line="360" w:lineRule="auto"/>
        <w:jc w:val="center"/>
      </w:pPr>
      <w:r>
        <w:object w:dxaOrig="7216" w:dyaOrig="5409">
          <v:shape id="_x0000_i1053" type="#_x0000_t75" style="width:270.75pt;height:202.5pt" o:ole="" o:bordertopcolor="this" o:borderleftcolor="this" o:borderbottomcolor="this" o:borderrightcolor="this">
            <v:imagedata r:id="rId62" o:title=""/>
            <w10:bordertop type="single" width="4" shadow="t"/>
            <w10:borderleft type="single" width="4" shadow="t"/>
            <w10:borderbottom type="single" width="4" shadow="t"/>
            <w10:borderright type="single" width="4" shadow="t"/>
          </v:shape>
          <o:OLEObject Type="Embed" ProgID="PowerPoint.Slide.12" ShapeID="_x0000_i1053" DrawAspect="Content" ObjectID="_1424612454" r:id="rId63"/>
        </w:object>
      </w:r>
    </w:p>
    <w:p w:rsidR="00D8413A" w:rsidRDefault="00D8413A" w:rsidP="00D8413A">
      <w:pPr>
        <w:spacing w:line="360" w:lineRule="auto"/>
        <w:jc w:val="center"/>
      </w:pPr>
    </w:p>
    <w:p w:rsidR="00D8413A" w:rsidRDefault="00D8413A" w:rsidP="00D8413A">
      <w:pPr>
        <w:autoSpaceDE w:val="0"/>
        <w:autoSpaceDN w:val="0"/>
        <w:adjustRightInd w:val="0"/>
        <w:rPr>
          <w:rFonts w:ascii="Calibri" w:hAnsi="Calibri" w:cs="Calibri"/>
          <w:b/>
          <w:bCs/>
          <w:color w:val="000000"/>
          <w:sz w:val="22"/>
          <w:szCs w:val="22"/>
          <w:u w:val="single"/>
        </w:rPr>
      </w:pPr>
      <w:r>
        <w:rPr>
          <w:rFonts w:ascii="Calibri" w:hAnsi="Calibri" w:cs="Calibri"/>
          <w:b/>
          <w:bCs/>
          <w:color w:val="000000"/>
          <w:sz w:val="22"/>
          <w:szCs w:val="22"/>
          <w:u w:val="single"/>
        </w:rPr>
        <w:t>Staff Recruitment Expectations– next 12 months:</w:t>
      </w:r>
    </w:p>
    <w:p w:rsidR="00D8413A" w:rsidRDefault="00D8413A" w:rsidP="00D8413A">
      <w:pPr>
        <w:autoSpaceDE w:val="0"/>
        <w:autoSpaceDN w:val="0"/>
        <w:adjustRightInd w:val="0"/>
        <w:rPr>
          <w:rFonts w:ascii="Calibri" w:hAnsi="Calibri" w:cs="Calibri"/>
          <w:i/>
          <w:iCs/>
          <w:color w:val="000000"/>
          <w:sz w:val="22"/>
          <w:szCs w:val="22"/>
        </w:rPr>
      </w:pPr>
      <w:r>
        <w:rPr>
          <w:rFonts w:ascii="Calibri" w:hAnsi="Calibri" w:cs="Calibri"/>
          <w:i/>
          <w:iCs/>
          <w:color w:val="000000"/>
          <w:sz w:val="22"/>
          <w:szCs w:val="22"/>
        </w:rPr>
        <w:t>Source:  DEEWR, Survey of Employers’ Recruitment Experiences, Central Victoria PEA, October 2012</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Nearly one in four (23%) of employers in the Central Victoria PEA anticipated increasing staff numbers in the 12 months following the survey, while 4% anticipated decreasing staff numbers, comparable with the average for all regions surveyed (25% increase, 4% decrease).</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The Accommodation and Food Services and Retail Trade industries were most likely to increase staff in the 12 months following the survey (31% and 26% respectively). </w:t>
      </w:r>
    </w:p>
    <w:p w:rsidR="00D8413A" w:rsidRDefault="00D8413A" w:rsidP="00D8413A">
      <w:pPr>
        <w:autoSpaceDE w:val="0"/>
        <w:autoSpaceDN w:val="0"/>
        <w:adjustRightInd w:val="0"/>
        <w:rPr>
          <w:rFonts w:ascii="Calibri" w:hAnsi="Calibri" w:cs="Calibri"/>
          <w:color w:val="000000"/>
          <w:sz w:val="22"/>
          <w:szCs w:val="22"/>
        </w:rP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color w:val="000000"/>
          <w:sz w:val="22"/>
          <w:szCs w:val="22"/>
        </w:rPr>
        <w:t>While 9% of employers in the Manufacturing industry expected decreasing staff numbers in the 12 months following the survey, there are still jobs in the industry with one in four employers expecting to increase staff numbers.</w:t>
      </w:r>
    </w:p>
    <w:p w:rsidR="00D8413A" w:rsidRDefault="00D8413A" w:rsidP="00D8413A">
      <w:pPr>
        <w:autoSpaceDE w:val="0"/>
        <w:autoSpaceDN w:val="0"/>
        <w:adjustRightInd w:val="0"/>
        <w:rPr>
          <w:rFonts w:ascii="Arial" w:hAnsi="Arial" w:cs="Arial"/>
        </w:rPr>
      </w:pPr>
    </w:p>
    <w:p w:rsidR="00D8413A" w:rsidRDefault="00D8413A" w:rsidP="00D8413A">
      <w:pPr>
        <w:spacing w:line="360" w:lineRule="auto"/>
      </w:pPr>
    </w:p>
    <w:p w:rsidR="00D8413A" w:rsidRDefault="00D8413A">
      <w:r>
        <w:br w:type="page"/>
      </w:r>
    </w:p>
    <w:p w:rsidR="00D8413A" w:rsidRDefault="00D8413A" w:rsidP="00D8413A">
      <w:pPr>
        <w:spacing w:line="360" w:lineRule="auto"/>
      </w:pPr>
      <w:r>
        <w:lastRenderedPageBreak/>
        <w:t>Slide 30</w:t>
      </w:r>
    </w:p>
    <w:p w:rsidR="00D8413A" w:rsidRDefault="00D8413A" w:rsidP="00D8413A">
      <w:pPr>
        <w:spacing w:line="360" w:lineRule="auto"/>
      </w:pPr>
    </w:p>
    <w:p w:rsidR="00D8413A" w:rsidRDefault="00D8413A" w:rsidP="00D8413A">
      <w:pPr>
        <w:spacing w:line="360" w:lineRule="auto"/>
        <w:jc w:val="center"/>
      </w:pPr>
      <w:r>
        <w:object w:dxaOrig="7216" w:dyaOrig="5409">
          <v:shape id="_x0000_i1054" type="#_x0000_t75" style="width:270.75pt;height:202.5pt" o:ole="" o:bordertopcolor="this" o:borderleftcolor="this" o:borderbottomcolor="this" o:borderrightcolor="this">
            <v:imagedata r:id="rId64" o:title=""/>
            <w10:bordertop type="single" width="4" shadow="t"/>
            <w10:borderleft type="single" width="4" shadow="t"/>
            <w10:borderbottom type="single" width="4" shadow="t"/>
            <w10:borderright type="single" width="4" shadow="t"/>
          </v:shape>
          <o:OLEObject Type="Embed" ProgID="PowerPoint.Slide.12" ShapeID="_x0000_i1054" DrawAspect="Content" ObjectID="_1424612455" r:id="rId65"/>
        </w:object>
      </w:r>
    </w:p>
    <w:p w:rsidR="00D8413A" w:rsidRDefault="00D8413A" w:rsidP="00D8413A">
      <w:pPr>
        <w:spacing w:line="360" w:lineRule="auto"/>
        <w:jc w:val="center"/>
      </w:pPr>
    </w:p>
    <w:p w:rsidR="00D8413A" w:rsidRDefault="00D8413A" w:rsidP="00D8413A">
      <w:pPr>
        <w:autoSpaceDE w:val="0"/>
        <w:autoSpaceDN w:val="0"/>
        <w:adjustRightInd w:val="0"/>
        <w:rPr>
          <w:rFonts w:ascii="Calibri" w:hAnsi="Calibri" w:cs="Calibri"/>
          <w:color w:val="000000"/>
          <w:sz w:val="22"/>
          <w:szCs w:val="22"/>
        </w:rPr>
      </w:pPr>
      <w:r>
        <w:rPr>
          <w:rFonts w:ascii="Calibri" w:hAnsi="Calibri" w:cs="Calibri"/>
          <w:b/>
          <w:bCs/>
          <w:color w:val="000000"/>
          <w:sz w:val="22"/>
          <w:szCs w:val="22"/>
          <w:u w:val="single"/>
          <w:lang w:val="en-US"/>
        </w:rPr>
        <w:t>Conclusion</w:t>
      </w:r>
    </w:p>
    <w:p w:rsidR="00D8413A" w:rsidRDefault="00D8413A" w:rsidP="00D8413A">
      <w:pPr>
        <w:numPr>
          <w:ilvl w:val="0"/>
          <w:numId w:val="1"/>
        </w:numPr>
        <w:autoSpaceDE w:val="0"/>
        <w:autoSpaceDN w:val="0"/>
        <w:adjustRightInd w:val="0"/>
        <w:ind w:left="540" w:hanging="540"/>
        <w:rPr>
          <w:rFonts w:ascii="Calibri" w:cs="Calibri"/>
          <w:color w:val="000000"/>
          <w:sz w:val="22"/>
          <w:szCs w:val="22"/>
        </w:rPr>
      </w:pPr>
      <w:r>
        <w:rPr>
          <w:rFonts w:ascii="Calibri" w:cs="Calibri"/>
          <w:color w:val="000000"/>
          <w:sz w:val="22"/>
          <w:szCs w:val="22"/>
        </w:rPr>
        <w:t>The labour market in the Ballarat Area has remained relatively moderate in the past year</w:t>
      </w:r>
    </w:p>
    <w:p w:rsidR="00D8413A" w:rsidRDefault="00D8413A" w:rsidP="00D8413A">
      <w:pPr>
        <w:numPr>
          <w:ilvl w:val="0"/>
          <w:numId w:val="3"/>
        </w:numPr>
        <w:autoSpaceDE w:val="0"/>
        <w:autoSpaceDN w:val="0"/>
        <w:adjustRightInd w:val="0"/>
        <w:ind w:left="1170" w:hanging="450"/>
        <w:rPr>
          <w:rFonts w:ascii="Calibri" w:cs="Calibri"/>
          <w:color w:val="000000"/>
          <w:sz w:val="22"/>
          <w:szCs w:val="22"/>
        </w:rPr>
      </w:pPr>
      <w:r>
        <w:rPr>
          <w:rFonts w:ascii="Calibri" w:cs="Calibri"/>
          <w:color w:val="000000"/>
          <w:sz w:val="22"/>
          <w:szCs w:val="22"/>
        </w:rPr>
        <w:t>Regional disparity across the area</w:t>
      </w:r>
    </w:p>
    <w:p w:rsidR="00D8413A" w:rsidRDefault="00D8413A" w:rsidP="00D8413A">
      <w:pPr>
        <w:numPr>
          <w:ilvl w:val="0"/>
          <w:numId w:val="3"/>
        </w:numPr>
        <w:autoSpaceDE w:val="0"/>
        <w:autoSpaceDN w:val="0"/>
        <w:adjustRightInd w:val="0"/>
        <w:ind w:left="1170" w:hanging="450"/>
        <w:rPr>
          <w:rFonts w:ascii="Calibri" w:cs="Calibri"/>
          <w:color w:val="000000"/>
          <w:sz w:val="22"/>
          <w:szCs w:val="22"/>
        </w:rPr>
      </w:pPr>
      <w:r>
        <w:rPr>
          <w:rFonts w:ascii="Calibri" w:cs="Calibri"/>
          <w:color w:val="000000"/>
          <w:sz w:val="22"/>
          <w:szCs w:val="22"/>
        </w:rPr>
        <w:t>Easing demand for labour</w:t>
      </w:r>
    </w:p>
    <w:p w:rsidR="00D8413A" w:rsidRDefault="00D8413A" w:rsidP="00D8413A">
      <w:pPr>
        <w:numPr>
          <w:ilvl w:val="0"/>
          <w:numId w:val="1"/>
        </w:numPr>
        <w:autoSpaceDE w:val="0"/>
        <w:autoSpaceDN w:val="0"/>
        <w:adjustRightInd w:val="0"/>
        <w:ind w:left="540" w:hanging="540"/>
        <w:rPr>
          <w:rFonts w:ascii="Calibri" w:cs="Calibri"/>
          <w:color w:val="000000"/>
          <w:sz w:val="22"/>
          <w:szCs w:val="22"/>
        </w:rPr>
      </w:pPr>
      <w:r>
        <w:rPr>
          <w:rFonts w:ascii="Calibri" w:cs="Calibri"/>
          <w:color w:val="000000"/>
          <w:sz w:val="22"/>
          <w:szCs w:val="22"/>
        </w:rPr>
        <w:t>Some disadvantaged groups</w:t>
      </w:r>
    </w:p>
    <w:p w:rsidR="00D8413A" w:rsidRDefault="00D8413A" w:rsidP="00D8413A">
      <w:pPr>
        <w:numPr>
          <w:ilvl w:val="0"/>
          <w:numId w:val="3"/>
        </w:numPr>
        <w:autoSpaceDE w:val="0"/>
        <w:autoSpaceDN w:val="0"/>
        <w:adjustRightInd w:val="0"/>
        <w:ind w:left="1170" w:hanging="450"/>
        <w:rPr>
          <w:rFonts w:ascii="Calibri" w:cs="Calibri"/>
          <w:color w:val="000000"/>
          <w:sz w:val="22"/>
          <w:szCs w:val="22"/>
        </w:rPr>
      </w:pPr>
      <w:r>
        <w:rPr>
          <w:rFonts w:ascii="Calibri" w:cs="Calibri"/>
          <w:color w:val="000000"/>
          <w:sz w:val="22"/>
          <w:szCs w:val="22"/>
        </w:rPr>
        <w:t>Long-term unemployed, less educated, people with disabilities, jobless families, youth</w:t>
      </w:r>
    </w:p>
    <w:p w:rsidR="00D8413A" w:rsidRDefault="00D8413A" w:rsidP="00D8413A">
      <w:pPr>
        <w:numPr>
          <w:ilvl w:val="0"/>
          <w:numId w:val="1"/>
        </w:numPr>
        <w:autoSpaceDE w:val="0"/>
        <w:autoSpaceDN w:val="0"/>
        <w:adjustRightInd w:val="0"/>
        <w:ind w:left="540" w:hanging="540"/>
        <w:rPr>
          <w:rFonts w:ascii="Calibri" w:cs="Calibri"/>
          <w:color w:val="000000"/>
          <w:sz w:val="22"/>
          <w:szCs w:val="22"/>
        </w:rPr>
      </w:pPr>
      <w:r>
        <w:rPr>
          <w:rFonts w:ascii="Calibri" w:cs="Calibri"/>
          <w:color w:val="000000"/>
          <w:sz w:val="22"/>
          <w:szCs w:val="22"/>
        </w:rPr>
        <w:t>Opportunities exist</w:t>
      </w:r>
    </w:p>
    <w:p w:rsidR="00D8413A" w:rsidRDefault="00D8413A" w:rsidP="00D8413A">
      <w:pPr>
        <w:numPr>
          <w:ilvl w:val="0"/>
          <w:numId w:val="3"/>
        </w:numPr>
        <w:autoSpaceDE w:val="0"/>
        <w:autoSpaceDN w:val="0"/>
        <w:adjustRightInd w:val="0"/>
        <w:ind w:left="1170" w:hanging="450"/>
        <w:rPr>
          <w:rFonts w:ascii="Calibri" w:cs="Calibri"/>
          <w:color w:val="000000"/>
          <w:sz w:val="22"/>
          <w:szCs w:val="22"/>
        </w:rPr>
      </w:pPr>
      <w:r>
        <w:rPr>
          <w:rFonts w:ascii="Calibri" w:cs="Calibri"/>
          <w:color w:val="000000"/>
          <w:sz w:val="22"/>
          <w:szCs w:val="22"/>
          <w:lang w:val="en-US"/>
        </w:rPr>
        <w:t>Unmet demand and recruitment difficulty across all skill levels and certain occupations (e.g. Chefs and Truck Drivers)</w:t>
      </w:r>
    </w:p>
    <w:p w:rsidR="00D8413A" w:rsidRDefault="00D8413A" w:rsidP="00D8413A">
      <w:pPr>
        <w:numPr>
          <w:ilvl w:val="0"/>
          <w:numId w:val="3"/>
        </w:numPr>
        <w:autoSpaceDE w:val="0"/>
        <w:autoSpaceDN w:val="0"/>
        <w:adjustRightInd w:val="0"/>
        <w:ind w:left="1170" w:hanging="450"/>
        <w:rPr>
          <w:rFonts w:ascii="Calibri" w:cs="Calibri"/>
          <w:color w:val="000000"/>
          <w:sz w:val="22"/>
          <w:szCs w:val="22"/>
        </w:rPr>
      </w:pPr>
      <w:r>
        <w:rPr>
          <w:rFonts w:ascii="Calibri" w:cs="Calibri"/>
          <w:color w:val="000000"/>
          <w:sz w:val="22"/>
          <w:szCs w:val="22"/>
        </w:rPr>
        <w:t>Target growth industries / occupations difficult to fill / industries expecting to increase staff</w:t>
      </w:r>
    </w:p>
    <w:p w:rsidR="00D8413A" w:rsidRDefault="00D8413A" w:rsidP="00D8413A">
      <w:pPr>
        <w:numPr>
          <w:ilvl w:val="0"/>
          <w:numId w:val="3"/>
        </w:numPr>
        <w:autoSpaceDE w:val="0"/>
        <w:autoSpaceDN w:val="0"/>
        <w:adjustRightInd w:val="0"/>
        <w:ind w:left="1170" w:hanging="450"/>
        <w:rPr>
          <w:rFonts w:ascii="Calibri" w:cs="Calibri"/>
          <w:color w:val="000000"/>
          <w:sz w:val="22"/>
          <w:szCs w:val="22"/>
        </w:rPr>
      </w:pPr>
      <w:r>
        <w:rPr>
          <w:rFonts w:ascii="Calibri" w:cs="Calibri"/>
          <w:color w:val="000000"/>
          <w:sz w:val="22"/>
          <w:szCs w:val="22"/>
        </w:rPr>
        <w:t>Low competition for some vacancies</w:t>
      </w:r>
    </w:p>
    <w:p w:rsidR="00D8413A" w:rsidRDefault="00D8413A" w:rsidP="00D8413A">
      <w:pPr>
        <w:numPr>
          <w:ilvl w:val="0"/>
          <w:numId w:val="3"/>
        </w:numPr>
        <w:autoSpaceDE w:val="0"/>
        <w:autoSpaceDN w:val="0"/>
        <w:adjustRightInd w:val="0"/>
        <w:ind w:left="1170" w:hanging="450"/>
        <w:rPr>
          <w:rFonts w:ascii="Calibri" w:cs="Calibri"/>
          <w:color w:val="000000"/>
          <w:sz w:val="22"/>
          <w:szCs w:val="22"/>
        </w:rPr>
      </w:pPr>
      <w:r>
        <w:rPr>
          <w:rFonts w:ascii="Calibri" w:cs="Calibri"/>
          <w:color w:val="000000"/>
          <w:sz w:val="22"/>
          <w:szCs w:val="22"/>
        </w:rPr>
        <w:t>Future recruitment expectations are encouraging</w:t>
      </w:r>
    </w:p>
    <w:p w:rsidR="00D8413A" w:rsidRDefault="00D8413A" w:rsidP="00D8413A">
      <w:pPr>
        <w:numPr>
          <w:ilvl w:val="0"/>
          <w:numId w:val="1"/>
        </w:numPr>
        <w:autoSpaceDE w:val="0"/>
        <w:autoSpaceDN w:val="0"/>
        <w:adjustRightInd w:val="0"/>
        <w:ind w:left="540" w:hanging="540"/>
        <w:rPr>
          <w:rFonts w:ascii="Calibri" w:cs="Calibri"/>
          <w:color w:val="000000"/>
          <w:sz w:val="22"/>
          <w:szCs w:val="22"/>
        </w:rPr>
      </w:pPr>
      <w:r>
        <w:rPr>
          <w:rFonts w:ascii="Calibri" w:cs="Calibri"/>
          <w:color w:val="000000"/>
          <w:sz w:val="22"/>
          <w:szCs w:val="22"/>
        </w:rPr>
        <w:t>Job seekers need to be job ready</w:t>
      </w:r>
    </w:p>
    <w:p w:rsidR="00D8413A" w:rsidRDefault="00D8413A" w:rsidP="00D8413A">
      <w:pPr>
        <w:numPr>
          <w:ilvl w:val="0"/>
          <w:numId w:val="3"/>
        </w:numPr>
        <w:autoSpaceDE w:val="0"/>
        <w:autoSpaceDN w:val="0"/>
        <w:adjustRightInd w:val="0"/>
        <w:ind w:left="1170" w:hanging="450"/>
        <w:rPr>
          <w:rFonts w:ascii="Calibri" w:cs="Calibri"/>
          <w:color w:val="000000"/>
          <w:sz w:val="22"/>
          <w:szCs w:val="22"/>
        </w:rPr>
      </w:pPr>
      <w:r>
        <w:rPr>
          <w:rFonts w:ascii="Calibri" w:cs="Calibri"/>
          <w:color w:val="000000"/>
          <w:sz w:val="22"/>
          <w:szCs w:val="22"/>
        </w:rPr>
        <w:t xml:space="preserve">Work experience </w:t>
      </w:r>
    </w:p>
    <w:p w:rsidR="00D8413A" w:rsidRDefault="00D8413A" w:rsidP="00D8413A">
      <w:pPr>
        <w:numPr>
          <w:ilvl w:val="0"/>
          <w:numId w:val="3"/>
        </w:numPr>
        <w:autoSpaceDE w:val="0"/>
        <w:autoSpaceDN w:val="0"/>
        <w:adjustRightInd w:val="0"/>
        <w:ind w:left="1170" w:hanging="450"/>
        <w:rPr>
          <w:rFonts w:ascii="Calibri" w:cs="Calibri"/>
          <w:color w:val="000000"/>
          <w:sz w:val="22"/>
          <w:szCs w:val="22"/>
        </w:rPr>
      </w:pPr>
      <w:r>
        <w:rPr>
          <w:rFonts w:ascii="Calibri" w:cs="Calibri"/>
          <w:color w:val="000000"/>
          <w:sz w:val="22"/>
          <w:szCs w:val="22"/>
        </w:rPr>
        <w:t>Apprenticeships</w:t>
      </w:r>
    </w:p>
    <w:p w:rsidR="00D8413A" w:rsidRDefault="00D8413A" w:rsidP="00D8413A">
      <w:pPr>
        <w:numPr>
          <w:ilvl w:val="0"/>
          <w:numId w:val="3"/>
        </w:numPr>
        <w:autoSpaceDE w:val="0"/>
        <w:autoSpaceDN w:val="0"/>
        <w:adjustRightInd w:val="0"/>
        <w:ind w:left="1170" w:hanging="450"/>
        <w:rPr>
          <w:rFonts w:ascii="Calibri" w:cs="Calibri"/>
          <w:color w:val="000000"/>
          <w:sz w:val="22"/>
          <w:szCs w:val="22"/>
          <w:lang w:val="en-US"/>
        </w:rPr>
      </w:pPr>
      <w:r>
        <w:rPr>
          <w:rFonts w:ascii="Calibri" w:cs="Calibri"/>
          <w:color w:val="000000"/>
          <w:sz w:val="22"/>
          <w:szCs w:val="22"/>
          <w:lang w:val="en-US"/>
        </w:rPr>
        <w:t>Literacy and numeracy</w:t>
      </w:r>
    </w:p>
    <w:p w:rsidR="00D8413A" w:rsidRDefault="00D8413A" w:rsidP="00D8413A">
      <w:pPr>
        <w:numPr>
          <w:ilvl w:val="0"/>
          <w:numId w:val="3"/>
        </w:numPr>
        <w:autoSpaceDE w:val="0"/>
        <w:autoSpaceDN w:val="0"/>
        <w:adjustRightInd w:val="0"/>
        <w:ind w:left="1170" w:hanging="450"/>
        <w:rPr>
          <w:rFonts w:ascii="Calibri" w:cs="Calibri"/>
          <w:color w:val="000000"/>
          <w:sz w:val="22"/>
          <w:szCs w:val="22"/>
        </w:rPr>
      </w:pPr>
      <w:r>
        <w:rPr>
          <w:rFonts w:ascii="Calibri" w:cs="Calibri"/>
          <w:color w:val="000000"/>
          <w:sz w:val="22"/>
          <w:szCs w:val="22"/>
        </w:rPr>
        <w:t>Employability skills</w:t>
      </w:r>
    </w:p>
    <w:p w:rsidR="00D8413A" w:rsidRDefault="00D8413A" w:rsidP="00D8413A">
      <w:pPr>
        <w:numPr>
          <w:ilvl w:val="0"/>
          <w:numId w:val="1"/>
        </w:numPr>
        <w:autoSpaceDE w:val="0"/>
        <w:autoSpaceDN w:val="0"/>
        <w:adjustRightInd w:val="0"/>
        <w:ind w:left="540" w:hanging="540"/>
        <w:rPr>
          <w:rFonts w:ascii="Calibri" w:cs="Calibri"/>
          <w:color w:val="000000"/>
          <w:sz w:val="22"/>
          <w:szCs w:val="22"/>
        </w:rPr>
      </w:pPr>
      <w:r>
        <w:rPr>
          <w:rFonts w:ascii="Calibri" w:cs="Calibri"/>
          <w:color w:val="000000"/>
          <w:sz w:val="22"/>
          <w:szCs w:val="22"/>
        </w:rPr>
        <w:t>Further engagement with employers</w:t>
      </w:r>
    </w:p>
    <w:p w:rsidR="00D8413A" w:rsidRDefault="00D8413A" w:rsidP="00D8413A">
      <w:pPr>
        <w:numPr>
          <w:ilvl w:val="0"/>
          <w:numId w:val="1"/>
        </w:numPr>
        <w:autoSpaceDE w:val="0"/>
        <w:autoSpaceDN w:val="0"/>
        <w:adjustRightInd w:val="0"/>
        <w:ind w:left="540" w:hanging="540"/>
        <w:rPr>
          <w:rFonts w:ascii="Calibri" w:cs="Calibri"/>
          <w:color w:val="000000"/>
          <w:sz w:val="22"/>
          <w:szCs w:val="22"/>
        </w:rPr>
      </w:pPr>
      <w:r>
        <w:rPr>
          <w:rFonts w:ascii="Calibri" w:cs="Calibri"/>
          <w:color w:val="000000"/>
          <w:sz w:val="22"/>
          <w:szCs w:val="22"/>
        </w:rPr>
        <w:t>Collaboration with the Local Employment Coordinator and other stakeholders</w:t>
      </w:r>
    </w:p>
    <w:p w:rsidR="00D8413A" w:rsidRDefault="00D8413A" w:rsidP="00D8413A">
      <w:pPr>
        <w:autoSpaceDE w:val="0"/>
        <w:autoSpaceDN w:val="0"/>
        <w:adjustRightInd w:val="0"/>
        <w:rPr>
          <w:rFonts w:ascii="Arial" w:hAnsi="Arial" w:cs="Arial"/>
        </w:rPr>
      </w:pPr>
    </w:p>
    <w:p w:rsidR="00D8413A" w:rsidRDefault="00D8413A" w:rsidP="00D8413A">
      <w:pPr>
        <w:spacing w:line="360" w:lineRule="auto"/>
      </w:pPr>
    </w:p>
    <w:p w:rsidR="00D8413A" w:rsidRDefault="00D8413A">
      <w:r>
        <w:br w:type="page"/>
      </w:r>
    </w:p>
    <w:p w:rsidR="00D8413A" w:rsidRDefault="00D8413A" w:rsidP="00D8413A">
      <w:pPr>
        <w:spacing w:line="360" w:lineRule="auto"/>
      </w:pPr>
      <w:r>
        <w:lastRenderedPageBreak/>
        <w:t>Slide 31</w:t>
      </w:r>
    </w:p>
    <w:p w:rsidR="00D8413A" w:rsidRDefault="00D8413A" w:rsidP="00D8413A">
      <w:pPr>
        <w:spacing w:line="360" w:lineRule="auto"/>
      </w:pPr>
    </w:p>
    <w:p w:rsidR="00D8413A" w:rsidRDefault="00D8413A" w:rsidP="00D8413A">
      <w:pPr>
        <w:spacing w:line="360" w:lineRule="auto"/>
        <w:jc w:val="center"/>
      </w:pPr>
      <w:r>
        <w:object w:dxaOrig="7216" w:dyaOrig="5409">
          <v:shape id="_x0000_i1055" type="#_x0000_t75" style="width:270.75pt;height:202.5pt" o:ole="" o:bordertopcolor="this" o:borderleftcolor="this" o:borderbottomcolor="this" o:borderrightcolor="this">
            <v:imagedata r:id="rId66" o:title=""/>
            <w10:bordertop type="single" width="4" shadow="t"/>
            <w10:borderleft type="single" width="4" shadow="t"/>
            <w10:borderbottom type="single" width="4" shadow="t"/>
            <w10:borderright type="single" width="4" shadow="t"/>
          </v:shape>
          <o:OLEObject Type="Embed" ProgID="PowerPoint.Slide.12" ShapeID="_x0000_i1055" DrawAspect="Content" ObjectID="_1424612456" r:id="rId67"/>
        </w:object>
      </w:r>
    </w:p>
    <w:p w:rsidR="00D8413A" w:rsidRDefault="00D8413A" w:rsidP="00D8413A">
      <w:pPr>
        <w:spacing w:line="360" w:lineRule="auto"/>
        <w:jc w:val="center"/>
      </w:pPr>
    </w:p>
    <w:p w:rsidR="00D8413A" w:rsidRPr="0036565E" w:rsidRDefault="00D8413A" w:rsidP="00D8413A">
      <w:pPr>
        <w:autoSpaceDE w:val="0"/>
        <w:autoSpaceDN w:val="0"/>
        <w:adjustRightInd w:val="0"/>
        <w:rPr>
          <w:rFonts w:ascii="Calibri" w:hAnsi="Calibri" w:cs="Calibri"/>
          <w:b/>
          <w:bCs/>
          <w:color w:val="000000"/>
          <w:kern w:val="24"/>
          <w:sz w:val="22"/>
          <w:szCs w:val="22"/>
          <w:u w:val="single"/>
        </w:rPr>
      </w:pPr>
      <w:r w:rsidRPr="0036565E">
        <w:rPr>
          <w:rFonts w:ascii="Calibri" w:hAnsi="Calibri" w:cs="Calibri"/>
          <w:b/>
          <w:bCs/>
          <w:color w:val="000000"/>
          <w:kern w:val="24"/>
          <w:sz w:val="22"/>
          <w:szCs w:val="22"/>
          <w:u w:val="single"/>
        </w:rPr>
        <w:t>Further Information</w:t>
      </w:r>
    </w:p>
    <w:p w:rsidR="00D8413A" w:rsidRPr="0036565E" w:rsidRDefault="00D8413A" w:rsidP="00D8413A">
      <w:pPr>
        <w:autoSpaceDE w:val="0"/>
        <w:autoSpaceDN w:val="0"/>
        <w:adjustRightInd w:val="0"/>
        <w:rPr>
          <w:rFonts w:ascii="Calibri" w:hAnsi="Calibri" w:cs="Calibri"/>
          <w:b/>
          <w:bCs/>
          <w:color w:val="000000"/>
          <w:kern w:val="24"/>
          <w:sz w:val="22"/>
          <w:szCs w:val="22"/>
          <w:u w:val="single"/>
        </w:rPr>
      </w:pPr>
    </w:p>
    <w:p w:rsidR="00D8413A" w:rsidRPr="0036565E" w:rsidRDefault="00D8413A" w:rsidP="00D8413A">
      <w:pPr>
        <w:autoSpaceDE w:val="0"/>
        <w:autoSpaceDN w:val="0"/>
        <w:adjustRightInd w:val="0"/>
        <w:rPr>
          <w:rFonts w:ascii="Calibri" w:hAnsi="Calibri" w:cs="Calibri"/>
          <w:color w:val="000000"/>
          <w:kern w:val="24"/>
          <w:sz w:val="22"/>
          <w:szCs w:val="22"/>
        </w:rPr>
      </w:pPr>
      <w:r w:rsidRPr="0036565E">
        <w:rPr>
          <w:rFonts w:ascii="Calibri" w:hAnsi="Calibri" w:cs="Calibri"/>
          <w:color w:val="000000"/>
          <w:kern w:val="24"/>
          <w:sz w:val="22"/>
          <w:szCs w:val="22"/>
        </w:rPr>
        <w:t>More information on labour market conditions and other research on small areas can be found on these web sites.</w:t>
      </w:r>
    </w:p>
    <w:p w:rsidR="00D8413A" w:rsidRPr="0036565E" w:rsidRDefault="00D8413A" w:rsidP="00D8413A">
      <w:pPr>
        <w:autoSpaceDE w:val="0"/>
        <w:autoSpaceDN w:val="0"/>
        <w:adjustRightInd w:val="0"/>
        <w:rPr>
          <w:rFonts w:ascii="Calibri" w:hAnsi="Calibri" w:cs="Calibri"/>
          <w:color w:val="000000"/>
          <w:kern w:val="24"/>
          <w:sz w:val="22"/>
          <w:szCs w:val="22"/>
        </w:rPr>
      </w:pPr>
    </w:p>
    <w:p w:rsidR="00D8413A" w:rsidRDefault="00D8413A" w:rsidP="00D8413A">
      <w:pPr>
        <w:autoSpaceDE w:val="0"/>
        <w:autoSpaceDN w:val="0"/>
        <w:adjustRightInd w:val="0"/>
        <w:rPr>
          <w:rFonts w:ascii="Arial" w:hAnsi="Arial" w:cs="Arial"/>
        </w:rPr>
      </w:pPr>
      <w:bookmarkStart w:id="0" w:name="_GoBack"/>
      <w:bookmarkEnd w:id="0"/>
    </w:p>
    <w:p w:rsidR="00D8413A" w:rsidRDefault="00D8413A" w:rsidP="00D8413A">
      <w:pPr>
        <w:spacing w:line="360" w:lineRule="auto"/>
      </w:pPr>
    </w:p>
    <w:p w:rsidR="00D8413A" w:rsidRDefault="00D8413A">
      <w:r>
        <w:br w:type="page"/>
      </w:r>
    </w:p>
    <w:p w:rsidR="00D8413A" w:rsidRDefault="00D8413A" w:rsidP="00D8413A">
      <w:pPr>
        <w:spacing w:line="360" w:lineRule="auto"/>
      </w:pPr>
      <w:r>
        <w:lastRenderedPageBreak/>
        <w:t>Slide 32</w:t>
      </w:r>
    </w:p>
    <w:p w:rsidR="00D8413A" w:rsidRDefault="00D8413A" w:rsidP="00D8413A">
      <w:pPr>
        <w:spacing w:line="360" w:lineRule="auto"/>
      </w:pPr>
    </w:p>
    <w:p w:rsidR="00D8413A" w:rsidRDefault="00D8413A" w:rsidP="00D8413A">
      <w:pPr>
        <w:spacing w:line="360" w:lineRule="auto"/>
        <w:jc w:val="center"/>
      </w:pPr>
      <w:r>
        <w:object w:dxaOrig="7216" w:dyaOrig="5409">
          <v:shape id="_x0000_i1056" type="#_x0000_t75" style="width:270.75pt;height:202.5pt" o:ole="" o:bordertopcolor="this" o:borderleftcolor="this" o:borderbottomcolor="this" o:borderrightcolor="this">
            <v:imagedata r:id="rId68" o:title=""/>
            <w10:bordertop type="single" width="4" shadow="t"/>
            <w10:borderleft type="single" width="4" shadow="t"/>
            <w10:borderbottom type="single" width="4" shadow="t"/>
            <w10:borderright type="single" width="4" shadow="t"/>
          </v:shape>
          <o:OLEObject Type="Embed" ProgID="PowerPoint.Slide.12" ShapeID="_x0000_i1056" DrawAspect="Content" ObjectID="_1424612457" r:id="rId69"/>
        </w:object>
      </w:r>
    </w:p>
    <w:p w:rsidR="00D8413A" w:rsidRDefault="00D8413A" w:rsidP="00D8413A">
      <w:pPr>
        <w:spacing w:line="360" w:lineRule="auto"/>
        <w:jc w:val="center"/>
      </w:pPr>
    </w:p>
    <w:p w:rsidR="00D8413A" w:rsidRDefault="00D8413A" w:rsidP="00D8413A">
      <w:pPr>
        <w:spacing w:line="360" w:lineRule="auto"/>
      </w:pPr>
    </w:p>
    <w:p w:rsidR="00D8413A" w:rsidRDefault="00D8413A" w:rsidP="00D8413A">
      <w:pPr>
        <w:spacing w:line="360" w:lineRule="auto"/>
      </w:pPr>
    </w:p>
    <w:sectPr w:rsidR="00D8413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898BC2E"/>
    <w:lvl w:ilvl="0">
      <w:numFmt w:val="bullet"/>
      <w:lvlText w:val="*"/>
      <w:lvlJc w:val="left"/>
    </w:lvl>
  </w:abstractNum>
  <w:num w:numId="1">
    <w:abstractNumId w:val="0"/>
    <w:lvlOverride w:ilvl="0">
      <w:lvl w:ilvl="0">
        <w:numFmt w:val="bullet"/>
        <w:lvlText w:val="•"/>
        <w:legacy w:legacy="1" w:legacySpace="0" w:legacyIndent="0"/>
        <w:lvlJc w:val="left"/>
        <w:rPr>
          <w:rFonts w:ascii="Calibri" w:hAnsi="Calibri" w:cs="Calibri" w:hint="default"/>
          <w:sz w:val="22"/>
        </w:rPr>
      </w:lvl>
    </w:lvlOverride>
  </w:num>
  <w:num w:numId="2">
    <w:abstractNumId w:val="0"/>
    <w:lvlOverride w:ilvl="0">
      <w:lvl w:ilvl="0">
        <w:numFmt w:val="bullet"/>
        <w:lvlText w:val="•"/>
        <w:legacy w:legacy="1" w:legacySpace="0" w:legacyIndent="0"/>
        <w:lvlJc w:val="left"/>
        <w:rPr>
          <w:rFonts w:ascii="Arial" w:hAnsi="Arial" w:cs="Arial" w:hint="default"/>
          <w:sz w:val="22"/>
        </w:rPr>
      </w:lvl>
    </w:lvlOverride>
  </w:num>
  <w:num w:numId="3">
    <w:abstractNumId w:val="0"/>
    <w:lvlOverride w:ilvl="0">
      <w:lvl w:ilvl="0">
        <w:numFmt w:val="bullet"/>
        <w:lvlText w:val="–"/>
        <w:legacy w:legacy="1" w:legacySpace="0" w:legacyIndent="0"/>
        <w:lvlJc w:val="left"/>
        <w:rPr>
          <w:rFonts w:ascii="Calibri" w:hAnsi="Calibri" w:cs="Calibri"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13A"/>
    <w:rsid w:val="00032B31"/>
    <w:rsid w:val="000465C0"/>
    <w:rsid w:val="000550F5"/>
    <w:rsid w:val="000708FA"/>
    <w:rsid w:val="00074A1A"/>
    <w:rsid w:val="000760CF"/>
    <w:rsid w:val="0008243A"/>
    <w:rsid w:val="00084A24"/>
    <w:rsid w:val="000A317D"/>
    <w:rsid w:val="000B3997"/>
    <w:rsid w:val="000B5D75"/>
    <w:rsid w:val="000D6280"/>
    <w:rsid w:val="000F1D39"/>
    <w:rsid w:val="000F297F"/>
    <w:rsid w:val="001008C3"/>
    <w:rsid w:val="001147BE"/>
    <w:rsid w:val="001162B2"/>
    <w:rsid w:val="001245A4"/>
    <w:rsid w:val="0012716A"/>
    <w:rsid w:val="001411E7"/>
    <w:rsid w:val="00156CC5"/>
    <w:rsid w:val="00160ACB"/>
    <w:rsid w:val="00165DED"/>
    <w:rsid w:val="00167F49"/>
    <w:rsid w:val="00196F0E"/>
    <w:rsid w:val="001B2640"/>
    <w:rsid w:val="001B7F4A"/>
    <w:rsid w:val="001C389E"/>
    <w:rsid w:val="001C4634"/>
    <w:rsid w:val="001C4E83"/>
    <w:rsid w:val="001D75B3"/>
    <w:rsid w:val="001E1882"/>
    <w:rsid w:val="001E2AC6"/>
    <w:rsid w:val="001E5663"/>
    <w:rsid w:val="001F5AE9"/>
    <w:rsid w:val="00205EC0"/>
    <w:rsid w:val="00214929"/>
    <w:rsid w:val="00217A2A"/>
    <w:rsid w:val="002326D2"/>
    <w:rsid w:val="00241CFB"/>
    <w:rsid w:val="00244A31"/>
    <w:rsid w:val="00246412"/>
    <w:rsid w:val="00261C7A"/>
    <w:rsid w:val="002624ED"/>
    <w:rsid w:val="00280487"/>
    <w:rsid w:val="002865D8"/>
    <w:rsid w:val="002929CF"/>
    <w:rsid w:val="002A3EA1"/>
    <w:rsid w:val="002B04D9"/>
    <w:rsid w:val="002C1014"/>
    <w:rsid w:val="002C624F"/>
    <w:rsid w:val="002D24EE"/>
    <w:rsid w:val="002D671A"/>
    <w:rsid w:val="002F31F9"/>
    <w:rsid w:val="00302F2E"/>
    <w:rsid w:val="003031C4"/>
    <w:rsid w:val="00306ED2"/>
    <w:rsid w:val="00310AC3"/>
    <w:rsid w:val="0032589A"/>
    <w:rsid w:val="003272AC"/>
    <w:rsid w:val="00336F79"/>
    <w:rsid w:val="003421B9"/>
    <w:rsid w:val="00345271"/>
    <w:rsid w:val="00364EA4"/>
    <w:rsid w:val="0036565E"/>
    <w:rsid w:val="00373A49"/>
    <w:rsid w:val="00375B3C"/>
    <w:rsid w:val="00391739"/>
    <w:rsid w:val="003A157C"/>
    <w:rsid w:val="003A6D7D"/>
    <w:rsid w:val="003C3162"/>
    <w:rsid w:val="003D4998"/>
    <w:rsid w:val="0042438C"/>
    <w:rsid w:val="00445F3E"/>
    <w:rsid w:val="00460C09"/>
    <w:rsid w:val="00461708"/>
    <w:rsid w:val="004672B3"/>
    <w:rsid w:val="0047519E"/>
    <w:rsid w:val="00491F87"/>
    <w:rsid w:val="004A652F"/>
    <w:rsid w:val="004B129F"/>
    <w:rsid w:val="004B5949"/>
    <w:rsid w:val="004C2F65"/>
    <w:rsid w:val="004C50F0"/>
    <w:rsid w:val="004E1117"/>
    <w:rsid w:val="004E7C28"/>
    <w:rsid w:val="004F64B9"/>
    <w:rsid w:val="005105F2"/>
    <w:rsid w:val="00523B8D"/>
    <w:rsid w:val="00536933"/>
    <w:rsid w:val="00546EDB"/>
    <w:rsid w:val="00557EAC"/>
    <w:rsid w:val="00577C04"/>
    <w:rsid w:val="00586C21"/>
    <w:rsid w:val="005926AB"/>
    <w:rsid w:val="005978C5"/>
    <w:rsid w:val="005B424C"/>
    <w:rsid w:val="005C6E2A"/>
    <w:rsid w:val="005C769B"/>
    <w:rsid w:val="005D180A"/>
    <w:rsid w:val="005F0376"/>
    <w:rsid w:val="005F5A42"/>
    <w:rsid w:val="005F7A89"/>
    <w:rsid w:val="00622B98"/>
    <w:rsid w:val="00660A6D"/>
    <w:rsid w:val="00666578"/>
    <w:rsid w:val="00667A4B"/>
    <w:rsid w:val="006746FE"/>
    <w:rsid w:val="006777D3"/>
    <w:rsid w:val="0068521A"/>
    <w:rsid w:val="006C0F07"/>
    <w:rsid w:val="006C2829"/>
    <w:rsid w:val="006D4A44"/>
    <w:rsid w:val="006D5D5A"/>
    <w:rsid w:val="006F784D"/>
    <w:rsid w:val="007115F8"/>
    <w:rsid w:val="00713A83"/>
    <w:rsid w:val="00721069"/>
    <w:rsid w:val="00726D18"/>
    <w:rsid w:val="00727E72"/>
    <w:rsid w:val="007300CD"/>
    <w:rsid w:val="00746D56"/>
    <w:rsid w:val="00751831"/>
    <w:rsid w:val="0076493F"/>
    <w:rsid w:val="00774478"/>
    <w:rsid w:val="00786733"/>
    <w:rsid w:val="00793114"/>
    <w:rsid w:val="00796168"/>
    <w:rsid w:val="007A0A88"/>
    <w:rsid w:val="007A3A96"/>
    <w:rsid w:val="007C1909"/>
    <w:rsid w:val="007C3D56"/>
    <w:rsid w:val="007D50B2"/>
    <w:rsid w:val="007D7540"/>
    <w:rsid w:val="007F000B"/>
    <w:rsid w:val="007F57D5"/>
    <w:rsid w:val="007F5C95"/>
    <w:rsid w:val="008150D9"/>
    <w:rsid w:val="008472AE"/>
    <w:rsid w:val="0086232E"/>
    <w:rsid w:val="008808AD"/>
    <w:rsid w:val="00885926"/>
    <w:rsid w:val="00896337"/>
    <w:rsid w:val="008A2880"/>
    <w:rsid w:val="008A45E6"/>
    <w:rsid w:val="008B049A"/>
    <w:rsid w:val="008B1217"/>
    <w:rsid w:val="008D01CB"/>
    <w:rsid w:val="008D26A6"/>
    <w:rsid w:val="008E39A5"/>
    <w:rsid w:val="008E43E4"/>
    <w:rsid w:val="008E4C22"/>
    <w:rsid w:val="00905771"/>
    <w:rsid w:val="0091089E"/>
    <w:rsid w:val="00912871"/>
    <w:rsid w:val="00932192"/>
    <w:rsid w:val="00940C88"/>
    <w:rsid w:val="00945599"/>
    <w:rsid w:val="00946069"/>
    <w:rsid w:val="0095261C"/>
    <w:rsid w:val="009564AC"/>
    <w:rsid w:val="00963479"/>
    <w:rsid w:val="00964401"/>
    <w:rsid w:val="00976D6D"/>
    <w:rsid w:val="00977737"/>
    <w:rsid w:val="009815B9"/>
    <w:rsid w:val="00981F02"/>
    <w:rsid w:val="009826E8"/>
    <w:rsid w:val="009A73AC"/>
    <w:rsid w:val="009B6860"/>
    <w:rsid w:val="009B7752"/>
    <w:rsid w:val="009C1305"/>
    <w:rsid w:val="009D1B07"/>
    <w:rsid w:val="009D7D1C"/>
    <w:rsid w:val="009E3906"/>
    <w:rsid w:val="009E46AC"/>
    <w:rsid w:val="009E6BA0"/>
    <w:rsid w:val="00A02D97"/>
    <w:rsid w:val="00A044C1"/>
    <w:rsid w:val="00A04A04"/>
    <w:rsid w:val="00A1371B"/>
    <w:rsid w:val="00A17E70"/>
    <w:rsid w:val="00A31E70"/>
    <w:rsid w:val="00A47E8D"/>
    <w:rsid w:val="00A745F7"/>
    <w:rsid w:val="00A8570D"/>
    <w:rsid w:val="00AA3958"/>
    <w:rsid w:val="00AB0647"/>
    <w:rsid w:val="00AC64D7"/>
    <w:rsid w:val="00AE0894"/>
    <w:rsid w:val="00AE3481"/>
    <w:rsid w:val="00AE5BE0"/>
    <w:rsid w:val="00B17F12"/>
    <w:rsid w:val="00B25714"/>
    <w:rsid w:val="00B31EA6"/>
    <w:rsid w:val="00B36466"/>
    <w:rsid w:val="00B450DA"/>
    <w:rsid w:val="00B514D3"/>
    <w:rsid w:val="00B5197F"/>
    <w:rsid w:val="00B55FBB"/>
    <w:rsid w:val="00B562CE"/>
    <w:rsid w:val="00B5708F"/>
    <w:rsid w:val="00B64196"/>
    <w:rsid w:val="00B6482E"/>
    <w:rsid w:val="00B72049"/>
    <w:rsid w:val="00B859E5"/>
    <w:rsid w:val="00B85C0A"/>
    <w:rsid w:val="00B94762"/>
    <w:rsid w:val="00B95353"/>
    <w:rsid w:val="00B97123"/>
    <w:rsid w:val="00BB2804"/>
    <w:rsid w:val="00BC3001"/>
    <w:rsid w:val="00BC3981"/>
    <w:rsid w:val="00BC5BF0"/>
    <w:rsid w:val="00BD2CF4"/>
    <w:rsid w:val="00BF0B6F"/>
    <w:rsid w:val="00BF6B1C"/>
    <w:rsid w:val="00C04428"/>
    <w:rsid w:val="00C27D8A"/>
    <w:rsid w:val="00C36C7B"/>
    <w:rsid w:val="00C53A85"/>
    <w:rsid w:val="00C619D1"/>
    <w:rsid w:val="00C634C2"/>
    <w:rsid w:val="00C76E02"/>
    <w:rsid w:val="00C87A48"/>
    <w:rsid w:val="00CB2508"/>
    <w:rsid w:val="00CB6961"/>
    <w:rsid w:val="00CD6ABE"/>
    <w:rsid w:val="00CF56AF"/>
    <w:rsid w:val="00CF630F"/>
    <w:rsid w:val="00CF71BE"/>
    <w:rsid w:val="00D00BFB"/>
    <w:rsid w:val="00D0411E"/>
    <w:rsid w:val="00D204FD"/>
    <w:rsid w:val="00D403CA"/>
    <w:rsid w:val="00D50435"/>
    <w:rsid w:val="00D50A6C"/>
    <w:rsid w:val="00D5384E"/>
    <w:rsid w:val="00D8413A"/>
    <w:rsid w:val="00D92FC3"/>
    <w:rsid w:val="00DA4C23"/>
    <w:rsid w:val="00DB5943"/>
    <w:rsid w:val="00DD420C"/>
    <w:rsid w:val="00DE0440"/>
    <w:rsid w:val="00E03B7D"/>
    <w:rsid w:val="00E06C58"/>
    <w:rsid w:val="00E40912"/>
    <w:rsid w:val="00E41747"/>
    <w:rsid w:val="00E42F2B"/>
    <w:rsid w:val="00E550B7"/>
    <w:rsid w:val="00E5677B"/>
    <w:rsid w:val="00E62235"/>
    <w:rsid w:val="00E62AAA"/>
    <w:rsid w:val="00E65340"/>
    <w:rsid w:val="00E72B39"/>
    <w:rsid w:val="00E831A2"/>
    <w:rsid w:val="00E90E5C"/>
    <w:rsid w:val="00EA6EBF"/>
    <w:rsid w:val="00EB25D8"/>
    <w:rsid w:val="00EB277E"/>
    <w:rsid w:val="00EC3DDB"/>
    <w:rsid w:val="00EC6AB1"/>
    <w:rsid w:val="00ED58EB"/>
    <w:rsid w:val="00ED6013"/>
    <w:rsid w:val="00EF6231"/>
    <w:rsid w:val="00F00C54"/>
    <w:rsid w:val="00F15987"/>
    <w:rsid w:val="00F2676B"/>
    <w:rsid w:val="00F3041B"/>
    <w:rsid w:val="00F31CB2"/>
    <w:rsid w:val="00F4601E"/>
    <w:rsid w:val="00F50445"/>
    <w:rsid w:val="00F82B55"/>
    <w:rsid w:val="00F8395A"/>
    <w:rsid w:val="00F83A85"/>
    <w:rsid w:val="00FC3DC6"/>
    <w:rsid w:val="00FD00E2"/>
    <w:rsid w:val="00FD17DE"/>
    <w:rsid w:val="00FD1B8A"/>
    <w:rsid w:val="00FD55AF"/>
    <w:rsid w:val="00FF662B"/>
    <w:rsid w:val="00FF6D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package" Target="embeddings/Microsoft_PowerPoint_Slide8.sldx"/><Relationship Id="rId42" Type="http://schemas.openxmlformats.org/officeDocument/2006/relationships/image" Target="media/image19.emf"/><Relationship Id="rId47" Type="http://schemas.openxmlformats.org/officeDocument/2006/relationships/package" Target="embeddings/Microsoft_PowerPoint_Slide21.sldx"/><Relationship Id="rId63" Type="http://schemas.openxmlformats.org/officeDocument/2006/relationships/package" Target="embeddings/Microsoft_PowerPoint_Slide29.sldx"/><Relationship Id="rId68" Type="http://schemas.openxmlformats.org/officeDocument/2006/relationships/image" Target="media/image32.emf"/><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package" Target="embeddings/Microsoft_PowerPoint_Slide12.sldx"/><Relationship Id="rId11" Type="http://schemas.openxmlformats.org/officeDocument/2006/relationships/package" Target="embeddings/Microsoft_PowerPoint_Slide3.sld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PowerPoint_Slide16.sldx"/><Relationship Id="rId40" Type="http://schemas.openxmlformats.org/officeDocument/2006/relationships/image" Target="media/image18.emf"/><Relationship Id="rId45" Type="http://schemas.openxmlformats.org/officeDocument/2006/relationships/package" Target="embeddings/Microsoft_PowerPoint_Slide20.sldx"/><Relationship Id="rId53" Type="http://schemas.openxmlformats.org/officeDocument/2006/relationships/package" Target="embeddings/Microsoft_PowerPoint_Slide24.sldx"/><Relationship Id="rId58" Type="http://schemas.openxmlformats.org/officeDocument/2006/relationships/image" Target="media/image27.emf"/><Relationship Id="rId66" Type="http://schemas.openxmlformats.org/officeDocument/2006/relationships/image" Target="media/image31.emf"/><Relationship Id="rId74"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package" Target="embeddings/Microsoft_PowerPoint_Slide28.sldx"/><Relationship Id="rId19" Type="http://schemas.openxmlformats.org/officeDocument/2006/relationships/package" Target="embeddings/Microsoft_PowerPoint_Slide7.sl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PowerPoint_Slide11.sldx"/><Relationship Id="rId30" Type="http://schemas.openxmlformats.org/officeDocument/2006/relationships/image" Target="media/image13.emf"/><Relationship Id="rId35" Type="http://schemas.openxmlformats.org/officeDocument/2006/relationships/package" Target="embeddings/Microsoft_PowerPoint_Slide15.sldx"/><Relationship Id="rId43" Type="http://schemas.openxmlformats.org/officeDocument/2006/relationships/package" Target="embeddings/Microsoft_PowerPoint_Slide19.sldx"/><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package" Target="embeddings/Microsoft_PowerPoint_Slide32.sldx"/><Relationship Id="rId8" Type="http://schemas.openxmlformats.org/officeDocument/2006/relationships/image" Target="media/image2.emf"/><Relationship Id="rId51" Type="http://schemas.openxmlformats.org/officeDocument/2006/relationships/package" Target="embeddings/Microsoft_PowerPoint_Slide23.sldx"/><Relationship Id="rId72" Type="http://schemas.openxmlformats.org/officeDocument/2006/relationships/customXml" Target="../customXml/item1.xml"/><Relationship Id="rId3" Type="http://schemas.microsoft.com/office/2007/relationships/stylesWithEffects" Target="stylesWithEffects.xml"/><Relationship Id="rId12" Type="http://schemas.openxmlformats.org/officeDocument/2006/relationships/image" Target="media/image4.emf"/><Relationship Id="rId17" Type="http://schemas.openxmlformats.org/officeDocument/2006/relationships/package" Target="embeddings/Microsoft_PowerPoint_Slide6.sldx"/><Relationship Id="rId25" Type="http://schemas.openxmlformats.org/officeDocument/2006/relationships/package" Target="embeddings/Microsoft_PowerPoint_Slide10.sldx"/><Relationship Id="rId33" Type="http://schemas.openxmlformats.org/officeDocument/2006/relationships/package" Target="embeddings/Microsoft_PowerPoint_Slide14.sldx"/><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package" Target="embeddings/Microsoft_PowerPoint_Slide27.sldx"/><Relationship Id="rId67" Type="http://schemas.openxmlformats.org/officeDocument/2006/relationships/package" Target="embeddings/Microsoft_PowerPoint_Slide31.sldx"/><Relationship Id="rId20" Type="http://schemas.openxmlformats.org/officeDocument/2006/relationships/image" Target="media/image8.emf"/><Relationship Id="rId41" Type="http://schemas.openxmlformats.org/officeDocument/2006/relationships/package" Target="embeddings/Microsoft_PowerPoint_Slide18.sldx"/><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package" Target="embeddings/Microsoft_PowerPoint_Slide5.sldx"/><Relationship Id="rId23" Type="http://schemas.openxmlformats.org/officeDocument/2006/relationships/package" Target="embeddings/Microsoft_PowerPoint_Slide9.sldx"/><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package" Target="embeddings/Microsoft_PowerPoint_Slide22.sldx"/><Relationship Id="rId57" Type="http://schemas.openxmlformats.org/officeDocument/2006/relationships/package" Target="embeddings/Microsoft_PowerPoint_Slide26.sldx"/><Relationship Id="rId10" Type="http://schemas.openxmlformats.org/officeDocument/2006/relationships/image" Target="media/image3.emf"/><Relationship Id="rId31" Type="http://schemas.openxmlformats.org/officeDocument/2006/relationships/package" Target="embeddings/Microsoft_PowerPoint_Slide13.sldx"/><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package" Target="embeddings/Microsoft_PowerPoint_Slide30.sldx"/><Relationship Id="rId73"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package" Target="embeddings/Microsoft_PowerPoint_Slide2.sldx"/><Relationship Id="rId13" Type="http://schemas.openxmlformats.org/officeDocument/2006/relationships/package" Target="embeddings/Microsoft_PowerPoint_Slide4.sldx"/><Relationship Id="rId18" Type="http://schemas.openxmlformats.org/officeDocument/2006/relationships/image" Target="media/image7.emf"/><Relationship Id="rId39" Type="http://schemas.openxmlformats.org/officeDocument/2006/relationships/package" Target="embeddings/Microsoft_PowerPoint_Slide17.sldx"/><Relationship Id="rId34" Type="http://schemas.openxmlformats.org/officeDocument/2006/relationships/image" Target="media/image15.emf"/><Relationship Id="rId50" Type="http://schemas.openxmlformats.org/officeDocument/2006/relationships/image" Target="media/image23.emf"/><Relationship Id="rId55" Type="http://schemas.openxmlformats.org/officeDocument/2006/relationships/package" Target="embeddings/Microsoft_PowerPoint_Slide25.sldx"/><Relationship Id="rId7" Type="http://schemas.openxmlformats.org/officeDocument/2006/relationships/package" Target="embeddings/Microsoft_PowerPoint_Slide1.sldx"/><Relationship Id="rId7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C4A8D29-C3D0-4B54-91BC-BE36D4A4AFFE}"/>
</file>

<file path=customXml/itemProps2.xml><?xml version="1.0" encoding="utf-8"?>
<ds:datastoreItem xmlns:ds="http://schemas.openxmlformats.org/officeDocument/2006/customXml" ds:itemID="{255A2066-40F9-4E65-92B4-D0775DB47B75}"/>
</file>

<file path=customXml/itemProps3.xml><?xml version="1.0" encoding="utf-8"?>
<ds:datastoreItem xmlns:ds="http://schemas.openxmlformats.org/officeDocument/2006/customXml" ds:itemID="{4E681583-9228-483B-9EF3-2975EA3F2307}"/>
</file>

<file path=docProps/app.xml><?xml version="1.0" encoding="utf-8"?>
<Properties xmlns="http://schemas.openxmlformats.org/officeDocument/2006/extended-properties" xmlns:vt="http://schemas.openxmlformats.org/officeDocument/2006/docPropsVTypes">
  <Template>B97AF375.dotm</Template>
  <TotalTime>9</TotalTime>
  <Pages>32</Pages>
  <Words>2622</Words>
  <Characters>15678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18264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Travis Suridge</dc:creator>
  <cp:lastModifiedBy>Travis Suridge</cp:lastModifiedBy>
  <cp:revision>3</cp:revision>
  <dcterms:created xsi:type="dcterms:W3CDTF">2013-03-12T01:47:00Z</dcterms:created>
  <dcterms:modified xsi:type="dcterms:W3CDTF">2013-03-12T05:54:00Z</dcterms:modified>
</cp:coreProperties>
</file>