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9E4" w:rsidRDefault="00CB7DC9" w:rsidP="00CB7DC9">
      <w:pPr>
        <w:spacing w:line="360" w:lineRule="auto"/>
      </w:pPr>
      <w:r>
        <w:t>Slide 1</w:t>
      </w:r>
    </w:p>
    <w:p w:rsidR="00CB7DC9" w:rsidRDefault="00CB7DC9" w:rsidP="00CB7DC9">
      <w:pPr>
        <w:spacing w:line="360" w:lineRule="auto"/>
      </w:pPr>
    </w:p>
    <w:p w:rsidR="00CB7DC9" w:rsidRDefault="00CB7DC9" w:rsidP="00CB7DC9">
      <w:pPr>
        <w:spacing w:line="360" w:lineRule="auto"/>
        <w:jc w:val="center"/>
      </w:pPr>
      <w:r>
        <w:object w:dxaOrig="7187"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269.25pt;height:201.75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164" DrawAspect="Content" ObjectID="_1440309142" r:id="rId8"/>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color w:val="000000"/>
          <w:kern w:val="24"/>
          <w:sz w:val="24"/>
          <w:szCs w:val="24"/>
          <w:lang w:val="en-US"/>
        </w:rPr>
      </w:pPr>
      <w:r>
        <w:rPr>
          <w:rFonts w:ascii="Calibri" w:hAnsi="Calibri" w:cs="Calibri"/>
          <w:color w:val="000000"/>
          <w:kern w:val="24"/>
          <w:sz w:val="24"/>
          <w:szCs w:val="24"/>
          <w:lang w:val="en-US"/>
        </w:rPr>
        <w:t>Survey of Employers’ Recruitment Experiences in the Greater Hobart region. This area was surveyed, as part of a Tasmania-wide survey, in March 2013.</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2</w:t>
      </w:r>
    </w:p>
    <w:p w:rsidR="00CB7DC9" w:rsidRDefault="00CB7DC9" w:rsidP="00CB7DC9">
      <w:pPr>
        <w:spacing w:line="360" w:lineRule="auto"/>
      </w:pPr>
    </w:p>
    <w:p w:rsidR="00CB7DC9" w:rsidRDefault="00CB7DC9" w:rsidP="00CB7DC9">
      <w:pPr>
        <w:spacing w:line="360" w:lineRule="auto"/>
        <w:jc w:val="center"/>
      </w:pPr>
      <w:r>
        <w:object w:dxaOrig="7187" w:dyaOrig="5385">
          <v:shape id="_x0000_i1030" type="#_x0000_t75" style="width:269.25pt;height:201.7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30" DrawAspect="Content" ObjectID="_1440309143" r:id="rId10"/>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Map of Greater Hobart Statistical Division (SD)</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The Greater Hobart SD is comprised of the following Statistical Local Areas (SLAs):</w:t>
      </w:r>
    </w:p>
    <w:p w:rsidR="00CB7DC9" w:rsidRDefault="00CB7DC9" w:rsidP="00CB7DC9">
      <w:pPr>
        <w:numPr>
          <w:ilvl w:val="0"/>
          <w:numId w:val="1"/>
        </w:numPr>
        <w:autoSpaceDE w:val="0"/>
        <w:autoSpaceDN w:val="0"/>
        <w:adjustRightInd w:val="0"/>
        <w:spacing w:before="120" w:after="0" w:line="240" w:lineRule="auto"/>
        <w:ind w:left="270" w:hanging="270"/>
        <w:rPr>
          <w:rFonts w:ascii="Calibri" w:hAnsi="Calibri" w:cs="Calibri"/>
          <w:color w:val="000000"/>
          <w:kern w:val="24"/>
          <w:sz w:val="24"/>
          <w:szCs w:val="24"/>
        </w:rPr>
      </w:pPr>
      <w:r>
        <w:rPr>
          <w:rFonts w:ascii="Calibri" w:hAnsi="Calibri" w:cs="Calibri"/>
          <w:color w:val="000000"/>
          <w:kern w:val="24"/>
          <w:sz w:val="24"/>
          <w:szCs w:val="24"/>
        </w:rPr>
        <w:t>Brighton</w:t>
      </w:r>
    </w:p>
    <w:p w:rsidR="00CB7DC9" w:rsidRDefault="00CB7DC9" w:rsidP="00CB7DC9">
      <w:pPr>
        <w:numPr>
          <w:ilvl w:val="0"/>
          <w:numId w:val="1"/>
        </w:numPr>
        <w:autoSpaceDE w:val="0"/>
        <w:autoSpaceDN w:val="0"/>
        <w:adjustRightInd w:val="0"/>
        <w:spacing w:before="120" w:after="0" w:line="240" w:lineRule="auto"/>
        <w:ind w:left="270" w:hanging="270"/>
        <w:rPr>
          <w:rFonts w:ascii="Calibri" w:hAnsi="Calibri" w:cs="Calibri"/>
          <w:color w:val="000000"/>
          <w:kern w:val="24"/>
          <w:sz w:val="24"/>
          <w:szCs w:val="24"/>
        </w:rPr>
      </w:pPr>
      <w:r>
        <w:rPr>
          <w:rFonts w:ascii="Calibri" w:hAnsi="Calibri" w:cs="Calibri"/>
          <w:color w:val="000000"/>
          <w:kern w:val="24"/>
          <w:sz w:val="24"/>
          <w:szCs w:val="24"/>
        </w:rPr>
        <w:t>Clarence</w:t>
      </w:r>
    </w:p>
    <w:p w:rsidR="00CB7DC9" w:rsidRDefault="00CB7DC9" w:rsidP="00CB7DC9">
      <w:pPr>
        <w:numPr>
          <w:ilvl w:val="0"/>
          <w:numId w:val="1"/>
        </w:numPr>
        <w:autoSpaceDE w:val="0"/>
        <w:autoSpaceDN w:val="0"/>
        <w:adjustRightInd w:val="0"/>
        <w:spacing w:before="120" w:after="0" w:line="240" w:lineRule="auto"/>
        <w:ind w:left="270" w:hanging="270"/>
        <w:rPr>
          <w:rFonts w:ascii="Calibri" w:hAnsi="Calibri" w:cs="Calibri"/>
          <w:color w:val="000000"/>
          <w:kern w:val="24"/>
          <w:sz w:val="24"/>
          <w:szCs w:val="24"/>
        </w:rPr>
      </w:pPr>
      <w:r>
        <w:rPr>
          <w:rFonts w:ascii="Calibri" w:hAnsi="Calibri" w:cs="Calibri"/>
          <w:color w:val="000000"/>
          <w:kern w:val="24"/>
          <w:sz w:val="24"/>
          <w:szCs w:val="24"/>
        </w:rPr>
        <w:t>Derwent Valley – Part A</w:t>
      </w:r>
    </w:p>
    <w:p w:rsidR="00CB7DC9" w:rsidRDefault="00CB7DC9" w:rsidP="00CB7DC9">
      <w:pPr>
        <w:numPr>
          <w:ilvl w:val="0"/>
          <w:numId w:val="1"/>
        </w:numPr>
        <w:autoSpaceDE w:val="0"/>
        <w:autoSpaceDN w:val="0"/>
        <w:adjustRightInd w:val="0"/>
        <w:spacing w:before="120" w:after="0" w:line="240" w:lineRule="auto"/>
        <w:ind w:left="270" w:hanging="270"/>
        <w:rPr>
          <w:rFonts w:ascii="Calibri" w:hAnsi="Calibri" w:cs="Calibri"/>
          <w:color w:val="000000"/>
          <w:kern w:val="24"/>
          <w:sz w:val="24"/>
          <w:szCs w:val="24"/>
        </w:rPr>
      </w:pPr>
      <w:r>
        <w:rPr>
          <w:rFonts w:ascii="Calibri" w:hAnsi="Calibri" w:cs="Calibri"/>
          <w:color w:val="000000"/>
          <w:kern w:val="24"/>
          <w:sz w:val="24"/>
          <w:szCs w:val="24"/>
        </w:rPr>
        <w:t>Glenorchy</w:t>
      </w:r>
    </w:p>
    <w:p w:rsidR="00CB7DC9" w:rsidRDefault="00CB7DC9" w:rsidP="00CB7DC9">
      <w:pPr>
        <w:numPr>
          <w:ilvl w:val="0"/>
          <w:numId w:val="1"/>
        </w:numPr>
        <w:autoSpaceDE w:val="0"/>
        <w:autoSpaceDN w:val="0"/>
        <w:adjustRightInd w:val="0"/>
        <w:spacing w:before="120" w:after="0" w:line="240" w:lineRule="auto"/>
        <w:ind w:left="270" w:hanging="270"/>
        <w:rPr>
          <w:rFonts w:ascii="Calibri" w:hAnsi="Calibri" w:cs="Calibri"/>
          <w:color w:val="000000"/>
          <w:kern w:val="24"/>
          <w:sz w:val="24"/>
          <w:szCs w:val="24"/>
        </w:rPr>
      </w:pPr>
      <w:r>
        <w:rPr>
          <w:rFonts w:ascii="Calibri" w:hAnsi="Calibri" w:cs="Calibri"/>
          <w:color w:val="000000"/>
          <w:kern w:val="24"/>
          <w:sz w:val="24"/>
          <w:szCs w:val="24"/>
        </w:rPr>
        <w:t>Hobart – Inner</w:t>
      </w:r>
    </w:p>
    <w:p w:rsidR="00CB7DC9" w:rsidRDefault="00CB7DC9" w:rsidP="00CB7DC9">
      <w:pPr>
        <w:numPr>
          <w:ilvl w:val="0"/>
          <w:numId w:val="1"/>
        </w:numPr>
        <w:autoSpaceDE w:val="0"/>
        <w:autoSpaceDN w:val="0"/>
        <w:adjustRightInd w:val="0"/>
        <w:spacing w:before="120" w:after="0" w:line="240" w:lineRule="auto"/>
        <w:ind w:left="270" w:hanging="270"/>
        <w:rPr>
          <w:rFonts w:ascii="Calibri" w:hAnsi="Calibri" w:cs="Calibri"/>
          <w:color w:val="000000"/>
          <w:kern w:val="24"/>
          <w:sz w:val="24"/>
          <w:szCs w:val="24"/>
        </w:rPr>
      </w:pPr>
      <w:r>
        <w:rPr>
          <w:rFonts w:ascii="Calibri" w:hAnsi="Calibri" w:cs="Calibri"/>
          <w:color w:val="000000"/>
          <w:kern w:val="24"/>
          <w:sz w:val="24"/>
          <w:szCs w:val="24"/>
        </w:rPr>
        <w:t>Hobart – Remainder</w:t>
      </w:r>
    </w:p>
    <w:p w:rsidR="00CB7DC9" w:rsidRDefault="00CB7DC9" w:rsidP="00CB7DC9">
      <w:pPr>
        <w:numPr>
          <w:ilvl w:val="0"/>
          <w:numId w:val="1"/>
        </w:numPr>
        <w:autoSpaceDE w:val="0"/>
        <w:autoSpaceDN w:val="0"/>
        <w:adjustRightInd w:val="0"/>
        <w:spacing w:before="120" w:after="0" w:line="240" w:lineRule="auto"/>
        <w:ind w:left="270" w:hanging="270"/>
        <w:rPr>
          <w:rFonts w:ascii="Calibri" w:hAnsi="Calibri" w:cs="Calibri"/>
          <w:color w:val="000000"/>
          <w:kern w:val="24"/>
          <w:sz w:val="24"/>
          <w:szCs w:val="24"/>
        </w:rPr>
      </w:pPr>
      <w:r>
        <w:rPr>
          <w:rFonts w:ascii="Calibri" w:hAnsi="Calibri" w:cs="Calibri"/>
          <w:color w:val="000000"/>
          <w:kern w:val="24"/>
          <w:sz w:val="24"/>
          <w:szCs w:val="24"/>
        </w:rPr>
        <w:t>Kingborough – Part A</w:t>
      </w:r>
    </w:p>
    <w:p w:rsidR="00CB7DC9" w:rsidRDefault="00CB7DC9" w:rsidP="00CB7DC9">
      <w:pPr>
        <w:numPr>
          <w:ilvl w:val="0"/>
          <w:numId w:val="1"/>
        </w:numPr>
        <w:autoSpaceDE w:val="0"/>
        <w:autoSpaceDN w:val="0"/>
        <w:adjustRightInd w:val="0"/>
        <w:spacing w:before="120" w:after="0" w:line="240" w:lineRule="auto"/>
        <w:ind w:left="270" w:hanging="270"/>
        <w:rPr>
          <w:rFonts w:ascii="Calibri" w:hAnsi="Calibri" w:cs="Calibri"/>
          <w:color w:val="000000"/>
          <w:kern w:val="24"/>
          <w:sz w:val="24"/>
          <w:szCs w:val="24"/>
        </w:rPr>
      </w:pPr>
      <w:r>
        <w:rPr>
          <w:rFonts w:ascii="Calibri" w:hAnsi="Calibri" w:cs="Calibri"/>
          <w:color w:val="000000"/>
          <w:kern w:val="24"/>
          <w:sz w:val="24"/>
          <w:szCs w:val="24"/>
        </w:rPr>
        <w:t>Sorell – Part A</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The neighbouring Southern SD is comprised of the following SLAs:</w:t>
      </w:r>
    </w:p>
    <w:p w:rsidR="00CB7DC9" w:rsidRDefault="00CB7DC9" w:rsidP="00CB7DC9">
      <w:pPr>
        <w:numPr>
          <w:ilvl w:val="0"/>
          <w:numId w:val="1"/>
        </w:numPr>
        <w:autoSpaceDE w:val="0"/>
        <w:autoSpaceDN w:val="0"/>
        <w:adjustRightInd w:val="0"/>
        <w:spacing w:before="120" w:after="0" w:line="240" w:lineRule="auto"/>
        <w:ind w:left="270" w:hanging="270"/>
        <w:rPr>
          <w:rFonts w:ascii="Calibri" w:hAnsi="Calibri" w:cs="Calibri"/>
          <w:color w:val="000000"/>
          <w:kern w:val="24"/>
          <w:sz w:val="24"/>
          <w:szCs w:val="24"/>
        </w:rPr>
      </w:pPr>
      <w:r>
        <w:rPr>
          <w:rFonts w:ascii="Calibri" w:hAnsi="Calibri" w:cs="Calibri"/>
          <w:color w:val="000000"/>
          <w:kern w:val="24"/>
          <w:sz w:val="24"/>
          <w:szCs w:val="24"/>
        </w:rPr>
        <w:t>Central Highlands, Derwent Valley – Part B, Glamorgan/Spring Bay, Huon Valley, Kingborough – Part B, Sorell – Part B, Southern Midlands and Tasman.</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For the sake of convenience:</w:t>
      </w:r>
    </w:p>
    <w:p w:rsidR="00CB7DC9" w:rsidRDefault="00CB7DC9" w:rsidP="00CB7DC9">
      <w:pPr>
        <w:numPr>
          <w:ilvl w:val="0"/>
          <w:numId w:val="1"/>
        </w:numPr>
        <w:autoSpaceDE w:val="0"/>
        <w:autoSpaceDN w:val="0"/>
        <w:adjustRightInd w:val="0"/>
        <w:spacing w:before="120" w:after="0" w:line="240" w:lineRule="auto"/>
        <w:ind w:left="270" w:hanging="270"/>
        <w:rPr>
          <w:rFonts w:ascii="Calibri" w:hAnsi="Calibri" w:cs="Calibri"/>
          <w:color w:val="000000"/>
          <w:kern w:val="24"/>
          <w:sz w:val="24"/>
          <w:szCs w:val="24"/>
        </w:rPr>
      </w:pPr>
      <w:r>
        <w:rPr>
          <w:rFonts w:ascii="Calibri" w:hAnsi="Calibri" w:cs="Calibri"/>
          <w:color w:val="000000"/>
          <w:kern w:val="24"/>
          <w:sz w:val="24"/>
          <w:szCs w:val="24"/>
        </w:rPr>
        <w:t xml:space="preserve">Hobart – Inner and Hobart – Remainder will hereafter be combined as ‘Inner Hobart’. </w:t>
      </w:r>
    </w:p>
    <w:p w:rsidR="00CB7DC9" w:rsidRDefault="00CB7DC9" w:rsidP="00CB7DC9">
      <w:pPr>
        <w:numPr>
          <w:ilvl w:val="0"/>
          <w:numId w:val="1"/>
        </w:numPr>
        <w:autoSpaceDE w:val="0"/>
        <w:autoSpaceDN w:val="0"/>
        <w:adjustRightInd w:val="0"/>
        <w:spacing w:before="120" w:after="0" w:line="240" w:lineRule="auto"/>
        <w:ind w:left="270" w:hanging="270"/>
        <w:rPr>
          <w:rFonts w:ascii="Calibri" w:hAnsi="Calibri" w:cs="Calibri"/>
          <w:color w:val="000000"/>
          <w:kern w:val="24"/>
          <w:sz w:val="24"/>
          <w:szCs w:val="24"/>
        </w:rPr>
      </w:pPr>
      <w:r>
        <w:rPr>
          <w:rFonts w:ascii="Calibri" w:hAnsi="Calibri" w:cs="Calibri"/>
          <w:color w:val="000000"/>
          <w:kern w:val="24"/>
          <w:sz w:val="24"/>
          <w:szCs w:val="24"/>
        </w:rPr>
        <w:t>The ‘Part A’ will be omitted from SLA names.</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3</w:t>
      </w:r>
    </w:p>
    <w:p w:rsidR="00CB7DC9" w:rsidRDefault="00CB7DC9" w:rsidP="00CB7DC9">
      <w:pPr>
        <w:spacing w:line="360" w:lineRule="auto"/>
      </w:pPr>
    </w:p>
    <w:p w:rsidR="00CB7DC9" w:rsidRDefault="00CB7DC9" w:rsidP="00CB7DC9">
      <w:pPr>
        <w:spacing w:line="360" w:lineRule="auto"/>
        <w:jc w:val="center"/>
      </w:pPr>
      <w:r>
        <w:object w:dxaOrig="7187" w:dyaOrig="5385">
          <v:shape id="_x0000_i1035" type="#_x0000_t75" style="width:269.25pt;height:201.7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35" DrawAspect="Content" ObjectID="_1440309144" r:id="rId12"/>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Profile of Greater Hobart</w:t>
      </w:r>
    </w:p>
    <w:p w:rsidR="00CB7DC9" w:rsidRDefault="00CB7DC9" w:rsidP="00CB7DC9">
      <w:pPr>
        <w:autoSpaceDE w:val="0"/>
        <w:autoSpaceDN w:val="0"/>
        <w:adjustRightInd w:val="0"/>
        <w:spacing w:after="0" w:line="240" w:lineRule="auto"/>
        <w:rPr>
          <w:rFonts w:ascii="Calibri" w:hAnsi="Times New Roman" w:cs="Calibri"/>
          <w:i/>
          <w:iCs/>
          <w:color w:val="000000"/>
          <w:kern w:val="24"/>
          <w:sz w:val="24"/>
          <w:szCs w:val="24"/>
        </w:rPr>
      </w:pPr>
      <w:r>
        <w:rPr>
          <w:rFonts w:ascii="Calibri" w:hAnsi="Calibri" w:cs="Calibri"/>
          <w:i/>
          <w:iCs/>
          <w:color w:val="000000"/>
          <w:kern w:val="24"/>
          <w:sz w:val="24"/>
          <w:szCs w:val="24"/>
        </w:rPr>
        <w:t xml:space="preserve">Source: </w:t>
      </w:r>
      <w:r>
        <w:rPr>
          <w:rFonts w:ascii="Calibri" w:hAnsi="Times New Roman" w:cs="Calibri"/>
          <w:color w:val="000000"/>
          <w:kern w:val="24"/>
          <w:sz w:val="24"/>
          <w:szCs w:val="24"/>
        </w:rPr>
        <w:t xml:space="preserve">ABS, </w:t>
      </w:r>
      <w:r>
        <w:rPr>
          <w:rFonts w:ascii="Calibri" w:hAnsi="Times New Roman" w:cs="Calibri"/>
          <w:i/>
          <w:iCs/>
          <w:color w:val="000000"/>
          <w:kern w:val="24"/>
          <w:sz w:val="24"/>
          <w:szCs w:val="24"/>
        </w:rPr>
        <w:t xml:space="preserve">Population Estimates by Age and Sex, Regions of Australia, </w:t>
      </w:r>
      <w:r>
        <w:rPr>
          <w:rFonts w:ascii="Calibri" w:hAnsi="Times New Roman" w:cs="Calibri"/>
          <w:color w:val="000000"/>
          <w:kern w:val="24"/>
          <w:sz w:val="24"/>
          <w:szCs w:val="24"/>
        </w:rPr>
        <w:t xml:space="preserve">2011; ABS, </w:t>
      </w:r>
      <w:r>
        <w:rPr>
          <w:rFonts w:ascii="Calibri" w:hAnsi="Times New Roman" w:cs="Calibri"/>
          <w:i/>
          <w:iCs/>
          <w:color w:val="000000"/>
          <w:kern w:val="24"/>
          <w:sz w:val="24"/>
          <w:szCs w:val="24"/>
        </w:rPr>
        <w:t xml:space="preserve">Census of Population and Housing, </w:t>
      </w:r>
      <w:r>
        <w:rPr>
          <w:rFonts w:ascii="Calibri" w:hAnsi="Times New Roman" w:cs="Calibri"/>
          <w:color w:val="000000"/>
          <w:kern w:val="24"/>
          <w:sz w:val="24"/>
          <w:szCs w:val="24"/>
        </w:rPr>
        <w:t>2011</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 xml:space="preserve">Greater Hobart has an older median age than the national average, although it is slightly younger than Tasmania overall. </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Some regions have experienced strong population growth in recent years, particularly in Brighton, Kingborough and Sorell.</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4</w:t>
      </w:r>
    </w:p>
    <w:p w:rsidR="00CB7DC9" w:rsidRDefault="00CB7DC9" w:rsidP="00CB7DC9">
      <w:pPr>
        <w:spacing w:line="360" w:lineRule="auto"/>
      </w:pPr>
    </w:p>
    <w:p w:rsidR="00CB7DC9" w:rsidRDefault="00CB7DC9" w:rsidP="00CB7DC9">
      <w:pPr>
        <w:spacing w:line="360" w:lineRule="auto"/>
        <w:jc w:val="center"/>
      </w:pPr>
      <w:r>
        <w:object w:dxaOrig="7187" w:dyaOrig="5385">
          <v:shape id="_x0000_i1040" type="#_x0000_t75" style="width:269.25pt;height:201.7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40" DrawAspect="Content" ObjectID="_1440309145" r:id="rId14"/>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Ageing population</w:t>
      </w:r>
    </w:p>
    <w:p w:rsidR="00CB7DC9" w:rsidRDefault="00CB7DC9" w:rsidP="00CB7DC9">
      <w:pPr>
        <w:autoSpaceDE w:val="0"/>
        <w:autoSpaceDN w:val="0"/>
        <w:adjustRightInd w:val="0"/>
        <w:spacing w:after="0" w:line="240" w:lineRule="auto"/>
        <w:rPr>
          <w:rFonts w:ascii="Calibri" w:hAnsi="Calibri" w:cs="Calibri"/>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 xml:space="preserve">ABS, </w:t>
      </w:r>
      <w:r>
        <w:rPr>
          <w:rFonts w:ascii="Calibri" w:hAnsi="Calibri" w:cs="Calibri"/>
          <w:i/>
          <w:iCs/>
          <w:color w:val="000000"/>
          <w:kern w:val="24"/>
          <w:sz w:val="24"/>
          <w:szCs w:val="24"/>
        </w:rPr>
        <w:t xml:space="preserve">Population Estimates by Age and Sex, Regions of Australia, </w:t>
      </w:r>
      <w:r>
        <w:rPr>
          <w:rFonts w:ascii="Calibri" w:hAnsi="Calibri" w:cs="Calibri"/>
          <w:color w:val="000000"/>
          <w:kern w:val="24"/>
          <w:sz w:val="24"/>
          <w:szCs w:val="24"/>
        </w:rPr>
        <w:t>1991-2011</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Greater Hobart is facing an ageing population. This is demonstrated by the rightward shift in the age profile over time, as a larger proportion of the population becomes concentrated in older age groups.</w:t>
      </w: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rPr>
      </w:pP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5</w:t>
      </w:r>
    </w:p>
    <w:p w:rsidR="00CB7DC9" w:rsidRDefault="00CB7DC9" w:rsidP="00CB7DC9">
      <w:pPr>
        <w:spacing w:line="360" w:lineRule="auto"/>
      </w:pPr>
    </w:p>
    <w:p w:rsidR="00CB7DC9" w:rsidRDefault="00CB7DC9" w:rsidP="00CB7DC9">
      <w:pPr>
        <w:spacing w:line="360" w:lineRule="auto"/>
        <w:jc w:val="center"/>
      </w:pPr>
      <w:r>
        <w:object w:dxaOrig="7187" w:dyaOrig="5385">
          <v:shape id="_x0000_i1045" type="#_x0000_t75" style="width:269.25pt;height:201.7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45" DrawAspect="Content" ObjectID="_1440309146" r:id="rId16"/>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Participation rate</w:t>
      </w:r>
    </w:p>
    <w:p w:rsidR="00CB7DC9" w:rsidRDefault="00CB7DC9" w:rsidP="00CB7DC9">
      <w:pPr>
        <w:autoSpaceDE w:val="0"/>
        <w:autoSpaceDN w:val="0"/>
        <w:adjustRightInd w:val="0"/>
        <w:spacing w:after="0" w:line="240" w:lineRule="auto"/>
        <w:rPr>
          <w:rFonts w:ascii="Calibri" w:hAnsi="Times New Roman" w:cs="Calibri"/>
          <w:color w:val="000000"/>
          <w:kern w:val="24"/>
          <w:sz w:val="24"/>
          <w:szCs w:val="24"/>
        </w:rPr>
      </w:pPr>
      <w:r>
        <w:rPr>
          <w:rFonts w:ascii="Calibri" w:hAnsi="Times New Roman" w:cs="Calibri"/>
          <w:i/>
          <w:iCs/>
          <w:color w:val="000000"/>
          <w:kern w:val="24"/>
          <w:sz w:val="24"/>
          <w:szCs w:val="24"/>
        </w:rPr>
        <w:t xml:space="preserve">Source: </w:t>
      </w:r>
      <w:r>
        <w:rPr>
          <w:rFonts w:ascii="Calibri" w:hAnsi="Times New Roman" w:cs="Calibri"/>
          <w:color w:val="000000"/>
          <w:kern w:val="24"/>
          <w:sz w:val="24"/>
          <w:szCs w:val="24"/>
        </w:rPr>
        <w:t>ABS</w:t>
      </w:r>
      <w:r>
        <w:rPr>
          <w:rFonts w:ascii="Calibri" w:hAnsi="Times New Roman" w:cs="Calibri"/>
          <w:i/>
          <w:iCs/>
          <w:color w:val="000000"/>
          <w:kern w:val="24"/>
          <w:sz w:val="24"/>
          <w:szCs w:val="24"/>
        </w:rPr>
        <w:t xml:space="preserve">, Labour Force, Australia, Detailed - Electronic Delivery, </w:t>
      </w:r>
      <w:r>
        <w:rPr>
          <w:rFonts w:ascii="Calibri" w:hAnsi="Times New Roman" w:cs="Calibri"/>
          <w:color w:val="000000"/>
          <w:kern w:val="24"/>
          <w:sz w:val="24"/>
          <w:szCs w:val="24"/>
        </w:rPr>
        <w:t>July</w:t>
      </w:r>
      <w:r>
        <w:rPr>
          <w:rFonts w:ascii="Calibri" w:hAnsi="Times New Roman" w:cs="Calibri"/>
          <w:i/>
          <w:iCs/>
          <w:color w:val="000000"/>
          <w:kern w:val="24"/>
          <w:sz w:val="24"/>
          <w:szCs w:val="24"/>
        </w:rPr>
        <w:t xml:space="preserve"> </w:t>
      </w:r>
      <w:r>
        <w:rPr>
          <w:rFonts w:ascii="Calibri" w:hAnsi="Times New Roman" w:cs="Calibri"/>
          <w:color w:val="000000"/>
          <w:kern w:val="24"/>
          <w:sz w:val="24"/>
          <w:szCs w:val="24"/>
        </w:rPr>
        <w:t>2013</w:t>
      </w:r>
      <w:r>
        <w:rPr>
          <w:rFonts w:ascii="Calibri" w:hAnsi="Times New Roman" w:cs="Calibri"/>
          <w:i/>
          <w:iCs/>
          <w:color w:val="000000"/>
          <w:kern w:val="24"/>
          <w:sz w:val="24"/>
          <w:szCs w:val="24"/>
        </w:rPr>
        <w:t xml:space="preserve"> (cat. no. 6291.0.55.001), </w:t>
      </w:r>
      <w:r>
        <w:rPr>
          <w:rFonts w:ascii="Calibri" w:hAnsi="Times New Roman" w:cs="Calibri"/>
          <w:color w:val="000000"/>
          <w:kern w:val="24"/>
          <w:sz w:val="24"/>
          <w:szCs w:val="24"/>
        </w:rPr>
        <w:t xml:space="preserve">three-month averages of </w:t>
      </w:r>
      <w:r>
        <w:rPr>
          <w:rFonts w:ascii="Calibri" w:hAnsi="Times New Roman" w:cs="Calibri"/>
          <w:i/>
          <w:iCs/>
          <w:color w:val="000000"/>
          <w:kern w:val="24"/>
          <w:sz w:val="24"/>
          <w:szCs w:val="24"/>
        </w:rPr>
        <w:t>original</w:t>
      </w:r>
      <w:r>
        <w:rPr>
          <w:rFonts w:ascii="Calibri" w:hAnsi="Times New Roman" w:cs="Calibri"/>
          <w:color w:val="000000"/>
          <w:kern w:val="24"/>
          <w:sz w:val="24"/>
          <w:szCs w:val="24"/>
        </w:rPr>
        <w:t xml:space="preserve"> data</w:t>
      </w:r>
    </w:p>
    <w:p w:rsidR="00CB7DC9" w:rsidRDefault="00CB7DC9" w:rsidP="00CB7DC9">
      <w:pPr>
        <w:autoSpaceDE w:val="0"/>
        <w:autoSpaceDN w:val="0"/>
        <w:adjustRightInd w:val="0"/>
        <w:spacing w:before="120" w:after="0" w:line="240" w:lineRule="auto"/>
        <w:rPr>
          <w:rFonts w:ascii="Calibri" w:hAnsi="Times New Roman" w:cs="Calibri"/>
          <w:color w:val="000000"/>
          <w:kern w:val="24"/>
          <w:sz w:val="24"/>
          <w:szCs w:val="24"/>
        </w:rPr>
      </w:pPr>
      <w:r>
        <w:rPr>
          <w:rFonts w:ascii="Calibri" w:hAnsi="Times New Roman" w:cs="Calibri"/>
          <w:color w:val="000000"/>
          <w:kern w:val="24"/>
          <w:sz w:val="24"/>
          <w:szCs w:val="24"/>
        </w:rPr>
        <w:t>Labour force participation in Greater Hobart has been consistently below the national average. The participation rate has fallen by 2.3 percentage points since September 2008 (the start of the GFC), making the rising unemployment rate (to be discussed in later slides) over that time even more concerning.</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6</w:t>
      </w:r>
    </w:p>
    <w:p w:rsidR="00CB7DC9" w:rsidRDefault="00CB7DC9" w:rsidP="00CB7DC9">
      <w:pPr>
        <w:spacing w:line="360" w:lineRule="auto"/>
      </w:pPr>
    </w:p>
    <w:p w:rsidR="00CB7DC9" w:rsidRDefault="00CB7DC9" w:rsidP="00CB7DC9">
      <w:pPr>
        <w:spacing w:line="360" w:lineRule="auto"/>
        <w:jc w:val="center"/>
      </w:pPr>
      <w:r>
        <w:object w:dxaOrig="7187" w:dyaOrig="5385">
          <v:shape id="_x0000_i1050" type="#_x0000_t75" style="width:269.25pt;height:201.7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50" DrawAspect="Content" ObjectID="_1440309147" r:id="rId18"/>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Unemployment rate</w:t>
      </w:r>
    </w:p>
    <w:p w:rsidR="00CB7DC9" w:rsidRDefault="00CB7DC9" w:rsidP="00CB7DC9">
      <w:pPr>
        <w:autoSpaceDE w:val="0"/>
        <w:autoSpaceDN w:val="0"/>
        <w:adjustRightInd w:val="0"/>
        <w:spacing w:after="0" w:line="240" w:lineRule="auto"/>
        <w:rPr>
          <w:rFonts w:ascii="Calibri" w:hAnsi="Calibri" w:cs="Calibri"/>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 xml:space="preserve">ABS, </w:t>
      </w:r>
      <w:r>
        <w:rPr>
          <w:rFonts w:ascii="Calibri" w:hAnsi="Calibri" w:cs="Calibri"/>
          <w:i/>
          <w:iCs/>
          <w:color w:val="000000"/>
          <w:kern w:val="24"/>
          <w:sz w:val="24"/>
          <w:szCs w:val="24"/>
        </w:rPr>
        <w:t xml:space="preserve">Labour Force, Australia, Detailed – Electronic Delivery, </w:t>
      </w:r>
      <w:r>
        <w:rPr>
          <w:rFonts w:ascii="Calibri" w:hAnsi="Calibri" w:cs="Calibri"/>
          <w:color w:val="000000"/>
          <w:kern w:val="24"/>
          <w:sz w:val="24"/>
          <w:szCs w:val="24"/>
        </w:rPr>
        <w:t xml:space="preserve">July 2013 (cat. no. 6291.0.55.001), three-month averages of </w:t>
      </w:r>
      <w:r>
        <w:rPr>
          <w:rFonts w:ascii="Calibri" w:hAnsi="Calibri" w:cs="Calibri"/>
          <w:i/>
          <w:iCs/>
          <w:color w:val="000000"/>
          <w:kern w:val="24"/>
          <w:sz w:val="24"/>
          <w:szCs w:val="24"/>
        </w:rPr>
        <w:t>original</w:t>
      </w:r>
      <w:r>
        <w:rPr>
          <w:rFonts w:ascii="Calibri" w:hAnsi="Calibri" w:cs="Calibri"/>
          <w:color w:val="000000"/>
          <w:kern w:val="24"/>
          <w:sz w:val="24"/>
          <w:szCs w:val="24"/>
        </w:rPr>
        <w:t xml:space="preserve"> data</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The unemployment rate in Greater Hobart has trended upwards since the onset of the Global Financial Crisis in September 2008. Despite this, it remains well below its 15-year-high of 10.6 per cent, recorded in February 1999.</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7</w:t>
      </w:r>
    </w:p>
    <w:p w:rsidR="00CB7DC9" w:rsidRDefault="00CB7DC9" w:rsidP="00CB7DC9">
      <w:pPr>
        <w:spacing w:line="360" w:lineRule="auto"/>
      </w:pPr>
    </w:p>
    <w:p w:rsidR="00CB7DC9" w:rsidRDefault="00CB7DC9" w:rsidP="00CB7DC9">
      <w:pPr>
        <w:spacing w:line="360" w:lineRule="auto"/>
        <w:jc w:val="center"/>
      </w:pPr>
      <w:r>
        <w:object w:dxaOrig="7187" w:dyaOrig="5385">
          <v:shape id="_x0000_i1055" type="#_x0000_t75" style="width:269.25pt;height:201.7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55" DrawAspect="Content" ObjectID="_1440309148" r:id="rId20"/>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Regional variation in the unemployment rate</w:t>
      </w:r>
    </w:p>
    <w:p w:rsidR="00CB7DC9" w:rsidRDefault="00CB7DC9" w:rsidP="00CB7DC9">
      <w:pPr>
        <w:autoSpaceDE w:val="0"/>
        <w:autoSpaceDN w:val="0"/>
        <w:adjustRightInd w:val="0"/>
        <w:spacing w:after="0" w:line="240" w:lineRule="auto"/>
        <w:rPr>
          <w:rFonts w:ascii="Calibri" w:hAnsi="Calibri" w:cs="Calibri"/>
          <w:i/>
          <w:iCs/>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 xml:space="preserve">DEEWR, </w:t>
      </w:r>
      <w:r>
        <w:rPr>
          <w:rFonts w:ascii="Calibri" w:hAnsi="Calibri" w:cs="Calibri"/>
          <w:i/>
          <w:iCs/>
          <w:color w:val="000000"/>
          <w:kern w:val="24"/>
          <w:sz w:val="24"/>
          <w:szCs w:val="24"/>
        </w:rPr>
        <w:t xml:space="preserve">Small Labour Markets, </w:t>
      </w:r>
      <w:r>
        <w:rPr>
          <w:rFonts w:ascii="Calibri" w:hAnsi="Calibri" w:cs="Calibri"/>
          <w:color w:val="000000"/>
          <w:kern w:val="24"/>
          <w:sz w:val="24"/>
          <w:szCs w:val="24"/>
        </w:rPr>
        <w:t xml:space="preserve">June quarter 2013; *ABS, </w:t>
      </w:r>
      <w:r>
        <w:rPr>
          <w:rFonts w:ascii="Calibri" w:hAnsi="Calibri" w:cs="Calibri"/>
          <w:i/>
          <w:iCs/>
          <w:color w:val="000000"/>
          <w:kern w:val="24"/>
          <w:sz w:val="24"/>
          <w:szCs w:val="24"/>
        </w:rPr>
        <w:t xml:space="preserve">Labour Force, Australia, </w:t>
      </w:r>
      <w:r>
        <w:rPr>
          <w:rFonts w:ascii="Calibri" w:hAnsi="Calibri" w:cs="Calibri"/>
          <w:color w:val="000000"/>
          <w:kern w:val="24"/>
          <w:sz w:val="24"/>
          <w:szCs w:val="24"/>
        </w:rPr>
        <w:t xml:space="preserve">July 2013 (cat. no. 6202.0), </w:t>
      </w:r>
      <w:r>
        <w:rPr>
          <w:rFonts w:ascii="Calibri" w:hAnsi="Calibri" w:cs="Calibri"/>
          <w:i/>
          <w:iCs/>
          <w:color w:val="000000"/>
          <w:kern w:val="24"/>
          <w:sz w:val="24"/>
          <w:szCs w:val="24"/>
        </w:rPr>
        <w:t xml:space="preserve">seasonally adjusted estimates </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This table shows that there is considerable regional variation in the unemployment rate in Greater Hobart. While Inner Hobart recorded a low unemployment rate, Brighton and Derwent Valley fared much worse, with unemployment rat</w:t>
      </w:r>
      <w:r w:rsidR="00F3363D">
        <w:rPr>
          <w:rFonts w:ascii="Calibri" w:hAnsi="Calibri" w:cs="Calibri"/>
          <w:color w:val="000000"/>
          <w:kern w:val="24"/>
          <w:sz w:val="24"/>
          <w:szCs w:val="24"/>
        </w:rPr>
        <w:t>es of 9.8 per cent and 10.7 per </w:t>
      </w:r>
      <w:r>
        <w:rPr>
          <w:rFonts w:ascii="Calibri" w:hAnsi="Calibri" w:cs="Calibri"/>
          <w:color w:val="000000"/>
          <w:kern w:val="24"/>
          <w:sz w:val="24"/>
          <w:szCs w:val="24"/>
        </w:rPr>
        <w:t xml:space="preserve">cent respectively in the June quarter 2013. </w:t>
      </w:r>
    </w:p>
    <w:p w:rsidR="00CB7DC9" w:rsidRDefault="00CB7DC9" w:rsidP="00CB7DC9">
      <w:pPr>
        <w:autoSpaceDE w:val="0"/>
        <w:autoSpaceDN w:val="0"/>
        <w:adjustRightInd w:val="0"/>
        <w:spacing w:before="120" w:after="0" w:line="240" w:lineRule="auto"/>
      </w:pPr>
      <w:r>
        <w:rPr>
          <w:rFonts w:ascii="Calibri" w:hAnsi="Calibri" w:cs="Calibri"/>
          <w:color w:val="000000"/>
          <w:kern w:val="24"/>
          <w:sz w:val="24"/>
          <w:szCs w:val="24"/>
        </w:rPr>
        <w:t>The neighbouring Southern SD recorded a high unemployment rate of 9.3 per cent in June 2013</w:t>
      </w:r>
      <w:r>
        <w:rPr>
          <w:rFonts w:ascii="Arial" w:hAnsi="Arial" w:cs="Arial"/>
          <w:color w:val="000000"/>
          <w:kern w:val="24"/>
          <w:sz w:val="24"/>
          <w:szCs w:val="24"/>
        </w:rPr>
        <w:t>.</w:t>
      </w:r>
      <w:r>
        <w:br w:type="page"/>
      </w:r>
    </w:p>
    <w:p w:rsidR="00CB7DC9" w:rsidRDefault="00CB7DC9" w:rsidP="00CB7DC9">
      <w:pPr>
        <w:spacing w:line="360" w:lineRule="auto"/>
      </w:pPr>
      <w:r>
        <w:t>Slide 8</w:t>
      </w:r>
    </w:p>
    <w:p w:rsidR="00CB7DC9" w:rsidRDefault="00CB7DC9" w:rsidP="00CB7DC9">
      <w:pPr>
        <w:spacing w:line="360" w:lineRule="auto"/>
      </w:pPr>
    </w:p>
    <w:p w:rsidR="00CB7DC9" w:rsidRDefault="00CB7DC9" w:rsidP="00CB7DC9">
      <w:pPr>
        <w:spacing w:line="360" w:lineRule="auto"/>
        <w:jc w:val="center"/>
      </w:pPr>
      <w:r>
        <w:object w:dxaOrig="7187" w:dyaOrig="5385">
          <v:shape id="_x0000_i1060" type="#_x0000_t75" style="width:269.25pt;height:201.7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60" DrawAspect="Content" ObjectID="_1440309149" r:id="rId22"/>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Times New Roman" w:cs="Calibri"/>
          <w:b/>
          <w:bCs/>
          <w:color w:val="000000"/>
          <w:kern w:val="24"/>
          <w:sz w:val="24"/>
          <w:szCs w:val="24"/>
          <w:u w:val="single"/>
        </w:rPr>
      </w:pPr>
      <w:r>
        <w:rPr>
          <w:rFonts w:ascii="Calibri" w:hAnsi="Times New Roman" w:cs="Calibri"/>
          <w:b/>
          <w:bCs/>
          <w:color w:val="000000"/>
          <w:kern w:val="24"/>
          <w:sz w:val="24"/>
          <w:szCs w:val="24"/>
          <w:u w:val="single"/>
        </w:rPr>
        <w:t>Employment growth flat since GFC</w:t>
      </w:r>
    </w:p>
    <w:p w:rsidR="00CB7DC9" w:rsidRDefault="00CB7DC9" w:rsidP="00CB7DC9">
      <w:pPr>
        <w:autoSpaceDE w:val="0"/>
        <w:autoSpaceDN w:val="0"/>
        <w:adjustRightInd w:val="0"/>
        <w:spacing w:after="0" w:line="240" w:lineRule="auto"/>
        <w:rPr>
          <w:rFonts w:ascii="Calibri" w:hAnsi="Times New Roman" w:cs="Calibri"/>
          <w:color w:val="000000"/>
          <w:kern w:val="24"/>
          <w:sz w:val="24"/>
          <w:szCs w:val="24"/>
        </w:rPr>
      </w:pPr>
      <w:r>
        <w:rPr>
          <w:rFonts w:ascii="Calibri" w:hAnsi="Times New Roman" w:cs="Calibri"/>
          <w:i/>
          <w:iCs/>
          <w:color w:val="000000"/>
          <w:kern w:val="24"/>
          <w:sz w:val="24"/>
          <w:szCs w:val="24"/>
        </w:rPr>
        <w:t xml:space="preserve">Source: </w:t>
      </w:r>
      <w:r>
        <w:rPr>
          <w:rFonts w:ascii="Calibri" w:hAnsi="Times New Roman" w:cs="Calibri"/>
          <w:color w:val="000000"/>
          <w:kern w:val="24"/>
          <w:sz w:val="24"/>
          <w:szCs w:val="24"/>
        </w:rPr>
        <w:t xml:space="preserve">ABS, </w:t>
      </w:r>
      <w:r>
        <w:rPr>
          <w:rFonts w:ascii="Calibri" w:hAnsi="Times New Roman" w:cs="Calibri"/>
          <w:i/>
          <w:iCs/>
          <w:color w:val="000000"/>
          <w:kern w:val="24"/>
          <w:sz w:val="24"/>
          <w:szCs w:val="24"/>
        </w:rPr>
        <w:t xml:space="preserve">Labour Force, Australia, Detailed </w:t>
      </w:r>
      <w:r>
        <w:rPr>
          <w:rFonts w:ascii="Calibri" w:hAnsi="Times New Roman" w:cs="Calibri"/>
          <w:i/>
          <w:iCs/>
          <w:color w:val="000000"/>
          <w:kern w:val="24"/>
          <w:sz w:val="24"/>
          <w:szCs w:val="24"/>
        </w:rPr>
        <w:t>–</w:t>
      </w:r>
      <w:r>
        <w:rPr>
          <w:rFonts w:ascii="Calibri" w:hAnsi="Times New Roman" w:cs="Calibri"/>
          <w:i/>
          <w:iCs/>
          <w:color w:val="000000"/>
          <w:kern w:val="24"/>
          <w:sz w:val="24"/>
          <w:szCs w:val="24"/>
        </w:rPr>
        <w:t xml:space="preserve"> Electronic Delivery, </w:t>
      </w:r>
      <w:r>
        <w:rPr>
          <w:rFonts w:ascii="Calibri" w:hAnsi="Times New Roman" w:cs="Calibri"/>
          <w:color w:val="000000"/>
          <w:kern w:val="24"/>
          <w:sz w:val="24"/>
          <w:szCs w:val="24"/>
        </w:rPr>
        <w:t xml:space="preserve">July 2013 (cat. no. 6291.0.55.001), three-month averages of </w:t>
      </w:r>
      <w:r>
        <w:rPr>
          <w:rFonts w:ascii="Calibri" w:hAnsi="Times New Roman" w:cs="Calibri"/>
          <w:i/>
          <w:iCs/>
          <w:color w:val="000000"/>
          <w:kern w:val="24"/>
          <w:sz w:val="24"/>
          <w:szCs w:val="24"/>
        </w:rPr>
        <w:t>original</w:t>
      </w:r>
      <w:r>
        <w:rPr>
          <w:rFonts w:ascii="Calibri" w:hAnsi="Times New Roman" w:cs="Calibri"/>
          <w:color w:val="000000"/>
          <w:kern w:val="24"/>
          <w:sz w:val="24"/>
          <w:szCs w:val="24"/>
        </w:rPr>
        <w:t xml:space="preserve"> data</w:t>
      </w:r>
    </w:p>
    <w:p w:rsidR="00CB7DC9" w:rsidRDefault="00CB7DC9" w:rsidP="00CB7DC9">
      <w:pPr>
        <w:autoSpaceDE w:val="0"/>
        <w:autoSpaceDN w:val="0"/>
        <w:adjustRightInd w:val="0"/>
        <w:spacing w:before="120" w:after="0" w:line="240" w:lineRule="auto"/>
        <w:rPr>
          <w:rFonts w:ascii="Calibri" w:hAnsi="Times New Roman" w:cs="Calibri"/>
          <w:color w:val="000000"/>
          <w:kern w:val="24"/>
          <w:sz w:val="24"/>
          <w:szCs w:val="24"/>
        </w:rPr>
      </w:pPr>
      <w:r>
        <w:rPr>
          <w:rFonts w:ascii="Calibri" w:hAnsi="Times New Roman" w:cs="Calibri"/>
          <w:color w:val="000000"/>
          <w:kern w:val="24"/>
          <w:sz w:val="24"/>
          <w:szCs w:val="24"/>
        </w:rPr>
        <w:t xml:space="preserve">The chart shows that employment growth was reasonably strong in Greater Hobart in the years leading up to the GFC. Over the five years to September 2008, for example, employment in Greater Hobart increased by 15.9 per cent. </w:t>
      </w:r>
    </w:p>
    <w:p w:rsidR="00CB7DC9" w:rsidRDefault="00CB7DC9" w:rsidP="00CB7DC9">
      <w:pPr>
        <w:autoSpaceDE w:val="0"/>
        <w:autoSpaceDN w:val="0"/>
        <w:adjustRightInd w:val="0"/>
        <w:spacing w:before="120" w:after="0" w:line="240" w:lineRule="auto"/>
        <w:rPr>
          <w:rFonts w:ascii="Calibri" w:hAnsi="Times New Roman" w:cs="Calibri"/>
          <w:color w:val="000000"/>
          <w:kern w:val="24"/>
          <w:sz w:val="24"/>
          <w:szCs w:val="24"/>
        </w:rPr>
      </w:pPr>
      <w:r>
        <w:rPr>
          <w:rFonts w:ascii="Calibri" w:hAnsi="Times New Roman" w:cs="Calibri"/>
          <w:color w:val="000000"/>
          <w:kern w:val="24"/>
          <w:sz w:val="24"/>
          <w:szCs w:val="24"/>
        </w:rPr>
        <w:t>Since then, employment growth has stagnated. Over the last 12 months, employment was down by 3300 (or 3.2 per cent). Employment was flat or down in most occupation groups, part-time and full-time employment.</w:t>
      </w:r>
    </w:p>
    <w:p w:rsidR="00CB7DC9" w:rsidRDefault="00CB7DC9" w:rsidP="00CB7DC9">
      <w:pPr>
        <w:autoSpaceDE w:val="0"/>
        <w:autoSpaceDN w:val="0"/>
        <w:adjustRightInd w:val="0"/>
        <w:spacing w:before="120"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9</w:t>
      </w:r>
    </w:p>
    <w:p w:rsidR="00CB7DC9" w:rsidRDefault="00CB7DC9" w:rsidP="00CB7DC9">
      <w:pPr>
        <w:spacing w:line="360" w:lineRule="auto"/>
      </w:pPr>
    </w:p>
    <w:p w:rsidR="00CB7DC9" w:rsidRDefault="00CB7DC9" w:rsidP="00CB7DC9">
      <w:pPr>
        <w:spacing w:line="360" w:lineRule="auto"/>
        <w:jc w:val="center"/>
      </w:pPr>
      <w:r>
        <w:object w:dxaOrig="7187" w:dyaOrig="5385">
          <v:shape id="_x0000_i1065" type="#_x0000_t75" style="width:269.25pt;height:201.7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65" DrawAspect="Content" ObjectID="_1440309150" r:id="rId24"/>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 xml:space="preserve">Full-time </w:t>
      </w:r>
      <w:r w:rsidR="00F3363D">
        <w:rPr>
          <w:rFonts w:ascii="Calibri" w:hAnsi="Calibri" w:cs="Calibri"/>
          <w:b/>
          <w:bCs/>
          <w:color w:val="000000"/>
          <w:kern w:val="24"/>
          <w:sz w:val="24"/>
          <w:szCs w:val="24"/>
          <w:u w:val="single"/>
        </w:rPr>
        <w:t>vs.</w:t>
      </w:r>
      <w:r>
        <w:rPr>
          <w:rFonts w:ascii="Calibri" w:hAnsi="Calibri" w:cs="Calibri"/>
          <w:b/>
          <w:bCs/>
          <w:color w:val="000000"/>
          <w:kern w:val="24"/>
          <w:sz w:val="24"/>
          <w:szCs w:val="24"/>
          <w:u w:val="single"/>
        </w:rPr>
        <w:t xml:space="preserve"> part-time employment</w:t>
      </w:r>
    </w:p>
    <w:p w:rsidR="00CB7DC9" w:rsidRDefault="00CB7DC9" w:rsidP="00CB7DC9">
      <w:pPr>
        <w:autoSpaceDE w:val="0"/>
        <w:autoSpaceDN w:val="0"/>
        <w:adjustRightInd w:val="0"/>
        <w:spacing w:after="0" w:line="240" w:lineRule="auto"/>
        <w:rPr>
          <w:rFonts w:ascii="Calibri" w:hAnsi="Times New Roman" w:cs="Calibri"/>
          <w:i/>
          <w:iCs/>
          <w:color w:val="000000"/>
          <w:kern w:val="24"/>
          <w:sz w:val="24"/>
          <w:szCs w:val="24"/>
        </w:rPr>
      </w:pPr>
      <w:r>
        <w:rPr>
          <w:rFonts w:ascii="Calibri" w:hAnsi="Calibri" w:cs="Calibri"/>
          <w:i/>
          <w:iCs/>
          <w:color w:val="000000"/>
          <w:kern w:val="24"/>
          <w:sz w:val="24"/>
          <w:szCs w:val="24"/>
        </w:rPr>
        <w:t xml:space="preserve">Source: </w:t>
      </w:r>
      <w:r>
        <w:rPr>
          <w:rFonts w:ascii="Calibri" w:hAnsi="Times New Roman" w:cs="Calibri"/>
          <w:color w:val="000000"/>
          <w:kern w:val="24"/>
          <w:sz w:val="24"/>
          <w:szCs w:val="24"/>
        </w:rPr>
        <w:t>ABS</w:t>
      </w:r>
      <w:r>
        <w:rPr>
          <w:rFonts w:ascii="Calibri" w:hAnsi="Times New Roman" w:cs="Calibri"/>
          <w:i/>
          <w:iCs/>
          <w:color w:val="000000"/>
          <w:kern w:val="24"/>
          <w:sz w:val="24"/>
          <w:szCs w:val="24"/>
        </w:rPr>
        <w:t xml:space="preserve">, Labour Force, Australia, Detailed - Electronic Delivery, </w:t>
      </w:r>
      <w:r>
        <w:rPr>
          <w:rFonts w:ascii="Calibri" w:hAnsi="Times New Roman" w:cs="Calibri"/>
          <w:color w:val="000000"/>
          <w:kern w:val="24"/>
          <w:sz w:val="24"/>
          <w:szCs w:val="24"/>
        </w:rPr>
        <w:t>July</w:t>
      </w:r>
      <w:r>
        <w:rPr>
          <w:rFonts w:ascii="Calibri" w:hAnsi="Times New Roman" w:cs="Calibri"/>
          <w:i/>
          <w:iCs/>
          <w:color w:val="000000"/>
          <w:kern w:val="24"/>
          <w:sz w:val="24"/>
          <w:szCs w:val="24"/>
        </w:rPr>
        <w:t xml:space="preserve"> </w:t>
      </w:r>
      <w:r>
        <w:rPr>
          <w:rFonts w:ascii="Calibri" w:hAnsi="Times New Roman" w:cs="Calibri"/>
          <w:color w:val="000000"/>
          <w:kern w:val="24"/>
          <w:sz w:val="24"/>
          <w:szCs w:val="24"/>
        </w:rPr>
        <w:t>2013</w:t>
      </w:r>
      <w:r>
        <w:rPr>
          <w:rFonts w:ascii="Calibri" w:hAnsi="Times New Roman" w:cs="Calibri"/>
          <w:i/>
          <w:iCs/>
          <w:color w:val="000000"/>
          <w:kern w:val="24"/>
          <w:sz w:val="24"/>
          <w:szCs w:val="24"/>
        </w:rPr>
        <w:t xml:space="preserve"> (cat. no. 6291.0.55.001), </w:t>
      </w:r>
      <w:r>
        <w:rPr>
          <w:rFonts w:ascii="Calibri" w:hAnsi="Times New Roman" w:cs="Calibri"/>
          <w:color w:val="000000"/>
          <w:kern w:val="24"/>
          <w:sz w:val="24"/>
          <w:szCs w:val="24"/>
        </w:rPr>
        <w:t xml:space="preserve">three-month averages of </w:t>
      </w:r>
      <w:r>
        <w:rPr>
          <w:rFonts w:ascii="Calibri" w:hAnsi="Times New Roman" w:cs="Calibri"/>
          <w:i/>
          <w:iCs/>
          <w:color w:val="000000"/>
          <w:kern w:val="24"/>
          <w:sz w:val="24"/>
          <w:szCs w:val="24"/>
        </w:rPr>
        <w:t>original</w:t>
      </w:r>
      <w:r>
        <w:rPr>
          <w:rFonts w:ascii="Calibri" w:hAnsi="Times New Roman" w:cs="Calibri"/>
          <w:color w:val="000000"/>
          <w:kern w:val="24"/>
          <w:sz w:val="24"/>
          <w:szCs w:val="24"/>
        </w:rPr>
        <w:t xml:space="preserve"> data</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This chart demonstrates the decline in full-time employment over the five years to July 2013 (down by 12 per cent), offset somewhat by growth in par</w:t>
      </w:r>
      <w:r w:rsidR="00F3363D">
        <w:rPr>
          <w:rFonts w:ascii="Calibri" w:hAnsi="Calibri" w:cs="Calibri"/>
          <w:color w:val="000000"/>
          <w:kern w:val="24"/>
          <w:sz w:val="24"/>
          <w:szCs w:val="24"/>
        </w:rPr>
        <w:t>t-time employment (up by 15 per </w:t>
      </w:r>
      <w:r>
        <w:rPr>
          <w:rFonts w:ascii="Calibri" w:hAnsi="Calibri" w:cs="Calibri"/>
          <w:color w:val="000000"/>
          <w:kern w:val="24"/>
          <w:sz w:val="24"/>
          <w:szCs w:val="24"/>
        </w:rPr>
        <w:t>cent). Overall, employment was down by 3 per cent (or 3600) over the five years.</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Over this period of time, part-time employment’s share of total employment increased from 31 per cent to 37 per cent.</w:t>
      </w:r>
    </w:p>
    <w:p w:rsidR="00CB7DC9" w:rsidRDefault="00CB7DC9" w:rsidP="00CB7DC9">
      <w:pPr>
        <w:autoSpaceDE w:val="0"/>
        <w:autoSpaceDN w:val="0"/>
        <w:adjustRightInd w:val="0"/>
        <w:spacing w:before="120" w:after="0" w:line="240" w:lineRule="auto"/>
        <w:rPr>
          <w:rFonts w:ascii="Arial" w:hAnsi="Arial" w:cs="Arial"/>
          <w:sz w:val="24"/>
          <w:szCs w:val="24"/>
        </w:rPr>
      </w:pPr>
    </w:p>
    <w:p w:rsidR="00CB7DC9" w:rsidRDefault="00CB7DC9" w:rsidP="00CB7DC9">
      <w:pPr>
        <w:spacing w:before="120" w:line="360" w:lineRule="auto"/>
      </w:pPr>
    </w:p>
    <w:p w:rsidR="00CB7DC9" w:rsidRDefault="00CB7DC9">
      <w:r>
        <w:br w:type="page"/>
      </w:r>
    </w:p>
    <w:p w:rsidR="00CB7DC9" w:rsidRDefault="00CB7DC9" w:rsidP="00CB7DC9">
      <w:pPr>
        <w:spacing w:line="360" w:lineRule="auto"/>
      </w:pPr>
      <w:r>
        <w:lastRenderedPageBreak/>
        <w:t>Slide 10</w:t>
      </w:r>
    </w:p>
    <w:p w:rsidR="00CB7DC9" w:rsidRDefault="00CB7DC9" w:rsidP="00CB7DC9">
      <w:pPr>
        <w:spacing w:line="360" w:lineRule="auto"/>
      </w:pPr>
    </w:p>
    <w:p w:rsidR="00CB7DC9" w:rsidRDefault="00CB7DC9" w:rsidP="00CB7DC9">
      <w:pPr>
        <w:spacing w:line="360" w:lineRule="auto"/>
        <w:jc w:val="center"/>
      </w:pPr>
      <w:r>
        <w:object w:dxaOrig="7187" w:dyaOrig="5385">
          <v:shape id="_x0000_i1070" type="#_x0000_t75" style="width:269.25pt;height:201.7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70" DrawAspect="Content" ObjectID="_1440309151" r:id="rId26"/>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Employment by industry</w:t>
      </w:r>
    </w:p>
    <w:p w:rsidR="00CB7DC9" w:rsidRDefault="00CB7DC9" w:rsidP="00CB7DC9">
      <w:pPr>
        <w:autoSpaceDE w:val="0"/>
        <w:autoSpaceDN w:val="0"/>
        <w:adjustRightInd w:val="0"/>
        <w:spacing w:after="0" w:line="240" w:lineRule="auto"/>
        <w:rPr>
          <w:rFonts w:ascii="Calibri" w:hAnsi="Times New Roman" w:cs="Calibri"/>
          <w:i/>
          <w:iCs/>
          <w:color w:val="000000"/>
          <w:kern w:val="24"/>
          <w:sz w:val="24"/>
          <w:szCs w:val="24"/>
        </w:rPr>
      </w:pPr>
      <w:r>
        <w:rPr>
          <w:rFonts w:ascii="Calibri" w:hAnsi="Times New Roman" w:cs="Calibri"/>
          <w:i/>
          <w:iCs/>
          <w:color w:val="000000"/>
          <w:kern w:val="24"/>
          <w:sz w:val="24"/>
          <w:szCs w:val="24"/>
        </w:rPr>
        <w:t>Source:</w:t>
      </w:r>
      <w:r>
        <w:rPr>
          <w:rFonts w:ascii="Calibri" w:hAnsi="Times New Roman" w:cs="Calibri"/>
          <w:color w:val="000000"/>
          <w:kern w:val="24"/>
          <w:sz w:val="24"/>
          <w:szCs w:val="24"/>
        </w:rPr>
        <w:t xml:space="preserve"> ABS, </w:t>
      </w:r>
      <w:r>
        <w:rPr>
          <w:rFonts w:ascii="Calibri" w:hAnsi="Times New Roman" w:cs="Calibri"/>
          <w:i/>
          <w:iCs/>
          <w:color w:val="000000"/>
          <w:kern w:val="24"/>
          <w:sz w:val="24"/>
          <w:szCs w:val="24"/>
        </w:rPr>
        <w:t xml:space="preserve">Labour Force, Australia, Detailed, Quarterly, </w:t>
      </w:r>
      <w:r>
        <w:rPr>
          <w:rFonts w:ascii="Calibri" w:hAnsi="Times New Roman" w:cs="Calibri"/>
          <w:color w:val="000000"/>
          <w:kern w:val="24"/>
          <w:sz w:val="24"/>
          <w:szCs w:val="24"/>
        </w:rPr>
        <w:t xml:space="preserve">May 2013 </w:t>
      </w:r>
      <w:r>
        <w:rPr>
          <w:rFonts w:ascii="Calibri" w:hAnsi="Times New Roman" w:cs="Calibri"/>
          <w:i/>
          <w:iCs/>
          <w:color w:val="000000"/>
          <w:kern w:val="24"/>
          <w:sz w:val="24"/>
          <w:szCs w:val="24"/>
        </w:rPr>
        <w:t xml:space="preserve">(cat. no. 6291.0.55.003), </w:t>
      </w:r>
      <w:r>
        <w:rPr>
          <w:rFonts w:ascii="Calibri" w:hAnsi="Times New Roman" w:cs="Calibri"/>
          <w:color w:val="000000"/>
          <w:kern w:val="24"/>
          <w:sz w:val="24"/>
          <w:szCs w:val="24"/>
        </w:rPr>
        <w:t xml:space="preserve">four-quarter averages of </w:t>
      </w:r>
      <w:r>
        <w:rPr>
          <w:rFonts w:ascii="Calibri" w:hAnsi="Times New Roman" w:cs="Calibri"/>
          <w:i/>
          <w:iCs/>
          <w:color w:val="000000"/>
          <w:kern w:val="24"/>
          <w:sz w:val="24"/>
          <w:szCs w:val="24"/>
        </w:rPr>
        <w:t>original</w:t>
      </w:r>
      <w:r>
        <w:rPr>
          <w:rFonts w:ascii="Calibri" w:hAnsi="Times New Roman" w:cs="Calibri"/>
          <w:color w:val="000000"/>
          <w:kern w:val="24"/>
          <w:sz w:val="24"/>
          <w:szCs w:val="24"/>
        </w:rPr>
        <w:t xml:space="preserve"> data</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The Health Care and Social Assistance industry is the largest employing industry in Australia and is particularly important in Greater Hobart, accounting for 14 per cent of total employment. Retail Trade, Public Administration and Safety and Education and Training are also large employers in Greater Hobart.</w:t>
      </w:r>
    </w:p>
    <w:p w:rsidR="00CB7DC9" w:rsidRDefault="00CB7DC9" w:rsidP="00CB7DC9">
      <w:pPr>
        <w:autoSpaceDE w:val="0"/>
        <w:autoSpaceDN w:val="0"/>
        <w:adjustRightInd w:val="0"/>
        <w:spacing w:before="120"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11</w:t>
      </w:r>
    </w:p>
    <w:p w:rsidR="00CB7DC9" w:rsidRDefault="00CB7DC9" w:rsidP="00CB7DC9">
      <w:pPr>
        <w:spacing w:line="360" w:lineRule="auto"/>
      </w:pPr>
    </w:p>
    <w:p w:rsidR="00CB7DC9" w:rsidRDefault="00CB7DC9" w:rsidP="00CB7DC9">
      <w:pPr>
        <w:spacing w:line="360" w:lineRule="auto"/>
        <w:jc w:val="center"/>
      </w:pPr>
      <w:r>
        <w:object w:dxaOrig="7187" w:dyaOrig="5385">
          <v:shape id="_x0000_i1075" type="#_x0000_t75" style="width:269.25pt;height:201.7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75" DrawAspect="Content" ObjectID="_1440309152" r:id="rId28"/>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Employment growth by industry</w:t>
      </w:r>
    </w:p>
    <w:p w:rsidR="00CB7DC9" w:rsidRDefault="00CB7DC9" w:rsidP="00CB7DC9">
      <w:pPr>
        <w:autoSpaceDE w:val="0"/>
        <w:autoSpaceDN w:val="0"/>
        <w:adjustRightInd w:val="0"/>
        <w:spacing w:after="0" w:line="240" w:lineRule="auto"/>
        <w:rPr>
          <w:rFonts w:ascii="Calibri" w:hAnsi="Times New Roman" w:cs="Calibri"/>
          <w:i/>
          <w:iCs/>
          <w:color w:val="000000"/>
          <w:kern w:val="24"/>
          <w:sz w:val="24"/>
          <w:szCs w:val="24"/>
        </w:rPr>
      </w:pPr>
      <w:r>
        <w:rPr>
          <w:rFonts w:ascii="Calibri" w:hAnsi="Times New Roman" w:cs="Calibri"/>
          <w:i/>
          <w:iCs/>
          <w:color w:val="000000"/>
          <w:kern w:val="24"/>
          <w:sz w:val="24"/>
          <w:szCs w:val="24"/>
        </w:rPr>
        <w:t>Source:</w:t>
      </w:r>
      <w:r>
        <w:rPr>
          <w:rFonts w:ascii="Calibri" w:hAnsi="Times New Roman" w:cs="Calibri"/>
          <w:color w:val="000000"/>
          <w:kern w:val="24"/>
          <w:sz w:val="24"/>
          <w:szCs w:val="24"/>
        </w:rPr>
        <w:t xml:space="preserve"> ABS, </w:t>
      </w:r>
      <w:r>
        <w:rPr>
          <w:rFonts w:ascii="Calibri" w:hAnsi="Times New Roman" w:cs="Calibri"/>
          <w:i/>
          <w:iCs/>
          <w:color w:val="000000"/>
          <w:kern w:val="24"/>
          <w:sz w:val="24"/>
          <w:szCs w:val="24"/>
        </w:rPr>
        <w:t xml:space="preserve">Labour Force, Australia, Detailed, Quarterly, </w:t>
      </w:r>
      <w:r>
        <w:rPr>
          <w:rFonts w:ascii="Calibri" w:hAnsi="Times New Roman" w:cs="Calibri"/>
          <w:color w:val="000000"/>
          <w:kern w:val="24"/>
          <w:sz w:val="24"/>
          <w:szCs w:val="24"/>
        </w:rPr>
        <w:t xml:space="preserve">May 2013 </w:t>
      </w:r>
      <w:r>
        <w:rPr>
          <w:rFonts w:ascii="Calibri" w:hAnsi="Times New Roman" w:cs="Calibri"/>
          <w:i/>
          <w:iCs/>
          <w:color w:val="000000"/>
          <w:kern w:val="24"/>
          <w:sz w:val="24"/>
          <w:szCs w:val="24"/>
        </w:rPr>
        <w:t xml:space="preserve">(cat. no. 6291.0.55.003), </w:t>
      </w:r>
      <w:r>
        <w:rPr>
          <w:rFonts w:ascii="Calibri" w:hAnsi="Times New Roman" w:cs="Calibri"/>
          <w:color w:val="000000"/>
          <w:kern w:val="24"/>
          <w:sz w:val="24"/>
          <w:szCs w:val="24"/>
        </w:rPr>
        <w:t xml:space="preserve">four-quarter averages of </w:t>
      </w:r>
      <w:r>
        <w:rPr>
          <w:rFonts w:ascii="Calibri" w:hAnsi="Times New Roman" w:cs="Calibri"/>
          <w:i/>
          <w:iCs/>
          <w:color w:val="000000"/>
          <w:kern w:val="24"/>
          <w:sz w:val="24"/>
          <w:szCs w:val="24"/>
        </w:rPr>
        <w:t>original</w:t>
      </w:r>
      <w:r>
        <w:rPr>
          <w:rFonts w:ascii="Calibri" w:hAnsi="Times New Roman" w:cs="Calibri"/>
          <w:color w:val="000000"/>
          <w:kern w:val="24"/>
          <w:sz w:val="24"/>
          <w:szCs w:val="24"/>
        </w:rPr>
        <w:t xml:space="preserve"> data</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Over the five years to the May quarter 2013, employment in the Professional, Scientific and Technical Services industry rose by 1080 (or 19 per cent) in Greater Hobart.</w:t>
      </w:r>
    </w:p>
    <w:p w:rsidR="00CB7DC9" w:rsidRDefault="00CB7DC9" w:rsidP="00CB7DC9">
      <w:pPr>
        <w:autoSpaceDE w:val="0"/>
        <w:autoSpaceDN w:val="0"/>
        <w:adjustRightInd w:val="0"/>
        <w:spacing w:before="120" w:after="0" w:line="240" w:lineRule="auto"/>
        <w:rPr>
          <w:rFonts w:ascii="Calibri" w:hAnsi="Calibri" w:cs="Calibri"/>
          <w:i/>
          <w:iCs/>
          <w:color w:val="000000"/>
          <w:kern w:val="24"/>
          <w:sz w:val="24"/>
          <w:szCs w:val="24"/>
        </w:rPr>
      </w:pPr>
      <w:r>
        <w:rPr>
          <w:rFonts w:ascii="Calibri" w:hAnsi="Calibri" w:cs="Calibri"/>
          <w:color w:val="000000"/>
          <w:kern w:val="24"/>
          <w:sz w:val="24"/>
          <w:szCs w:val="24"/>
        </w:rPr>
        <w:t>Manufacturing (down by 2500 or 32 per cent) and Retai</w:t>
      </w:r>
      <w:r w:rsidR="00F3363D">
        <w:rPr>
          <w:rFonts w:ascii="Calibri" w:hAnsi="Calibri" w:cs="Calibri"/>
          <w:color w:val="000000"/>
          <w:kern w:val="24"/>
          <w:sz w:val="24"/>
          <w:szCs w:val="24"/>
        </w:rPr>
        <w:t>l Trade (down by 1300 or 11 per </w:t>
      </w:r>
      <w:r>
        <w:rPr>
          <w:rFonts w:ascii="Calibri" w:hAnsi="Calibri" w:cs="Calibri"/>
          <w:color w:val="000000"/>
          <w:kern w:val="24"/>
          <w:sz w:val="24"/>
          <w:szCs w:val="24"/>
        </w:rPr>
        <w:t>cent) have struggled over the last five years. These two industries have struggled against the economic downturn and strength of the Australian dollar.</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12</w:t>
      </w:r>
    </w:p>
    <w:p w:rsidR="00CB7DC9" w:rsidRDefault="00CB7DC9" w:rsidP="00CB7DC9">
      <w:pPr>
        <w:spacing w:line="360" w:lineRule="auto"/>
      </w:pPr>
    </w:p>
    <w:p w:rsidR="00CB7DC9" w:rsidRDefault="00CB7DC9" w:rsidP="00CB7DC9">
      <w:pPr>
        <w:spacing w:line="360" w:lineRule="auto"/>
        <w:jc w:val="center"/>
      </w:pPr>
      <w:r>
        <w:object w:dxaOrig="7187" w:dyaOrig="5385">
          <v:shape id="_x0000_i1080" type="#_x0000_t75" style="width:269.25pt;height:201.7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80" DrawAspect="Content" ObjectID="_1440309153" r:id="rId30"/>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Long-term unemployment:</w:t>
      </w:r>
    </w:p>
    <w:p w:rsidR="00CB7DC9" w:rsidRDefault="00CB7DC9" w:rsidP="00CB7DC9">
      <w:pPr>
        <w:autoSpaceDE w:val="0"/>
        <w:autoSpaceDN w:val="0"/>
        <w:adjustRightInd w:val="0"/>
        <w:spacing w:after="0" w:line="240" w:lineRule="auto"/>
        <w:rPr>
          <w:rFonts w:ascii="Calibri" w:hAnsi="Calibri" w:cs="Calibri"/>
          <w:color w:val="000000"/>
          <w:kern w:val="24"/>
          <w:sz w:val="24"/>
          <w:szCs w:val="24"/>
        </w:rPr>
      </w:pPr>
      <w:r>
        <w:rPr>
          <w:rFonts w:ascii="Calibri" w:hAnsi="Times New Roman" w:cs="Calibri"/>
          <w:i/>
          <w:iCs/>
          <w:color w:val="000000"/>
          <w:kern w:val="24"/>
          <w:sz w:val="24"/>
          <w:szCs w:val="24"/>
        </w:rPr>
        <w:t xml:space="preserve">Source: </w:t>
      </w:r>
      <w:r>
        <w:rPr>
          <w:rFonts w:ascii="Calibri" w:hAnsi="Times New Roman" w:cs="Calibri"/>
          <w:color w:val="000000"/>
          <w:kern w:val="24"/>
          <w:sz w:val="24"/>
          <w:szCs w:val="24"/>
        </w:rPr>
        <w:t>ABS</w:t>
      </w:r>
      <w:r>
        <w:rPr>
          <w:rFonts w:ascii="Calibri" w:hAnsi="Times New Roman" w:cs="Calibri"/>
          <w:i/>
          <w:iCs/>
          <w:color w:val="000000"/>
          <w:kern w:val="24"/>
          <w:sz w:val="24"/>
          <w:szCs w:val="24"/>
        </w:rPr>
        <w:t xml:space="preserve">, Labour Force, Australia, Detailed - Electronic Delivery, </w:t>
      </w:r>
      <w:r>
        <w:rPr>
          <w:rFonts w:ascii="Calibri" w:hAnsi="Times New Roman" w:cs="Calibri"/>
          <w:color w:val="000000"/>
          <w:kern w:val="24"/>
          <w:sz w:val="24"/>
          <w:szCs w:val="24"/>
        </w:rPr>
        <w:t>July</w:t>
      </w:r>
      <w:r>
        <w:rPr>
          <w:rFonts w:ascii="Calibri" w:hAnsi="Times New Roman" w:cs="Calibri"/>
          <w:i/>
          <w:iCs/>
          <w:color w:val="000000"/>
          <w:kern w:val="24"/>
          <w:sz w:val="24"/>
          <w:szCs w:val="24"/>
        </w:rPr>
        <w:t xml:space="preserve"> </w:t>
      </w:r>
      <w:r>
        <w:rPr>
          <w:rFonts w:ascii="Calibri" w:hAnsi="Times New Roman" w:cs="Calibri"/>
          <w:color w:val="000000"/>
          <w:kern w:val="24"/>
          <w:sz w:val="24"/>
          <w:szCs w:val="24"/>
        </w:rPr>
        <w:t>2013</w:t>
      </w:r>
      <w:r>
        <w:rPr>
          <w:rFonts w:ascii="Calibri" w:hAnsi="Times New Roman" w:cs="Calibri"/>
          <w:i/>
          <w:iCs/>
          <w:color w:val="000000"/>
          <w:kern w:val="24"/>
          <w:sz w:val="24"/>
          <w:szCs w:val="24"/>
        </w:rPr>
        <w:t xml:space="preserve"> (cat. no. 6291.0.55.001), </w:t>
      </w:r>
      <w:r>
        <w:rPr>
          <w:rFonts w:ascii="Calibri" w:hAnsi="Times New Roman" w:cs="Calibri"/>
          <w:color w:val="000000"/>
          <w:kern w:val="24"/>
          <w:sz w:val="24"/>
          <w:szCs w:val="24"/>
        </w:rPr>
        <w:t xml:space="preserve">12-month averages of </w:t>
      </w:r>
      <w:r>
        <w:rPr>
          <w:rFonts w:ascii="Calibri" w:hAnsi="Times New Roman" w:cs="Calibri"/>
          <w:i/>
          <w:iCs/>
          <w:color w:val="000000"/>
          <w:kern w:val="24"/>
          <w:sz w:val="24"/>
          <w:szCs w:val="24"/>
        </w:rPr>
        <w:t>original</w:t>
      </w:r>
      <w:r>
        <w:rPr>
          <w:rFonts w:ascii="Calibri" w:hAnsi="Times New Roman" w:cs="Calibri"/>
          <w:color w:val="000000"/>
          <w:kern w:val="24"/>
          <w:sz w:val="24"/>
          <w:szCs w:val="24"/>
        </w:rPr>
        <w:t xml:space="preserve"> data</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As at July 2013, more than one in five (or 22 per cent) unemployed people were long-term unemployed, which was higher than the national average. The average duration of unemployment, at 42 weeks, was also higher than the national average (of 37 weeks).</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13</w:t>
      </w:r>
    </w:p>
    <w:p w:rsidR="00CB7DC9" w:rsidRDefault="00CB7DC9" w:rsidP="00CB7DC9">
      <w:pPr>
        <w:spacing w:line="360" w:lineRule="auto"/>
      </w:pPr>
    </w:p>
    <w:p w:rsidR="00CB7DC9" w:rsidRDefault="00CB7DC9" w:rsidP="00CB7DC9">
      <w:pPr>
        <w:spacing w:line="360" w:lineRule="auto"/>
        <w:jc w:val="center"/>
      </w:pPr>
      <w:r>
        <w:object w:dxaOrig="7187" w:dyaOrig="5385">
          <v:shape id="_x0000_i1085" type="#_x0000_t75" style="width:269.25pt;height:201.7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85" DrawAspect="Content" ObjectID="_1440309154" r:id="rId32"/>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Jobless families:</w:t>
      </w:r>
    </w:p>
    <w:p w:rsidR="00CB7DC9" w:rsidRDefault="00CB7DC9" w:rsidP="00CB7DC9">
      <w:pPr>
        <w:autoSpaceDE w:val="0"/>
        <w:autoSpaceDN w:val="0"/>
        <w:adjustRightInd w:val="0"/>
        <w:spacing w:after="0" w:line="240" w:lineRule="auto"/>
        <w:rPr>
          <w:rFonts w:ascii="Calibri" w:hAnsi="Calibri" w:cs="Calibri"/>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 xml:space="preserve">ABS, </w:t>
      </w:r>
      <w:r>
        <w:rPr>
          <w:rFonts w:ascii="Calibri" w:hAnsi="Calibri" w:cs="Calibri"/>
          <w:i/>
          <w:iCs/>
          <w:color w:val="000000"/>
          <w:kern w:val="24"/>
          <w:sz w:val="24"/>
          <w:szCs w:val="24"/>
        </w:rPr>
        <w:t xml:space="preserve">Census of Population and Housing, </w:t>
      </w:r>
      <w:r>
        <w:rPr>
          <w:rFonts w:ascii="Calibri" w:hAnsi="Calibri" w:cs="Calibri"/>
          <w:color w:val="000000"/>
          <w:kern w:val="24"/>
          <w:sz w:val="24"/>
          <w:szCs w:val="24"/>
        </w:rPr>
        <w:t>2011</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In August 2011 there were more than 3500 jobless families with children under 15 in Greater Hobart, some 17 per cent of all families. This figure was considerably higher in Brighton and Derwent Valley.</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In Brighton, 60 per cent of all jobless families were lone parent jobless families.</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14</w:t>
      </w:r>
    </w:p>
    <w:p w:rsidR="00CB7DC9" w:rsidRDefault="00CB7DC9" w:rsidP="00CB7DC9">
      <w:pPr>
        <w:spacing w:line="360" w:lineRule="auto"/>
      </w:pPr>
    </w:p>
    <w:p w:rsidR="00CB7DC9" w:rsidRDefault="00CB7DC9" w:rsidP="00CB7DC9">
      <w:pPr>
        <w:spacing w:line="360" w:lineRule="auto"/>
        <w:jc w:val="center"/>
      </w:pPr>
      <w:r>
        <w:object w:dxaOrig="7187" w:dyaOrig="5385">
          <v:shape id="_x0000_i1090" type="#_x0000_t75" style="width:269.25pt;height:201.7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90" DrawAspect="Content" ObjectID="_1440309155" r:id="rId34"/>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Income support recipients</w:t>
      </w:r>
    </w:p>
    <w:p w:rsidR="00CB7DC9" w:rsidRDefault="00CB7DC9" w:rsidP="00CB7DC9">
      <w:pPr>
        <w:autoSpaceDE w:val="0"/>
        <w:autoSpaceDN w:val="0"/>
        <w:adjustRightInd w:val="0"/>
        <w:spacing w:after="0" w:line="240" w:lineRule="auto"/>
        <w:rPr>
          <w:rFonts w:ascii="Calibri" w:hAnsi="Times New Roman" w:cs="Calibri"/>
          <w:i/>
          <w:iCs/>
          <w:color w:val="000000"/>
          <w:kern w:val="24"/>
          <w:sz w:val="24"/>
          <w:szCs w:val="24"/>
        </w:rPr>
      </w:pPr>
      <w:r>
        <w:rPr>
          <w:rFonts w:ascii="Calibri" w:hAnsi="Times New Roman" w:cs="Calibri"/>
          <w:i/>
          <w:iCs/>
          <w:color w:val="000000"/>
          <w:kern w:val="24"/>
          <w:sz w:val="24"/>
          <w:szCs w:val="24"/>
        </w:rPr>
        <w:t xml:space="preserve">Source: </w:t>
      </w:r>
      <w:r>
        <w:rPr>
          <w:rFonts w:ascii="Calibri" w:hAnsi="Times New Roman" w:cs="Calibri"/>
          <w:color w:val="000000"/>
          <w:kern w:val="24"/>
          <w:sz w:val="24"/>
          <w:szCs w:val="24"/>
        </w:rPr>
        <w:t>DEEWR,</w:t>
      </w:r>
      <w:r>
        <w:rPr>
          <w:rFonts w:ascii="Calibri" w:hAnsi="Times New Roman" w:cs="Calibri"/>
          <w:i/>
          <w:iCs/>
          <w:color w:val="000000"/>
          <w:kern w:val="24"/>
          <w:sz w:val="24"/>
          <w:szCs w:val="24"/>
        </w:rPr>
        <w:t xml:space="preserve"> Administrative Data, </w:t>
      </w:r>
      <w:r>
        <w:rPr>
          <w:rFonts w:ascii="Calibri" w:hAnsi="Times New Roman" w:cs="Calibri"/>
          <w:color w:val="000000"/>
          <w:kern w:val="24"/>
          <w:sz w:val="24"/>
          <w:szCs w:val="24"/>
        </w:rPr>
        <w:t>June quarter 2013</w:t>
      </w:r>
      <w:r>
        <w:rPr>
          <w:rFonts w:ascii="Calibri" w:hAnsi="Times New Roman" w:cs="Calibri"/>
          <w:i/>
          <w:iCs/>
          <w:color w:val="000000"/>
          <w:kern w:val="24"/>
          <w:sz w:val="24"/>
          <w:szCs w:val="24"/>
        </w:rPr>
        <w:t xml:space="preserve">; </w:t>
      </w:r>
      <w:r>
        <w:rPr>
          <w:rFonts w:ascii="Calibri" w:hAnsi="Times New Roman" w:cs="Calibri"/>
          <w:color w:val="000000"/>
          <w:kern w:val="24"/>
          <w:sz w:val="24"/>
          <w:szCs w:val="24"/>
        </w:rPr>
        <w:t xml:space="preserve">ABS, </w:t>
      </w:r>
      <w:r>
        <w:rPr>
          <w:rFonts w:ascii="Calibri" w:hAnsi="Times New Roman" w:cs="Calibri"/>
          <w:i/>
          <w:iCs/>
          <w:color w:val="000000"/>
          <w:kern w:val="24"/>
          <w:sz w:val="24"/>
          <w:szCs w:val="24"/>
        </w:rPr>
        <w:t xml:space="preserve">Population Estimates by Age and Sex, Regions of Australia, </w:t>
      </w:r>
      <w:r>
        <w:rPr>
          <w:rFonts w:ascii="Calibri" w:hAnsi="Times New Roman" w:cs="Calibri"/>
          <w:color w:val="000000"/>
          <w:kern w:val="24"/>
          <w:sz w:val="24"/>
          <w:szCs w:val="24"/>
        </w:rPr>
        <w:t>2011</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More tha</w:t>
      </w:r>
      <w:r>
        <w:rPr>
          <w:rFonts w:ascii="Calibri" w:hAnsi="Calibri" w:cs="Calibri"/>
          <w:color w:val="000000"/>
          <w:kern w:val="24"/>
          <w:sz w:val="24"/>
          <w:szCs w:val="24"/>
        </w:rPr>
        <w:t>n one in five (22 per cent) persons of working age (15-64) in Greater Hobart were in receipt of some form of income support payment, higher t</w:t>
      </w:r>
      <w:r w:rsidR="00F3363D">
        <w:rPr>
          <w:rFonts w:ascii="Calibri" w:hAnsi="Calibri" w:cs="Calibri"/>
          <w:color w:val="000000"/>
          <w:kern w:val="24"/>
          <w:sz w:val="24"/>
          <w:szCs w:val="24"/>
        </w:rPr>
        <w:t>han the national average (of 17 </w:t>
      </w:r>
      <w:r>
        <w:rPr>
          <w:rFonts w:ascii="Calibri" w:hAnsi="Calibri" w:cs="Calibri"/>
          <w:color w:val="000000"/>
          <w:kern w:val="24"/>
          <w:sz w:val="24"/>
          <w:szCs w:val="24"/>
        </w:rPr>
        <w:t>per cent). Some areas within Greater Hobart had particularly high levels of income support, including Brighton, Derwent Valley and Glenorchy.</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15</w:t>
      </w:r>
    </w:p>
    <w:p w:rsidR="00CB7DC9" w:rsidRDefault="00CB7DC9" w:rsidP="00CB7DC9">
      <w:pPr>
        <w:spacing w:line="360" w:lineRule="auto"/>
      </w:pPr>
    </w:p>
    <w:p w:rsidR="00CB7DC9" w:rsidRDefault="00CB7DC9" w:rsidP="00CB7DC9">
      <w:pPr>
        <w:spacing w:line="360" w:lineRule="auto"/>
        <w:jc w:val="center"/>
      </w:pPr>
      <w:r>
        <w:object w:dxaOrig="7187" w:dyaOrig="5385">
          <v:shape id="_x0000_i1095" type="#_x0000_t75" style="width:269.25pt;height:201.7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95" DrawAspect="Content" ObjectID="_1440309156" r:id="rId36"/>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Educational attainment</w:t>
      </w:r>
    </w:p>
    <w:p w:rsidR="00CB7DC9" w:rsidRDefault="00CB7DC9" w:rsidP="00CB7DC9">
      <w:pPr>
        <w:autoSpaceDE w:val="0"/>
        <w:autoSpaceDN w:val="0"/>
        <w:adjustRightInd w:val="0"/>
        <w:spacing w:after="0" w:line="240" w:lineRule="auto"/>
        <w:rPr>
          <w:rFonts w:ascii="Calibri" w:hAnsi="Times New Roman" w:cs="Calibri"/>
          <w:i/>
          <w:iCs/>
          <w:color w:val="000000"/>
          <w:kern w:val="24"/>
          <w:sz w:val="24"/>
          <w:szCs w:val="24"/>
        </w:rPr>
      </w:pPr>
      <w:r>
        <w:rPr>
          <w:rFonts w:ascii="Calibri" w:hAnsi="Times New Roman" w:cs="Calibri"/>
          <w:i/>
          <w:iCs/>
          <w:color w:val="000000"/>
          <w:kern w:val="24"/>
          <w:sz w:val="24"/>
          <w:szCs w:val="24"/>
        </w:rPr>
        <w:t xml:space="preserve">Source: </w:t>
      </w:r>
      <w:r>
        <w:rPr>
          <w:rFonts w:ascii="Calibri" w:hAnsi="Times New Roman" w:cs="Calibri"/>
          <w:color w:val="000000"/>
          <w:kern w:val="24"/>
          <w:sz w:val="24"/>
          <w:szCs w:val="24"/>
        </w:rPr>
        <w:t>ABS</w:t>
      </w:r>
      <w:r>
        <w:rPr>
          <w:rFonts w:ascii="Calibri" w:hAnsi="Times New Roman" w:cs="Calibri"/>
          <w:i/>
          <w:iCs/>
          <w:color w:val="000000"/>
          <w:kern w:val="24"/>
          <w:sz w:val="24"/>
          <w:szCs w:val="24"/>
        </w:rPr>
        <w:t xml:space="preserve">, Census of Population and Housing, </w:t>
      </w:r>
      <w:r>
        <w:rPr>
          <w:rFonts w:ascii="Calibri" w:hAnsi="Times New Roman" w:cs="Calibri"/>
          <w:color w:val="000000"/>
          <w:kern w:val="24"/>
          <w:sz w:val="24"/>
          <w:szCs w:val="24"/>
        </w:rPr>
        <w:t>2006, 2011</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The proportion of the Greater Hobart 25-34 year old population who had completed Year 12 or equivalent (68 per cent) or attained a Bachelor Degree or higher (31 per cent) compare well with the average for Tasmania. Educational attainment is considerably lower in Brighton and Derwent Valley, with just 46 per cent and 39 per cent having completed Year 12 or equivalent respectively.</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16</w:t>
      </w:r>
    </w:p>
    <w:p w:rsidR="00CB7DC9" w:rsidRDefault="00CB7DC9" w:rsidP="00CB7DC9">
      <w:pPr>
        <w:spacing w:line="360" w:lineRule="auto"/>
      </w:pPr>
    </w:p>
    <w:p w:rsidR="00CB7DC9" w:rsidRDefault="00CB7DC9" w:rsidP="00CB7DC9">
      <w:pPr>
        <w:spacing w:line="360" w:lineRule="auto"/>
        <w:jc w:val="center"/>
      </w:pPr>
      <w:r>
        <w:object w:dxaOrig="7187" w:dyaOrig="5385">
          <v:shape id="_x0000_i1100" type="#_x0000_t75" style="width:269.25pt;height:201.7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100" DrawAspect="Content" ObjectID="_1440309157" r:id="rId38"/>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Times New Roman" w:cs="Calibri"/>
          <w:b/>
          <w:bCs/>
          <w:color w:val="000000"/>
          <w:kern w:val="24"/>
          <w:sz w:val="24"/>
          <w:szCs w:val="24"/>
          <w:u w:val="single"/>
        </w:rPr>
      </w:pPr>
      <w:r>
        <w:rPr>
          <w:rFonts w:ascii="Calibri" w:hAnsi="Times New Roman" w:cs="Calibri"/>
          <w:b/>
          <w:bCs/>
          <w:color w:val="000000"/>
          <w:kern w:val="24"/>
          <w:sz w:val="24"/>
          <w:szCs w:val="24"/>
          <w:u w:val="single"/>
        </w:rPr>
        <w:t>Education and labour market outcomes</w:t>
      </w:r>
    </w:p>
    <w:p w:rsidR="00CB7DC9" w:rsidRDefault="00CB7DC9" w:rsidP="00CB7DC9">
      <w:pPr>
        <w:autoSpaceDE w:val="0"/>
        <w:autoSpaceDN w:val="0"/>
        <w:adjustRightInd w:val="0"/>
        <w:spacing w:after="0" w:line="240" w:lineRule="auto"/>
        <w:rPr>
          <w:rFonts w:ascii="Calibri" w:hAnsi="Times New Roman" w:cs="Calibri"/>
          <w:color w:val="000000"/>
          <w:kern w:val="24"/>
          <w:sz w:val="24"/>
          <w:szCs w:val="24"/>
        </w:rPr>
      </w:pPr>
      <w:r>
        <w:rPr>
          <w:rFonts w:ascii="Calibri" w:hAnsi="Times New Roman" w:cs="Calibri"/>
          <w:i/>
          <w:iCs/>
          <w:color w:val="000000"/>
          <w:kern w:val="24"/>
          <w:sz w:val="24"/>
          <w:szCs w:val="24"/>
        </w:rPr>
        <w:t xml:space="preserve">Source: </w:t>
      </w:r>
      <w:r>
        <w:rPr>
          <w:rFonts w:ascii="Calibri" w:hAnsi="Times New Roman" w:cs="Calibri"/>
          <w:color w:val="000000"/>
          <w:kern w:val="24"/>
          <w:sz w:val="24"/>
          <w:szCs w:val="24"/>
        </w:rPr>
        <w:t>ABS</w:t>
      </w:r>
      <w:r>
        <w:rPr>
          <w:rFonts w:ascii="Calibri" w:hAnsi="Times New Roman" w:cs="Calibri"/>
          <w:i/>
          <w:iCs/>
          <w:color w:val="000000"/>
          <w:kern w:val="24"/>
          <w:sz w:val="24"/>
          <w:szCs w:val="24"/>
        </w:rPr>
        <w:t xml:space="preserve">, Census of Population and Housing, </w:t>
      </w:r>
      <w:r>
        <w:rPr>
          <w:rFonts w:ascii="Calibri" w:hAnsi="Times New Roman" w:cs="Calibri"/>
          <w:color w:val="000000"/>
          <w:kern w:val="24"/>
          <w:sz w:val="24"/>
          <w:szCs w:val="24"/>
        </w:rPr>
        <w:t>2011</w:t>
      </w:r>
    </w:p>
    <w:p w:rsidR="00CB7DC9" w:rsidRDefault="00CB7DC9" w:rsidP="00CB7DC9">
      <w:pPr>
        <w:autoSpaceDE w:val="0"/>
        <w:autoSpaceDN w:val="0"/>
        <w:adjustRightInd w:val="0"/>
        <w:spacing w:before="120" w:after="0" w:line="240" w:lineRule="auto"/>
        <w:rPr>
          <w:rFonts w:ascii="Calibri" w:hAnsi="Times New Roman" w:cs="Calibri"/>
          <w:color w:val="000000"/>
          <w:kern w:val="24"/>
          <w:sz w:val="24"/>
          <w:szCs w:val="24"/>
        </w:rPr>
      </w:pPr>
      <w:r>
        <w:rPr>
          <w:rFonts w:ascii="Calibri" w:hAnsi="Times New Roman" w:cs="Calibri"/>
          <w:color w:val="000000"/>
          <w:kern w:val="24"/>
          <w:sz w:val="24"/>
          <w:szCs w:val="24"/>
        </w:rPr>
        <w:t xml:space="preserve">There is a strong relationship between educational attainment and employment outcomes. People with higher levels of education are more likely to participate in the labour force and less likely to be unemployed. </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17</w:t>
      </w:r>
    </w:p>
    <w:p w:rsidR="00CB7DC9" w:rsidRDefault="00CB7DC9" w:rsidP="00CB7DC9">
      <w:pPr>
        <w:spacing w:line="360" w:lineRule="auto"/>
      </w:pPr>
    </w:p>
    <w:p w:rsidR="00CB7DC9" w:rsidRDefault="00CB7DC9" w:rsidP="00CB7DC9">
      <w:pPr>
        <w:spacing w:line="360" w:lineRule="auto"/>
        <w:jc w:val="center"/>
      </w:pPr>
      <w:r>
        <w:object w:dxaOrig="7187" w:dyaOrig="5385">
          <v:shape id="_x0000_i1105" type="#_x0000_t75" style="width:269.25pt;height:201.7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105" DrawAspect="Content" ObjectID="_1440309158" r:id="rId40"/>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Times New Roman" w:cs="Calibri"/>
          <w:b/>
          <w:bCs/>
          <w:color w:val="000000"/>
          <w:kern w:val="24"/>
          <w:sz w:val="24"/>
          <w:szCs w:val="24"/>
          <w:u w:val="single"/>
        </w:rPr>
      </w:pPr>
      <w:r>
        <w:rPr>
          <w:rFonts w:ascii="Calibri" w:hAnsi="Times New Roman" w:cs="Calibri"/>
          <w:b/>
          <w:bCs/>
          <w:color w:val="000000"/>
          <w:kern w:val="24"/>
          <w:sz w:val="24"/>
          <w:szCs w:val="24"/>
          <w:u w:val="single"/>
        </w:rPr>
        <w:t>Survey results</w:t>
      </w:r>
    </w:p>
    <w:p w:rsidR="00CB7DC9" w:rsidRDefault="00CB7DC9" w:rsidP="00CB7DC9">
      <w:pPr>
        <w:autoSpaceDE w:val="0"/>
        <w:autoSpaceDN w:val="0"/>
        <w:adjustRightInd w:val="0"/>
        <w:spacing w:after="0" w:line="240" w:lineRule="auto"/>
        <w:rPr>
          <w:rFonts w:ascii="Calibri" w:hAnsi="Times New Roman" w:cs="Calibri"/>
          <w:i/>
          <w:iCs/>
          <w:color w:val="000000"/>
          <w:kern w:val="24"/>
          <w:sz w:val="24"/>
          <w:szCs w:val="24"/>
        </w:rPr>
      </w:pPr>
      <w:r>
        <w:rPr>
          <w:rFonts w:ascii="Calibri" w:hAnsi="Times New Roman" w:cs="Calibri"/>
          <w:i/>
          <w:iCs/>
          <w:color w:val="000000"/>
          <w:kern w:val="24"/>
          <w:sz w:val="24"/>
          <w:szCs w:val="24"/>
        </w:rPr>
        <w:t xml:space="preserve">Source: </w:t>
      </w:r>
      <w:r>
        <w:rPr>
          <w:rFonts w:ascii="Calibri" w:hAnsi="Times New Roman" w:cs="Calibri"/>
          <w:color w:val="000000"/>
          <w:kern w:val="24"/>
          <w:sz w:val="24"/>
          <w:szCs w:val="24"/>
        </w:rPr>
        <w:t xml:space="preserve">DEEWR, </w:t>
      </w:r>
      <w:r>
        <w:rPr>
          <w:rFonts w:ascii="Calibri" w:hAnsi="Times New Roman" w:cs="Calibri"/>
          <w:i/>
          <w:iCs/>
          <w:color w:val="000000"/>
          <w:kern w:val="24"/>
          <w:sz w:val="24"/>
          <w:szCs w:val="24"/>
        </w:rPr>
        <w:t>Survey of Employers</w:t>
      </w:r>
      <w:r>
        <w:rPr>
          <w:rFonts w:ascii="Calibri" w:hAnsi="Times New Roman" w:cs="Calibri"/>
          <w:i/>
          <w:iCs/>
          <w:color w:val="000000"/>
          <w:kern w:val="24"/>
          <w:sz w:val="24"/>
          <w:szCs w:val="24"/>
        </w:rPr>
        <w:t>’</w:t>
      </w:r>
      <w:r>
        <w:rPr>
          <w:rFonts w:ascii="Calibri" w:hAnsi="Times New Roman" w:cs="Calibri"/>
          <w:i/>
          <w:iCs/>
          <w:color w:val="000000"/>
          <w:kern w:val="24"/>
          <w:sz w:val="24"/>
          <w:szCs w:val="24"/>
        </w:rPr>
        <w:t xml:space="preserve"> Recruitment Experiences, </w:t>
      </w:r>
      <w:r>
        <w:rPr>
          <w:rFonts w:ascii="Calibri" w:hAnsi="Times New Roman" w:cs="Calibri"/>
          <w:color w:val="000000"/>
          <w:kern w:val="24"/>
          <w:sz w:val="24"/>
          <w:szCs w:val="24"/>
        </w:rPr>
        <w:t xml:space="preserve">March 2013; DEEWR, </w:t>
      </w:r>
      <w:r>
        <w:rPr>
          <w:rFonts w:ascii="Calibri" w:hAnsi="Times New Roman" w:cs="Calibri"/>
          <w:i/>
          <w:iCs/>
          <w:color w:val="000000"/>
          <w:kern w:val="24"/>
          <w:sz w:val="24"/>
          <w:szCs w:val="24"/>
        </w:rPr>
        <w:t>Survey of Employers</w:t>
      </w:r>
      <w:r>
        <w:rPr>
          <w:rFonts w:ascii="Calibri" w:hAnsi="Times New Roman" w:cs="Calibri"/>
          <w:i/>
          <w:iCs/>
          <w:color w:val="000000"/>
          <w:kern w:val="24"/>
          <w:sz w:val="24"/>
          <w:szCs w:val="24"/>
        </w:rPr>
        <w:t>’</w:t>
      </w:r>
      <w:r>
        <w:rPr>
          <w:rFonts w:ascii="Calibri" w:hAnsi="Times New Roman" w:cs="Calibri"/>
          <w:i/>
          <w:iCs/>
          <w:color w:val="000000"/>
          <w:kern w:val="24"/>
          <w:sz w:val="24"/>
          <w:szCs w:val="24"/>
        </w:rPr>
        <w:t xml:space="preserve"> Recruitment Expectations, All regions surveyed in the 12 months to March 2013</w:t>
      </w:r>
    </w:p>
    <w:p w:rsidR="00CB7DC9" w:rsidRDefault="00CB7DC9" w:rsidP="00CB7DC9">
      <w:pPr>
        <w:autoSpaceDE w:val="0"/>
        <w:autoSpaceDN w:val="0"/>
        <w:adjustRightInd w:val="0"/>
        <w:spacing w:before="120" w:after="0" w:line="240" w:lineRule="auto"/>
        <w:rPr>
          <w:rFonts w:ascii="Calibri" w:hAnsi="Times New Roman" w:cs="Calibri"/>
          <w:color w:val="000000"/>
          <w:kern w:val="24"/>
          <w:sz w:val="24"/>
          <w:szCs w:val="24"/>
        </w:rPr>
      </w:pPr>
      <w:r>
        <w:rPr>
          <w:rFonts w:ascii="Calibri" w:hAnsi="Times New Roman" w:cs="Calibri"/>
          <w:color w:val="000000"/>
          <w:kern w:val="24"/>
          <w:sz w:val="24"/>
          <w:szCs w:val="24"/>
        </w:rPr>
        <w:t>The survey results suggest that recruitment activity was softer in Greater Hobart than all regions surveyed in the 12 months to March 2013. The low recruitment rate and high number of applicants per vacancy, relative to all regions surveyed, are indicative of softer labour market conditions.</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18</w:t>
      </w:r>
    </w:p>
    <w:p w:rsidR="00CB7DC9" w:rsidRDefault="00CB7DC9" w:rsidP="00CB7DC9">
      <w:pPr>
        <w:spacing w:line="360" w:lineRule="auto"/>
      </w:pPr>
    </w:p>
    <w:p w:rsidR="00CB7DC9" w:rsidRDefault="00CB7DC9" w:rsidP="00CB7DC9">
      <w:pPr>
        <w:spacing w:line="360" w:lineRule="auto"/>
        <w:jc w:val="center"/>
      </w:pPr>
      <w:r>
        <w:object w:dxaOrig="7187" w:dyaOrig="5385">
          <v:shape id="_x0000_i1110" type="#_x0000_t75" style="width:269.25pt;height:201.7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110" DrawAspect="Content" ObjectID="_1440309159" r:id="rId42"/>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Change in staff numbers</w:t>
      </w:r>
    </w:p>
    <w:p w:rsidR="00CB7DC9" w:rsidRDefault="00CB7DC9" w:rsidP="00CB7DC9">
      <w:pPr>
        <w:autoSpaceDE w:val="0"/>
        <w:autoSpaceDN w:val="0"/>
        <w:adjustRightInd w:val="0"/>
        <w:spacing w:after="0" w:line="240" w:lineRule="auto"/>
        <w:rPr>
          <w:rFonts w:ascii="Calibri" w:hAnsi="Times New Roman" w:cs="Calibri"/>
          <w:i/>
          <w:iCs/>
          <w:color w:val="000000"/>
          <w:kern w:val="24"/>
          <w:sz w:val="24"/>
          <w:szCs w:val="24"/>
        </w:rPr>
      </w:pPr>
      <w:r>
        <w:rPr>
          <w:rFonts w:ascii="Calibri" w:hAnsi="Times New Roman" w:cs="Calibri"/>
          <w:i/>
          <w:iCs/>
          <w:color w:val="000000"/>
          <w:kern w:val="24"/>
          <w:sz w:val="24"/>
          <w:szCs w:val="24"/>
        </w:rPr>
        <w:t xml:space="preserve">Source: </w:t>
      </w:r>
      <w:r>
        <w:rPr>
          <w:rFonts w:ascii="Calibri" w:hAnsi="Times New Roman" w:cs="Calibri"/>
          <w:color w:val="000000"/>
          <w:kern w:val="24"/>
          <w:sz w:val="24"/>
          <w:szCs w:val="24"/>
        </w:rPr>
        <w:t xml:space="preserve">DEEWR, </w:t>
      </w:r>
      <w:r>
        <w:rPr>
          <w:rFonts w:ascii="Calibri" w:hAnsi="Times New Roman" w:cs="Calibri"/>
          <w:i/>
          <w:iCs/>
          <w:color w:val="000000"/>
          <w:kern w:val="24"/>
          <w:sz w:val="24"/>
          <w:szCs w:val="24"/>
        </w:rPr>
        <w:t>Survey of Employers</w:t>
      </w:r>
      <w:r>
        <w:rPr>
          <w:rFonts w:ascii="Calibri" w:hAnsi="Times New Roman" w:cs="Calibri"/>
          <w:i/>
          <w:iCs/>
          <w:color w:val="000000"/>
          <w:kern w:val="24"/>
          <w:sz w:val="24"/>
          <w:szCs w:val="24"/>
        </w:rPr>
        <w:t>’</w:t>
      </w:r>
      <w:r>
        <w:rPr>
          <w:rFonts w:ascii="Calibri" w:hAnsi="Times New Roman" w:cs="Calibri"/>
          <w:i/>
          <w:iCs/>
          <w:color w:val="000000"/>
          <w:kern w:val="24"/>
          <w:sz w:val="24"/>
          <w:szCs w:val="24"/>
        </w:rPr>
        <w:t xml:space="preserve"> Recruitment Experiences, </w:t>
      </w:r>
      <w:r>
        <w:rPr>
          <w:rFonts w:ascii="Calibri" w:hAnsi="Times New Roman" w:cs="Calibri"/>
          <w:color w:val="000000"/>
          <w:kern w:val="24"/>
          <w:sz w:val="24"/>
          <w:szCs w:val="24"/>
        </w:rPr>
        <w:t xml:space="preserve">March 2013; DEEWR, Internet Vacancy Index, July 2013, </w:t>
      </w:r>
      <w:r>
        <w:rPr>
          <w:rFonts w:ascii="Calibri" w:hAnsi="Times New Roman" w:cs="Calibri"/>
          <w:i/>
          <w:iCs/>
          <w:color w:val="000000"/>
          <w:kern w:val="24"/>
          <w:sz w:val="24"/>
          <w:szCs w:val="24"/>
        </w:rPr>
        <w:t xml:space="preserve">trend data </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 xml:space="preserve">The majority of employers surveyed reported that their staff numbers were unchanged in the past 12 months, with fewer than one in five increasing staff numbers. </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19</w:t>
      </w:r>
    </w:p>
    <w:p w:rsidR="00CB7DC9" w:rsidRDefault="00CB7DC9" w:rsidP="00CB7DC9">
      <w:pPr>
        <w:spacing w:line="360" w:lineRule="auto"/>
      </w:pPr>
    </w:p>
    <w:p w:rsidR="00CB7DC9" w:rsidRDefault="00CB7DC9" w:rsidP="00CB7DC9">
      <w:pPr>
        <w:spacing w:line="360" w:lineRule="auto"/>
        <w:jc w:val="center"/>
      </w:pPr>
      <w:r>
        <w:object w:dxaOrig="7187" w:dyaOrig="5385">
          <v:shape id="_x0000_i1115" type="#_x0000_t75" style="width:269.25pt;height:201.7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115" DrawAspect="Content" ObjectID="_1440309160" r:id="rId44"/>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Applicants and suitability</w:t>
      </w:r>
    </w:p>
    <w:p w:rsidR="00CB7DC9" w:rsidRDefault="00CB7DC9" w:rsidP="00CB7DC9">
      <w:pPr>
        <w:autoSpaceDE w:val="0"/>
        <w:autoSpaceDN w:val="0"/>
        <w:adjustRightInd w:val="0"/>
        <w:spacing w:after="0" w:line="240" w:lineRule="auto"/>
        <w:rPr>
          <w:rFonts w:ascii="Calibri" w:hAnsi="Times New Roman" w:cs="Calibri"/>
          <w:i/>
          <w:iCs/>
          <w:color w:val="000000"/>
          <w:kern w:val="24"/>
          <w:sz w:val="24"/>
          <w:szCs w:val="24"/>
        </w:rPr>
      </w:pPr>
      <w:r>
        <w:rPr>
          <w:rFonts w:ascii="Calibri" w:hAnsi="Calibri" w:cs="Calibri"/>
          <w:i/>
          <w:iCs/>
          <w:color w:val="000000"/>
          <w:kern w:val="24"/>
          <w:sz w:val="24"/>
          <w:szCs w:val="24"/>
        </w:rPr>
        <w:t xml:space="preserve">Source: </w:t>
      </w:r>
      <w:r>
        <w:rPr>
          <w:rFonts w:ascii="Calibri" w:hAnsi="Times New Roman" w:cs="Calibri"/>
          <w:color w:val="000000"/>
          <w:kern w:val="24"/>
          <w:sz w:val="24"/>
          <w:szCs w:val="24"/>
        </w:rPr>
        <w:t xml:space="preserve">DEEWR, </w:t>
      </w:r>
      <w:r>
        <w:rPr>
          <w:rFonts w:ascii="Calibri" w:hAnsi="Times New Roman" w:cs="Calibri"/>
          <w:i/>
          <w:iCs/>
          <w:color w:val="000000"/>
          <w:kern w:val="24"/>
          <w:sz w:val="24"/>
          <w:szCs w:val="24"/>
        </w:rPr>
        <w:t>Survey of Employers</w:t>
      </w:r>
      <w:r>
        <w:rPr>
          <w:rFonts w:ascii="Calibri" w:hAnsi="Times New Roman" w:cs="Calibri"/>
          <w:i/>
          <w:iCs/>
          <w:color w:val="000000"/>
          <w:kern w:val="24"/>
          <w:sz w:val="24"/>
          <w:szCs w:val="24"/>
        </w:rPr>
        <w:t>’</w:t>
      </w:r>
      <w:r>
        <w:rPr>
          <w:rFonts w:ascii="Calibri" w:hAnsi="Times New Roman" w:cs="Calibri"/>
          <w:i/>
          <w:iCs/>
          <w:color w:val="000000"/>
          <w:kern w:val="24"/>
          <w:sz w:val="24"/>
          <w:szCs w:val="24"/>
        </w:rPr>
        <w:t xml:space="preserve"> Recruitment Experiences, </w:t>
      </w:r>
      <w:r>
        <w:rPr>
          <w:rFonts w:ascii="Calibri" w:hAnsi="Times New Roman" w:cs="Calibri"/>
          <w:color w:val="000000"/>
          <w:kern w:val="24"/>
          <w:sz w:val="24"/>
          <w:szCs w:val="24"/>
        </w:rPr>
        <w:t xml:space="preserve">March 2013 </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This diagram breaks down the number and suitability of applicants in employers’ most recent recruitment round.</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Of the 14.7 average applicants per vacancy, 11.5 of them did n</w:t>
      </w:r>
      <w:r w:rsidR="00F3363D">
        <w:rPr>
          <w:rFonts w:ascii="Calibri" w:hAnsi="Calibri" w:cs="Calibri"/>
          <w:color w:val="000000"/>
          <w:kern w:val="24"/>
          <w:sz w:val="24"/>
          <w:szCs w:val="24"/>
        </w:rPr>
        <w:t>ot get an interview. Of the 3.2 </w:t>
      </w:r>
      <w:bookmarkStart w:id="0" w:name="_GoBack"/>
      <w:bookmarkEnd w:id="0"/>
      <w:r>
        <w:rPr>
          <w:rFonts w:ascii="Calibri" w:hAnsi="Calibri" w:cs="Calibri"/>
          <w:color w:val="000000"/>
          <w:kern w:val="24"/>
          <w:sz w:val="24"/>
          <w:szCs w:val="24"/>
        </w:rPr>
        <w:t>average applicants who were interviewed, around half were considered suitable for the job.</w:t>
      </w:r>
    </w:p>
    <w:p w:rsidR="00CB7DC9" w:rsidRDefault="00CB7DC9" w:rsidP="00CB7DC9">
      <w:pPr>
        <w:autoSpaceDE w:val="0"/>
        <w:autoSpaceDN w:val="0"/>
        <w:adjustRightInd w:val="0"/>
        <w:spacing w:after="0" w:line="240" w:lineRule="auto"/>
        <w:rPr>
          <w:rFonts w:ascii="Arial" w:hAnsi="Arial" w:cs="Arial"/>
          <w:color w:val="000000"/>
          <w:kern w:val="24"/>
          <w:sz w:val="24"/>
          <w:szCs w:val="24"/>
        </w:rPr>
      </w:pP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20</w:t>
      </w:r>
    </w:p>
    <w:p w:rsidR="00CB7DC9" w:rsidRDefault="00CB7DC9" w:rsidP="00CB7DC9">
      <w:pPr>
        <w:spacing w:line="360" w:lineRule="auto"/>
      </w:pPr>
    </w:p>
    <w:p w:rsidR="00CB7DC9" w:rsidRDefault="00CB7DC9" w:rsidP="00CB7DC9">
      <w:pPr>
        <w:spacing w:line="360" w:lineRule="auto"/>
        <w:jc w:val="center"/>
      </w:pPr>
      <w:r>
        <w:object w:dxaOrig="7187" w:dyaOrig="5385">
          <v:shape id="_x0000_i1120" type="#_x0000_t75" style="width:269.25pt;height:201.7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120" DrawAspect="Content" ObjectID="_1440309161" r:id="rId46"/>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Times New Roman" w:cs="Calibri"/>
          <w:b/>
          <w:bCs/>
          <w:color w:val="000000"/>
          <w:kern w:val="24"/>
          <w:sz w:val="24"/>
          <w:szCs w:val="24"/>
          <w:u w:val="single"/>
        </w:rPr>
      </w:pPr>
      <w:r>
        <w:rPr>
          <w:rFonts w:ascii="Calibri" w:hAnsi="Times New Roman" w:cs="Calibri"/>
          <w:b/>
          <w:bCs/>
          <w:color w:val="000000"/>
          <w:kern w:val="24"/>
          <w:sz w:val="24"/>
          <w:szCs w:val="24"/>
          <w:u w:val="single"/>
        </w:rPr>
        <w:t>Essential skills and personal qualities</w:t>
      </w:r>
    </w:p>
    <w:p w:rsidR="00CB7DC9" w:rsidRDefault="00CB7DC9" w:rsidP="00CB7DC9">
      <w:pPr>
        <w:autoSpaceDE w:val="0"/>
        <w:autoSpaceDN w:val="0"/>
        <w:adjustRightInd w:val="0"/>
        <w:spacing w:after="0" w:line="240" w:lineRule="auto"/>
        <w:rPr>
          <w:rFonts w:ascii="Calibri" w:hAnsi="Times New Roman" w:cs="Calibri"/>
          <w:i/>
          <w:iCs/>
          <w:color w:val="000000"/>
          <w:kern w:val="24"/>
          <w:sz w:val="24"/>
          <w:szCs w:val="24"/>
        </w:rPr>
      </w:pPr>
      <w:r>
        <w:rPr>
          <w:rFonts w:ascii="Calibri" w:hAnsi="Times New Roman" w:cs="Calibri"/>
          <w:i/>
          <w:iCs/>
          <w:color w:val="000000"/>
          <w:kern w:val="24"/>
          <w:sz w:val="24"/>
          <w:szCs w:val="24"/>
        </w:rPr>
        <w:t xml:space="preserve">Source: </w:t>
      </w:r>
      <w:r>
        <w:rPr>
          <w:rFonts w:ascii="Calibri" w:hAnsi="Times New Roman" w:cs="Calibri"/>
          <w:color w:val="000000"/>
          <w:kern w:val="24"/>
          <w:sz w:val="24"/>
          <w:szCs w:val="24"/>
        </w:rPr>
        <w:t xml:space="preserve">DEEWR, </w:t>
      </w:r>
      <w:r>
        <w:rPr>
          <w:rFonts w:ascii="Calibri" w:hAnsi="Times New Roman" w:cs="Calibri"/>
          <w:i/>
          <w:iCs/>
          <w:color w:val="000000"/>
          <w:kern w:val="24"/>
          <w:sz w:val="24"/>
          <w:szCs w:val="24"/>
        </w:rPr>
        <w:t>Survey of Employers</w:t>
      </w:r>
      <w:r>
        <w:rPr>
          <w:rFonts w:ascii="Calibri" w:hAnsi="Times New Roman" w:cs="Calibri"/>
          <w:i/>
          <w:iCs/>
          <w:color w:val="000000"/>
          <w:kern w:val="24"/>
          <w:sz w:val="24"/>
          <w:szCs w:val="24"/>
        </w:rPr>
        <w:t>’</w:t>
      </w:r>
      <w:r>
        <w:rPr>
          <w:rFonts w:ascii="Calibri" w:hAnsi="Times New Roman" w:cs="Calibri"/>
          <w:i/>
          <w:iCs/>
          <w:color w:val="000000"/>
          <w:kern w:val="24"/>
          <w:sz w:val="24"/>
          <w:szCs w:val="24"/>
        </w:rPr>
        <w:t xml:space="preserve"> Recruitment Experiences, </w:t>
      </w:r>
      <w:r>
        <w:rPr>
          <w:rFonts w:ascii="Calibri" w:hAnsi="Times New Roman" w:cs="Calibri"/>
          <w:color w:val="000000"/>
          <w:kern w:val="24"/>
          <w:sz w:val="24"/>
          <w:szCs w:val="24"/>
        </w:rPr>
        <w:t xml:space="preserve">March 2013 </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Employers were asked whether there were any skills or personal qualities essential in an applicant. Some 49 per cent of responding employers said that some form of employability skill (such as communication, people skills or motivation) was essential for an applicant to be successful.</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21</w:t>
      </w:r>
    </w:p>
    <w:p w:rsidR="00CB7DC9" w:rsidRDefault="00CB7DC9" w:rsidP="00CB7DC9">
      <w:pPr>
        <w:spacing w:line="360" w:lineRule="auto"/>
      </w:pPr>
    </w:p>
    <w:p w:rsidR="00CB7DC9" w:rsidRDefault="00CB7DC9" w:rsidP="00CB7DC9">
      <w:pPr>
        <w:spacing w:line="360" w:lineRule="auto"/>
        <w:jc w:val="center"/>
      </w:pPr>
      <w:r>
        <w:object w:dxaOrig="7187" w:dyaOrig="5385">
          <v:shape id="_x0000_i1125" type="#_x0000_t75" style="width:269.25pt;height:201.7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125" DrawAspect="Content" ObjectID="_1440309162" r:id="rId48"/>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Recruitment methods</w:t>
      </w:r>
    </w:p>
    <w:p w:rsidR="00CB7DC9" w:rsidRDefault="00CB7DC9" w:rsidP="00CB7DC9">
      <w:pPr>
        <w:autoSpaceDE w:val="0"/>
        <w:autoSpaceDN w:val="0"/>
        <w:adjustRightInd w:val="0"/>
        <w:spacing w:after="0" w:line="240" w:lineRule="auto"/>
        <w:rPr>
          <w:rFonts w:ascii="Calibri" w:hAnsi="Times New Roman" w:cs="Calibri"/>
          <w:i/>
          <w:iCs/>
          <w:color w:val="000000"/>
          <w:kern w:val="24"/>
          <w:sz w:val="24"/>
          <w:szCs w:val="24"/>
        </w:rPr>
      </w:pPr>
      <w:r>
        <w:rPr>
          <w:rFonts w:ascii="Calibri" w:hAnsi="Calibri" w:cs="Calibri"/>
          <w:i/>
          <w:iCs/>
          <w:color w:val="000000"/>
          <w:kern w:val="24"/>
          <w:sz w:val="24"/>
          <w:szCs w:val="24"/>
        </w:rPr>
        <w:t>Source:</w:t>
      </w:r>
      <w:r>
        <w:rPr>
          <w:rFonts w:ascii="Calibri" w:hAnsi="Calibri" w:cs="Calibri"/>
          <w:color w:val="000000"/>
          <w:kern w:val="24"/>
          <w:sz w:val="24"/>
          <w:szCs w:val="24"/>
        </w:rPr>
        <w:t xml:space="preserve"> </w:t>
      </w:r>
      <w:r>
        <w:rPr>
          <w:rFonts w:ascii="Calibri" w:hAnsi="Times New Roman" w:cs="Calibri"/>
          <w:color w:val="000000"/>
          <w:kern w:val="24"/>
          <w:sz w:val="24"/>
          <w:szCs w:val="24"/>
        </w:rPr>
        <w:t xml:space="preserve">DEEWR, </w:t>
      </w:r>
      <w:r>
        <w:rPr>
          <w:rFonts w:ascii="Calibri" w:hAnsi="Times New Roman" w:cs="Calibri"/>
          <w:i/>
          <w:iCs/>
          <w:color w:val="000000"/>
          <w:kern w:val="24"/>
          <w:sz w:val="24"/>
          <w:szCs w:val="24"/>
        </w:rPr>
        <w:t>Survey of Employers</w:t>
      </w:r>
      <w:r>
        <w:rPr>
          <w:rFonts w:ascii="Calibri" w:hAnsi="Times New Roman" w:cs="Calibri"/>
          <w:i/>
          <w:iCs/>
          <w:color w:val="000000"/>
          <w:kern w:val="24"/>
          <w:sz w:val="24"/>
          <w:szCs w:val="24"/>
        </w:rPr>
        <w:t>’</w:t>
      </w:r>
      <w:r>
        <w:rPr>
          <w:rFonts w:ascii="Calibri" w:hAnsi="Times New Roman" w:cs="Calibri"/>
          <w:i/>
          <w:iCs/>
          <w:color w:val="000000"/>
          <w:kern w:val="24"/>
          <w:sz w:val="24"/>
          <w:szCs w:val="24"/>
        </w:rPr>
        <w:t xml:space="preserve"> Recruitment Experiences, </w:t>
      </w:r>
      <w:r>
        <w:rPr>
          <w:rFonts w:ascii="Calibri" w:hAnsi="Times New Roman" w:cs="Calibri"/>
          <w:color w:val="000000"/>
          <w:kern w:val="24"/>
          <w:sz w:val="24"/>
          <w:szCs w:val="24"/>
        </w:rPr>
        <w:t xml:space="preserve">March 2013 </w:t>
      </w:r>
    </w:p>
    <w:p w:rsidR="00CB7DC9" w:rsidRDefault="00CB7DC9" w:rsidP="00CB7DC9">
      <w:pPr>
        <w:autoSpaceDE w:val="0"/>
        <w:autoSpaceDN w:val="0"/>
        <w:adjustRightInd w:val="0"/>
        <w:spacing w:before="120" w:after="0" w:line="240" w:lineRule="auto"/>
        <w:rPr>
          <w:rFonts w:ascii="Arial" w:hAnsi="Arial" w:cs="Arial"/>
          <w:color w:val="000000"/>
          <w:kern w:val="24"/>
          <w:sz w:val="24"/>
          <w:szCs w:val="24"/>
        </w:rPr>
      </w:pPr>
      <w:r>
        <w:rPr>
          <w:rFonts w:ascii="Calibri" w:hAnsi="Calibri" w:cs="Calibri"/>
          <w:color w:val="000000"/>
          <w:kern w:val="24"/>
          <w:sz w:val="24"/>
          <w:szCs w:val="24"/>
        </w:rPr>
        <w:t>Although most employers surveyed used formal methods of recruitment, such as the internet and newspapers, 42 per cent used informal methods to recruit staff, including word of mouth.</w:t>
      </w:r>
    </w:p>
    <w:p w:rsidR="00CB7DC9" w:rsidRDefault="00CB7DC9" w:rsidP="00CB7DC9">
      <w:pPr>
        <w:autoSpaceDE w:val="0"/>
        <w:autoSpaceDN w:val="0"/>
        <w:adjustRightInd w:val="0"/>
        <w:spacing w:after="0" w:line="240" w:lineRule="auto"/>
        <w:rPr>
          <w:rFonts w:ascii="Calibri" w:hAnsi="Calibri" w:cs="Calibri"/>
          <w:color w:val="000000"/>
          <w:kern w:val="24"/>
          <w:sz w:val="24"/>
          <w:szCs w:val="24"/>
        </w:rPr>
      </w:pP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22</w:t>
      </w:r>
    </w:p>
    <w:p w:rsidR="00CB7DC9" w:rsidRDefault="00CB7DC9" w:rsidP="00CB7DC9">
      <w:pPr>
        <w:spacing w:line="360" w:lineRule="auto"/>
      </w:pPr>
    </w:p>
    <w:p w:rsidR="00CB7DC9" w:rsidRDefault="00CB7DC9" w:rsidP="00CB7DC9">
      <w:pPr>
        <w:spacing w:line="360" w:lineRule="auto"/>
        <w:jc w:val="center"/>
      </w:pPr>
      <w:r>
        <w:object w:dxaOrig="7187" w:dyaOrig="5385">
          <v:shape id="_x0000_i1130" type="#_x0000_t75" style="width:269.25pt;height:201.7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130" DrawAspect="Content" ObjectID="_1440309163" r:id="rId50"/>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Competition for vacancies by method of recruitment</w:t>
      </w:r>
    </w:p>
    <w:p w:rsidR="00CB7DC9" w:rsidRDefault="00CB7DC9" w:rsidP="00CB7DC9">
      <w:pPr>
        <w:autoSpaceDE w:val="0"/>
        <w:autoSpaceDN w:val="0"/>
        <w:adjustRightInd w:val="0"/>
        <w:spacing w:after="0" w:line="240" w:lineRule="auto"/>
        <w:rPr>
          <w:rFonts w:ascii="Calibri" w:hAnsi="Times New Roman" w:cs="Calibri"/>
          <w:i/>
          <w:iCs/>
          <w:color w:val="000000"/>
          <w:kern w:val="24"/>
          <w:sz w:val="24"/>
          <w:szCs w:val="24"/>
        </w:rPr>
      </w:pPr>
      <w:r>
        <w:rPr>
          <w:rFonts w:ascii="Calibri" w:hAnsi="Times New Roman" w:cs="Calibri"/>
          <w:i/>
          <w:iCs/>
          <w:color w:val="000000"/>
          <w:kern w:val="24"/>
          <w:sz w:val="24"/>
          <w:szCs w:val="24"/>
        </w:rPr>
        <w:t xml:space="preserve">Source: </w:t>
      </w:r>
      <w:r>
        <w:rPr>
          <w:rFonts w:ascii="Calibri" w:hAnsi="Times New Roman" w:cs="Calibri"/>
          <w:color w:val="000000"/>
          <w:kern w:val="24"/>
          <w:sz w:val="24"/>
          <w:szCs w:val="24"/>
        </w:rPr>
        <w:t xml:space="preserve">DEEWR, </w:t>
      </w:r>
      <w:r>
        <w:rPr>
          <w:rFonts w:ascii="Calibri" w:hAnsi="Times New Roman" w:cs="Calibri"/>
          <w:i/>
          <w:iCs/>
          <w:color w:val="000000"/>
          <w:kern w:val="24"/>
          <w:sz w:val="24"/>
          <w:szCs w:val="24"/>
        </w:rPr>
        <w:t>Survey of Employers</w:t>
      </w:r>
      <w:r>
        <w:rPr>
          <w:rFonts w:ascii="Calibri" w:hAnsi="Times New Roman" w:cs="Calibri"/>
          <w:i/>
          <w:iCs/>
          <w:color w:val="000000"/>
          <w:kern w:val="24"/>
          <w:sz w:val="24"/>
          <w:szCs w:val="24"/>
        </w:rPr>
        <w:t>’</w:t>
      </w:r>
      <w:r>
        <w:rPr>
          <w:rFonts w:ascii="Calibri" w:hAnsi="Times New Roman" w:cs="Calibri"/>
          <w:i/>
          <w:iCs/>
          <w:color w:val="000000"/>
          <w:kern w:val="24"/>
          <w:sz w:val="24"/>
          <w:szCs w:val="24"/>
        </w:rPr>
        <w:t xml:space="preserve"> Recruitment Experiences, </w:t>
      </w:r>
      <w:r>
        <w:rPr>
          <w:rFonts w:ascii="Calibri" w:hAnsi="Times New Roman" w:cs="Calibri"/>
          <w:color w:val="000000"/>
          <w:kern w:val="24"/>
          <w:sz w:val="24"/>
          <w:szCs w:val="24"/>
        </w:rPr>
        <w:t xml:space="preserve">March 2013 </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 xml:space="preserve">30 per cent of employers surveyed only used informal methods of recruitment, such as word of mouth or being approached directly by an applicant. </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 xml:space="preserve">Job seekers who can take advantage of these opportunities are likely to face less competition from other job seekers. </w:t>
      </w:r>
    </w:p>
    <w:p w:rsidR="00CB7DC9" w:rsidRDefault="00CB7DC9" w:rsidP="00CB7DC9">
      <w:pPr>
        <w:autoSpaceDE w:val="0"/>
        <w:autoSpaceDN w:val="0"/>
        <w:adjustRightInd w:val="0"/>
        <w:spacing w:before="120" w:after="0" w:line="240" w:lineRule="auto"/>
        <w:rPr>
          <w:rFonts w:ascii="Calibri" w:hAnsi="Calibri" w:cs="Calibri"/>
          <w:color w:val="000000"/>
          <w:kern w:val="24"/>
          <w:sz w:val="24"/>
          <w:szCs w:val="24"/>
        </w:rPr>
      </w:pPr>
      <w:r>
        <w:rPr>
          <w:rFonts w:ascii="Calibri" w:hAnsi="Calibri" w:cs="Calibri"/>
          <w:color w:val="000000"/>
          <w:kern w:val="24"/>
          <w:sz w:val="24"/>
          <w:szCs w:val="24"/>
        </w:rPr>
        <w:t>Job seekers should use a range of search methods when looking for a job.</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23</w:t>
      </w:r>
    </w:p>
    <w:p w:rsidR="00CB7DC9" w:rsidRDefault="00CB7DC9" w:rsidP="00CB7DC9">
      <w:pPr>
        <w:spacing w:line="360" w:lineRule="auto"/>
      </w:pPr>
    </w:p>
    <w:p w:rsidR="00CB7DC9" w:rsidRDefault="00CB7DC9" w:rsidP="00CB7DC9">
      <w:pPr>
        <w:spacing w:line="360" w:lineRule="auto"/>
        <w:jc w:val="center"/>
      </w:pPr>
      <w:r>
        <w:object w:dxaOrig="7187" w:dyaOrig="5385">
          <v:shape id="_x0000_i1135" type="#_x0000_t75" style="width:269.25pt;height:201.7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135" DrawAspect="Content" ObjectID="_1440309164" r:id="rId52"/>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Occupations difficult to fill</w:t>
      </w:r>
    </w:p>
    <w:p w:rsidR="00CB7DC9" w:rsidRDefault="00CB7DC9" w:rsidP="00CB7DC9">
      <w:pPr>
        <w:autoSpaceDE w:val="0"/>
        <w:autoSpaceDN w:val="0"/>
        <w:adjustRightInd w:val="0"/>
        <w:spacing w:before="120" w:after="0" w:line="240" w:lineRule="auto"/>
        <w:rPr>
          <w:rFonts w:ascii="Calibri" w:hAnsi="Times New Roman" w:cs="Calibri"/>
          <w:color w:val="000000"/>
          <w:kern w:val="24"/>
          <w:sz w:val="24"/>
          <w:szCs w:val="24"/>
        </w:rPr>
      </w:pPr>
      <w:r>
        <w:rPr>
          <w:rFonts w:ascii="Calibri" w:hAnsi="Times New Roman" w:cs="Calibri"/>
          <w:i/>
          <w:iCs/>
          <w:color w:val="000000"/>
          <w:kern w:val="24"/>
          <w:sz w:val="24"/>
          <w:szCs w:val="24"/>
        </w:rPr>
        <w:t xml:space="preserve">Source: </w:t>
      </w:r>
      <w:r>
        <w:rPr>
          <w:rFonts w:ascii="Calibri" w:hAnsi="Times New Roman" w:cs="Calibri"/>
          <w:color w:val="000000"/>
          <w:kern w:val="24"/>
          <w:sz w:val="24"/>
          <w:szCs w:val="24"/>
        </w:rPr>
        <w:t xml:space="preserve">DEEWR, </w:t>
      </w:r>
      <w:r>
        <w:rPr>
          <w:rFonts w:ascii="Calibri" w:hAnsi="Times New Roman" w:cs="Calibri"/>
          <w:i/>
          <w:iCs/>
          <w:color w:val="000000"/>
          <w:kern w:val="24"/>
          <w:sz w:val="24"/>
          <w:szCs w:val="24"/>
        </w:rPr>
        <w:t>Survey of Employers</w:t>
      </w:r>
      <w:r>
        <w:rPr>
          <w:rFonts w:ascii="Calibri" w:hAnsi="Times New Roman" w:cs="Calibri"/>
          <w:i/>
          <w:iCs/>
          <w:color w:val="000000"/>
          <w:kern w:val="24"/>
          <w:sz w:val="24"/>
          <w:szCs w:val="24"/>
        </w:rPr>
        <w:t>’</w:t>
      </w:r>
      <w:r>
        <w:rPr>
          <w:rFonts w:ascii="Calibri" w:hAnsi="Times New Roman" w:cs="Calibri"/>
          <w:i/>
          <w:iCs/>
          <w:color w:val="000000"/>
          <w:kern w:val="24"/>
          <w:sz w:val="24"/>
          <w:szCs w:val="24"/>
        </w:rPr>
        <w:t xml:space="preserve"> Recruitment Experiences, </w:t>
      </w:r>
      <w:r>
        <w:rPr>
          <w:rFonts w:ascii="Calibri" w:hAnsi="Times New Roman" w:cs="Calibri"/>
          <w:color w:val="000000"/>
          <w:kern w:val="24"/>
          <w:sz w:val="24"/>
          <w:szCs w:val="24"/>
        </w:rPr>
        <w:t>March 2013. Please note: Occupations listed above are for the whole of Tasmania</w:t>
      </w:r>
    </w:p>
    <w:p w:rsidR="00CB7DC9" w:rsidRDefault="00CB7DC9" w:rsidP="00CB7DC9">
      <w:pPr>
        <w:autoSpaceDE w:val="0"/>
        <w:autoSpaceDN w:val="0"/>
        <w:adjustRightInd w:val="0"/>
        <w:spacing w:before="120" w:after="0" w:line="240" w:lineRule="auto"/>
        <w:rPr>
          <w:rFonts w:ascii="Calibri" w:hAnsi="Times New Roman" w:cs="Calibri"/>
          <w:color w:val="000000"/>
          <w:kern w:val="24"/>
          <w:sz w:val="24"/>
          <w:szCs w:val="24"/>
        </w:rPr>
      </w:pPr>
      <w:r>
        <w:rPr>
          <w:rFonts w:ascii="Calibri" w:hAnsi="Times New Roman" w:cs="Calibri"/>
          <w:color w:val="000000"/>
          <w:kern w:val="24"/>
          <w:sz w:val="24"/>
          <w:szCs w:val="24"/>
        </w:rPr>
        <w:t>Overall, employers surveyed had relatively little difficulty filling vacancies in their most recent recruitment round. However, there were some occupations that were frequently cited as difficult to fill.</w:t>
      </w:r>
    </w:p>
    <w:p w:rsidR="00CB7DC9" w:rsidRDefault="00CB7DC9" w:rsidP="00CB7DC9">
      <w:pPr>
        <w:autoSpaceDE w:val="0"/>
        <w:autoSpaceDN w:val="0"/>
        <w:adjustRightInd w:val="0"/>
        <w:spacing w:before="120" w:after="0" w:line="240" w:lineRule="auto"/>
        <w:rPr>
          <w:rFonts w:ascii="Calibri" w:hAnsi="Times New Roman" w:cs="Calibri"/>
          <w:color w:val="000000"/>
          <w:kern w:val="24"/>
          <w:sz w:val="24"/>
          <w:szCs w:val="24"/>
        </w:rPr>
      </w:pPr>
      <w:r>
        <w:rPr>
          <w:rFonts w:ascii="Calibri" w:hAnsi="Times New Roman" w:cs="Calibri"/>
          <w:color w:val="000000"/>
          <w:kern w:val="24"/>
          <w:sz w:val="24"/>
          <w:szCs w:val="24"/>
        </w:rPr>
        <w:t>The most common reason given for difficulty recruiting was that applicants lacked the technical skill requirement of the job (49 per cent of employers surveyed).</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24</w:t>
      </w:r>
    </w:p>
    <w:p w:rsidR="00CB7DC9" w:rsidRDefault="00CB7DC9" w:rsidP="00CB7DC9">
      <w:pPr>
        <w:spacing w:line="360" w:lineRule="auto"/>
      </w:pPr>
    </w:p>
    <w:p w:rsidR="00CB7DC9" w:rsidRDefault="00CB7DC9" w:rsidP="00CB7DC9">
      <w:pPr>
        <w:spacing w:line="360" w:lineRule="auto"/>
        <w:jc w:val="center"/>
      </w:pPr>
      <w:r>
        <w:object w:dxaOrig="7187" w:dyaOrig="5385">
          <v:shape id="_x0000_i1140" type="#_x0000_t75" style="width:269.25pt;height:201.7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140" DrawAspect="Content" ObjectID="_1440309165" r:id="rId54"/>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Times New Roman" w:cs="Calibri"/>
          <w:b/>
          <w:bCs/>
          <w:color w:val="000000"/>
          <w:kern w:val="24"/>
          <w:sz w:val="24"/>
          <w:szCs w:val="24"/>
          <w:u w:val="single"/>
        </w:rPr>
      </w:pPr>
      <w:r>
        <w:rPr>
          <w:rFonts w:ascii="Calibri" w:hAnsi="Times New Roman" w:cs="Calibri"/>
          <w:b/>
          <w:bCs/>
          <w:color w:val="000000"/>
          <w:kern w:val="24"/>
          <w:sz w:val="24"/>
          <w:szCs w:val="24"/>
          <w:u w:val="single"/>
        </w:rPr>
        <w:t>Single greatest future concern</w:t>
      </w:r>
    </w:p>
    <w:p w:rsidR="00CB7DC9" w:rsidRDefault="00CB7DC9" w:rsidP="00CB7DC9">
      <w:pPr>
        <w:autoSpaceDE w:val="0"/>
        <w:autoSpaceDN w:val="0"/>
        <w:adjustRightInd w:val="0"/>
        <w:spacing w:after="0" w:line="240" w:lineRule="auto"/>
        <w:rPr>
          <w:rFonts w:ascii="Calibri" w:hAnsi="Times New Roman" w:cs="Calibri"/>
          <w:color w:val="000000"/>
          <w:kern w:val="24"/>
          <w:sz w:val="24"/>
          <w:szCs w:val="24"/>
        </w:rPr>
      </w:pPr>
      <w:r>
        <w:rPr>
          <w:rFonts w:ascii="Calibri" w:hAnsi="Times New Roman" w:cs="Calibri"/>
          <w:i/>
          <w:iCs/>
          <w:color w:val="000000"/>
          <w:kern w:val="24"/>
          <w:sz w:val="24"/>
          <w:szCs w:val="24"/>
        </w:rPr>
        <w:t xml:space="preserve">Source: </w:t>
      </w:r>
      <w:r>
        <w:rPr>
          <w:rFonts w:ascii="Calibri" w:hAnsi="Times New Roman" w:cs="Calibri"/>
          <w:color w:val="000000"/>
          <w:kern w:val="24"/>
          <w:sz w:val="24"/>
          <w:szCs w:val="24"/>
        </w:rPr>
        <w:t xml:space="preserve">DEEWR, </w:t>
      </w:r>
      <w:r>
        <w:rPr>
          <w:rFonts w:ascii="Calibri" w:hAnsi="Times New Roman" w:cs="Calibri"/>
          <w:i/>
          <w:iCs/>
          <w:color w:val="000000"/>
          <w:kern w:val="24"/>
          <w:sz w:val="24"/>
          <w:szCs w:val="24"/>
        </w:rPr>
        <w:t>Survey of Employers</w:t>
      </w:r>
      <w:r>
        <w:rPr>
          <w:rFonts w:ascii="Calibri" w:hAnsi="Times New Roman" w:cs="Calibri"/>
          <w:i/>
          <w:iCs/>
          <w:color w:val="000000"/>
          <w:kern w:val="24"/>
          <w:sz w:val="24"/>
          <w:szCs w:val="24"/>
        </w:rPr>
        <w:t>’</w:t>
      </w:r>
      <w:r>
        <w:rPr>
          <w:rFonts w:ascii="Calibri" w:hAnsi="Times New Roman" w:cs="Calibri"/>
          <w:i/>
          <w:iCs/>
          <w:color w:val="000000"/>
          <w:kern w:val="24"/>
          <w:sz w:val="24"/>
          <w:szCs w:val="24"/>
        </w:rPr>
        <w:t xml:space="preserve"> Recruitment Experiences, March 2013; </w:t>
      </w:r>
      <w:r>
        <w:rPr>
          <w:rFonts w:ascii="Calibri" w:hAnsi="Times New Roman" w:cs="Calibri"/>
          <w:color w:val="000000"/>
          <w:kern w:val="24"/>
          <w:sz w:val="24"/>
          <w:szCs w:val="24"/>
        </w:rPr>
        <w:t xml:space="preserve">DEEWR, </w:t>
      </w:r>
      <w:r>
        <w:rPr>
          <w:rFonts w:ascii="Calibri" w:hAnsi="Times New Roman" w:cs="Calibri"/>
          <w:i/>
          <w:iCs/>
          <w:color w:val="000000"/>
          <w:kern w:val="24"/>
          <w:sz w:val="24"/>
          <w:szCs w:val="24"/>
        </w:rPr>
        <w:t>Survey of Employers</w:t>
      </w:r>
      <w:r>
        <w:rPr>
          <w:rFonts w:ascii="Calibri" w:hAnsi="Times New Roman" w:cs="Calibri"/>
          <w:i/>
          <w:iCs/>
          <w:color w:val="000000"/>
          <w:kern w:val="24"/>
          <w:sz w:val="24"/>
          <w:szCs w:val="24"/>
        </w:rPr>
        <w:t>’</w:t>
      </w:r>
      <w:r>
        <w:rPr>
          <w:rFonts w:ascii="Calibri" w:hAnsi="Times New Roman" w:cs="Calibri"/>
          <w:i/>
          <w:iCs/>
          <w:color w:val="000000"/>
          <w:kern w:val="24"/>
          <w:sz w:val="24"/>
          <w:szCs w:val="24"/>
        </w:rPr>
        <w:t xml:space="preserve"> Recruitment Experiences in Capital Cities, </w:t>
      </w:r>
      <w:r>
        <w:rPr>
          <w:rFonts w:ascii="Calibri" w:hAnsi="Times New Roman" w:cs="Calibri"/>
          <w:color w:val="000000"/>
          <w:kern w:val="24"/>
          <w:sz w:val="24"/>
          <w:szCs w:val="24"/>
        </w:rPr>
        <w:t>2011 and 2012. Please note that</w:t>
      </w:r>
      <w:r>
        <w:rPr>
          <w:rFonts w:ascii="Calibri" w:hAnsi="Times New Roman" w:cs="Calibri"/>
          <w:color w:val="000000"/>
          <w:kern w:val="24"/>
          <w:sz w:val="24"/>
          <w:szCs w:val="24"/>
        </w:rPr>
        <w:t xml:space="preserve"> 2011 and 2012 results are taken from the survey of capital cities.</w:t>
      </w:r>
    </w:p>
    <w:p w:rsidR="00CB7DC9" w:rsidRDefault="00CB7DC9" w:rsidP="00CB7DC9">
      <w:pPr>
        <w:autoSpaceDE w:val="0"/>
        <w:autoSpaceDN w:val="0"/>
        <w:adjustRightInd w:val="0"/>
        <w:spacing w:before="120" w:after="0" w:line="240" w:lineRule="auto"/>
        <w:rPr>
          <w:rFonts w:ascii="Calibri" w:hAnsi="Times New Roman" w:cs="Calibri"/>
          <w:color w:val="000000"/>
          <w:kern w:val="24"/>
          <w:sz w:val="24"/>
          <w:szCs w:val="24"/>
        </w:rPr>
      </w:pPr>
      <w:r>
        <w:rPr>
          <w:rFonts w:ascii="Calibri" w:hAnsi="Times New Roman" w:cs="Calibri"/>
          <w:color w:val="000000"/>
          <w:kern w:val="24"/>
          <w:sz w:val="24"/>
          <w:szCs w:val="24"/>
        </w:rPr>
        <w:t>There has been a shift in employers</w:t>
      </w:r>
      <w:r>
        <w:rPr>
          <w:rFonts w:ascii="Calibri" w:hAnsi="Times New Roman" w:cs="Calibri"/>
          <w:color w:val="000000"/>
          <w:kern w:val="24"/>
          <w:sz w:val="24"/>
          <w:szCs w:val="24"/>
        </w:rPr>
        <w:t>’</w:t>
      </w:r>
      <w:r>
        <w:rPr>
          <w:rFonts w:ascii="Calibri" w:hAnsi="Times New Roman" w:cs="Calibri"/>
          <w:color w:val="000000"/>
          <w:kern w:val="24"/>
          <w:sz w:val="24"/>
          <w:szCs w:val="24"/>
        </w:rPr>
        <w:t xml:space="preserve"> single greatest future concern over the last few years. The most recent survey results suggest that employers are now more concerned about demand and the state of the economy than they are about recruitment or retention difficulties. </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25</w:t>
      </w:r>
    </w:p>
    <w:p w:rsidR="00CB7DC9" w:rsidRDefault="00CB7DC9" w:rsidP="00CB7DC9">
      <w:pPr>
        <w:spacing w:line="360" w:lineRule="auto"/>
      </w:pPr>
    </w:p>
    <w:p w:rsidR="00CB7DC9" w:rsidRDefault="00CB7DC9" w:rsidP="00CB7DC9">
      <w:pPr>
        <w:spacing w:line="360" w:lineRule="auto"/>
        <w:jc w:val="center"/>
      </w:pPr>
      <w:r>
        <w:object w:dxaOrig="7187" w:dyaOrig="5385">
          <v:shape id="_x0000_i1145" type="#_x0000_t75" style="width:269.25pt;height:201.7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145" DrawAspect="Content" ObjectID="_1440309166" r:id="rId56"/>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Conclusion</w:t>
      </w:r>
    </w:p>
    <w:p w:rsidR="00CB7DC9" w:rsidRDefault="00CB7DC9" w:rsidP="00CB7DC9">
      <w:pPr>
        <w:numPr>
          <w:ilvl w:val="0"/>
          <w:numId w:val="1"/>
        </w:numPr>
        <w:autoSpaceDE w:val="0"/>
        <w:autoSpaceDN w:val="0"/>
        <w:adjustRightInd w:val="0"/>
        <w:spacing w:before="120" w:after="0" w:line="240" w:lineRule="auto"/>
        <w:ind w:left="450" w:hanging="448"/>
        <w:rPr>
          <w:rFonts w:ascii="Calibri" w:hAnsi="Times New Roman" w:cs="Calibri"/>
          <w:color w:val="000000"/>
          <w:kern w:val="24"/>
          <w:sz w:val="24"/>
          <w:szCs w:val="24"/>
        </w:rPr>
      </w:pPr>
      <w:r>
        <w:rPr>
          <w:rFonts w:ascii="Calibri" w:hAnsi="Times New Roman" w:cs="Calibri"/>
          <w:color w:val="000000"/>
          <w:kern w:val="24"/>
          <w:sz w:val="24"/>
          <w:szCs w:val="24"/>
        </w:rPr>
        <w:t>Labour market conditions remain subdued</w:t>
      </w:r>
    </w:p>
    <w:p w:rsidR="00CB7DC9" w:rsidRDefault="00CB7DC9" w:rsidP="00CB7DC9">
      <w:pPr>
        <w:numPr>
          <w:ilvl w:val="0"/>
          <w:numId w:val="2"/>
        </w:numPr>
        <w:autoSpaceDE w:val="0"/>
        <w:autoSpaceDN w:val="0"/>
        <w:adjustRightInd w:val="0"/>
        <w:spacing w:before="120" w:after="0" w:line="240" w:lineRule="auto"/>
        <w:ind w:left="1170" w:hanging="448"/>
        <w:rPr>
          <w:rFonts w:ascii="Calibri" w:hAnsi="Times New Roman" w:cs="Calibri"/>
          <w:color w:val="000000"/>
          <w:kern w:val="24"/>
          <w:sz w:val="24"/>
          <w:szCs w:val="24"/>
        </w:rPr>
      </w:pPr>
      <w:r>
        <w:rPr>
          <w:rFonts w:ascii="Calibri" w:hAnsi="Times New Roman" w:cs="Calibri"/>
          <w:color w:val="000000"/>
          <w:kern w:val="24"/>
          <w:sz w:val="24"/>
          <w:szCs w:val="24"/>
        </w:rPr>
        <w:t>Rising unemployment</w:t>
      </w:r>
    </w:p>
    <w:p w:rsidR="00CB7DC9" w:rsidRDefault="00CB7DC9" w:rsidP="00CB7DC9">
      <w:pPr>
        <w:numPr>
          <w:ilvl w:val="0"/>
          <w:numId w:val="2"/>
        </w:numPr>
        <w:autoSpaceDE w:val="0"/>
        <w:autoSpaceDN w:val="0"/>
        <w:adjustRightInd w:val="0"/>
        <w:spacing w:before="120" w:after="0" w:line="240" w:lineRule="auto"/>
        <w:ind w:left="1170" w:hanging="448"/>
        <w:rPr>
          <w:rFonts w:ascii="Calibri" w:hAnsi="Times New Roman" w:cs="Calibri"/>
          <w:color w:val="000000"/>
          <w:kern w:val="24"/>
          <w:sz w:val="24"/>
          <w:szCs w:val="24"/>
        </w:rPr>
      </w:pPr>
      <w:r>
        <w:rPr>
          <w:rFonts w:ascii="Calibri" w:hAnsi="Times New Roman" w:cs="Calibri"/>
          <w:color w:val="000000"/>
          <w:kern w:val="24"/>
          <w:sz w:val="24"/>
          <w:szCs w:val="24"/>
        </w:rPr>
        <w:t>Fall in full-time employment</w:t>
      </w:r>
    </w:p>
    <w:p w:rsidR="00CB7DC9" w:rsidRDefault="00CB7DC9" w:rsidP="00CB7DC9">
      <w:pPr>
        <w:numPr>
          <w:ilvl w:val="0"/>
          <w:numId w:val="2"/>
        </w:numPr>
        <w:autoSpaceDE w:val="0"/>
        <w:autoSpaceDN w:val="0"/>
        <w:adjustRightInd w:val="0"/>
        <w:spacing w:before="120" w:after="0" w:line="240" w:lineRule="auto"/>
        <w:ind w:left="1170" w:hanging="448"/>
        <w:rPr>
          <w:rFonts w:ascii="Calibri" w:hAnsi="Times New Roman" w:cs="Calibri"/>
          <w:color w:val="000000"/>
          <w:kern w:val="24"/>
          <w:sz w:val="24"/>
          <w:szCs w:val="24"/>
        </w:rPr>
      </w:pPr>
      <w:r>
        <w:rPr>
          <w:rFonts w:ascii="Calibri" w:hAnsi="Times New Roman" w:cs="Calibri"/>
          <w:color w:val="000000"/>
          <w:kern w:val="24"/>
          <w:sz w:val="24"/>
          <w:szCs w:val="24"/>
        </w:rPr>
        <w:t>High job applicant numbers</w:t>
      </w:r>
    </w:p>
    <w:p w:rsidR="00CB7DC9" w:rsidRDefault="00CB7DC9" w:rsidP="00CB7DC9">
      <w:pPr>
        <w:numPr>
          <w:ilvl w:val="0"/>
          <w:numId w:val="1"/>
        </w:numPr>
        <w:autoSpaceDE w:val="0"/>
        <w:autoSpaceDN w:val="0"/>
        <w:adjustRightInd w:val="0"/>
        <w:spacing w:before="120" w:after="0" w:line="240" w:lineRule="auto"/>
        <w:ind w:left="450" w:hanging="448"/>
        <w:rPr>
          <w:rFonts w:ascii="Calibri" w:hAnsi="Times New Roman" w:cs="Calibri"/>
          <w:color w:val="000000"/>
          <w:kern w:val="24"/>
          <w:sz w:val="24"/>
          <w:szCs w:val="24"/>
        </w:rPr>
      </w:pPr>
      <w:r>
        <w:rPr>
          <w:rFonts w:ascii="Calibri" w:hAnsi="Times New Roman" w:cs="Calibri"/>
          <w:color w:val="000000"/>
          <w:kern w:val="24"/>
          <w:sz w:val="24"/>
          <w:szCs w:val="24"/>
        </w:rPr>
        <w:t>Challenges</w:t>
      </w:r>
    </w:p>
    <w:p w:rsidR="00CB7DC9" w:rsidRDefault="00CB7DC9" w:rsidP="00CB7DC9">
      <w:pPr>
        <w:numPr>
          <w:ilvl w:val="0"/>
          <w:numId w:val="2"/>
        </w:numPr>
        <w:autoSpaceDE w:val="0"/>
        <w:autoSpaceDN w:val="0"/>
        <w:adjustRightInd w:val="0"/>
        <w:spacing w:before="120" w:after="0" w:line="240" w:lineRule="auto"/>
        <w:ind w:left="1170" w:hanging="448"/>
        <w:rPr>
          <w:rFonts w:ascii="Calibri" w:hAnsi="Times New Roman" w:cs="Calibri"/>
          <w:color w:val="000000"/>
          <w:kern w:val="24"/>
          <w:sz w:val="24"/>
          <w:szCs w:val="24"/>
        </w:rPr>
      </w:pPr>
      <w:r>
        <w:rPr>
          <w:rFonts w:ascii="Calibri" w:hAnsi="Times New Roman" w:cs="Calibri"/>
          <w:color w:val="000000"/>
          <w:kern w:val="24"/>
          <w:sz w:val="24"/>
          <w:szCs w:val="24"/>
        </w:rPr>
        <w:t>Long-term unemployment, jobless families, lower levels of education</w:t>
      </w:r>
    </w:p>
    <w:p w:rsidR="00CB7DC9" w:rsidRDefault="00CB7DC9" w:rsidP="00CB7DC9">
      <w:pPr>
        <w:numPr>
          <w:ilvl w:val="0"/>
          <w:numId w:val="2"/>
        </w:numPr>
        <w:autoSpaceDE w:val="0"/>
        <w:autoSpaceDN w:val="0"/>
        <w:adjustRightInd w:val="0"/>
        <w:spacing w:before="120" w:after="0" w:line="240" w:lineRule="auto"/>
        <w:ind w:left="1170" w:hanging="448"/>
        <w:rPr>
          <w:rFonts w:ascii="Calibri" w:hAnsi="Times New Roman" w:cs="Calibri"/>
          <w:color w:val="000000"/>
          <w:kern w:val="24"/>
          <w:sz w:val="24"/>
          <w:szCs w:val="24"/>
        </w:rPr>
      </w:pPr>
      <w:r>
        <w:rPr>
          <w:rFonts w:ascii="Calibri" w:hAnsi="Times New Roman" w:cs="Calibri"/>
          <w:color w:val="000000"/>
          <w:kern w:val="24"/>
          <w:sz w:val="24"/>
          <w:szCs w:val="24"/>
        </w:rPr>
        <w:t>Ageing population</w:t>
      </w:r>
    </w:p>
    <w:p w:rsidR="00CB7DC9" w:rsidRDefault="00CB7DC9" w:rsidP="00CB7DC9">
      <w:pPr>
        <w:numPr>
          <w:ilvl w:val="0"/>
          <w:numId w:val="1"/>
        </w:numPr>
        <w:autoSpaceDE w:val="0"/>
        <w:autoSpaceDN w:val="0"/>
        <w:adjustRightInd w:val="0"/>
        <w:spacing w:before="120" w:after="0" w:line="240" w:lineRule="auto"/>
        <w:ind w:left="450" w:hanging="448"/>
        <w:rPr>
          <w:rFonts w:ascii="Calibri" w:hAnsi="Times New Roman" w:cs="Calibri"/>
          <w:color w:val="000000"/>
          <w:kern w:val="24"/>
          <w:sz w:val="24"/>
          <w:szCs w:val="24"/>
        </w:rPr>
      </w:pPr>
      <w:r>
        <w:rPr>
          <w:rFonts w:ascii="Calibri" w:hAnsi="Times New Roman" w:cs="Calibri"/>
          <w:color w:val="000000"/>
          <w:kern w:val="24"/>
          <w:sz w:val="24"/>
          <w:szCs w:val="24"/>
        </w:rPr>
        <w:t>Opportunities</w:t>
      </w:r>
    </w:p>
    <w:p w:rsidR="00CB7DC9" w:rsidRDefault="00CB7DC9" w:rsidP="00CB7DC9">
      <w:pPr>
        <w:numPr>
          <w:ilvl w:val="0"/>
          <w:numId w:val="2"/>
        </w:numPr>
        <w:autoSpaceDE w:val="0"/>
        <w:autoSpaceDN w:val="0"/>
        <w:adjustRightInd w:val="0"/>
        <w:spacing w:before="120" w:after="0" w:line="240" w:lineRule="auto"/>
        <w:ind w:left="1170" w:hanging="448"/>
        <w:rPr>
          <w:rFonts w:ascii="Calibri" w:hAnsi="Times New Roman" w:cs="Calibri"/>
          <w:color w:val="000000"/>
          <w:kern w:val="24"/>
          <w:sz w:val="24"/>
          <w:szCs w:val="24"/>
        </w:rPr>
      </w:pPr>
      <w:r>
        <w:rPr>
          <w:rFonts w:ascii="Calibri" w:hAnsi="Times New Roman" w:cs="Calibri"/>
          <w:color w:val="000000"/>
          <w:kern w:val="24"/>
          <w:sz w:val="24"/>
          <w:szCs w:val="24"/>
        </w:rPr>
        <w:t>Fast-growing industries like Health Care and Social Assistance</w:t>
      </w:r>
    </w:p>
    <w:p w:rsidR="00CB7DC9" w:rsidRDefault="00CB7DC9" w:rsidP="00CB7DC9">
      <w:pPr>
        <w:numPr>
          <w:ilvl w:val="0"/>
          <w:numId w:val="2"/>
        </w:numPr>
        <w:autoSpaceDE w:val="0"/>
        <w:autoSpaceDN w:val="0"/>
        <w:adjustRightInd w:val="0"/>
        <w:spacing w:before="120" w:after="0" w:line="240" w:lineRule="auto"/>
        <w:ind w:left="1170" w:hanging="448"/>
        <w:rPr>
          <w:rFonts w:ascii="Calibri" w:hAnsi="Times New Roman" w:cs="Calibri"/>
          <w:color w:val="000000"/>
          <w:kern w:val="24"/>
          <w:sz w:val="24"/>
          <w:szCs w:val="24"/>
        </w:rPr>
      </w:pPr>
      <w:r>
        <w:rPr>
          <w:rFonts w:ascii="Calibri" w:hAnsi="Times New Roman" w:cs="Calibri"/>
          <w:color w:val="000000"/>
          <w:kern w:val="24"/>
          <w:sz w:val="24"/>
          <w:szCs w:val="24"/>
        </w:rPr>
        <w:t>Broad range of occupations difficult to fill</w:t>
      </w:r>
    </w:p>
    <w:p w:rsidR="00CB7DC9" w:rsidRDefault="00CB7DC9" w:rsidP="00CB7DC9">
      <w:pPr>
        <w:numPr>
          <w:ilvl w:val="0"/>
          <w:numId w:val="2"/>
        </w:numPr>
        <w:autoSpaceDE w:val="0"/>
        <w:autoSpaceDN w:val="0"/>
        <w:adjustRightInd w:val="0"/>
        <w:spacing w:before="120" w:after="0" w:line="240" w:lineRule="auto"/>
        <w:ind w:left="1170" w:hanging="448"/>
        <w:rPr>
          <w:rFonts w:ascii="Calibri" w:hAnsi="Times New Roman" w:cs="Calibri"/>
          <w:color w:val="000000"/>
          <w:kern w:val="24"/>
          <w:sz w:val="24"/>
          <w:szCs w:val="24"/>
        </w:rPr>
      </w:pPr>
      <w:r>
        <w:rPr>
          <w:rFonts w:ascii="Calibri" w:hAnsi="Times New Roman" w:cs="Calibri"/>
          <w:color w:val="000000"/>
          <w:kern w:val="24"/>
          <w:sz w:val="24"/>
          <w:szCs w:val="24"/>
        </w:rPr>
        <w:t>Vacancies across all skill levels still being advertised</w:t>
      </w:r>
    </w:p>
    <w:p w:rsidR="00CB7DC9" w:rsidRDefault="00CB7DC9" w:rsidP="00CB7DC9">
      <w:pPr>
        <w:numPr>
          <w:ilvl w:val="0"/>
          <w:numId w:val="1"/>
        </w:numPr>
        <w:autoSpaceDE w:val="0"/>
        <w:autoSpaceDN w:val="0"/>
        <w:adjustRightInd w:val="0"/>
        <w:spacing w:before="120" w:after="0" w:line="240" w:lineRule="auto"/>
        <w:ind w:left="450" w:hanging="448"/>
        <w:rPr>
          <w:rFonts w:ascii="Calibri" w:hAnsi="Times New Roman" w:cs="Calibri"/>
          <w:color w:val="000000"/>
          <w:kern w:val="24"/>
          <w:sz w:val="24"/>
          <w:szCs w:val="24"/>
        </w:rPr>
      </w:pPr>
      <w:r>
        <w:rPr>
          <w:rFonts w:ascii="Calibri" w:hAnsi="Times New Roman" w:cs="Calibri"/>
          <w:color w:val="000000"/>
          <w:kern w:val="24"/>
          <w:sz w:val="24"/>
          <w:szCs w:val="24"/>
        </w:rPr>
        <w:t>Job seekers need to be job ready</w:t>
      </w:r>
    </w:p>
    <w:p w:rsidR="00CB7DC9" w:rsidRDefault="00CB7DC9" w:rsidP="00CB7DC9">
      <w:pPr>
        <w:numPr>
          <w:ilvl w:val="0"/>
          <w:numId w:val="2"/>
        </w:numPr>
        <w:autoSpaceDE w:val="0"/>
        <w:autoSpaceDN w:val="0"/>
        <w:adjustRightInd w:val="0"/>
        <w:spacing w:before="120" w:after="0" w:line="240" w:lineRule="auto"/>
        <w:ind w:left="1170" w:hanging="448"/>
        <w:rPr>
          <w:rFonts w:ascii="Calibri" w:hAnsi="Times New Roman" w:cs="Calibri"/>
          <w:color w:val="000000"/>
          <w:kern w:val="24"/>
          <w:sz w:val="24"/>
          <w:szCs w:val="24"/>
        </w:rPr>
      </w:pPr>
      <w:r>
        <w:rPr>
          <w:rFonts w:ascii="Calibri" w:hAnsi="Times New Roman" w:cs="Calibri"/>
          <w:color w:val="000000"/>
          <w:kern w:val="24"/>
          <w:sz w:val="24"/>
          <w:szCs w:val="24"/>
        </w:rPr>
        <w:t>Experience, qualifications and training, employability skills</w:t>
      </w:r>
    </w:p>
    <w:p w:rsidR="00CB7DC9" w:rsidRDefault="00CB7DC9" w:rsidP="00CB7DC9">
      <w:pPr>
        <w:numPr>
          <w:ilvl w:val="0"/>
          <w:numId w:val="1"/>
        </w:numPr>
        <w:autoSpaceDE w:val="0"/>
        <w:autoSpaceDN w:val="0"/>
        <w:adjustRightInd w:val="0"/>
        <w:spacing w:before="120" w:after="0" w:line="240" w:lineRule="auto"/>
        <w:ind w:left="450" w:hanging="448"/>
        <w:rPr>
          <w:rFonts w:ascii="Calibri" w:hAnsi="Times New Roman" w:cs="Calibri"/>
          <w:color w:val="000000"/>
          <w:kern w:val="24"/>
          <w:sz w:val="24"/>
          <w:szCs w:val="24"/>
        </w:rPr>
      </w:pPr>
      <w:r>
        <w:rPr>
          <w:rFonts w:ascii="Calibri" w:hAnsi="Times New Roman" w:cs="Calibri"/>
          <w:color w:val="000000"/>
          <w:kern w:val="24"/>
          <w:sz w:val="24"/>
          <w:szCs w:val="24"/>
        </w:rPr>
        <w:t>Collaboration with key stakeholders</w:t>
      </w:r>
    </w:p>
    <w:p w:rsidR="00CB7DC9" w:rsidRDefault="00CB7DC9" w:rsidP="00CB7DC9">
      <w:pPr>
        <w:autoSpaceDE w:val="0"/>
        <w:autoSpaceDN w:val="0"/>
        <w:adjustRightInd w:val="0"/>
        <w:spacing w:after="0" w:line="240" w:lineRule="auto"/>
        <w:rPr>
          <w:rFonts w:ascii="Calibri" w:hAnsi="Calibri" w:cs="Calibri"/>
          <w:b/>
          <w:bCs/>
          <w:color w:val="000000"/>
          <w:kern w:val="24"/>
          <w:sz w:val="24"/>
          <w:szCs w:val="24"/>
          <w:u w:val="single"/>
        </w:rPr>
      </w:pP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26</w:t>
      </w:r>
    </w:p>
    <w:p w:rsidR="00CB7DC9" w:rsidRDefault="00CB7DC9" w:rsidP="00CB7DC9">
      <w:pPr>
        <w:spacing w:line="360" w:lineRule="auto"/>
      </w:pPr>
    </w:p>
    <w:p w:rsidR="00CB7DC9" w:rsidRDefault="00CB7DC9" w:rsidP="00CB7DC9">
      <w:pPr>
        <w:spacing w:line="360" w:lineRule="auto"/>
        <w:jc w:val="center"/>
      </w:pPr>
      <w:r>
        <w:object w:dxaOrig="7187" w:dyaOrig="5385">
          <v:shape id="_x0000_i1150" type="#_x0000_t75" style="width:269.25pt;height:201.7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150" DrawAspect="Content" ObjectID="_1440309167" r:id="rId58"/>
        </w:object>
      </w:r>
    </w:p>
    <w:p w:rsidR="00CB7DC9" w:rsidRDefault="00CB7DC9" w:rsidP="00CB7DC9">
      <w:pPr>
        <w:spacing w:line="360" w:lineRule="auto"/>
        <w:jc w:val="center"/>
      </w:pPr>
    </w:p>
    <w:p w:rsidR="00CB7DC9" w:rsidRDefault="00CB7DC9" w:rsidP="00CB7DC9">
      <w:pPr>
        <w:autoSpaceDE w:val="0"/>
        <w:autoSpaceDN w:val="0"/>
        <w:adjustRightInd w:val="0"/>
        <w:spacing w:after="0" w:line="240" w:lineRule="auto"/>
        <w:rPr>
          <w:rFonts w:ascii="Calibri" w:hAnsi="Times New Roman" w:cs="Calibri"/>
          <w:b/>
          <w:bCs/>
          <w:color w:val="000000"/>
          <w:kern w:val="24"/>
          <w:sz w:val="24"/>
          <w:szCs w:val="24"/>
          <w:u w:val="single"/>
        </w:rPr>
      </w:pPr>
      <w:r>
        <w:rPr>
          <w:rFonts w:ascii="Calibri" w:hAnsi="Times New Roman" w:cs="Calibri"/>
          <w:b/>
          <w:bCs/>
          <w:color w:val="000000"/>
          <w:kern w:val="24"/>
          <w:sz w:val="24"/>
          <w:szCs w:val="24"/>
          <w:u w:val="single"/>
        </w:rPr>
        <w:t>Further Information</w:t>
      </w:r>
    </w:p>
    <w:p w:rsidR="00CB7DC9" w:rsidRDefault="00CB7DC9" w:rsidP="00CB7DC9">
      <w:pPr>
        <w:autoSpaceDE w:val="0"/>
        <w:autoSpaceDN w:val="0"/>
        <w:adjustRightInd w:val="0"/>
        <w:spacing w:before="120" w:after="0" w:line="240" w:lineRule="auto"/>
        <w:rPr>
          <w:rFonts w:ascii="Calibri" w:hAnsi="Times New Roman" w:cs="Calibri"/>
          <w:color w:val="000000"/>
          <w:kern w:val="24"/>
          <w:sz w:val="24"/>
          <w:szCs w:val="24"/>
        </w:rPr>
      </w:pPr>
      <w:r>
        <w:rPr>
          <w:rFonts w:ascii="Calibri" w:hAnsi="Times New Roman" w:cs="Calibri"/>
          <w:color w:val="000000"/>
          <w:kern w:val="24"/>
          <w:sz w:val="24"/>
          <w:szCs w:val="24"/>
        </w:rPr>
        <w:t>More information on labour market conditions and other research on small areas can be found on these web sites.</w:t>
      </w:r>
    </w:p>
    <w:p w:rsidR="00CB7DC9" w:rsidRDefault="00CB7DC9" w:rsidP="00CB7DC9">
      <w:pPr>
        <w:autoSpaceDE w:val="0"/>
        <w:autoSpaceDN w:val="0"/>
        <w:adjustRightInd w:val="0"/>
        <w:spacing w:before="120" w:after="0" w:line="240" w:lineRule="auto"/>
        <w:rPr>
          <w:rFonts w:ascii="Calibri" w:hAnsi="Times New Roman" w:cs="Calibri"/>
          <w:color w:val="000000"/>
          <w:kern w:val="24"/>
          <w:sz w:val="24"/>
          <w:szCs w:val="24"/>
        </w:rPr>
      </w:pPr>
      <w:r>
        <w:rPr>
          <w:rFonts w:ascii="Calibri" w:hAnsi="Times New Roman" w:cs="Calibri"/>
          <w:color w:val="000000"/>
          <w:kern w:val="24"/>
          <w:sz w:val="24"/>
          <w:szCs w:val="24"/>
        </w:rPr>
        <w:t>A report on the survey findings for Tasmania overall is available on the regional reports section of the DEEWR web site.</w:t>
      </w:r>
    </w:p>
    <w:p w:rsidR="00CB7DC9" w:rsidRDefault="00CB7DC9" w:rsidP="00CB7DC9">
      <w:pPr>
        <w:autoSpaceDE w:val="0"/>
        <w:autoSpaceDN w:val="0"/>
        <w:adjustRightInd w:val="0"/>
        <w:spacing w:before="120" w:after="0" w:line="240" w:lineRule="auto"/>
        <w:rPr>
          <w:rFonts w:ascii="Calibri" w:hAnsi="Times New Roman" w:cs="Calibri"/>
          <w:b/>
          <w:bCs/>
          <w:color w:val="000000"/>
          <w:kern w:val="24"/>
          <w:sz w:val="24"/>
          <w:szCs w:val="24"/>
        </w:rPr>
      </w:pPr>
      <w:r>
        <w:rPr>
          <w:rFonts w:ascii="Calibri" w:hAnsi="Times New Roman" w:cs="Calibri"/>
          <w:color w:val="000000"/>
          <w:kern w:val="24"/>
          <w:sz w:val="24"/>
          <w:szCs w:val="24"/>
        </w:rPr>
        <w:t>Thank you.</w:t>
      </w:r>
    </w:p>
    <w:p w:rsidR="00CB7DC9" w:rsidRDefault="00CB7DC9" w:rsidP="00CB7DC9">
      <w:pPr>
        <w:autoSpaceDE w:val="0"/>
        <w:autoSpaceDN w:val="0"/>
        <w:adjustRightInd w:val="0"/>
        <w:spacing w:after="0" w:line="240" w:lineRule="auto"/>
        <w:rPr>
          <w:rFonts w:ascii="Arial" w:hAnsi="Arial" w:cs="Arial"/>
          <w:sz w:val="24"/>
          <w:szCs w:val="24"/>
        </w:rPr>
      </w:pPr>
    </w:p>
    <w:p w:rsidR="00CB7DC9" w:rsidRDefault="00CB7DC9" w:rsidP="00CB7DC9">
      <w:pPr>
        <w:spacing w:line="360" w:lineRule="auto"/>
      </w:pPr>
    </w:p>
    <w:p w:rsidR="00CB7DC9" w:rsidRDefault="00CB7DC9">
      <w:r>
        <w:br w:type="page"/>
      </w:r>
    </w:p>
    <w:p w:rsidR="00CB7DC9" w:rsidRDefault="00CB7DC9" w:rsidP="00CB7DC9">
      <w:pPr>
        <w:spacing w:line="360" w:lineRule="auto"/>
      </w:pPr>
      <w:r>
        <w:lastRenderedPageBreak/>
        <w:t>Slide 27</w:t>
      </w:r>
    </w:p>
    <w:p w:rsidR="00CB7DC9" w:rsidRDefault="00CB7DC9" w:rsidP="00CB7DC9">
      <w:pPr>
        <w:spacing w:line="360" w:lineRule="auto"/>
      </w:pPr>
    </w:p>
    <w:p w:rsidR="00CB7DC9" w:rsidRDefault="00CB7DC9" w:rsidP="00CB7DC9">
      <w:pPr>
        <w:spacing w:line="360" w:lineRule="auto"/>
        <w:jc w:val="center"/>
      </w:pPr>
      <w:r>
        <w:object w:dxaOrig="7187" w:dyaOrig="5385">
          <v:shape id="_x0000_i1155" type="#_x0000_t75" style="width:269.25pt;height:201.7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155" DrawAspect="Content" ObjectID="_1440309168" r:id="rId60"/>
        </w:object>
      </w:r>
    </w:p>
    <w:p w:rsidR="00CB7DC9" w:rsidRDefault="00CB7DC9" w:rsidP="00CB7DC9">
      <w:pPr>
        <w:spacing w:line="360" w:lineRule="auto"/>
        <w:jc w:val="center"/>
      </w:pPr>
    </w:p>
    <w:p w:rsidR="00CB7DC9" w:rsidRDefault="00CB7DC9" w:rsidP="00CB7DC9">
      <w:pPr>
        <w:spacing w:line="360" w:lineRule="auto"/>
      </w:pPr>
    </w:p>
    <w:p w:rsidR="00CB7DC9" w:rsidRDefault="00CB7DC9" w:rsidP="00CB7DC9">
      <w:pPr>
        <w:spacing w:line="360" w:lineRule="auto"/>
      </w:pPr>
    </w:p>
    <w:sectPr w:rsidR="00CB7D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386E5C"/>
    <w:lvl w:ilvl="0">
      <w:numFmt w:val="bullet"/>
      <w:lvlText w:val="*"/>
      <w:lvlJc w:val="left"/>
    </w:lvl>
  </w:abstractNum>
  <w:num w:numId="1">
    <w:abstractNumId w:val="0"/>
    <w:lvlOverride w:ilvl="0">
      <w:lvl w:ilvl="0">
        <w:numFmt w:val="bullet"/>
        <w:lvlText w:val="•"/>
        <w:legacy w:legacy="1" w:legacySpace="0" w:legacyIndent="0"/>
        <w:lvlJc w:val="left"/>
        <w:rPr>
          <w:rFonts w:ascii="Arial" w:hAnsi="Arial" w:cs="Arial" w:hint="default"/>
          <w:sz w:val="24"/>
        </w:rPr>
      </w:lvl>
    </w:lvlOverride>
  </w:num>
  <w:num w:numId="2">
    <w:abstractNumId w:val="0"/>
    <w:lvlOverride w:ilvl="0">
      <w:lvl w:ilvl="0">
        <w:numFmt w:val="bullet"/>
        <w:lvlText w:val="-"/>
        <w:legacy w:legacy="1" w:legacySpace="0" w:legacyIndent="0"/>
        <w:lvlJc w:val="left"/>
        <w:rPr>
          <w:rFonts w:ascii="Calibri" w:hAnsi="Calibri" w:cs="Calibri"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DC9"/>
    <w:rsid w:val="003529E4"/>
    <w:rsid w:val="00CB7DC9"/>
    <w:rsid w:val="00EB24DE"/>
    <w:rsid w:val="00F336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10.sldx"/><Relationship Id="rId21" Type="http://schemas.openxmlformats.org/officeDocument/2006/relationships/image" Target="media/image8.emf"/><Relationship Id="rId34" Type="http://schemas.openxmlformats.org/officeDocument/2006/relationships/package" Target="embeddings/Microsoft_PowerPoint_Slide14.sldx"/><Relationship Id="rId42" Type="http://schemas.openxmlformats.org/officeDocument/2006/relationships/package" Target="embeddings/Microsoft_PowerPoint_Slide18.sldx"/><Relationship Id="rId47" Type="http://schemas.openxmlformats.org/officeDocument/2006/relationships/image" Target="media/image21.emf"/><Relationship Id="rId50" Type="http://schemas.openxmlformats.org/officeDocument/2006/relationships/package" Target="embeddings/Microsoft_PowerPoint_Slide22.sldx"/><Relationship Id="rId55" Type="http://schemas.openxmlformats.org/officeDocument/2006/relationships/image" Target="media/image25.emf"/><Relationship Id="rId63" Type="http://schemas.openxmlformats.org/officeDocument/2006/relationships/customXml" Target="../customXml/item2.xml"/><Relationship Id="rId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package" Target="embeddings/Microsoft_PowerPoint_Slide5.sl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PowerPoint_Slide9.sldx"/><Relationship Id="rId32" Type="http://schemas.openxmlformats.org/officeDocument/2006/relationships/package" Target="embeddings/Microsoft_PowerPoint_Slide13.sldx"/><Relationship Id="rId37" Type="http://schemas.openxmlformats.org/officeDocument/2006/relationships/image" Target="media/image16.emf"/><Relationship Id="rId40" Type="http://schemas.openxmlformats.org/officeDocument/2006/relationships/package" Target="embeddings/Microsoft_PowerPoint_Slide17.sl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PowerPoint_Slide26.sldx"/><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package" Target="embeddings/Microsoft_PowerPoint_Slide4.sldx"/><Relationship Id="rId22" Type="http://schemas.openxmlformats.org/officeDocument/2006/relationships/package" Target="embeddings/Microsoft_PowerPoint_Slide8.sldx"/><Relationship Id="rId27" Type="http://schemas.openxmlformats.org/officeDocument/2006/relationships/image" Target="media/image11.emf"/><Relationship Id="rId30" Type="http://schemas.openxmlformats.org/officeDocument/2006/relationships/package" Target="embeddings/Microsoft_PowerPoint_Slide12.sl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PowerPoint_Slide21.sldx"/><Relationship Id="rId56" Type="http://schemas.openxmlformats.org/officeDocument/2006/relationships/package" Target="embeddings/Microsoft_PowerPoint_Slide25.sldx"/><Relationship Id="rId64" Type="http://schemas.openxmlformats.org/officeDocument/2006/relationships/customXml" Target="../customXml/item3.xml"/><Relationship Id="rId8" Type="http://schemas.openxmlformats.org/officeDocument/2006/relationships/package" Target="embeddings/Microsoft_PowerPoint_Slide1.sldx"/><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package" Target="embeddings/Microsoft_PowerPoint_Slide3.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PowerPoint_Slide16.sldx"/><Relationship Id="rId46" Type="http://schemas.openxmlformats.org/officeDocument/2006/relationships/package" Target="embeddings/Microsoft_PowerPoint_Slide20.sldx"/><Relationship Id="rId59" Type="http://schemas.openxmlformats.org/officeDocument/2006/relationships/image" Target="media/image27.emf"/><Relationship Id="rId20" Type="http://schemas.openxmlformats.org/officeDocument/2006/relationships/package" Target="embeddings/Microsoft_PowerPoint_Slide7.sldx"/><Relationship Id="rId41" Type="http://schemas.openxmlformats.org/officeDocument/2006/relationships/image" Target="media/image18.emf"/><Relationship Id="rId54" Type="http://schemas.openxmlformats.org/officeDocument/2006/relationships/package" Target="embeddings/Microsoft_PowerPoint_Slide24.sldx"/><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PowerPoint_Slide11.sldx"/><Relationship Id="rId36" Type="http://schemas.openxmlformats.org/officeDocument/2006/relationships/package" Target="embeddings/Microsoft_PowerPoint_Slide15.sl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package" Target="embeddings/Microsoft_PowerPoint_Slide2.sldx"/><Relationship Id="rId31" Type="http://schemas.openxmlformats.org/officeDocument/2006/relationships/image" Target="media/image13.emf"/><Relationship Id="rId44" Type="http://schemas.openxmlformats.org/officeDocument/2006/relationships/package" Target="embeddings/Microsoft_PowerPoint_Slide19.sldx"/><Relationship Id="rId52" Type="http://schemas.openxmlformats.org/officeDocument/2006/relationships/package" Target="embeddings/Microsoft_PowerPoint_Slide23.sldx"/><Relationship Id="rId60" Type="http://schemas.openxmlformats.org/officeDocument/2006/relationships/package" Target="embeddings/Microsoft_PowerPoint_Slide27.sldx"/><Relationship Id="rId65"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package" Target="embeddings/Microsoft_PowerPoint_Slide6.sldx"/><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B6A399-2632-4C3D-99E2-D42E147E08F9}"/>
</file>

<file path=customXml/itemProps2.xml><?xml version="1.0" encoding="utf-8"?>
<ds:datastoreItem xmlns:ds="http://schemas.openxmlformats.org/officeDocument/2006/customXml" ds:itemID="{DFCD696A-7FE7-4568-ADDD-D0BB8832F82C}"/>
</file>

<file path=customXml/itemProps3.xml><?xml version="1.0" encoding="utf-8"?>
<ds:datastoreItem xmlns:ds="http://schemas.openxmlformats.org/officeDocument/2006/customXml" ds:itemID="{711D134B-C69F-475C-8EBE-BFB75AA9DEA2}"/>
</file>

<file path=customXml/itemProps4.xml><?xml version="1.0" encoding="utf-8"?>
<ds:datastoreItem xmlns:ds="http://schemas.openxmlformats.org/officeDocument/2006/customXml" ds:itemID="{07360DFD-395F-4848-89AB-8EE0B980E99C}"/>
</file>

<file path=docProps/app.xml><?xml version="1.0" encoding="utf-8"?>
<Properties xmlns="http://schemas.openxmlformats.org/officeDocument/2006/extended-properties" xmlns:vt="http://schemas.openxmlformats.org/officeDocument/2006/docPropsVTypes">
  <Template>369A655.dotm</Template>
  <TotalTime>12</TotalTime>
  <Pages>27</Pages>
  <Words>1885</Words>
  <Characters>10745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12605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Meehan</dc:creator>
  <cp:lastModifiedBy>Joel Meehan</cp:lastModifiedBy>
  <cp:revision>2</cp:revision>
  <dcterms:created xsi:type="dcterms:W3CDTF">2013-09-09T22:52:00Z</dcterms:created>
  <dcterms:modified xsi:type="dcterms:W3CDTF">2013-09-09T23:04:00Z</dcterms:modified>
</cp:coreProperties>
</file>