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16BC" w:rsidRDefault="00962A5A" w:rsidP="00962A5A">
      <w:pPr>
        <w:spacing w:line="360" w:lineRule="auto"/>
      </w:pPr>
      <w:r>
        <w:t>Slide 1</w:t>
      </w:r>
    </w:p>
    <w:p w:rsidR="00962A5A" w:rsidRDefault="00962A5A" w:rsidP="00962A5A">
      <w:pPr>
        <w:spacing w:line="360" w:lineRule="auto"/>
      </w:pPr>
    </w:p>
    <w:p w:rsidR="00962A5A" w:rsidRDefault="00962A5A" w:rsidP="00962A5A">
      <w:pPr>
        <w:spacing w:line="360" w:lineRule="auto"/>
        <w:jc w:val="center"/>
      </w:pPr>
      <w:r>
        <w:object w:dxaOrig="7187" w:dyaOrig="53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9.6pt;height:202.2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456137618" r:id="rId7"/>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b/>
          <w:bCs/>
          <w:color w:val="000000"/>
          <w:kern w:val="24"/>
          <w:sz w:val="24"/>
          <w:szCs w:val="24"/>
          <w:u w:val="single"/>
          <w:lang w:eastAsia="en-AU"/>
        </w:rPr>
        <w:t>Survey of Employers’ Recruitment Experiences</w:t>
      </w: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Bundaberg-Hervey Bay Priority Employment Area (surveyed in December 2013).</w:t>
      </w: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2</w:t>
      </w:r>
    </w:p>
    <w:p w:rsidR="00962A5A" w:rsidRDefault="00962A5A" w:rsidP="00962A5A">
      <w:pPr>
        <w:spacing w:line="360" w:lineRule="auto"/>
      </w:pPr>
    </w:p>
    <w:p w:rsidR="00962A5A" w:rsidRDefault="00962A5A" w:rsidP="00962A5A">
      <w:pPr>
        <w:spacing w:line="360" w:lineRule="auto"/>
        <w:jc w:val="center"/>
      </w:pPr>
      <w:r>
        <w:object w:dxaOrig="7187" w:dyaOrig="5385">
          <v:shape id="_x0000_i1030" type="#_x0000_t75" style="width:269.6pt;height:202.2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30" DrawAspect="Content" ObjectID="_1456137619" r:id="rId9"/>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Bundaberg Region</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Bundaberg-Hervey Bay Priority Employment Area (PEA) is comprised of 2 Local Government Areas (</w:t>
      </w:r>
      <w:proofErr w:type="spellStart"/>
      <w:r>
        <w:rPr>
          <w:rFonts w:ascii="Calibri" w:hAnsi="Calibri" w:cs="Calibri"/>
          <w:color w:val="000000"/>
          <w:kern w:val="24"/>
          <w:sz w:val="24"/>
          <w:szCs w:val="24"/>
          <w:lang w:eastAsia="en-AU"/>
        </w:rPr>
        <w:t>LGAs</w:t>
      </w:r>
      <w:proofErr w:type="spellEnd"/>
      <w:r>
        <w:rPr>
          <w:rFonts w:ascii="Calibri" w:hAnsi="Calibri" w:cs="Calibri"/>
          <w:color w:val="000000"/>
          <w:kern w:val="24"/>
          <w:sz w:val="24"/>
          <w:szCs w:val="24"/>
          <w:lang w:eastAsia="en-AU"/>
        </w:rPr>
        <w:t xml:space="preserve">): Bundaberg </w:t>
      </w:r>
      <w:proofErr w:type="spell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 xml:space="preserve"> and Fraser Coast </w:t>
      </w:r>
      <w:proofErr w:type="spellStart"/>
      <w:proofErr w:type="gram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 xml:space="preserve">  (</w:t>
      </w:r>
      <w:proofErr w:type="gramEnd"/>
      <w:r>
        <w:rPr>
          <w:rFonts w:ascii="Calibri" w:hAnsi="Calibri" w:cs="Calibri"/>
          <w:color w:val="000000"/>
          <w:kern w:val="24"/>
          <w:sz w:val="24"/>
          <w:szCs w:val="24"/>
          <w:lang w:eastAsia="en-AU"/>
        </w:rPr>
        <w:t xml:space="preserve">excluding the </w:t>
      </w:r>
      <w:proofErr w:type="spellStart"/>
      <w:r>
        <w:rPr>
          <w:rFonts w:ascii="Calibri" w:hAnsi="Calibri" w:cs="Calibri"/>
          <w:color w:val="000000"/>
          <w:kern w:val="24"/>
          <w:sz w:val="24"/>
          <w:szCs w:val="24"/>
          <w:lang w:eastAsia="en-AU"/>
        </w:rPr>
        <w:t>Woocoo</w:t>
      </w:r>
      <w:proofErr w:type="spellEnd"/>
      <w:r>
        <w:rPr>
          <w:rFonts w:ascii="Calibri" w:hAnsi="Calibri" w:cs="Calibri"/>
          <w:color w:val="000000"/>
          <w:kern w:val="24"/>
          <w:sz w:val="24"/>
          <w:szCs w:val="24"/>
          <w:lang w:eastAsia="en-AU"/>
        </w:rPr>
        <w:t>-Tiaro Statistical Local Area (SLA)) and includes the Gladstone – Miriam Vale SLA.</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b/>
          <w:bCs/>
          <w:color w:val="000000"/>
          <w:kern w:val="24"/>
          <w:sz w:val="24"/>
          <w:szCs w:val="24"/>
          <w:lang w:eastAsia="en-AU"/>
        </w:rPr>
      </w:pPr>
      <w:r>
        <w:rPr>
          <w:rFonts w:ascii="Calibri" w:hAnsi="Calibri" w:cs="Calibri"/>
          <w:b/>
          <w:bCs/>
          <w:color w:val="000000"/>
          <w:kern w:val="24"/>
          <w:sz w:val="24"/>
          <w:szCs w:val="24"/>
          <w:lang w:eastAsia="en-AU"/>
        </w:rPr>
        <w:t xml:space="preserve">Bundaberg-Hervey Bay PEA - </w:t>
      </w:r>
      <w:proofErr w:type="spellStart"/>
      <w:r>
        <w:rPr>
          <w:rFonts w:ascii="Calibri" w:hAnsi="Calibri" w:cs="Calibri"/>
          <w:b/>
          <w:bCs/>
          <w:color w:val="000000"/>
          <w:kern w:val="24"/>
          <w:sz w:val="24"/>
          <w:szCs w:val="24"/>
          <w:lang w:eastAsia="en-AU"/>
        </w:rPr>
        <w:t>SLAs</w:t>
      </w:r>
      <w:proofErr w:type="spellEnd"/>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Bundaberg (R) - Bundaberg</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Bundaberg (R) - Burnett </w:t>
      </w:r>
      <w:proofErr w:type="spellStart"/>
      <w:r>
        <w:rPr>
          <w:rFonts w:ascii="Calibri" w:hAnsi="Calibri" w:cs="Calibri"/>
          <w:color w:val="000000"/>
          <w:kern w:val="24"/>
          <w:sz w:val="24"/>
          <w:szCs w:val="24"/>
          <w:lang w:eastAsia="en-AU"/>
        </w:rPr>
        <w:t>Pt</w:t>
      </w:r>
      <w:proofErr w:type="spellEnd"/>
      <w:r>
        <w:rPr>
          <w:rFonts w:ascii="Calibri" w:hAnsi="Calibri" w:cs="Calibri"/>
          <w:color w:val="000000"/>
          <w:kern w:val="24"/>
          <w:sz w:val="24"/>
          <w:szCs w:val="24"/>
          <w:lang w:eastAsia="en-AU"/>
        </w:rPr>
        <w:t xml:space="preserve"> A</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val="nn-NO" w:eastAsia="en-AU"/>
        </w:rPr>
        <w:t>Bundaberg (R) - Burnett Pt B</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Bundaberg (R) - Isis</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Bundaberg (R) – </w:t>
      </w:r>
      <w:proofErr w:type="spellStart"/>
      <w:r>
        <w:rPr>
          <w:rFonts w:ascii="Calibri" w:hAnsi="Calibri" w:cs="Calibri"/>
          <w:color w:val="000000"/>
          <w:kern w:val="24"/>
          <w:sz w:val="24"/>
          <w:szCs w:val="24"/>
          <w:lang w:eastAsia="en-AU"/>
        </w:rPr>
        <w:t>Kolan</w:t>
      </w:r>
      <w:proofErr w:type="spellEnd"/>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Fraser Coast (R) - Hervey Bay </w:t>
      </w:r>
      <w:proofErr w:type="spellStart"/>
      <w:r>
        <w:rPr>
          <w:rFonts w:ascii="Calibri" w:hAnsi="Calibri" w:cs="Calibri"/>
          <w:color w:val="000000"/>
          <w:kern w:val="24"/>
          <w:sz w:val="24"/>
          <w:szCs w:val="24"/>
          <w:lang w:eastAsia="en-AU"/>
        </w:rPr>
        <w:t>Pt</w:t>
      </w:r>
      <w:proofErr w:type="spellEnd"/>
      <w:r>
        <w:rPr>
          <w:rFonts w:ascii="Calibri" w:hAnsi="Calibri" w:cs="Calibri"/>
          <w:color w:val="000000"/>
          <w:kern w:val="24"/>
          <w:sz w:val="24"/>
          <w:szCs w:val="24"/>
          <w:lang w:eastAsia="en-AU"/>
        </w:rPr>
        <w:t xml:space="preserve"> A</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Fraser Coast (R) - Hervey Bay </w:t>
      </w:r>
      <w:proofErr w:type="spellStart"/>
      <w:r>
        <w:rPr>
          <w:rFonts w:ascii="Calibri" w:hAnsi="Calibri" w:cs="Calibri"/>
          <w:color w:val="000000"/>
          <w:kern w:val="24"/>
          <w:sz w:val="24"/>
          <w:szCs w:val="24"/>
          <w:lang w:eastAsia="en-AU"/>
        </w:rPr>
        <w:t>Pt</w:t>
      </w:r>
      <w:proofErr w:type="spellEnd"/>
      <w:r>
        <w:rPr>
          <w:rFonts w:ascii="Calibri" w:hAnsi="Calibri" w:cs="Calibri"/>
          <w:color w:val="000000"/>
          <w:kern w:val="24"/>
          <w:sz w:val="24"/>
          <w:szCs w:val="24"/>
          <w:lang w:eastAsia="en-AU"/>
        </w:rPr>
        <w:t xml:space="preserve"> B</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Fraser Coast (R) – Maryborough</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Gladstone (R) - Miriam Vale</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Please Note: The Fraser Coast </w:t>
      </w:r>
      <w:proofErr w:type="spell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 xml:space="preserve"> referred to in this presentation does not include the </w:t>
      </w:r>
      <w:proofErr w:type="spellStart"/>
      <w:r>
        <w:rPr>
          <w:rFonts w:ascii="Calibri" w:hAnsi="Calibri" w:cs="Calibri"/>
          <w:color w:val="000000"/>
          <w:kern w:val="24"/>
          <w:sz w:val="24"/>
          <w:szCs w:val="24"/>
          <w:lang w:eastAsia="en-AU"/>
        </w:rPr>
        <w:t>Woocoo</w:t>
      </w:r>
      <w:proofErr w:type="spellEnd"/>
      <w:r>
        <w:rPr>
          <w:rFonts w:ascii="Calibri" w:hAnsi="Calibri" w:cs="Calibri"/>
          <w:color w:val="000000"/>
          <w:kern w:val="24"/>
          <w:sz w:val="24"/>
          <w:szCs w:val="24"/>
          <w:lang w:eastAsia="en-AU"/>
        </w:rPr>
        <w:t>-Tiaro SLA</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Bundaberg-Hervey Bay PEA comprises 65 per cent of the Wide Bay-Burnett Labour Force Region (</w:t>
      </w:r>
      <w:proofErr w:type="spellStart"/>
      <w:r>
        <w:rPr>
          <w:rFonts w:ascii="Calibri" w:hAnsi="Calibri" w:cs="Calibri"/>
          <w:color w:val="000000"/>
          <w:kern w:val="24"/>
          <w:sz w:val="24"/>
          <w:szCs w:val="24"/>
          <w:lang w:eastAsia="en-AU"/>
        </w:rPr>
        <w:t>LFR</w:t>
      </w:r>
      <w:proofErr w:type="spellEnd"/>
      <w:r>
        <w:rPr>
          <w:rFonts w:ascii="Calibri" w:hAnsi="Calibri" w:cs="Calibri"/>
          <w:color w:val="000000"/>
          <w:kern w:val="24"/>
          <w:sz w:val="24"/>
          <w:szCs w:val="24"/>
          <w:lang w:eastAsia="en-AU"/>
        </w:rPr>
        <w:t>).</w:t>
      </w:r>
    </w:p>
    <w:p w:rsidR="00962A5A" w:rsidRDefault="00962A5A" w:rsidP="00962A5A">
      <w:pPr>
        <w:autoSpaceDE w:val="0"/>
        <w:autoSpaceDN w:val="0"/>
        <w:adjustRightInd w:val="0"/>
        <w:rPr>
          <w:rFonts w:ascii="Calibri" w:hAnsi="Calibri" w:cs="Calibri"/>
          <w:color w:val="000000"/>
          <w:kern w:val="24"/>
          <w:sz w:val="24"/>
          <w:szCs w:val="24"/>
          <w:lang w:eastAsia="en-AU"/>
        </w:rPr>
      </w:pPr>
      <w:bookmarkStart w:id="0" w:name="_GoBack"/>
      <w:bookmarkEnd w:id="0"/>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3</w:t>
      </w:r>
    </w:p>
    <w:p w:rsidR="00962A5A" w:rsidRDefault="00962A5A" w:rsidP="00962A5A">
      <w:pPr>
        <w:spacing w:line="360" w:lineRule="auto"/>
      </w:pPr>
    </w:p>
    <w:p w:rsidR="00962A5A" w:rsidRDefault="00962A5A" w:rsidP="00962A5A">
      <w:pPr>
        <w:spacing w:line="360" w:lineRule="auto"/>
        <w:jc w:val="center"/>
      </w:pPr>
      <w:r>
        <w:object w:dxaOrig="7187" w:dyaOrig="5385">
          <v:shape id="_x0000_i1035" type="#_x0000_t75" style="width:269.6pt;height:202.2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35" DrawAspect="Content" ObjectID="_1456137620" r:id="rId11"/>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Area profile</w:t>
      </w:r>
    </w:p>
    <w:p w:rsidR="00962A5A" w:rsidRDefault="00962A5A" w:rsidP="00962A5A">
      <w:pPr>
        <w:autoSpaceDE w:val="0"/>
        <w:autoSpaceDN w:val="0"/>
        <w:adjustRightInd w:val="0"/>
        <w:rPr>
          <w:rFonts w:ascii="Calibri" w:hAnsi="Times New Roman" w:cs="Calibri"/>
          <w:i/>
          <w:iCs/>
          <w:color w:val="000000"/>
          <w:kern w:val="24"/>
          <w:sz w:val="24"/>
          <w:szCs w:val="24"/>
          <w:lang w:eastAsia="en-AU"/>
        </w:rPr>
      </w:pPr>
      <w:r>
        <w:rPr>
          <w:rFonts w:ascii="Calibri" w:hAnsi="Times New Roman" w:cs="Calibri"/>
          <w:i/>
          <w:iCs/>
          <w:color w:val="000000"/>
          <w:kern w:val="24"/>
          <w:sz w:val="24"/>
          <w:szCs w:val="24"/>
          <w:lang w:eastAsia="en-AU"/>
        </w:rPr>
        <w:t>Sources: ABS, Census of Population and Housing, 2006 &amp; 2011</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adult population in the Bundaberg-Hervey Bay PEA grew by 11 per cent in the five years to August 2011 to stand at 147,700.  This growth was similar to Queensland (12 per cent) but larger than Australia (9 per cent).  The working age population in the PEA grew by 8 per cent which was similar to Queensland </w:t>
      </w:r>
      <w:r>
        <w:rPr>
          <w:rFonts w:ascii="Calibri" w:hAnsi="Calibri" w:cs="Calibri"/>
          <w:color w:val="000000"/>
          <w:kern w:val="24"/>
          <w:sz w:val="24"/>
          <w:szCs w:val="24"/>
          <w:lang w:eastAsia="en-AU"/>
        </w:rPr>
        <w:br/>
        <w:t>(10 per cent) and Australia (8 per cent).</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median age is higher than the state average (44 years compared with 36 years respectively).</w:t>
      </w:r>
    </w:p>
    <w:p w:rsidR="00962A5A" w:rsidRDefault="00962A5A" w:rsidP="00962A5A">
      <w:pPr>
        <w:autoSpaceDE w:val="0"/>
        <w:autoSpaceDN w:val="0"/>
        <w:adjustRightInd w:val="0"/>
        <w:rPr>
          <w:rFonts w:ascii="Calibri" w:hAnsi="Calibri" w:cs="Calibri"/>
          <w:color w:val="000000"/>
          <w:szCs w:val="22"/>
          <w:lang w:eastAsia="en-AU"/>
        </w:rPr>
      </w:pPr>
    </w:p>
    <w:p w:rsidR="00962A5A" w:rsidRDefault="00962A5A" w:rsidP="00962A5A">
      <w:pPr>
        <w:autoSpaceDE w:val="0"/>
        <w:autoSpaceDN w:val="0"/>
        <w:adjustRightInd w:val="0"/>
        <w:rPr>
          <w:rFonts w:ascii="Calibri" w:hAnsi="Calibri" w:cs="Calibri"/>
          <w:color w:val="000000"/>
          <w:szCs w:val="22"/>
          <w:lang w:eastAsia="en-AU"/>
        </w:rPr>
      </w:pP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4</w:t>
      </w:r>
    </w:p>
    <w:p w:rsidR="00962A5A" w:rsidRDefault="00962A5A" w:rsidP="00962A5A">
      <w:pPr>
        <w:spacing w:line="360" w:lineRule="auto"/>
      </w:pPr>
    </w:p>
    <w:p w:rsidR="00962A5A" w:rsidRDefault="00962A5A" w:rsidP="00962A5A">
      <w:pPr>
        <w:spacing w:line="360" w:lineRule="auto"/>
        <w:jc w:val="center"/>
      </w:pPr>
      <w:r>
        <w:object w:dxaOrig="7187" w:dyaOrig="5385">
          <v:shape id="_x0000_i1040" type="#_x0000_t75" style="width:269.6pt;height:202.2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40" DrawAspect="Content" ObjectID="_1456137621" r:id="rId13"/>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Age distribution – Bundaberg-Hervey Bay PEA</w:t>
      </w:r>
    </w:p>
    <w:p w:rsidR="00962A5A" w:rsidRDefault="00962A5A" w:rsidP="00962A5A">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Estimated Residential Population, 1991-2011</w:t>
      </w:r>
    </w:p>
    <w:p w:rsidR="00962A5A" w:rsidRDefault="00962A5A" w:rsidP="00962A5A">
      <w:pPr>
        <w:autoSpaceDE w:val="0"/>
        <w:autoSpaceDN w:val="0"/>
        <w:adjustRightInd w:val="0"/>
        <w:rPr>
          <w:rFonts w:ascii="Calibri" w:hAnsi="Calibri" w:cs="Calibri"/>
          <w:i/>
          <w:iCs/>
          <w:color w:val="000000"/>
          <w:kern w:val="24"/>
          <w:sz w:val="24"/>
          <w:szCs w:val="24"/>
          <w:lang w:eastAsia="en-AU"/>
        </w:rPr>
      </w:pPr>
    </w:p>
    <w:p w:rsidR="00962A5A" w:rsidRDefault="00962A5A" w:rsidP="00962A5A">
      <w:pPr>
        <w:autoSpaceDE w:val="0"/>
        <w:autoSpaceDN w:val="0"/>
        <w:adjustRightInd w:val="0"/>
        <w:rPr>
          <w:rFonts w:ascii="Calibri" w:hAnsi="Times New Roman" w:cs="Calibri"/>
          <w:color w:val="000000"/>
          <w:kern w:val="24"/>
          <w:sz w:val="24"/>
          <w:szCs w:val="24"/>
          <w:lang w:eastAsia="en-AU"/>
        </w:rPr>
      </w:pPr>
      <w:r>
        <w:rPr>
          <w:rFonts w:ascii="Calibri" w:hAnsi="Calibri" w:cs="Calibri"/>
          <w:color w:val="000000"/>
          <w:kern w:val="24"/>
          <w:sz w:val="24"/>
          <w:szCs w:val="24"/>
          <w:lang w:eastAsia="en-AU"/>
        </w:rPr>
        <w:t xml:space="preserve">This graph shows the age distributions of the Bundaberg-Hervey Bay PEA from 1991 – 2011. </w:t>
      </w:r>
      <w:r>
        <w:rPr>
          <w:rFonts w:ascii="Calibri" w:hAnsi="Times New Roman" w:cs="Calibri"/>
          <w:color w:val="000000"/>
          <w:kern w:val="24"/>
          <w:sz w:val="24"/>
          <w:szCs w:val="24"/>
          <w:lang w:eastAsia="en-AU"/>
        </w:rPr>
        <w:t xml:space="preserve">The age distribution of the </w:t>
      </w:r>
      <w:r>
        <w:rPr>
          <w:rFonts w:ascii="Calibri" w:hAnsi="Calibri" w:cs="Calibri"/>
          <w:color w:val="000000"/>
          <w:kern w:val="24"/>
          <w:sz w:val="24"/>
          <w:szCs w:val="24"/>
          <w:lang w:eastAsia="en-AU"/>
        </w:rPr>
        <w:t xml:space="preserve">PEA </w:t>
      </w:r>
      <w:r>
        <w:rPr>
          <w:rFonts w:ascii="Calibri" w:hAnsi="Times New Roman" w:cs="Calibri"/>
          <w:color w:val="000000"/>
          <w:kern w:val="24"/>
          <w:sz w:val="24"/>
          <w:szCs w:val="24"/>
          <w:lang w:eastAsia="en-AU"/>
        </w:rPr>
        <w:t xml:space="preserve">shows a movement towards the older age brackets, suggesting an ageing population. </w:t>
      </w:r>
    </w:p>
    <w:p w:rsidR="00962A5A" w:rsidRDefault="00962A5A" w:rsidP="00962A5A">
      <w:pPr>
        <w:autoSpaceDE w:val="0"/>
        <w:autoSpaceDN w:val="0"/>
        <w:adjustRightInd w:val="0"/>
        <w:rPr>
          <w:rFonts w:ascii="Calibri" w:hAnsi="Times New Roman"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5</w:t>
      </w:r>
    </w:p>
    <w:p w:rsidR="00962A5A" w:rsidRDefault="00962A5A" w:rsidP="00962A5A">
      <w:pPr>
        <w:spacing w:line="360" w:lineRule="auto"/>
      </w:pPr>
    </w:p>
    <w:p w:rsidR="00962A5A" w:rsidRDefault="00962A5A" w:rsidP="00962A5A">
      <w:pPr>
        <w:spacing w:line="360" w:lineRule="auto"/>
        <w:jc w:val="center"/>
      </w:pPr>
      <w:r>
        <w:object w:dxaOrig="7187" w:dyaOrig="5385">
          <v:shape id="_x0000_i1045" type="#_x0000_t75" style="width:269.6pt;height:202.2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45" DrawAspect="Content" ObjectID="_1456137622" r:id="rId15"/>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Consistently high unemployment rate</w:t>
      </w:r>
    </w:p>
    <w:p w:rsidR="00962A5A" w:rsidRDefault="00962A5A" w:rsidP="00962A5A">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Department of Employment Small Area Labour Markets, December Quarter 2013 (smoothed); ABS Labour Force, Australia, December 2013</w:t>
      </w:r>
    </w:p>
    <w:p w:rsidR="00962A5A" w:rsidRDefault="00962A5A" w:rsidP="00962A5A">
      <w:pPr>
        <w:autoSpaceDE w:val="0"/>
        <w:autoSpaceDN w:val="0"/>
        <w:adjustRightInd w:val="0"/>
        <w:rPr>
          <w:rFonts w:ascii="Calibri" w:hAnsi="Times New Roman" w:cs="Calibri"/>
          <w:i/>
          <w:iCs/>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unemployment rate for both the Bundaberg-Hervey Bay PEA (9.0 per cent) and the Bundaberg </w:t>
      </w:r>
      <w:proofErr w:type="spell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 xml:space="preserve"> (8.5 per cent) is higher than the national unemployment rate (6.0 per cent). </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unemployment rate has remained consistently above the national unemployment rate in both the PEA and the </w:t>
      </w:r>
      <w:proofErr w:type="spell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 xml:space="preserve"> since March 2008.</w:t>
      </w:r>
    </w:p>
    <w:p w:rsidR="00962A5A" w:rsidRDefault="00962A5A" w:rsidP="00962A5A">
      <w:pPr>
        <w:autoSpaceDE w:val="0"/>
        <w:autoSpaceDN w:val="0"/>
        <w:adjustRightInd w:val="0"/>
        <w:rPr>
          <w:rFonts w:cs="Arial"/>
          <w:color w:val="000000"/>
          <w:kern w:val="24"/>
          <w:sz w:val="24"/>
          <w:szCs w:val="24"/>
          <w:lang w:eastAsia="en-AU"/>
        </w:rPr>
      </w:pPr>
    </w:p>
    <w:p w:rsidR="00962A5A" w:rsidRDefault="00962A5A" w:rsidP="00962A5A">
      <w:pPr>
        <w:autoSpaceDE w:val="0"/>
        <w:autoSpaceDN w:val="0"/>
        <w:adjustRightInd w:val="0"/>
        <w:rPr>
          <w:rFonts w:cs="Arial"/>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 </w:t>
      </w: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6</w:t>
      </w:r>
    </w:p>
    <w:p w:rsidR="00962A5A" w:rsidRDefault="00962A5A" w:rsidP="00962A5A">
      <w:pPr>
        <w:spacing w:line="360" w:lineRule="auto"/>
      </w:pPr>
    </w:p>
    <w:p w:rsidR="00962A5A" w:rsidRDefault="00962A5A" w:rsidP="00962A5A">
      <w:pPr>
        <w:spacing w:line="360" w:lineRule="auto"/>
        <w:jc w:val="center"/>
      </w:pPr>
      <w:r>
        <w:object w:dxaOrig="7187" w:dyaOrig="5385">
          <v:shape id="_x0000_i1050" type="#_x0000_t75" style="width:269.6pt;height:202.2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50" DrawAspect="Content" ObjectID="_1456137623" r:id="rId17"/>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Unemployment rate and average duration of unemployment (Australia)</w:t>
      </w:r>
    </w:p>
    <w:p w:rsidR="00962A5A" w:rsidRDefault="00962A5A" w:rsidP="00962A5A">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xml:space="preserve">Source: ABS, Labour Force, December 2013 (12 month average); ABS, Labour Force, January 2014 (12 month average) </w:t>
      </w:r>
    </w:p>
    <w:p w:rsidR="00962A5A" w:rsidRDefault="00962A5A" w:rsidP="00962A5A">
      <w:pPr>
        <w:autoSpaceDE w:val="0"/>
        <w:autoSpaceDN w:val="0"/>
        <w:adjustRightInd w:val="0"/>
        <w:rPr>
          <w:rFonts w:cs="Arial"/>
          <w:b/>
          <w:bCs/>
          <w:color w:val="000000"/>
          <w:kern w:val="24"/>
          <w:sz w:val="24"/>
          <w:szCs w:val="24"/>
          <w:u w:val="single"/>
          <w:lang w:eastAsia="en-AU"/>
        </w:rPr>
      </w:pP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7</w:t>
      </w:r>
    </w:p>
    <w:p w:rsidR="00962A5A" w:rsidRDefault="00962A5A" w:rsidP="00962A5A">
      <w:pPr>
        <w:spacing w:line="360" w:lineRule="auto"/>
      </w:pPr>
    </w:p>
    <w:p w:rsidR="00962A5A" w:rsidRDefault="00962A5A" w:rsidP="00962A5A">
      <w:pPr>
        <w:spacing w:line="360" w:lineRule="auto"/>
        <w:jc w:val="center"/>
      </w:pPr>
      <w:r>
        <w:object w:dxaOrig="7187" w:dyaOrig="5385">
          <v:shape id="_x0000_i1055" type="#_x0000_t75" style="width:269.6pt;height:202.2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55" DrawAspect="Content" ObjectID="_1456137624" r:id="rId19"/>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Who is unemployed?</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Source: ABS Census of Population and Housing, 2011</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70 per cent of unemployed people in the Bundaberg-Hervey Bay PEA were aged 45 years and under. </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  </w:t>
      </w:r>
      <w:r>
        <w:rPr>
          <w:rFonts w:ascii="Calibri" w:hAnsi="Calibri" w:cs="Calibri"/>
          <w:color w:val="000000"/>
          <w:kern w:val="24"/>
          <w:sz w:val="24"/>
          <w:szCs w:val="24"/>
          <w:lang w:eastAsia="en-AU"/>
        </w:rPr>
        <w:br/>
        <w:t xml:space="preserve">2,700 (38 per cent) were male and 2,200 (32 per cent) were female. </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30 per cent of unemployed people in the PEA were aged 45 years and over. </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1,200 (17 per cent) were male and 900 (13 per cent) were female. </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8</w:t>
      </w:r>
    </w:p>
    <w:p w:rsidR="00962A5A" w:rsidRDefault="00962A5A" w:rsidP="00962A5A">
      <w:pPr>
        <w:spacing w:line="360" w:lineRule="auto"/>
      </w:pPr>
    </w:p>
    <w:p w:rsidR="00962A5A" w:rsidRDefault="00962A5A" w:rsidP="00962A5A">
      <w:pPr>
        <w:spacing w:line="360" w:lineRule="auto"/>
        <w:jc w:val="center"/>
      </w:pPr>
      <w:r>
        <w:object w:dxaOrig="7187" w:dyaOrig="5385">
          <v:shape id="_x0000_i1060" type="#_x0000_t75" style="width:269.6pt;height:202.2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60" DrawAspect="Content" ObjectID="_1456137625" r:id="rId21"/>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 xml:space="preserve">More teens looking for full-time work - Persons aged 15 – 19 years </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Source: ABS Labour Force Data, December 2013, (12 month averages of original data)</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Due to their lack of skills and experience, teenagers in the full-time labour market can be particularly vulnerable during a labour market downturn. The teenage full-time unemployment rate is based on people aged 15 – 19 years old who are searching for full-time employment.</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teenage full-time unemployment rate for the </w:t>
      </w:r>
      <w:r>
        <w:rPr>
          <w:rFonts w:ascii="Calibri" w:hAnsi="Times New Roman" w:cs="Calibri"/>
          <w:color w:val="000000"/>
          <w:kern w:val="24"/>
          <w:sz w:val="24"/>
          <w:szCs w:val="24"/>
          <w:lang w:eastAsia="en-AU"/>
        </w:rPr>
        <w:t xml:space="preserve">Wide Bay-Burnett </w:t>
      </w:r>
      <w:proofErr w:type="spellStart"/>
      <w:r>
        <w:rPr>
          <w:rFonts w:ascii="Calibri" w:hAnsi="Calibri" w:cs="Calibri"/>
          <w:color w:val="000000"/>
          <w:kern w:val="24"/>
          <w:sz w:val="24"/>
          <w:szCs w:val="24"/>
          <w:lang w:eastAsia="en-AU"/>
        </w:rPr>
        <w:t>LFR</w:t>
      </w:r>
      <w:proofErr w:type="spellEnd"/>
      <w:r>
        <w:rPr>
          <w:rFonts w:ascii="Calibri" w:hAnsi="Calibri" w:cs="Calibri"/>
          <w:color w:val="000000"/>
          <w:kern w:val="24"/>
          <w:sz w:val="24"/>
          <w:szCs w:val="24"/>
          <w:lang w:eastAsia="en-AU"/>
        </w:rPr>
        <w:t xml:space="preserve"> was </w:t>
      </w:r>
      <w:r>
        <w:rPr>
          <w:rFonts w:ascii="Calibri" w:hAnsi="Calibri" w:cs="Calibri"/>
          <w:color w:val="000000"/>
          <w:kern w:val="24"/>
          <w:sz w:val="24"/>
          <w:szCs w:val="24"/>
          <w:lang w:eastAsia="en-AU"/>
        </w:rPr>
        <w:br/>
        <w:t xml:space="preserve">38.4 per cent in December 2013, an increase of 9.1 percentage points since December 2012. This was higher than the rate for Queensland (28.3 per cent) and Australia </w:t>
      </w:r>
      <w:r>
        <w:rPr>
          <w:rFonts w:ascii="Calibri" w:hAnsi="Calibri" w:cs="Calibri"/>
          <w:color w:val="000000"/>
          <w:kern w:val="24"/>
          <w:sz w:val="24"/>
          <w:szCs w:val="24"/>
          <w:lang w:eastAsia="en-AU"/>
        </w:rPr>
        <w:br/>
        <w:t xml:space="preserve">(25.8 per cent). </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teenage full-time unemployment to population ratio was also higher in the </w:t>
      </w:r>
      <w:r>
        <w:rPr>
          <w:rFonts w:ascii="Calibri" w:hAnsi="Times New Roman" w:cs="Calibri"/>
          <w:color w:val="000000"/>
          <w:kern w:val="24"/>
          <w:sz w:val="24"/>
          <w:szCs w:val="24"/>
          <w:lang w:eastAsia="en-AU"/>
        </w:rPr>
        <w:t xml:space="preserve">Wide Bay-Burnett </w:t>
      </w:r>
      <w:proofErr w:type="spellStart"/>
      <w:r>
        <w:rPr>
          <w:rFonts w:ascii="Calibri" w:hAnsi="Calibri" w:cs="Calibri"/>
          <w:color w:val="000000"/>
          <w:kern w:val="24"/>
          <w:sz w:val="24"/>
          <w:szCs w:val="24"/>
          <w:lang w:eastAsia="en-AU"/>
        </w:rPr>
        <w:t>LFR</w:t>
      </w:r>
      <w:proofErr w:type="spellEnd"/>
      <w:r>
        <w:rPr>
          <w:rFonts w:ascii="Calibri" w:hAnsi="Calibri" w:cs="Calibri"/>
          <w:color w:val="000000"/>
          <w:kern w:val="24"/>
          <w:sz w:val="24"/>
          <w:szCs w:val="24"/>
          <w:lang w:eastAsia="en-AU"/>
        </w:rPr>
        <w:t xml:space="preserve"> (8.5 per cent) when compared with Queensland (5.5 per cent) and Australia (4.1 per cent). </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9</w:t>
      </w:r>
    </w:p>
    <w:p w:rsidR="00962A5A" w:rsidRDefault="00962A5A" w:rsidP="00962A5A">
      <w:pPr>
        <w:spacing w:line="360" w:lineRule="auto"/>
      </w:pPr>
    </w:p>
    <w:p w:rsidR="00962A5A" w:rsidRDefault="00962A5A" w:rsidP="00962A5A">
      <w:pPr>
        <w:spacing w:line="360" w:lineRule="auto"/>
        <w:jc w:val="center"/>
      </w:pPr>
      <w:r>
        <w:object w:dxaOrig="7187" w:dyaOrig="5385">
          <v:shape id="_x0000_i1065" type="#_x0000_t75" style="width:269.6pt;height:202.2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65" DrawAspect="Content" ObjectID="_1456137626" r:id="rId23"/>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1 in 5 young people are neither studying nor working</w:t>
      </w:r>
    </w:p>
    <w:p w:rsidR="00962A5A" w:rsidRDefault="00962A5A" w:rsidP="00962A5A">
      <w:pPr>
        <w:autoSpaceDE w:val="0"/>
        <w:autoSpaceDN w:val="0"/>
        <w:adjustRightInd w:val="0"/>
        <w:rPr>
          <w:rFonts w:ascii="Calibri" w:hAnsi="Times New Roman" w:cs="Calibri"/>
          <w:i/>
          <w:iCs/>
          <w:color w:val="000000"/>
          <w:kern w:val="24"/>
          <w:sz w:val="24"/>
          <w:szCs w:val="24"/>
          <w:lang w:eastAsia="en-AU"/>
        </w:rPr>
      </w:pPr>
      <w:r>
        <w:rPr>
          <w:rFonts w:ascii="Calibri" w:hAnsi="Times New Roman" w:cs="Calibri"/>
          <w:i/>
          <w:iCs/>
          <w:color w:val="000000"/>
          <w:kern w:val="24"/>
          <w:sz w:val="24"/>
          <w:szCs w:val="24"/>
          <w:lang w:eastAsia="en-AU"/>
        </w:rPr>
        <w:t>Source: ABS, Census of Population and Housing, 2011</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At the time of the 2011 Census, there were 17,805 15-24 year olds in the Bundaberg-Hervey Bay PEA, of whom 9,911 were not studying. </w:t>
      </w:r>
    </w:p>
    <w:p w:rsidR="00962A5A" w:rsidRDefault="00962A5A" w:rsidP="00962A5A">
      <w:pPr>
        <w:numPr>
          <w:ilvl w:val="0"/>
          <w:numId w:val="1"/>
        </w:numPr>
        <w:autoSpaceDE w:val="0"/>
        <w:autoSpaceDN w:val="0"/>
        <w:adjustRightInd w:val="0"/>
        <w:ind w:left="280" w:hanging="280"/>
        <w:rPr>
          <w:rFonts w:ascii="Calibri" w:hAnsi="Calibri" w:cs="Calibri"/>
          <w:color w:val="000000"/>
          <w:kern w:val="24"/>
          <w:sz w:val="24"/>
          <w:szCs w:val="24"/>
          <w:lang w:eastAsia="en-AU"/>
        </w:rPr>
      </w:pPr>
      <w:r>
        <w:rPr>
          <w:rFonts w:ascii="Calibri" w:hAnsi="Calibri" w:cs="Calibri"/>
          <w:color w:val="000000"/>
          <w:kern w:val="24"/>
          <w:sz w:val="24"/>
          <w:szCs w:val="24"/>
          <w:lang w:eastAsia="en-AU"/>
        </w:rPr>
        <w:t>Of the 9,911 who were not studying, those who did not complete year 12, whether they’re employed or not employed, are vulnerable and may have difficulty entering the labour market</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b/>
          <w:bCs/>
          <w:color w:val="000000"/>
          <w:kern w:val="24"/>
          <w:sz w:val="24"/>
          <w:szCs w:val="24"/>
          <w:lang w:eastAsia="en-AU"/>
        </w:rPr>
        <w:t xml:space="preserve">Note: </w:t>
      </w:r>
      <w:r>
        <w:rPr>
          <w:rFonts w:ascii="Calibri" w:hAnsi="Calibri" w:cs="Calibri"/>
          <w:color w:val="000000"/>
          <w:kern w:val="24"/>
          <w:sz w:val="24"/>
          <w:szCs w:val="24"/>
          <w:lang w:eastAsia="en-AU"/>
        </w:rPr>
        <w:t>Not stated records for FT/PT Student Status, Labour Force Status and Highest Year of School Completed have not been included.</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10</w:t>
      </w:r>
    </w:p>
    <w:p w:rsidR="00962A5A" w:rsidRDefault="00962A5A" w:rsidP="00962A5A">
      <w:pPr>
        <w:spacing w:line="360" w:lineRule="auto"/>
      </w:pPr>
    </w:p>
    <w:p w:rsidR="00962A5A" w:rsidRDefault="00962A5A" w:rsidP="00962A5A">
      <w:pPr>
        <w:spacing w:line="360" w:lineRule="auto"/>
        <w:jc w:val="center"/>
      </w:pPr>
      <w:r>
        <w:object w:dxaOrig="7187" w:dyaOrig="5385">
          <v:shape id="_x0000_i1070" type="#_x0000_t75" style="width:269.6pt;height:202.2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70" DrawAspect="Content" ObjectID="_1456137627" r:id="rId25"/>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Very low educational attainment among young people who stay in the region - Persons aged 25-34 years</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 xml:space="preserve">Source: ABS Census of Population and Housing, 2006 &amp; 2011 </w:t>
      </w:r>
    </w:p>
    <w:p w:rsidR="00962A5A" w:rsidRDefault="00962A5A" w:rsidP="00962A5A">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At the time of the 2011 Census, the proportion of 25 to 34 year olds in the Bundaberg-Hervey Bay PEA who had completed Year 12 or equivalent was </w:t>
      </w:r>
      <w:r>
        <w:rPr>
          <w:rFonts w:ascii="Calibri" w:hAnsi="Calibri" w:cs="Calibri"/>
          <w:color w:val="000000"/>
          <w:kern w:val="24"/>
          <w:sz w:val="24"/>
          <w:szCs w:val="24"/>
          <w:lang w:eastAsia="en-AU"/>
        </w:rPr>
        <w:br/>
        <w:t xml:space="preserve">59 per cent, lower than Australia (75 per cent). 61 per cent of 25 to 34 year olds in the Bundaberg </w:t>
      </w:r>
      <w:proofErr w:type="spell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 xml:space="preserve"> completed Year 12. </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Job seekers who have not completed Year 12 and have limited experience in the workforce are likely to lack many basic employability skills that employers value and look for in applicants, particularly for lower skilled vacancies and entry level positions such as apprenticeships and traineeships. </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11</w:t>
      </w:r>
    </w:p>
    <w:p w:rsidR="00962A5A" w:rsidRDefault="00962A5A" w:rsidP="00962A5A">
      <w:pPr>
        <w:spacing w:line="360" w:lineRule="auto"/>
      </w:pPr>
    </w:p>
    <w:p w:rsidR="00962A5A" w:rsidRDefault="00962A5A" w:rsidP="00962A5A">
      <w:pPr>
        <w:spacing w:line="360" w:lineRule="auto"/>
        <w:jc w:val="center"/>
      </w:pPr>
      <w:r>
        <w:object w:dxaOrig="7187" w:dyaOrig="5385">
          <v:shape id="_x0000_i1075" type="#_x0000_t75" style="width:269.6pt;height:202.2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75" DrawAspect="Content" ObjectID="_1456137628" r:id="rId27"/>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b/>
          <w:bCs/>
          <w:color w:val="000000"/>
          <w:kern w:val="24"/>
          <w:sz w:val="24"/>
          <w:szCs w:val="24"/>
          <w:u w:val="single"/>
          <w:lang w:eastAsia="en-AU"/>
        </w:rPr>
        <w:t>Educational attainment and labour market outcomes – Bundaberg-Hervey Bay PEA – Persons aged 25-34 years</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Source: ABS Census of Population and Housing, 2011</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There is a strong relationship between educational attainment and employment outcomes. For those aged 25 to 34 years in the Bundaberg-Hervey Bay PEA, there were extremely high unemployment rates for those who had completed Certificate I &amp; II but had not completed Year 12 (28.4 per cent) and those who did not complete Year 12 without any further post school qualification (21.8 per cent). </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Unemployment rates are considerably lower for those who have completed a tertiary education at the Bachelor degree, Advanced Diploma and Diploma Level. It should also be noted that employment outcomes are better for those who have attained Certificate Levels III or IV. This emphasises the importance of post school education in ensuring success in gaining employment. </w:t>
      </w: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12</w:t>
      </w:r>
    </w:p>
    <w:p w:rsidR="00962A5A" w:rsidRDefault="00962A5A" w:rsidP="00962A5A">
      <w:pPr>
        <w:spacing w:line="360" w:lineRule="auto"/>
      </w:pPr>
    </w:p>
    <w:p w:rsidR="00962A5A" w:rsidRDefault="00962A5A" w:rsidP="00962A5A">
      <w:pPr>
        <w:spacing w:line="360" w:lineRule="auto"/>
        <w:jc w:val="center"/>
      </w:pPr>
      <w:r>
        <w:object w:dxaOrig="7187" w:dyaOrig="5385">
          <v:shape id="_x0000_i1080" type="#_x0000_t75" style="width:269.6pt;height:202.2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80" DrawAspect="Content" ObjectID="_1456137629" r:id="rId29"/>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Large proportion of income support recipients</w:t>
      </w:r>
    </w:p>
    <w:p w:rsidR="00962A5A" w:rsidRDefault="00962A5A" w:rsidP="00962A5A">
      <w:pPr>
        <w:autoSpaceDE w:val="0"/>
        <w:autoSpaceDN w:val="0"/>
        <w:adjustRightInd w:val="0"/>
        <w:rPr>
          <w:rFonts w:ascii="Calibri" w:hAnsi="Times New Roman" w:cs="Calibri"/>
          <w:i/>
          <w:iCs/>
          <w:color w:val="000000"/>
          <w:kern w:val="24"/>
          <w:sz w:val="24"/>
          <w:szCs w:val="24"/>
          <w:lang w:eastAsia="en-AU"/>
        </w:rPr>
      </w:pPr>
      <w:r>
        <w:rPr>
          <w:rFonts w:ascii="Calibri" w:hAnsi="Times New Roman" w:cs="Calibri"/>
          <w:i/>
          <w:iCs/>
          <w:color w:val="000000"/>
          <w:kern w:val="24"/>
          <w:sz w:val="24"/>
          <w:szCs w:val="24"/>
          <w:lang w:eastAsia="en-AU"/>
        </w:rPr>
        <w:t>Source:  Department of Employment administrative data, December 2013</w:t>
      </w:r>
      <w:proofErr w:type="gramStart"/>
      <w:r>
        <w:rPr>
          <w:rFonts w:ascii="Calibri" w:hAnsi="Times New Roman" w:cs="Calibri"/>
          <w:i/>
          <w:iCs/>
          <w:color w:val="000000"/>
          <w:kern w:val="24"/>
          <w:sz w:val="24"/>
          <w:szCs w:val="24"/>
          <w:lang w:eastAsia="en-AU"/>
        </w:rPr>
        <w:t>;  Estimated</w:t>
      </w:r>
      <w:proofErr w:type="gramEnd"/>
      <w:r>
        <w:rPr>
          <w:rFonts w:ascii="Calibri" w:hAnsi="Times New Roman" w:cs="Calibri"/>
          <w:i/>
          <w:iCs/>
          <w:color w:val="000000"/>
          <w:kern w:val="24"/>
          <w:sz w:val="24"/>
          <w:szCs w:val="24"/>
          <w:lang w:eastAsia="en-AU"/>
        </w:rPr>
        <w:t xml:space="preserve"> Resident Population, 2011 (working age population)</w:t>
      </w:r>
    </w:p>
    <w:p w:rsidR="00962A5A" w:rsidRDefault="00962A5A" w:rsidP="00962A5A">
      <w:pPr>
        <w:autoSpaceDE w:val="0"/>
        <w:autoSpaceDN w:val="0"/>
        <w:adjustRightInd w:val="0"/>
        <w:rPr>
          <w:rFonts w:ascii="Calibri" w:hAnsi="Calibri" w:cs="Calibri"/>
          <w:b/>
          <w:bCs/>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In December 2013, 15,800 people were in receipt of an income support payment in the Bundaberg </w:t>
      </w:r>
      <w:proofErr w:type="spell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w:t>
      </w:r>
    </w:p>
    <w:p w:rsidR="00962A5A" w:rsidRDefault="00962A5A" w:rsidP="00962A5A">
      <w:pPr>
        <w:autoSpaceDE w:val="0"/>
        <w:autoSpaceDN w:val="0"/>
        <w:adjustRightInd w:val="0"/>
        <w:rPr>
          <w:rFonts w:ascii="Calibri" w:hAnsi="Calibri" w:cs="Calibri"/>
          <w:b/>
          <w:bCs/>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In December 2013, 34,500 people (30 per cent of working age population) were in receipt of an income support benefit in the Bundaberg-Hervey Bay PEA. </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Some 11,700 people (10 per cent of the working age population) in the Bundaberg-Hervey Bay PEA were in receipt of an unemployment benefit.</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Some 11 per cent of the working age population (12,200) in the Bundaberg-Hervey Bay PEA are on Disability Support Pension (</w:t>
      </w:r>
      <w:proofErr w:type="spellStart"/>
      <w:r>
        <w:rPr>
          <w:rFonts w:ascii="Calibri" w:hAnsi="Calibri" w:cs="Calibri"/>
          <w:color w:val="000000"/>
          <w:kern w:val="24"/>
          <w:sz w:val="24"/>
          <w:szCs w:val="24"/>
          <w:lang w:eastAsia="en-AU"/>
        </w:rPr>
        <w:t>DSP</w:t>
      </w:r>
      <w:proofErr w:type="spellEnd"/>
      <w:r>
        <w:rPr>
          <w:rFonts w:ascii="Calibri" w:hAnsi="Calibri" w:cs="Calibri"/>
          <w:color w:val="000000"/>
          <w:kern w:val="24"/>
          <w:sz w:val="24"/>
          <w:szCs w:val="24"/>
          <w:lang w:eastAsia="en-AU"/>
        </w:rPr>
        <w:t xml:space="preserve">).  This is more than double when compared with Queensland and Australia (both 5 per cent). 9 per cent of the working age population (5,300) in the Bundaberg </w:t>
      </w:r>
      <w:proofErr w:type="spell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 xml:space="preserve"> are on Disability Support Pension (</w:t>
      </w:r>
      <w:proofErr w:type="spellStart"/>
      <w:r>
        <w:rPr>
          <w:rFonts w:ascii="Calibri" w:hAnsi="Calibri" w:cs="Calibri"/>
          <w:color w:val="000000"/>
          <w:kern w:val="24"/>
          <w:sz w:val="24"/>
          <w:szCs w:val="24"/>
          <w:lang w:eastAsia="en-AU"/>
        </w:rPr>
        <w:t>DSP</w:t>
      </w:r>
      <w:proofErr w:type="spellEnd"/>
      <w:r>
        <w:rPr>
          <w:rFonts w:ascii="Calibri" w:hAnsi="Calibri" w:cs="Calibri"/>
          <w:color w:val="000000"/>
          <w:kern w:val="24"/>
          <w:sz w:val="24"/>
          <w:szCs w:val="24"/>
          <w:lang w:eastAsia="en-AU"/>
        </w:rPr>
        <w:t>).</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b/>
          <w:bCs/>
          <w:color w:val="000000"/>
          <w:kern w:val="24"/>
          <w:sz w:val="24"/>
          <w:szCs w:val="24"/>
          <w:lang w:eastAsia="en-AU"/>
        </w:rPr>
      </w:pPr>
      <w:r>
        <w:rPr>
          <w:rFonts w:cs="Arial"/>
          <w:color w:val="000000"/>
          <w:kern w:val="24"/>
          <w:sz w:val="24"/>
          <w:szCs w:val="24"/>
          <w:lang w:eastAsia="en-AU"/>
        </w:rPr>
        <w:t xml:space="preserve">  </w:t>
      </w:r>
      <w:r>
        <w:rPr>
          <w:rFonts w:cs="Arial"/>
          <w:color w:val="000000"/>
          <w:kern w:val="24"/>
          <w:sz w:val="24"/>
          <w:szCs w:val="24"/>
          <w:lang w:eastAsia="en-AU"/>
        </w:rPr>
        <w:tab/>
      </w:r>
      <w:r>
        <w:rPr>
          <w:rFonts w:cs="Arial"/>
          <w:color w:val="000000"/>
          <w:kern w:val="24"/>
          <w:sz w:val="24"/>
          <w:szCs w:val="24"/>
          <w:lang w:eastAsia="en-AU"/>
        </w:rPr>
        <w:tab/>
      </w:r>
      <w:r>
        <w:rPr>
          <w:rFonts w:cs="Arial"/>
          <w:color w:val="000000"/>
          <w:kern w:val="24"/>
          <w:sz w:val="24"/>
          <w:szCs w:val="24"/>
          <w:lang w:eastAsia="en-AU"/>
        </w:rPr>
        <w:tab/>
      </w:r>
      <w:r>
        <w:rPr>
          <w:rFonts w:cs="Arial"/>
          <w:color w:val="000000"/>
          <w:kern w:val="24"/>
          <w:sz w:val="24"/>
          <w:szCs w:val="24"/>
          <w:lang w:eastAsia="en-AU"/>
        </w:rPr>
        <w:tab/>
      </w:r>
      <w:r>
        <w:rPr>
          <w:rFonts w:cs="Arial"/>
          <w:color w:val="000000"/>
          <w:kern w:val="24"/>
          <w:sz w:val="24"/>
          <w:szCs w:val="24"/>
          <w:lang w:eastAsia="en-AU"/>
        </w:rPr>
        <w:tab/>
      </w:r>
      <w:r>
        <w:rPr>
          <w:rFonts w:cs="Arial"/>
          <w:color w:val="000000"/>
          <w:kern w:val="24"/>
          <w:sz w:val="24"/>
          <w:szCs w:val="24"/>
          <w:lang w:eastAsia="en-AU"/>
        </w:rPr>
        <w:tab/>
      </w:r>
      <w:r>
        <w:rPr>
          <w:rFonts w:cs="Arial"/>
          <w:color w:val="000000"/>
          <w:kern w:val="24"/>
          <w:sz w:val="24"/>
          <w:szCs w:val="24"/>
          <w:lang w:eastAsia="en-AU"/>
        </w:rPr>
        <w:tab/>
      </w:r>
      <w:r>
        <w:rPr>
          <w:rFonts w:cs="Arial"/>
          <w:color w:val="000000"/>
          <w:kern w:val="24"/>
          <w:sz w:val="24"/>
          <w:szCs w:val="24"/>
          <w:lang w:eastAsia="en-AU"/>
        </w:rPr>
        <w:tab/>
      </w:r>
      <w:r>
        <w:rPr>
          <w:rFonts w:cs="Arial"/>
          <w:color w:val="000000"/>
          <w:kern w:val="24"/>
          <w:sz w:val="24"/>
          <w:szCs w:val="24"/>
          <w:lang w:eastAsia="en-AU"/>
        </w:rPr>
        <w:tab/>
      </w: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13</w:t>
      </w:r>
    </w:p>
    <w:p w:rsidR="00962A5A" w:rsidRDefault="00962A5A" w:rsidP="00962A5A">
      <w:pPr>
        <w:spacing w:line="360" w:lineRule="auto"/>
      </w:pPr>
    </w:p>
    <w:p w:rsidR="00962A5A" w:rsidRDefault="00962A5A" w:rsidP="00962A5A">
      <w:pPr>
        <w:spacing w:line="360" w:lineRule="auto"/>
        <w:jc w:val="center"/>
      </w:pPr>
      <w:r>
        <w:object w:dxaOrig="7187" w:dyaOrig="5385">
          <v:shape id="_x0000_i1085" type="#_x0000_t75" style="width:269.6pt;height:202.2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85" DrawAspect="Content" ObjectID="_1456137630" r:id="rId31"/>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b/>
          <w:bCs/>
          <w:color w:val="000000"/>
          <w:kern w:val="24"/>
          <w:sz w:val="24"/>
          <w:szCs w:val="24"/>
          <w:u w:val="single"/>
          <w:lang w:eastAsia="en-AU"/>
        </w:rPr>
        <w:t>Many children are in families where no parent is employed – with children aged less than 15 years</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Source: ABS Census of Population and Housing, 2011</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Jobless families are families where parents are not employed or in the labour force with children under 15 years of age (</w:t>
      </w:r>
      <w:r>
        <w:rPr>
          <w:rFonts w:ascii="Calibri" w:hAnsi="Calibri" w:cs="Calibri"/>
          <w:i/>
          <w:iCs/>
          <w:color w:val="000000"/>
          <w:kern w:val="24"/>
          <w:sz w:val="24"/>
          <w:szCs w:val="24"/>
          <w:lang w:eastAsia="en-AU"/>
        </w:rPr>
        <w:t>ABS 2006 Census of Population and Housing</w:t>
      </w:r>
      <w:r>
        <w:rPr>
          <w:rFonts w:ascii="Calibri" w:hAnsi="Calibri" w:cs="Calibri"/>
          <w:color w:val="000000"/>
          <w:kern w:val="24"/>
          <w:sz w:val="24"/>
          <w:szCs w:val="24"/>
          <w:lang w:eastAsia="en-AU"/>
        </w:rPr>
        <w:t>)</w:t>
      </w:r>
    </w:p>
    <w:p w:rsidR="00962A5A" w:rsidRDefault="00962A5A" w:rsidP="00962A5A">
      <w:pPr>
        <w:autoSpaceDE w:val="0"/>
        <w:autoSpaceDN w:val="0"/>
        <w:adjustRightInd w:val="0"/>
        <w:rPr>
          <w:rFonts w:ascii="Calibri" w:hAnsi="Calibri" w:cs="Calibri"/>
          <w:color w:val="000000"/>
          <w:sz w:val="20"/>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Some 26 per cent of families with children in the Bundaberg-Hervey Bay PEA did not have an employed parent, larger than the figures for Queensland (14 per cent). 2,000 families with children (24 per cent of all families) in the Bundaberg </w:t>
      </w:r>
      <w:proofErr w:type="spell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 xml:space="preserve"> did not have an employed parent. </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ab/>
      </w: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14</w:t>
      </w:r>
    </w:p>
    <w:p w:rsidR="00962A5A" w:rsidRDefault="00962A5A" w:rsidP="00962A5A">
      <w:pPr>
        <w:spacing w:line="360" w:lineRule="auto"/>
      </w:pPr>
    </w:p>
    <w:p w:rsidR="00962A5A" w:rsidRDefault="00962A5A" w:rsidP="00962A5A">
      <w:pPr>
        <w:spacing w:line="360" w:lineRule="auto"/>
        <w:jc w:val="center"/>
      </w:pPr>
      <w:r>
        <w:object w:dxaOrig="7187" w:dyaOrig="5385">
          <v:shape id="_x0000_i1090" type="#_x0000_t75" style="width:269.6pt;height:202.2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90" DrawAspect="Content" ObjectID="_1456137631" r:id="rId33"/>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Largest employing industries (Working age population)</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Source: ABS Census of Population and Housing, 2011</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In the Bundaberg-Hervey Bay PEA the Health Care and Social Assistance (16 per cent) and Retail Trade industries (13 per cent) were the top employing industries. </w:t>
      </w: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15</w:t>
      </w:r>
    </w:p>
    <w:p w:rsidR="00962A5A" w:rsidRDefault="00962A5A" w:rsidP="00962A5A">
      <w:pPr>
        <w:spacing w:line="360" w:lineRule="auto"/>
      </w:pPr>
    </w:p>
    <w:p w:rsidR="00962A5A" w:rsidRDefault="00962A5A" w:rsidP="00962A5A">
      <w:pPr>
        <w:spacing w:line="360" w:lineRule="auto"/>
        <w:jc w:val="center"/>
      </w:pPr>
      <w:r>
        <w:object w:dxaOrig="7187" w:dyaOrig="5385">
          <v:shape id="_x0000_i1095" type="#_x0000_t75" style="width:269.6pt;height:202.2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95" DrawAspect="Content" ObjectID="_1456137632" r:id="rId35"/>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 xml:space="preserve">Employment growth for largest industries in the PEA - Working age </w:t>
      </w:r>
      <w:proofErr w:type="gramStart"/>
      <w:r>
        <w:rPr>
          <w:rFonts w:ascii="Calibri" w:hAnsi="Times New Roman" w:cs="Calibri"/>
          <w:b/>
          <w:bCs/>
          <w:color w:val="000000"/>
          <w:kern w:val="24"/>
          <w:sz w:val="24"/>
          <w:szCs w:val="24"/>
          <w:u w:val="single"/>
          <w:lang w:eastAsia="en-AU"/>
        </w:rPr>
        <w:t>population  -</w:t>
      </w:r>
      <w:proofErr w:type="gramEnd"/>
      <w:r>
        <w:rPr>
          <w:rFonts w:ascii="Calibri" w:hAnsi="Times New Roman" w:cs="Calibri"/>
          <w:b/>
          <w:bCs/>
          <w:color w:val="000000"/>
          <w:kern w:val="24"/>
          <w:sz w:val="24"/>
          <w:szCs w:val="24"/>
          <w:u w:val="single"/>
          <w:lang w:eastAsia="en-AU"/>
        </w:rPr>
        <w:t xml:space="preserve"> 2006 to 2011</w:t>
      </w:r>
    </w:p>
    <w:p w:rsidR="00962A5A" w:rsidRDefault="00962A5A" w:rsidP="00962A5A">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ABS Census of Population and Housing, 2006 &amp; 2011</w:t>
      </w: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This graph shows the change in the number of people employed in each sector in the Bundaberg-Hervey Bay PEA, from 2006 to 2011. Much of the growth in employment in the PEA was concentrated in the Health Care and Social Assistance industry. By contrast, employment in the Agriculture, Forestry and Fishing and Construction industries reduced substantially.</w:t>
      </w: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16</w:t>
      </w:r>
    </w:p>
    <w:p w:rsidR="00962A5A" w:rsidRDefault="00962A5A" w:rsidP="00962A5A">
      <w:pPr>
        <w:spacing w:line="360" w:lineRule="auto"/>
      </w:pPr>
    </w:p>
    <w:p w:rsidR="00962A5A" w:rsidRDefault="00962A5A" w:rsidP="00962A5A">
      <w:pPr>
        <w:spacing w:line="360" w:lineRule="auto"/>
        <w:jc w:val="center"/>
      </w:pPr>
      <w:r>
        <w:object w:dxaOrig="7187" w:dyaOrig="5385">
          <v:shape id="_x0000_i1100" type="#_x0000_t75" style="width:269.6pt;height:202.2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100" DrawAspect="Content" ObjectID="_1456137633" r:id="rId37"/>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Recruitment activity</w:t>
      </w:r>
    </w:p>
    <w:p w:rsidR="00962A5A" w:rsidRDefault="00962A5A" w:rsidP="00962A5A">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xml:space="preserve">Source: Department of Employment, Survey of Employers’ Recruitment Experiences, December 2013, Bundaberg-Hervey Bay Priority Employment Area </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383 employers were surveyed in the Bundaberg-Hervey Bay PEA in December 2013 – including 196 in the Bundaberg </w:t>
      </w:r>
      <w:proofErr w:type="spell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w:t>
      </w: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17</w:t>
      </w:r>
    </w:p>
    <w:p w:rsidR="00962A5A" w:rsidRDefault="00962A5A" w:rsidP="00962A5A">
      <w:pPr>
        <w:spacing w:line="360" w:lineRule="auto"/>
      </w:pPr>
    </w:p>
    <w:p w:rsidR="00962A5A" w:rsidRDefault="00962A5A" w:rsidP="00962A5A">
      <w:pPr>
        <w:spacing w:line="360" w:lineRule="auto"/>
        <w:jc w:val="center"/>
      </w:pPr>
      <w:r>
        <w:object w:dxaOrig="7187" w:dyaOrig="5385">
          <v:shape id="_x0000_i1105" type="#_x0000_t75" style="width:269.6pt;height:202.2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105" DrawAspect="Content" ObjectID="_1456137634" r:id="rId39"/>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 xml:space="preserve">The recruitment process – in the Bundaberg </w:t>
      </w:r>
      <w:proofErr w:type="spellStart"/>
      <w:r>
        <w:rPr>
          <w:rFonts w:ascii="Calibri" w:hAnsi="Calibri" w:cs="Calibri"/>
          <w:b/>
          <w:bCs/>
          <w:color w:val="000000"/>
          <w:kern w:val="24"/>
          <w:sz w:val="24"/>
          <w:szCs w:val="24"/>
          <w:u w:val="single"/>
          <w:lang w:eastAsia="en-AU"/>
        </w:rPr>
        <w:t>LGA</w:t>
      </w:r>
      <w:proofErr w:type="spellEnd"/>
    </w:p>
    <w:p w:rsidR="00962A5A" w:rsidRDefault="00962A5A" w:rsidP="00962A5A">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xml:space="preserve">Source: Department of Employment, Survey of Employers’ Recruitment Experiences, December 2013, Bundaberg-Hervey Bay Priority Employment Area </w:t>
      </w:r>
    </w:p>
    <w:p w:rsidR="00962A5A" w:rsidRDefault="00962A5A" w:rsidP="00962A5A">
      <w:pPr>
        <w:autoSpaceDE w:val="0"/>
        <w:autoSpaceDN w:val="0"/>
        <w:adjustRightInd w:val="0"/>
        <w:rPr>
          <w:rFonts w:ascii="Calibri" w:hAnsi="Calibri" w:cs="Calibri"/>
          <w:color w:val="2D2D8A"/>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proofErr w:type="gramStart"/>
      <w:r>
        <w:rPr>
          <w:rFonts w:ascii="Calibri" w:hAnsi="Calibri" w:cs="Calibri"/>
          <w:color w:val="000000"/>
          <w:kern w:val="24"/>
          <w:sz w:val="24"/>
          <w:szCs w:val="24"/>
          <w:lang w:eastAsia="en-AU"/>
        </w:rPr>
        <w:t>This slide shows</w:t>
      </w:r>
      <w:proofErr w:type="gramEnd"/>
      <w:r>
        <w:rPr>
          <w:rFonts w:ascii="Calibri" w:hAnsi="Calibri" w:cs="Calibri"/>
          <w:color w:val="000000"/>
          <w:kern w:val="24"/>
          <w:sz w:val="24"/>
          <w:szCs w:val="24"/>
          <w:lang w:eastAsia="en-AU"/>
        </w:rPr>
        <w:t xml:space="preserve"> the recruitment process employers go through in the Bundaberg </w:t>
      </w:r>
      <w:proofErr w:type="spell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On average employers in Bundaberg-Hervey Bay receive 13 (12.5) applicants per vacancy.</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Of these applicants on average only 3 (3.4) are interviewed.</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Of these interviewed applicants only 2 (1.6) are suitable for the vacancy. </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w:t>
      </w:r>
      <w:proofErr w:type="gramStart"/>
      <w:r>
        <w:rPr>
          <w:rFonts w:ascii="Calibri" w:hAnsi="Calibri" w:cs="Calibri"/>
          <w:color w:val="000000"/>
          <w:kern w:val="24"/>
          <w:sz w:val="24"/>
          <w:szCs w:val="24"/>
          <w:lang w:eastAsia="en-AU"/>
        </w:rPr>
        <w:t>reason</w:t>
      </w:r>
      <w:proofErr w:type="gramEnd"/>
      <w:r>
        <w:rPr>
          <w:rFonts w:ascii="Calibri" w:hAnsi="Calibri" w:cs="Calibri"/>
          <w:color w:val="000000"/>
          <w:kern w:val="24"/>
          <w:sz w:val="24"/>
          <w:szCs w:val="24"/>
          <w:lang w:eastAsia="en-AU"/>
        </w:rPr>
        <w:t xml:space="preserve"> applicants do not get an interview were:</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Lack of relevant experience</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Insufficient qualifications or training</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Basic employability skills</w:t>
      </w:r>
    </w:p>
    <w:p w:rsidR="00962A5A" w:rsidRDefault="00962A5A" w:rsidP="00962A5A">
      <w:pPr>
        <w:autoSpaceDE w:val="0"/>
        <w:autoSpaceDN w:val="0"/>
        <w:adjustRightInd w:val="0"/>
        <w:rPr>
          <w:rFonts w:cs="Arial"/>
          <w:color w:val="000000"/>
          <w:kern w:val="24"/>
          <w:sz w:val="24"/>
          <w:szCs w:val="24"/>
          <w:lang w:eastAsia="en-AU"/>
        </w:rPr>
      </w:pP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18</w:t>
      </w:r>
    </w:p>
    <w:p w:rsidR="00962A5A" w:rsidRDefault="00962A5A" w:rsidP="00962A5A">
      <w:pPr>
        <w:spacing w:line="360" w:lineRule="auto"/>
      </w:pPr>
    </w:p>
    <w:p w:rsidR="00962A5A" w:rsidRDefault="00962A5A" w:rsidP="00962A5A">
      <w:pPr>
        <w:spacing w:line="360" w:lineRule="auto"/>
        <w:jc w:val="center"/>
      </w:pPr>
      <w:r>
        <w:object w:dxaOrig="7187" w:dyaOrig="5385">
          <v:shape id="_x0000_i1110" type="#_x0000_t75" style="width:269.6pt;height:202.2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110" DrawAspect="Content" ObjectID="_1456137635" r:id="rId41"/>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Recruitment outlook…</w:t>
      </w:r>
    </w:p>
    <w:p w:rsidR="00962A5A" w:rsidRDefault="00962A5A" w:rsidP="00962A5A">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xml:space="preserve">Source: Department of Employment, Survey of Employers’ Recruitment Experiences, December 2013, Bundaberg-Hervey Bay Priority Employment Area </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37 per cent of employers expected to recruit in the next 12 months, lower than all regions surveyed (39 per cent). </w:t>
      </w:r>
    </w:p>
    <w:p w:rsidR="00962A5A" w:rsidRDefault="00962A5A" w:rsidP="00962A5A">
      <w:pPr>
        <w:autoSpaceDE w:val="0"/>
        <w:autoSpaceDN w:val="0"/>
        <w:adjustRightInd w:val="0"/>
        <w:rPr>
          <w:rFonts w:ascii="Calibri" w:hAnsi="Times New Roman" w:cs="Calibri"/>
          <w:color w:val="000000"/>
          <w:kern w:val="24"/>
          <w:sz w:val="24"/>
          <w:szCs w:val="24"/>
          <w:lang w:eastAsia="en-AU"/>
        </w:rPr>
      </w:pPr>
    </w:p>
    <w:p w:rsidR="00962A5A" w:rsidRDefault="00962A5A" w:rsidP="00962A5A">
      <w:pPr>
        <w:autoSpaceDE w:val="0"/>
        <w:autoSpaceDN w:val="0"/>
        <w:adjustRightInd w:val="0"/>
        <w:rPr>
          <w:rFonts w:ascii="Calibri" w:hAnsi="Times New Roman"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19</w:t>
      </w:r>
    </w:p>
    <w:p w:rsidR="00962A5A" w:rsidRDefault="00962A5A" w:rsidP="00962A5A">
      <w:pPr>
        <w:spacing w:line="360" w:lineRule="auto"/>
      </w:pPr>
    </w:p>
    <w:p w:rsidR="00962A5A" w:rsidRDefault="00962A5A" w:rsidP="00962A5A">
      <w:pPr>
        <w:spacing w:line="360" w:lineRule="auto"/>
        <w:jc w:val="center"/>
      </w:pPr>
      <w:r>
        <w:object w:dxaOrig="7187" w:dyaOrig="5385">
          <v:shape id="_x0000_i1115" type="#_x0000_t75" style="width:269.6pt;height:202.2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115" DrawAspect="Content" ObjectID="_1456137636" r:id="rId43"/>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Single greatest concern for the future (in the 12 months following the survey) – in the Bundaberg-Hervey Bay PEA</w:t>
      </w:r>
    </w:p>
    <w:p w:rsidR="00962A5A" w:rsidRDefault="00962A5A" w:rsidP="00962A5A">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xml:space="preserve">Source: Department of Employment, Survey of Employers’ Recruitment Experiences, December 2013, Bundaberg-Hervey Bay Priority Employment Area </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By far the single greatest future concern for employers was a downturn in the economy and demand for their services/products (42 per cent of employers). </w:t>
      </w:r>
      <w:proofErr w:type="gramStart"/>
      <w:r>
        <w:rPr>
          <w:rFonts w:ascii="Calibri" w:hAnsi="Calibri" w:cs="Calibri"/>
          <w:color w:val="000000"/>
          <w:kern w:val="24"/>
          <w:sz w:val="24"/>
          <w:szCs w:val="24"/>
          <w:lang w:eastAsia="en-AU"/>
        </w:rPr>
        <w:t>Recruitment or retention difficulty/skill shortages was</w:t>
      </w:r>
      <w:proofErr w:type="gramEnd"/>
      <w:r>
        <w:rPr>
          <w:rFonts w:ascii="Calibri" w:hAnsi="Calibri" w:cs="Calibri"/>
          <w:color w:val="000000"/>
          <w:kern w:val="24"/>
          <w:sz w:val="24"/>
          <w:szCs w:val="24"/>
          <w:lang w:eastAsia="en-AU"/>
        </w:rPr>
        <w:t xml:space="preserve"> a concern for 11 per cent of employers.</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Please note the “Other” Category contains the following:</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Interest Rates</w:t>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Competition (including high Australian dollar)</w:t>
      </w:r>
      <w:r>
        <w:rPr>
          <w:rFonts w:ascii="Calibri" w:hAnsi="Calibri" w:cs="Calibri"/>
          <w:color w:val="000000"/>
          <w:kern w:val="24"/>
          <w:sz w:val="24"/>
          <w:szCs w:val="24"/>
          <w:lang w:eastAsia="en-AU"/>
        </w:rPr>
        <w:tab/>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Paperwork/ regulation/ red tape</w:t>
      </w:r>
      <w:r>
        <w:rPr>
          <w:rFonts w:ascii="Calibri" w:hAnsi="Calibri" w:cs="Calibri"/>
          <w:color w:val="000000"/>
          <w:kern w:val="24"/>
          <w:sz w:val="24"/>
          <w:szCs w:val="24"/>
          <w:lang w:eastAsia="en-AU"/>
        </w:rPr>
        <w:tab/>
      </w: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Miscellaneous Other</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20</w:t>
      </w:r>
    </w:p>
    <w:p w:rsidR="00962A5A" w:rsidRDefault="00962A5A" w:rsidP="00962A5A">
      <w:pPr>
        <w:spacing w:line="360" w:lineRule="auto"/>
      </w:pPr>
    </w:p>
    <w:p w:rsidR="00962A5A" w:rsidRDefault="00962A5A" w:rsidP="00962A5A">
      <w:pPr>
        <w:spacing w:line="360" w:lineRule="auto"/>
        <w:jc w:val="center"/>
      </w:pPr>
      <w:r>
        <w:object w:dxaOrig="7187" w:dyaOrig="5385">
          <v:shape id="_x0000_i1120" type="#_x0000_t75" style="width:269.6pt;height:202.2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120" DrawAspect="Content" ObjectID="_1456137637" r:id="rId45"/>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val="en-US" w:eastAsia="en-AU"/>
        </w:rPr>
      </w:pPr>
      <w:r>
        <w:rPr>
          <w:rFonts w:ascii="Calibri" w:hAnsi="Calibri" w:cs="Calibri"/>
          <w:b/>
          <w:bCs/>
          <w:color w:val="000000"/>
          <w:kern w:val="24"/>
          <w:sz w:val="24"/>
          <w:szCs w:val="24"/>
          <w:u w:val="single"/>
          <w:lang w:val="en-US" w:eastAsia="en-AU"/>
        </w:rPr>
        <w:t>Conclusion</w:t>
      </w:r>
    </w:p>
    <w:p w:rsidR="00962A5A" w:rsidRDefault="00962A5A" w:rsidP="00962A5A">
      <w:pPr>
        <w:numPr>
          <w:ilvl w:val="0"/>
          <w:numId w:val="1"/>
        </w:numPr>
        <w:autoSpaceDE w:val="0"/>
        <w:autoSpaceDN w:val="0"/>
        <w:adjustRightInd w:val="0"/>
        <w:ind w:left="467" w:hanging="467"/>
        <w:rPr>
          <w:rFonts w:ascii="Calibri" w:hAnsi="Calibri" w:cs="Calibri"/>
          <w:kern w:val="24"/>
          <w:sz w:val="24"/>
          <w:szCs w:val="24"/>
          <w:lang w:eastAsia="en-AU"/>
        </w:rPr>
      </w:pPr>
      <w:r>
        <w:rPr>
          <w:rFonts w:ascii="Calibri" w:hAnsi="Calibri" w:cs="Calibri"/>
          <w:kern w:val="24"/>
          <w:sz w:val="24"/>
          <w:szCs w:val="24"/>
          <w:lang w:eastAsia="en-AU"/>
        </w:rPr>
        <w:t>Youth unemployment, disengagement, disadvantage and low education levels are major issues in the region</w:t>
      </w:r>
    </w:p>
    <w:p w:rsidR="00962A5A" w:rsidRDefault="00962A5A" w:rsidP="00962A5A">
      <w:pPr>
        <w:numPr>
          <w:ilvl w:val="0"/>
          <w:numId w:val="1"/>
        </w:numPr>
        <w:autoSpaceDE w:val="0"/>
        <w:autoSpaceDN w:val="0"/>
        <w:adjustRightInd w:val="0"/>
        <w:ind w:left="560" w:hanging="560"/>
        <w:rPr>
          <w:rFonts w:ascii="Calibri" w:hAnsi="Calibri" w:cs="Calibri"/>
          <w:b/>
          <w:bCs/>
          <w:kern w:val="24"/>
          <w:sz w:val="24"/>
          <w:szCs w:val="24"/>
          <w:lang w:eastAsia="en-AU"/>
        </w:rPr>
      </w:pPr>
      <w:r>
        <w:rPr>
          <w:rFonts w:ascii="Calibri" w:hAnsi="Calibri" w:cs="Calibri"/>
          <w:b/>
          <w:bCs/>
          <w:kern w:val="24"/>
          <w:sz w:val="24"/>
          <w:szCs w:val="24"/>
          <w:lang w:eastAsia="en-AU"/>
        </w:rPr>
        <w:t>Challenges</w:t>
      </w:r>
    </w:p>
    <w:p w:rsidR="00962A5A" w:rsidRDefault="00962A5A" w:rsidP="00962A5A">
      <w:pPr>
        <w:numPr>
          <w:ilvl w:val="0"/>
          <w:numId w:val="2"/>
        </w:numPr>
        <w:autoSpaceDE w:val="0"/>
        <w:autoSpaceDN w:val="0"/>
        <w:adjustRightInd w:val="0"/>
        <w:ind w:left="1959" w:hanging="467"/>
        <w:rPr>
          <w:rFonts w:ascii="Calibri" w:hAnsi="Calibri" w:cs="Calibri"/>
          <w:kern w:val="24"/>
          <w:sz w:val="24"/>
          <w:szCs w:val="24"/>
          <w:lang w:eastAsia="en-AU"/>
        </w:rPr>
      </w:pPr>
      <w:r>
        <w:rPr>
          <w:rFonts w:ascii="Calibri" w:hAnsi="Calibri" w:cs="Calibri"/>
          <w:kern w:val="24"/>
          <w:sz w:val="24"/>
          <w:szCs w:val="24"/>
          <w:lang w:eastAsia="en-AU"/>
        </w:rPr>
        <w:t xml:space="preserve">Improve skills and suitability for jobs </w:t>
      </w:r>
    </w:p>
    <w:p w:rsidR="00962A5A" w:rsidRDefault="00962A5A" w:rsidP="00962A5A">
      <w:pPr>
        <w:numPr>
          <w:ilvl w:val="0"/>
          <w:numId w:val="2"/>
        </w:numPr>
        <w:autoSpaceDE w:val="0"/>
        <w:autoSpaceDN w:val="0"/>
        <w:adjustRightInd w:val="0"/>
        <w:ind w:left="1959" w:hanging="467"/>
        <w:rPr>
          <w:rFonts w:ascii="Calibri" w:hAnsi="Calibri" w:cs="Calibri"/>
          <w:kern w:val="24"/>
          <w:sz w:val="24"/>
          <w:szCs w:val="24"/>
          <w:lang w:eastAsia="en-AU"/>
        </w:rPr>
      </w:pPr>
      <w:r>
        <w:rPr>
          <w:rFonts w:ascii="Calibri" w:hAnsi="Calibri" w:cs="Calibri"/>
          <w:kern w:val="24"/>
          <w:sz w:val="24"/>
          <w:szCs w:val="24"/>
          <w:lang w:eastAsia="en-AU"/>
        </w:rPr>
        <w:t>Increase education levels</w:t>
      </w:r>
    </w:p>
    <w:p w:rsidR="00962A5A" w:rsidRDefault="00962A5A" w:rsidP="00962A5A">
      <w:pPr>
        <w:numPr>
          <w:ilvl w:val="0"/>
          <w:numId w:val="2"/>
        </w:numPr>
        <w:autoSpaceDE w:val="0"/>
        <w:autoSpaceDN w:val="0"/>
        <w:adjustRightInd w:val="0"/>
        <w:ind w:left="1959" w:hanging="467"/>
        <w:rPr>
          <w:rFonts w:ascii="Calibri" w:hAnsi="Calibri" w:cs="Calibri"/>
          <w:kern w:val="24"/>
          <w:sz w:val="24"/>
          <w:szCs w:val="24"/>
          <w:lang w:eastAsia="en-AU"/>
        </w:rPr>
      </w:pPr>
      <w:r>
        <w:rPr>
          <w:rFonts w:ascii="Calibri" w:hAnsi="Calibri" w:cs="Calibri"/>
          <w:kern w:val="24"/>
          <w:sz w:val="24"/>
          <w:szCs w:val="24"/>
          <w:lang w:eastAsia="en-AU"/>
        </w:rPr>
        <w:t>Focus on areas of jobs growth and unfilled vacancies</w:t>
      </w:r>
    </w:p>
    <w:p w:rsidR="00962A5A" w:rsidRDefault="00962A5A" w:rsidP="00962A5A">
      <w:pPr>
        <w:numPr>
          <w:ilvl w:val="0"/>
          <w:numId w:val="2"/>
        </w:numPr>
        <w:autoSpaceDE w:val="0"/>
        <w:autoSpaceDN w:val="0"/>
        <w:adjustRightInd w:val="0"/>
        <w:ind w:left="1959" w:hanging="467"/>
        <w:rPr>
          <w:rFonts w:ascii="Calibri" w:hAnsi="Calibri" w:cs="Calibri"/>
          <w:kern w:val="24"/>
          <w:sz w:val="24"/>
          <w:szCs w:val="24"/>
          <w:lang w:eastAsia="en-AU"/>
        </w:rPr>
      </w:pPr>
      <w:r>
        <w:rPr>
          <w:rFonts w:ascii="Calibri" w:hAnsi="Calibri" w:cs="Calibri"/>
          <w:kern w:val="24"/>
          <w:sz w:val="24"/>
          <w:szCs w:val="24"/>
          <w:lang w:eastAsia="en-AU"/>
        </w:rPr>
        <w:t>Industry restructuring</w:t>
      </w:r>
    </w:p>
    <w:p w:rsidR="00962A5A" w:rsidRDefault="00962A5A" w:rsidP="00962A5A">
      <w:pPr>
        <w:numPr>
          <w:ilvl w:val="0"/>
          <w:numId w:val="2"/>
        </w:numPr>
        <w:autoSpaceDE w:val="0"/>
        <w:autoSpaceDN w:val="0"/>
        <w:adjustRightInd w:val="0"/>
        <w:ind w:left="1959" w:hanging="467"/>
        <w:rPr>
          <w:rFonts w:ascii="Calibri" w:hAnsi="Calibri" w:cs="Calibri"/>
          <w:kern w:val="24"/>
          <w:sz w:val="24"/>
          <w:szCs w:val="24"/>
          <w:lang w:eastAsia="en-AU"/>
        </w:rPr>
      </w:pPr>
      <w:r>
        <w:rPr>
          <w:rFonts w:ascii="Calibri" w:hAnsi="Calibri" w:cs="Calibri"/>
          <w:kern w:val="24"/>
          <w:sz w:val="24"/>
          <w:szCs w:val="24"/>
          <w:lang w:eastAsia="en-AU"/>
        </w:rPr>
        <w:t>Working with jobless families</w:t>
      </w:r>
    </w:p>
    <w:p w:rsidR="00962A5A" w:rsidRDefault="00962A5A" w:rsidP="00962A5A">
      <w:pPr>
        <w:numPr>
          <w:ilvl w:val="0"/>
          <w:numId w:val="2"/>
        </w:numPr>
        <w:autoSpaceDE w:val="0"/>
        <w:autoSpaceDN w:val="0"/>
        <w:adjustRightInd w:val="0"/>
        <w:ind w:left="1959" w:hanging="467"/>
        <w:rPr>
          <w:rFonts w:ascii="Calibri" w:hAnsi="Calibri" w:cs="Calibri"/>
          <w:kern w:val="24"/>
          <w:sz w:val="24"/>
          <w:szCs w:val="24"/>
          <w:lang w:eastAsia="en-AU"/>
        </w:rPr>
      </w:pPr>
      <w:r>
        <w:rPr>
          <w:rFonts w:ascii="Calibri" w:hAnsi="Calibri" w:cs="Calibri"/>
          <w:kern w:val="24"/>
          <w:sz w:val="24"/>
          <w:szCs w:val="24"/>
          <w:lang w:eastAsia="en-AU"/>
        </w:rPr>
        <w:t>Ensuring local unemployed people have the skills to approach employers directly</w:t>
      </w:r>
    </w:p>
    <w:p w:rsidR="00962A5A" w:rsidRDefault="00962A5A" w:rsidP="00962A5A">
      <w:pPr>
        <w:numPr>
          <w:ilvl w:val="0"/>
          <w:numId w:val="2"/>
        </w:numPr>
        <w:autoSpaceDE w:val="0"/>
        <w:autoSpaceDN w:val="0"/>
        <w:adjustRightInd w:val="0"/>
        <w:ind w:left="1959" w:hanging="467"/>
        <w:rPr>
          <w:rFonts w:ascii="Calibri" w:hAnsi="Calibri" w:cs="Calibri"/>
          <w:kern w:val="24"/>
          <w:sz w:val="24"/>
          <w:szCs w:val="24"/>
          <w:lang w:eastAsia="en-AU"/>
        </w:rPr>
      </w:pPr>
      <w:r>
        <w:rPr>
          <w:rFonts w:ascii="Calibri" w:hAnsi="Calibri" w:cs="Calibri"/>
          <w:kern w:val="24"/>
          <w:sz w:val="24"/>
          <w:szCs w:val="24"/>
          <w:lang w:eastAsia="en-AU"/>
        </w:rPr>
        <w:t>Economic development</w:t>
      </w:r>
    </w:p>
    <w:p w:rsidR="00962A5A" w:rsidRDefault="00962A5A" w:rsidP="00962A5A">
      <w:pPr>
        <w:numPr>
          <w:ilvl w:val="0"/>
          <w:numId w:val="1"/>
        </w:numPr>
        <w:autoSpaceDE w:val="0"/>
        <w:autoSpaceDN w:val="0"/>
        <w:adjustRightInd w:val="0"/>
        <w:ind w:left="467" w:hanging="467"/>
        <w:rPr>
          <w:rFonts w:ascii="Calibri" w:hAnsi="Calibri" w:cs="Calibri"/>
          <w:b/>
          <w:bCs/>
          <w:kern w:val="24"/>
          <w:sz w:val="24"/>
          <w:szCs w:val="24"/>
          <w:lang w:eastAsia="en-AU"/>
        </w:rPr>
      </w:pPr>
      <w:r>
        <w:rPr>
          <w:rFonts w:ascii="Calibri" w:hAnsi="Calibri" w:cs="Calibri"/>
          <w:b/>
          <w:bCs/>
          <w:kern w:val="24"/>
          <w:sz w:val="24"/>
          <w:szCs w:val="24"/>
          <w:lang w:eastAsia="en-AU"/>
        </w:rPr>
        <w:t>Recruitment subdued but still opportunities</w:t>
      </w:r>
    </w:p>
    <w:p w:rsidR="00962A5A" w:rsidRDefault="00962A5A" w:rsidP="00962A5A">
      <w:pPr>
        <w:numPr>
          <w:ilvl w:val="0"/>
          <w:numId w:val="2"/>
        </w:numPr>
        <w:autoSpaceDE w:val="0"/>
        <w:autoSpaceDN w:val="0"/>
        <w:adjustRightInd w:val="0"/>
        <w:ind w:left="1959" w:hanging="467"/>
        <w:rPr>
          <w:rFonts w:ascii="Calibri" w:hAnsi="Calibri" w:cs="Calibri"/>
          <w:kern w:val="24"/>
          <w:sz w:val="24"/>
          <w:szCs w:val="24"/>
          <w:lang w:eastAsia="en-AU"/>
        </w:rPr>
      </w:pPr>
      <w:r>
        <w:rPr>
          <w:rFonts w:ascii="Calibri" w:hAnsi="Calibri" w:cs="Calibri"/>
          <w:kern w:val="24"/>
          <w:sz w:val="24"/>
          <w:szCs w:val="24"/>
          <w:lang w:eastAsia="en-AU"/>
        </w:rPr>
        <w:t>Put right mix of training and support in place to better match job seekers to job vacancies</w:t>
      </w:r>
    </w:p>
    <w:p w:rsidR="00962A5A" w:rsidRDefault="00962A5A" w:rsidP="00962A5A">
      <w:pPr>
        <w:numPr>
          <w:ilvl w:val="0"/>
          <w:numId w:val="1"/>
        </w:numPr>
        <w:autoSpaceDE w:val="0"/>
        <w:autoSpaceDN w:val="0"/>
        <w:adjustRightInd w:val="0"/>
        <w:ind w:left="560" w:hanging="560"/>
        <w:rPr>
          <w:rFonts w:ascii="Calibri" w:hAnsi="Calibri" w:cs="Calibri"/>
          <w:b/>
          <w:bCs/>
          <w:kern w:val="24"/>
          <w:sz w:val="24"/>
          <w:szCs w:val="24"/>
          <w:lang w:eastAsia="en-AU"/>
        </w:rPr>
      </w:pPr>
      <w:r>
        <w:rPr>
          <w:rFonts w:ascii="Calibri" w:hAnsi="Calibri" w:cs="Calibri"/>
          <w:b/>
          <w:bCs/>
          <w:kern w:val="24"/>
          <w:sz w:val="24"/>
          <w:szCs w:val="24"/>
          <w:lang w:eastAsia="en-AU"/>
        </w:rPr>
        <w:t>Collaboration with key stakeholders</w:t>
      </w:r>
    </w:p>
    <w:p w:rsidR="00962A5A" w:rsidRDefault="00962A5A" w:rsidP="00962A5A">
      <w:pPr>
        <w:autoSpaceDE w:val="0"/>
        <w:autoSpaceDN w:val="0"/>
        <w:adjustRightInd w:val="0"/>
        <w:ind w:left="1959" w:hanging="467"/>
        <w:rPr>
          <w:rFonts w:ascii="Calibri" w:hAnsi="Calibri" w:cs="Calibri"/>
          <w:color w:val="000000"/>
          <w:kern w:val="24"/>
          <w:sz w:val="24"/>
          <w:szCs w:val="24"/>
          <w:lang w:eastAsia="en-AU"/>
        </w:rPr>
      </w:pP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21</w:t>
      </w:r>
    </w:p>
    <w:p w:rsidR="00962A5A" w:rsidRDefault="00962A5A" w:rsidP="00962A5A">
      <w:pPr>
        <w:spacing w:line="360" w:lineRule="auto"/>
      </w:pPr>
    </w:p>
    <w:p w:rsidR="00962A5A" w:rsidRDefault="00962A5A" w:rsidP="00962A5A">
      <w:pPr>
        <w:spacing w:line="360" w:lineRule="auto"/>
        <w:jc w:val="center"/>
      </w:pPr>
      <w:r>
        <w:object w:dxaOrig="7187" w:dyaOrig="5385">
          <v:shape id="_x0000_i1125" type="#_x0000_t75" style="width:269.6pt;height:202.2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125" DrawAspect="Content" ObjectID="_1456137638" r:id="rId47"/>
        </w:object>
      </w:r>
    </w:p>
    <w:p w:rsidR="00962A5A" w:rsidRDefault="00962A5A" w:rsidP="00962A5A">
      <w:pPr>
        <w:spacing w:line="360" w:lineRule="auto"/>
        <w:jc w:val="center"/>
      </w:pP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Further Information</w:t>
      </w:r>
    </w:p>
    <w:p w:rsidR="00962A5A" w:rsidRDefault="00962A5A" w:rsidP="00962A5A">
      <w:pPr>
        <w:autoSpaceDE w:val="0"/>
        <w:autoSpaceDN w:val="0"/>
        <w:adjustRightInd w:val="0"/>
        <w:rPr>
          <w:rFonts w:ascii="Calibri" w:hAnsi="Calibri" w:cs="Calibri"/>
          <w:b/>
          <w:bCs/>
          <w:color w:val="000000"/>
          <w:kern w:val="24"/>
          <w:sz w:val="24"/>
          <w:szCs w:val="24"/>
          <w:u w:val="single"/>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More information on labour market conditions and other research on small areas can be found on these web sites:</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ind w:left="720"/>
        <w:rPr>
          <w:rFonts w:ascii="Calibri" w:hAnsi="Calibri" w:cs="Calibri"/>
          <w:color w:val="000000"/>
          <w:kern w:val="24"/>
          <w:sz w:val="24"/>
          <w:szCs w:val="24"/>
          <w:lang w:eastAsia="en-AU"/>
        </w:rPr>
      </w:pPr>
      <w:r>
        <w:rPr>
          <w:rFonts w:ascii="Calibri" w:hAnsi="Calibri" w:cs="Calibri"/>
          <w:color w:val="000000"/>
          <w:kern w:val="24"/>
          <w:sz w:val="24"/>
          <w:szCs w:val="24"/>
          <w:u w:val="single"/>
          <w:lang w:eastAsia="en-AU"/>
        </w:rPr>
        <w:t>www.employment.gov.au/regionalreports</w:t>
      </w:r>
    </w:p>
    <w:p w:rsidR="00962A5A" w:rsidRDefault="00962A5A" w:rsidP="00962A5A">
      <w:pPr>
        <w:autoSpaceDE w:val="0"/>
        <w:autoSpaceDN w:val="0"/>
        <w:adjustRightInd w:val="0"/>
        <w:ind w:left="746"/>
        <w:rPr>
          <w:rFonts w:ascii="Calibri" w:hAnsi="Calibri" w:cs="Calibri"/>
          <w:color w:val="000000"/>
          <w:kern w:val="24"/>
          <w:sz w:val="24"/>
          <w:szCs w:val="24"/>
          <w:u w:val="single"/>
          <w:lang w:eastAsia="en-AU"/>
        </w:rPr>
      </w:pPr>
    </w:p>
    <w:p w:rsidR="00962A5A" w:rsidRDefault="00962A5A" w:rsidP="00962A5A">
      <w:pPr>
        <w:autoSpaceDE w:val="0"/>
        <w:autoSpaceDN w:val="0"/>
        <w:adjustRightInd w:val="0"/>
        <w:ind w:left="720"/>
        <w:rPr>
          <w:rFonts w:ascii="Calibri" w:hAnsi="Calibri" w:cs="Calibri"/>
          <w:color w:val="000000"/>
          <w:kern w:val="24"/>
          <w:sz w:val="24"/>
          <w:szCs w:val="24"/>
          <w:lang w:eastAsia="en-AU"/>
        </w:rPr>
      </w:pPr>
      <w:r>
        <w:rPr>
          <w:rFonts w:ascii="Calibri" w:hAnsi="Calibri" w:cs="Calibri"/>
          <w:color w:val="000000"/>
          <w:kern w:val="24"/>
          <w:sz w:val="24"/>
          <w:szCs w:val="24"/>
          <w:u w:val="single"/>
          <w:lang w:eastAsia="en-AU"/>
        </w:rPr>
        <w:t>www.lmip.gov.au</w:t>
      </w:r>
    </w:p>
    <w:p w:rsidR="00962A5A" w:rsidRDefault="00962A5A" w:rsidP="00962A5A">
      <w:pPr>
        <w:autoSpaceDE w:val="0"/>
        <w:autoSpaceDN w:val="0"/>
        <w:adjustRightInd w:val="0"/>
        <w:ind w:left="720"/>
        <w:rPr>
          <w:rFonts w:ascii="Calibri" w:hAnsi="Calibri" w:cs="Calibri"/>
          <w:color w:val="000000"/>
          <w:kern w:val="24"/>
          <w:sz w:val="24"/>
          <w:szCs w:val="24"/>
          <w:lang w:eastAsia="en-AU"/>
        </w:rPr>
      </w:pPr>
    </w:p>
    <w:p w:rsidR="00962A5A" w:rsidRDefault="00962A5A" w:rsidP="00962A5A">
      <w:pPr>
        <w:autoSpaceDE w:val="0"/>
        <w:autoSpaceDN w:val="0"/>
        <w:adjustRightInd w:val="0"/>
        <w:ind w:left="720"/>
        <w:rPr>
          <w:rFonts w:ascii="Calibri" w:hAnsi="Calibri" w:cs="Calibri"/>
          <w:color w:val="000000"/>
          <w:kern w:val="24"/>
          <w:sz w:val="24"/>
          <w:szCs w:val="24"/>
          <w:lang w:eastAsia="en-AU"/>
        </w:rPr>
      </w:pPr>
      <w:r>
        <w:rPr>
          <w:rFonts w:ascii="Calibri" w:hAnsi="Calibri" w:cs="Calibri"/>
          <w:color w:val="000000"/>
          <w:kern w:val="24"/>
          <w:sz w:val="24"/>
          <w:szCs w:val="24"/>
          <w:u w:val="single"/>
          <w:lang w:eastAsia="en-AU"/>
        </w:rPr>
        <w:t>www.emplyoment.gov.au/SkillShortages</w:t>
      </w:r>
    </w:p>
    <w:p w:rsidR="00962A5A" w:rsidRDefault="00962A5A" w:rsidP="00962A5A">
      <w:pPr>
        <w:autoSpaceDE w:val="0"/>
        <w:autoSpaceDN w:val="0"/>
        <w:adjustRightInd w:val="0"/>
        <w:ind w:left="746"/>
        <w:rPr>
          <w:rFonts w:ascii="Calibri" w:hAnsi="Calibri" w:cs="Calibri"/>
          <w:color w:val="000000"/>
          <w:kern w:val="24"/>
          <w:sz w:val="24"/>
          <w:szCs w:val="24"/>
          <w:lang w:eastAsia="en-AU"/>
        </w:rPr>
      </w:pPr>
    </w:p>
    <w:p w:rsidR="00962A5A" w:rsidRDefault="00962A5A" w:rsidP="00962A5A">
      <w:pPr>
        <w:autoSpaceDE w:val="0"/>
        <w:autoSpaceDN w:val="0"/>
        <w:adjustRightInd w:val="0"/>
        <w:ind w:left="720"/>
        <w:rPr>
          <w:rFonts w:ascii="Calibri" w:hAnsi="Calibri" w:cs="Calibri"/>
          <w:color w:val="000000"/>
          <w:kern w:val="24"/>
          <w:sz w:val="24"/>
          <w:szCs w:val="24"/>
          <w:lang w:eastAsia="en-AU"/>
        </w:rPr>
      </w:pPr>
      <w:r>
        <w:rPr>
          <w:rFonts w:ascii="Calibri" w:hAnsi="Calibri" w:cs="Calibri"/>
          <w:color w:val="000000"/>
          <w:kern w:val="24"/>
          <w:sz w:val="24"/>
          <w:szCs w:val="24"/>
          <w:u w:val="single"/>
          <w:lang w:eastAsia="en-AU"/>
        </w:rPr>
        <w:t>www.employment.gov.au/australianjobs</w:t>
      </w:r>
    </w:p>
    <w:p w:rsidR="00962A5A" w:rsidRDefault="00962A5A" w:rsidP="00962A5A">
      <w:pPr>
        <w:autoSpaceDE w:val="0"/>
        <w:autoSpaceDN w:val="0"/>
        <w:adjustRightInd w:val="0"/>
        <w:ind w:left="720"/>
        <w:rPr>
          <w:rFonts w:ascii="Calibri" w:hAnsi="Calibri" w:cs="Calibri"/>
          <w:color w:val="000000"/>
          <w:kern w:val="24"/>
          <w:sz w:val="24"/>
          <w:szCs w:val="24"/>
          <w:lang w:eastAsia="en-AU"/>
        </w:rPr>
      </w:pPr>
    </w:p>
    <w:p w:rsidR="00962A5A" w:rsidRDefault="00962A5A" w:rsidP="00962A5A">
      <w:pPr>
        <w:autoSpaceDE w:val="0"/>
        <w:autoSpaceDN w:val="0"/>
        <w:adjustRightInd w:val="0"/>
        <w:ind w:left="720"/>
        <w:rPr>
          <w:rFonts w:ascii="Calibri" w:hAnsi="Calibri" w:cs="Calibri"/>
          <w:color w:val="000000"/>
          <w:kern w:val="24"/>
          <w:sz w:val="24"/>
          <w:szCs w:val="24"/>
          <w:lang w:eastAsia="en-AU"/>
        </w:rPr>
      </w:pPr>
      <w:r>
        <w:rPr>
          <w:rFonts w:ascii="Calibri" w:hAnsi="Calibri" w:cs="Calibri"/>
          <w:color w:val="000000"/>
          <w:kern w:val="24"/>
          <w:sz w:val="24"/>
          <w:szCs w:val="24"/>
          <w:u w:val="single"/>
          <w:lang w:eastAsia="en-AU"/>
        </w:rPr>
        <w:t>www.joboutlook.gov.au</w:t>
      </w:r>
    </w:p>
    <w:p w:rsidR="00962A5A" w:rsidRDefault="00962A5A" w:rsidP="00962A5A">
      <w:pPr>
        <w:autoSpaceDE w:val="0"/>
        <w:autoSpaceDN w:val="0"/>
        <w:adjustRightInd w:val="0"/>
        <w:ind w:left="746"/>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A report on the survey findings for the Bundaberg-Hervey Bay Priority Employment Area will be placed on the regional reports section of the Department of Employment web site.</w:t>
      </w:r>
    </w:p>
    <w:p w:rsidR="00962A5A" w:rsidRDefault="00962A5A" w:rsidP="00962A5A">
      <w:pPr>
        <w:autoSpaceDE w:val="0"/>
        <w:autoSpaceDN w:val="0"/>
        <w:adjustRightInd w:val="0"/>
        <w:rPr>
          <w:rFonts w:ascii="Calibri" w:hAnsi="Calibri" w:cs="Calibri"/>
          <w:color w:val="000000"/>
          <w:kern w:val="24"/>
          <w:sz w:val="24"/>
          <w:szCs w:val="24"/>
          <w:lang w:eastAsia="en-AU"/>
        </w:rPr>
      </w:pPr>
    </w:p>
    <w:p w:rsidR="00962A5A" w:rsidRDefault="00962A5A" w:rsidP="00962A5A">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Thank you.</w:t>
      </w: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22</w:t>
      </w:r>
    </w:p>
    <w:p w:rsidR="00962A5A" w:rsidRDefault="00962A5A" w:rsidP="00962A5A">
      <w:pPr>
        <w:spacing w:line="360" w:lineRule="auto"/>
      </w:pPr>
    </w:p>
    <w:p w:rsidR="00962A5A" w:rsidRDefault="00962A5A" w:rsidP="00962A5A">
      <w:pPr>
        <w:spacing w:line="360" w:lineRule="auto"/>
        <w:jc w:val="center"/>
      </w:pPr>
      <w:r>
        <w:object w:dxaOrig="7187" w:dyaOrig="5385">
          <v:shape id="_x0000_i1130" type="#_x0000_t75" style="width:269.6pt;height:202.2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130" DrawAspect="Content" ObjectID="_1456137639" r:id="rId49"/>
        </w:object>
      </w:r>
    </w:p>
    <w:p w:rsidR="00962A5A" w:rsidRDefault="00962A5A" w:rsidP="00962A5A">
      <w:pPr>
        <w:spacing w:line="360" w:lineRule="auto"/>
        <w:jc w:val="center"/>
      </w:pPr>
    </w:p>
    <w:p w:rsidR="00962A5A" w:rsidRDefault="00962A5A" w:rsidP="00962A5A">
      <w:pPr>
        <w:autoSpaceDE w:val="0"/>
        <w:autoSpaceDN w:val="0"/>
        <w:adjustRightInd w:val="0"/>
        <w:rPr>
          <w:rFonts w:cs="Arial"/>
          <w:color w:val="000000"/>
          <w:kern w:val="24"/>
          <w:sz w:val="24"/>
          <w:szCs w:val="24"/>
          <w:lang w:eastAsia="en-AU"/>
        </w:rPr>
      </w:pPr>
    </w:p>
    <w:p w:rsidR="00962A5A" w:rsidRDefault="00962A5A" w:rsidP="00962A5A">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If you have any questions about the presentation please contact the Regional Surveys Section or Recruitment Analysis Section on: </w:t>
      </w:r>
    </w:p>
    <w:p w:rsidR="00962A5A" w:rsidRDefault="00962A5A" w:rsidP="00962A5A">
      <w:pPr>
        <w:autoSpaceDE w:val="0"/>
        <w:autoSpaceDN w:val="0"/>
        <w:adjustRightInd w:val="0"/>
        <w:rPr>
          <w:rFonts w:ascii="Calibri" w:hAnsi="Times New Roman" w:cs="Calibri"/>
          <w:color w:val="000000"/>
          <w:kern w:val="24"/>
          <w:sz w:val="24"/>
          <w:szCs w:val="24"/>
          <w:lang w:eastAsia="en-AU"/>
        </w:rPr>
      </w:pPr>
    </w:p>
    <w:p w:rsidR="00962A5A" w:rsidRDefault="00962A5A" w:rsidP="00962A5A">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Tel: </w:t>
      </w:r>
      <w:r>
        <w:rPr>
          <w:rFonts w:ascii="Calibri" w:hAnsi="Times New Roman" w:cs="Calibri"/>
          <w:color w:val="3C8C93"/>
          <w:kern w:val="24"/>
          <w:sz w:val="24"/>
          <w:szCs w:val="24"/>
          <w:u w:val="single"/>
          <w:lang w:eastAsia="en-AU"/>
        </w:rPr>
        <w:t>1800 059 439</w:t>
      </w:r>
      <w:r>
        <w:rPr>
          <w:rFonts w:ascii="Calibri" w:hAnsi="Times New Roman" w:cs="Calibri"/>
          <w:color w:val="000000"/>
          <w:kern w:val="24"/>
          <w:sz w:val="24"/>
          <w:szCs w:val="24"/>
          <w:lang w:eastAsia="en-AU"/>
        </w:rPr>
        <w:t xml:space="preserve"> or </w:t>
      </w:r>
    </w:p>
    <w:p w:rsidR="00962A5A" w:rsidRDefault="00962A5A" w:rsidP="00962A5A">
      <w:pPr>
        <w:autoSpaceDE w:val="0"/>
        <w:autoSpaceDN w:val="0"/>
        <w:adjustRightInd w:val="0"/>
        <w:rPr>
          <w:rFonts w:ascii="Calibri" w:hAnsi="Times New Roman" w:cs="Calibri"/>
          <w:color w:val="FF0000"/>
          <w:kern w:val="24"/>
          <w:sz w:val="24"/>
          <w:szCs w:val="24"/>
          <w:lang w:eastAsia="en-AU"/>
        </w:rPr>
      </w:pPr>
      <w:r>
        <w:rPr>
          <w:rFonts w:ascii="Calibri" w:hAnsi="Times New Roman" w:cs="Calibri"/>
          <w:color w:val="000000"/>
          <w:kern w:val="24"/>
          <w:sz w:val="24"/>
          <w:szCs w:val="24"/>
          <w:lang w:eastAsia="en-AU"/>
        </w:rPr>
        <w:t xml:space="preserve">Email: </w:t>
      </w:r>
      <w:r>
        <w:rPr>
          <w:rFonts w:ascii="Calibri" w:hAnsi="Times New Roman" w:cs="Calibri"/>
          <w:color w:val="FF0000"/>
          <w:kern w:val="24"/>
          <w:sz w:val="24"/>
          <w:szCs w:val="24"/>
          <w:u w:val="single"/>
          <w:lang w:eastAsia="en-AU"/>
        </w:rPr>
        <w:t>recruitmentsurveys@deewr.gov.au</w:t>
      </w:r>
    </w:p>
    <w:p w:rsidR="00962A5A" w:rsidRDefault="00962A5A" w:rsidP="00962A5A">
      <w:pPr>
        <w:autoSpaceDE w:val="0"/>
        <w:autoSpaceDN w:val="0"/>
        <w:adjustRightInd w:val="0"/>
        <w:rPr>
          <w:rFonts w:cs="Arial"/>
          <w:color w:val="000000"/>
          <w:kern w:val="24"/>
          <w:sz w:val="24"/>
          <w:szCs w:val="24"/>
          <w:lang w:eastAsia="en-AU"/>
        </w:rPr>
      </w:pPr>
    </w:p>
    <w:p w:rsidR="00962A5A" w:rsidRDefault="00962A5A" w:rsidP="00962A5A">
      <w:pPr>
        <w:autoSpaceDE w:val="0"/>
        <w:autoSpaceDN w:val="0"/>
        <w:adjustRightInd w:val="0"/>
        <w:rPr>
          <w:rFonts w:cs="Arial"/>
          <w:sz w:val="24"/>
          <w:szCs w:val="24"/>
          <w:lang w:eastAsia="en-AU"/>
        </w:rPr>
      </w:pPr>
    </w:p>
    <w:p w:rsidR="00962A5A" w:rsidRDefault="00962A5A" w:rsidP="00962A5A">
      <w:pPr>
        <w:spacing w:line="360" w:lineRule="auto"/>
      </w:pPr>
    </w:p>
    <w:p w:rsidR="00962A5A" w:rsidRDefault="00962A5A">
      <w:r>
        <w:br w:type="page"/>
      </w:r>
    </w:p>
    <w:p w:rsidR="00962A5A" w:rsidRDefault="00962A5A" w:rsidP="00962A5A">
      <w:pPr>
        <w:spacing w:line="360" w:lineRule="auto"/>
      </w:pPr>
      <w:r>
        <w:lastRenderedPageBreak/>
        <w:t>Slide 23</w:t>
      </w:r>
    </w:p>
    <w:p w:rsidR="00962A5A" w:rsidRDefault="00962A5A" w:rsidP="00962A5A">
      <w:pPr>
        <w:spacing w:line="360" w:lineRule="auto"/>
      </w:pPr>
    </w:p>
    <w:p w:rsidR="00962A5A" w:rsidRDefault="00962A5A" w:rsidP="00962A5A">
      <w:pPr>
        <w:spacing w:line="360" w:lineRule="auto"/>
        <w:jc w:val="center"/>
      </w:pPr>
      <w:r>
        <w:object w:dxaOrig="7187" w:dyaOrig="5385">
          <v:shape id="_x0000_i1135" type="#_x0000_t75" style="width:269.6pt;height:202.2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135" DrawAspect="Content" ObjectID="_1456137640" r:id="rId51"/>
        </w:object>
      </w:r>
    </w:p>
    <w:p w:rsidR="00962A5A" w:rsidRDefault="00962A5A" w:rsidP="00962A5A">
      <w:pPr>
        <w:spacing w:line="360" w:lineRule="auto"/>
        <w:jc w:val="center"/>
      </w:pPr>
    </w:p>
    <w:p w:rsidR="00962A5A" w:rsidRDefault="00962A5A" w:rsidP="00962A5A">
      <w:pPr>
        <w:spacing w:line="360" w:lineRule="auto"/>
      </w:pPr>
    </w:p>
    <w:p w:rsidR="00962A5A" w:rsidRDefault="00962A5A" w:rsidP="00962A5A">
      <w:pPr>
        <w:spacing w:line="360" w:lineRule="auto"/>
      </w:pPr>
    </w:p>
    <w:sectPr w:rsidR="00962A5A" w:rsidSect="00B4410E">
      <w:pgSz w:w="11906" w:h="16838" w:code="9"/>
      <w:pgMar w:top="1418" w:right="1134" w:bottom="1418" w:left="1418" w:header="567" w:footer="567" w:gutter="0"/>
      <w:cols w:space="720"/>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96C0E53C"/>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0"/>
    <w:lvlOverride w:ilvl="0">
      <w:lvl w:ilvl="0">
        <w:numFmt w:val="bullet"/>
        <w:lvlText w:val="o"/>
        <w:legacy w:legacy="1" w:legacySpace="0" w:legacyIndent="0"/>
        <w:lvlJc w:val="left"/>
        <w:rPr>
          <w:rFonts w:ascii="Courier New" w:hAnsi="Courier New" w:cs="Courier New"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2A5A"/>
    <w:rsid w:val="005D236C"/>
    <w:rsid w:val="00737AB0"/>
    <w:rsid w:val="00962A5A"/>
    <w:rsid w:val="00A35BAC"/>
    <w:rsid w:val="00B4410E"/>
    <w:rsid w:val="00E65DE5"/>
    <w:rsid w:val="00FD16B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4.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Microsoft_PowerPoint_Slide17.sldx"/><Relationship Id="rId21" Type="http://schemas.openxmlformats.org/officeDocument/2006/relationships/package" Target="embeddings/Microsoft_PowerPoint_Slide8.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PowerPoint_Slide21.sldx"/><Relationship Id="rId50" Type="http://schemas.openxmlformats.org/officeDocument/2006/relationships/image" Target="media/image23.emf"/><Relationship Id="rId55" Type="http://schemas.openxmlformats.org/officeDocument/2006/relationships/customXml" Target="../customXml/item2.xml"/><Relationship Id="rId7" Type="http://schemas.openxmlformats.org/officeDocument/2006/relationships/package" Target="embeddings/Microsoft_PowerPoint_Slide1.sldx"/><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package" Target="embeddings/Microsoft_PowerPoint_Slide12.sldx"/><Relationship Id="rId11" Type="http://schemas.openxmlformats.org/officeDocument/2006/relationships/package" Target="embeddings/Microsoft_PowerPoint_Slide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6.sldx"/><Relationship Id="rId40" Type="http://schemas.openxmlformats.org/officeDocument/2006/relationships/image" Target="media/image18.emf"/><Relationship Id="rId45" Type="http://schemas.openxmlformats.org/officeDocument/2006/relationships/package" Target="embeddings/Microsoft_PowerPoint_Slide20.sldx"/><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emf"/><Relationship Id="rId19" Type="http://schemas.openxmlformats.org/officeDocument/2006/relationships/package" Target="embeddings/Microsoft_PowerPoint_Slide7.sldx"/><Relationship Id="rId31" Type="http://schemas.openxmlformats.org/officeDocument/2006/relationships/package" Target="embeddings/Microsoft_PowerPoint_Slide13.sldx"/><Relationship Id="rId44" Type="http://schemas.openxmlformats.org/officeDocument/2006/relationships/image" Target="media/image20.e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Microsoft_PowerPoint_Slide2.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1.sldx"/><Relationship Id="rId30" Type="http://schemas.openxmlformats.org/officeDocument/2006/relationships/image" Target="media/image13.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image" Target="media/image22.emf"/><Relationship Id="rId56" Type="http://schemas.openxmlformats.org/officeDocument/2006/relationships/customXml" Target="../customXml/item3.xml"/><Relationship Id="rId8" Type="http://schemas.openxmlformats.org/officeDocument/2006/relationships/image" Target="media/image2.emf"/><Relationship Id="rId51" Type="http://schemas.openxmlformats.org/officeDocument/2006/relationships/package" Target="embeddings/Microsoft_PowerPoint_Slide23.sldx"/><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7.emf"/><Relationship Id="rId46" Type="http://schemas.openxmlformats.org/officeDocument/2006/relationships/image" Target="media/image21.emf"/><Relationship Id="rId20" Type="http://schemas.openxmlformats.org/officeDocument/2006/relationships/image" Target="media/image8.emf"/><Relationship Id="rId41" Type="http://schemas.openxmlformats.org/officeDocument/2006/relationships/package" Target="embeddings/Microsoft_PowerPoint_Slide18.sldx"/><Relationship Id="rId54"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image" Target="media/image1.emf"/><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2.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744FBFF-63FA-4AA9-8BAC-4366FE933B91}"/>
</file>

<file path=customXml/itemProps2.xml><?xml version="1.0" encoding="utf-8"?>
<ds:datastoreItem xmlns:ds="http://schemas.openxmlformats.org/officeDocument/2006/customXml" ds:itemID="{C368C6ED-4715-4391-97CC-C7D13528E47F}"/>
</file>

<file path=customXml/itemProps3.xml><?xml version="1.0" encoding="utf-8"?>
<ds:datastoreItem xmlns:ds="http://schemas.openxmlformats.org/officeDocument/2006/customXml" ds:itemID="{BB42084B-F7F3-42B5-8D23-C7EDD51525CB}"/>
</file>

<file path=docProps/app.xml><?xml version="1.0" encoding="utf-8"?>
<Properties xmlns="http://schemas.openxmlformats.org/officeDocument/2006/extended-properties" xmlns:vt="http://schemas.openxmlformats.org/officeDocument/2006/docPropsVTypes">
  <Template>40B578A9.dotm</Template>
  <TotalTime>2</TotalTime>
  <Pages>23</Pages>
  <Words>1848</Words>
  <Characters>10534</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12358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Sebastian Lavers</dc:creator>
  <cp:lastModifiedBy>Sebastian Lavers</cp:lastModifiedBy>
  <cp:revision>1</cp:revision>
  <dcterms:created xsi:type="dcterms:W3CDTF">2014-03-12T02:51:00Z</dcterms:created>
  <dcterms:modified xsi:type="dcterms:W3CDTF">2014-03-12T02:53:00Z</dcterms:modified>
</cp:coreProperties>
</file>