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23" w:rsidRDefault="00A35435" w:rsidP="00A35435">
      <w:pPr>
        <w:ind w:left="-1440"/>
        <w:sectPr w:rsidR="00130923" w:rsidSect="00A35435">
          <w:footerReference w:type="default" r:id="rId12"/>
          <w:pgSz w:w="11906" w:h="16838"/>
          <w:pgMar w:top="0" w:right="1274" w:bottom="1134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D98A95B" wp14:editId="64A5F168">
            <wp:extent cx="7581600" cy="2408400"/>
            <wp:effectExtent l="0" t="0" r="635" b="0"/>
            <wp:docPr id="2" name="Picture 2" descr="Image: Australian Government 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4_0001 EMP Word Template navy_01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5B" w:rsidRPr="001E15E1" w:rsidRDefault="00F6535B" w:rsidP="00F6535B">
      <w:pPr>
        <w:pStyle w:val="Heading1"/>
        <w:spacing w:after="240"/>
        <w:jc w:val="center"/>
        <w:rPr>
          <w:sz w:val="36"/>
          <w:szCs w:val="36"/>
        </w:rPr>
      </w:pPr>
      <w:r w:rsidRPr="001E15E1">
        <w:rPr>
          <w:sz w:val="36"/>
          <w:szCs w:val="36"/>
        </w:rPr>
        <w:lastRenderedPageBreak/>
        <w:t>The Tasmanian Jobs Programme Evaluation Key Facts</w:t>
      </w:r>
    </w:p>
    <w:p w:rsidR="00F6535B" w:rsidRPr="001E15E1" w:rsidRDefault="00F6535B" w:rsidP="00F6535B">
      <w:r w:rsidRPr="001F5144">
        <w:t xml:space="preserve">The </w:t>
      </w:r>
      <w:r>
        <w:t>Tasmanian Jobs Programme Evaluation</w:t>
      </w:r>
      <w:r w:rsidRPr="001F5144">
        <w:t xml:space="preserve"> has been released on the Department’s website. </w:t>
      </w:r>
      <w:r w:rsidRPr="001E15E1">
        <w:t>The Tasmanian Jobs Programme (</w:t>
      </w:r>
      <w:proofErr w:type="spellStart"/>
      <w:r w:rsidRPr="001E15E1">
        <w:t>TJP</w:t>
      </w:r>
      <w:proofErr w:type="spellEnd"/>
      <w:r w:rsidRPr="001E15E1">
        <w:t>) was a pilot wage subsidy program introduced on 1</w:t>
      </w:r>
      <w:r>
        <w:t> </w:t>
      </w:r>
      <w:r w:rsidRPr="001E15E1">
        <w:t>January</w:t>
      </w:r>
      <w:r>
        <w:t> </w:t>
      </w:r>
      <w:r w:rsidRPr="001E15E1">
        <w:t>2014.</w:t>
      </w:r>
      <w:r>
        <w:t xml:space="preserve"> It was designed with the objective of helping Tasmanian</w:t>
      </w:r>
      <w:r w:rsidR="00B551E3">
        <w:t xml:space="preserve">s </w:t>
      </w:r>
      <w:r>
        <w:t>who were, or were at risk of being, long-term unemployed to find sustained employment. The program included $5.9 million in funding for 2,000 placements over two years to December 2015.</w:t>
      </w:r>
    </w:p>
    <w:p w:rsidR="00F6535B" w:rsidRPr="001E15E1" w:rsidRDefault="00F6535B" w:rsidP="00F6535B">
      <w:pPr>
        <w:spacing w:after="120"/>
      </w:pPr>
      <w:r w:rsidRPr="001E15E1">
        <w:t xml:space="preserve">The </w:t>
      </w:r>
      <w:proofErr w:type="spellStart"/>
      <w:r w:rsidRPr="001E15E1">
        <w:t>TJP</w:t>
      </w:r>
      <w:proofErr w:type="spellEnd"/>
      <w:r w:rsidRPr="001E15E1">
        <w:t xml:space="preserve"> provided one-off incentive payments of $3250 (GST inclusive) to Tasmanian businesses that employed eligible job seekers on a full-time basis for at least 26 weeks (pro-rata, or partial, payments for placements less than the minimum 26 weeks were not available). The </w:t>
      </w:r>
      <w:proofErr w:type="spellStart"/>
      <w:r w:rsidRPr="001E15E1">
        <w:t>TJP</w:t>
      </w:r>
      <w:proofErr w:type="spellEnd"/>
      <w:r w:rsidRPr="001E15E1">
        <w:t xml:space="preserve"> was available to job seekers who were Tasmanian residents and in receipt of income support payments (i.e. </w:t>
      </w:r>
      <w:proofErr w:type="spellStart"/>
      <w:r w:rsidRPr="001E15E1">
        <w:t>Newstart</w:t>
      </w:r>
      <w:proofErr w:type="spellEnd"/>
      <w:r w:rsidRPr="001E15E1">
        <w:t xml:space="preserve"> Allowance, Youth Allowance (Other) or Parenting Payment with participation requirements) for the preceding six months. </w:t>
      </w:r>
    </w:p>
    <w:p w:rsidR="00F6535B" w:rsidRPr="001E15E1" w:rsidRDefault="00F6535B" w:rsidP="00F6535B">
      <w:pPr>
        <w:spacing w:after="120"/>
      </w:pPr>
      <w:r w:rsidRPr="001E15E1">
        <w:t xml:space="preserve">On 13 May 2015, as part of the 2015 Budget, changes were made to the </w:t>
      </w:r>
      <w:proofErr w:type="spellStart"/>
      <w:r w:rsidRPr="001E15E1">
        <w:t>TJP</w:t>
      </w:r>
      <w:proofErr w:type="spellEnd"/>
      <w:r w:rsidRPr="001E15E1">
        <w:t xml:space="preserve"> to make higher subsidy payments available for full-time positions and payments available for part-time positions. All agreements that commenced from 13</w:t>
      </w:r>
      <w:r>
        <w:t> </w:t>
      </w:r>
      <w:r w:rsidRPr="001E15E1">
        <w:t>May 2015 were eligible to receive the new amount of $6500 (GST inclusive) for full-time placements, or $3250 (GST inclusive) for part-time placements with a minimum of 25 hours per week. All amounts were paid as a lump sum at the end of 26</w:t>
      </w:r>
      <w:r>
        <w:t> </w:t>
      </w:r>
      <w:r w:rsidRPr="001E15E1">
        <w:t>weeks of continuous employment. Casual jobs</w:t>
      </w:r>
      <w:r>
        <w:t xml:space="preserve"> </w:t>
      </w:r>
      <w:r w:rsidRPr="001E15E1">
        <w:t>remained ineligible.</w:t>
      </w:r>
    </w:p>
    <w:p w:rsidR="00F6535B" w:rsidRDefault="00F6535B" w:rsidP="00F6535B">
      <w:pPr>
        <w:spacing w:after="120"/>
      </w:pPr>
      <w:r>
        <w:t xml:space="preserve">The evaluation addressed how effective the </w:t>
      </w:r>
      <w:proofErr w:type="spellStart"/>
      <w:r>
        <w:t>TJP</w:t>
      </w:r>
      <w:proofErr w:type="spellEnd"/>
      <w:r>
        <w:t xml:space="preserve"> was in providing sustained employment opportunities for Tasmanian job seekers who had been unemployed for six months or more. </w:t>
      </w:r>
      <w:proofErr w:type="spellStart"/>
      <w:r>
        <w:t>TJP</w:t>
      </w:r>
      <w:proofErr w:type="spellEnd"/>
      <w:r>
        <w:t xml:space="preserve"> outcomes are assessed against Key Performance Indicators (</w:t>
      </w:r>
      <w:proofErr w:type="spellStart"/>
      <w:r>
        <w:t>KPIs</w:t>
      </w:r>
      <w:proofErr w:type="spellEnd"/>
      <w:r>
        <w:t>) established for the program</w:t>
      </w:r>
      <w:bookmarkStart w:id="1" w:name="_Toc433008944"/>
      <w:bookmarkStart w:id="2" w:name="_Toc433112370"/>
      <w:bookmarkStart w:id="3" w:name="_Toc433113283"/>
      <w:bookmarkStart w:id="4" w:name="_Toc433205151"/>
      <w:bookmarkStart w:id="5" w:name="_Toc433374632"/>
      <w:r>
        <w:t>,</w:t>
      </w:r>
      <w:r w:rsidRPr="00D21DA0">
        <w:t xml:space="preserve"> which </w:t>
      </w:r>
      <w:r>
        <w:t>were</w:t>
      </w:r>
      <w:r w:rsidRPr="00D21DA0">
        <w:t>:</w:t>
      </w:r>
      <w:bookmarkEnd w:id="1"/>
      <w:bookmarkEnd w:id="2"/>
      <w:bookmarkEnd w:id="3"/>
      <w:bookmarkEnd w:id="4"/>
      <w:bookmarkEnd w:id="5"/>
    </w:p>
    <w:p w:rsidR="00F6535B" w:rsidRDefault="00F6535B" w:rsidP="00F6535B">
      <w:pPr>
        <w:pStyle w:val="ListNumber"/>
        <w:keepNext/>
        <w:numPr>
          <w:ilvl w:val="0"/>
          <w:numId w:val="38"/>
        </w:numPr>
        <w:ind w:left="714" w:hanging="357"/>
      </w:pPr>
      <w:r>
        <w:t>Program demand:</w:t>
      </w:r>
    </w:p>
    <w:p w:rsidR="00F6535B" w:rsidRDefault="00F6535B" w:rsidP="00F6535B">
      <w:pPr>
        <w:pStyle w:val="ListNumber"/>
        <w:numPr>
          <w:ilvl w:val="1"/>
          <w:numId w:val="38"/>
        </w:numPr>
      </w:pPr>
      <w:proofErr w:type="spellStart"/>
      <w:r>
        <w:t>KPI</w:t>
      </w:r>
      <w:proofErr w:type="spellEnd"/>
      <w:r>
        <w:t xml:space="preserve"> 1(a): 80 per cent of allocated placements commence</w:t>
      </w:r>
    </w:p>
    <w:p w:rsidR="00F6535B" w:rsidRDefault="00F6535B" w:rsidP="00F6535B">
      <w:pPr>
        <w:pStyle w:val="ListNumber"/>
        <w:numPr>
          <w:ilvl w:val="1"/>
          <w:numId w:val="38"/>
        </w:numPr>
      </w:pPr>
      <w:proofErr w:type="spellStart"/>
      <w:r>
        <w:t>KPI</w:t>
      </w:r>
      <w:proofErr w:type="spellEnd"/>
      <w:r>
        <w:t xml:space="preserve"> 1(b): 45 per cent of commenced placements achieve the incentive payment</w:t>
      </w:r>
    </w:p>
    <w:p w:rsidR="00F6535B" w:rsidRDefault="00F6535B" w:rsidP="00F6535B">
      <w:pPr>
        <w:pStyle w:val="ListNumber"/>
        <w:keepNext/>
        <w:numPr>
          <w:ilvl w:val="0"/>
          <w:numId w:val="38"/>
        </w:numPr>
        <w:ind w:left="714" w:hanging="357"/>
      </w:pPr>
      <w:r>
        <w:t>Employment outcomes:</w:t>
      </w:r>
    </w:p>
    <w:p w:rsidR="00F6535B" w:rsidRDefault="00F6535B" w:rsidP="00F6535B">
      <w:pPr>
        <w:pStyle w:val="ListNumber"/>
        <w:numPr>
          <w:ilvl w:val="1"/>
          <w:numId w:val="38"/>
        </w:numPr>
      </w:pPr>
      <w:proofErr w:type="spellStart"/>
      <w:r>
        <w:t>KPI</w:t>
      </w:r>
      <w:proofErr w:type="spellEnd"/>
      <w:r>
        <w:t xml:space="preserve"> 2(a): 60 per cent of commenced placements achieve a 13 week outcome</w:t>
      </w:r>
    </w:p>
    <w:p w:rsidR="00F6535B" w:rsidRDefault="00F6535B" w:rsidP="00F6535B">
      <w:pPr>
        <w:pStyle w:val="ListNumber"/>
        <w:numPr>
          <w:ilvl w:val="1"/>
          <w:numId w:val="38"/>
        </w:numPr>
      </w:pPr>
      <w:proofErr w:type="spellStart"/>
      <w:r>
        <w:t>KPI</w:t>
      </w:r>
      <w:proofErr w:type="spellEnd"/>
      <w:r>
        <w:t xml:space="preserve"> 2(b): 45 per cent of commenced placements achieve a 26 week outcome</w:t>
      </w:r>
    </w:p>
    <w:p w:rsidR="00F6535B" w:rsidRDefault="00F6535B" w:rsidP="00F6535B">
      <w:pPr>
        <w:pStyle w:val="ListNumber"/>
        <w:keepNext/>
        <w:numPr>
          <w:ilvl w:val="0"/>
          <w:numId w:val="38"/>
        </w:numPr>
        <w:ind w:left="714" w:hanging="357"/>
      </w:pPr>
      <w:r>
        <w:t>Reliance on income support:</w:t>
      </w:r>
    </w:p>
    <w:p w:rsidR="00F6535B" w:rsidRDefault="00F6535B" w:rsidP="00F6535B">
      <w:pPr>
        <w:pStyle w:val="ListNumber"/>
        <w:numPr>
          <w:ilvl w:val="1"/>
          <w:numId w:val="38"/>
        </w:numPr>
      </w:pPr>
      <w:proofErr w:type="spellStart"/>
      <w:r>
        <w:t>KPI</w:t>
      </w:r>
      <w:proofErr w:type="spellEnd"/>
      <w:r>
        <w:t xml:space="preserve"> 3: 80 per cent of placements that achieve the incentive payment (for employers) have job seekers who remain off income support nine months after commencing.</w:t>
      </w:r>
    </w:p>
    <w:p w:rsidR="00F6535B" w:rsidRPr="001F5144" w:rsidRDefault="00F6535B" w:rsidP="00F6535B">
      <w:pPr>
        <w:spacing w:after="120"/>
      </w:pPr>
      <w:proofErr w:type="spellStart"/>
      <w:r w:rsidRPr="00FF7E2A">
        <w:rPr>
          <w:rFonts w:eastAsia="Times New Roman"/>
        </w:rPr>
        <w:t>TJP</w:t>
      </w:r>
      <w:proofErr w:type="spellEnd"/>
      <w:r w:rsidRPr="00FF7E2A">
        <w:rPr>
          <w:rFonts w:eastAsia="Times New Roman"/>
        </w:rPr>
        <w:t xml:space="preserve"> </w:t>
      </w:r>
      <w:r>
        <w:rPr>
          <w:rFonts w:eastAsia="Times New Roman"/>
        </w:rPr>
        <w:t xml:space="preserve">job </w:t>
      </w:r>
      <w:r w:rsidRPr="00FF7E2A">
        <w:rPr>
          <w:rFonts w:eastAsia="Times New Roman"/>
        </w:rPr>
        <w:t>placements that commenced between 1 January 2014 and 31 July 2015 are used in th</w:t>
      </w:r>
      <w:r>
        <w:rPr>
          <w:rFonts w:eastAsia="Times New Roman"/>
        </w:rPr>
        <w:t>e</w:t>
      </w:r>
      <w:r w:rsidRPr="00FF7E2A">
        <w:rPr>
          <w:rFonts w:eastAsia="Times New Roman"/>
        </w:rPr>
        <w:t xml:space="preserve"> analysis.</w:t>
      </w:r>
      <w:r>
        <w:rPr>
          <w:rFonts w:eastAsia="Times New Roman"/>
        </w:rPr>
        <w:t xml:space="preserve"> </w:t>
      </w:r>
      <w:r>
        <w:t xml:space="preserve">The report also draws on employer and employment service provider surveys to provide </w:t>
      </w:r>
      <w:r>
        <w:lastRenderedPageBreak/>
        <w:t xml:space="preserve">context on the use and perceived usefulness of the </w:t>
      </w:r>
      <w:proofErr w:type="spellStart"/>
      <w:r>
        <w:t>TJP</w:t>
      </w:r>
      <w:proofErr w:type="spellEnd"/>
      <w:r>
        <w:t xml:space="preserve"> (and wage subsidies more generally) as a labour market assistance tool.</w:t>
      </w:r>
    </w:p>
    <w:p w:rsidR="00F6535B" w:rsidRDefault="00F6535B" w:rsidP="00F6535B">
      <w:pPr>
        <w:spacing w:after="120"/>
        <w:rPr>
          <w:rFonts w:eastAsia="Times New Roman"/>
        </w:rPr>
      </w:pPr>
      <w:r>
        <w:rPr>
          <w:rFonts w:eastAsia="Times New Roman"/>
        </w:rPr>
        <w:t>Specific findings are</w:t>
      </w:r>
      <w:r>
        <w:rPr>
          <w:rStyle w:val="FootnoteReference"/>
          <w:rFonts w:eastAsia="Times New Roman"/>
        </w:rPr>
        <w:footnoteReference w:id="1"/>
      </w:r>
      <w:r>
        <w:rPr>
          <w:rFonts w:eastAsia="Times New Roman"/>
        </w:rPr>
        <w:t>:</w:t>
      </w:r>
      <w:r w:rsidRPr="00FF7E2A">
        <w:rPr>
          <w:rFonts w:eastAsia="Times New Roman"/>
        </w:rPr>
        <w:t xml:space="preserve"> </w:t>
      </w:r>
    </w:p>
    <w:p w:rsidR="00F6535B" w:rsidRPr="002F5247" w:rsidRDefault="00F6535B" w:rsidP="00F6535B">
      <w:pPr>
        <w:pStyle w:val="ListParagraph"/>
        <w:numPr>
          <w:ilvl w:val="0"/>
          <w:numId w:val="39"/>
        </w:numPr>
        <w:rPr>
          <w:noProof/>
        </w:rPr>
      </w:pPr>
      <w:bookmarkStart w:id="6" w:name="_Toc433205187"/>
      <w:r w:rsidRPr="002F5247">
        <w:rPr>
          <w:noProof/>
        </w:rPr>
        <w:t>KPI 1</w:t>
      </w:r>
      <w:r>
        <w:rPr>
          <w:noProof/>
        </w:rPr>
        <w:t>(</w:t>
      </w:r>
      <w:r w:rsidRPr="002F5247">
        <w:rPr>
          <w:noProof/>
        </w:rPr>
        <w:t>a</w:t>
      </w:r>
      <w:r>
        <w:rPr>
          <w:noProof/>
        </w:rPr>
        <w:t xml:space="preserve">) was </w:t>
      </w:r>
      <w:r w:rsidRPr="009C0607">
        <w:rPr>
          <w:noProof/>
        </w:rPr>
        <w:t>not</w:t>
      </w:r>
      <w:r>
        <w:rPr>
          <w:noProof/>
        </w:rPr>
        <w:t xml:space="preserve"> achieved. </w:t>
      </w:r>
      <w:r w:rsidRPr="002F5247">
        <w:rPr>
          <w:noProof/>
        </w:rPr>
        <w:t>Between 1 January 2014 and 31 July 2015, a total of 181 approved TJP placements were commenced under either JSA, jobactive, or DES,  representing a take-up rate of 11.4 per cent</w:t>
      </w:r>
      <w:bookmarkEnd w:id="6"/>
    </w:p>
    <w:p w:rsidR="00F6535B" w:rsidRPr="002F5247" w:rsidRDefault="00F6535B" w:rsidP="00F6535B">
      <w:pPr>
        <w:pStyle w:val="ListParagraph"/>
        <w:numPr>
          <w:ilvl w:val="0"/>
          <w:numId w:val="39"/>
        </w:numPr>
        <w:spacing w:after="120"/>
      </w:pPr>
      <w:proofErr w:type="spellStart"/>
      <w:r w:rsidRPr="002F5247">
        <w:rPr>
          <w:rFonts w:ascii="Calibri" w:hAnsi="Calibri" w:cs="Calibri"/>
        </w:rPr>
        <w:t>KPI</w:t>
      </w:r>
      <w:proofErr w:type="spellEnd"/>
      <w:r w:rsidRPr="002F5247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(</w:t>
      </w:r>
      <w:r w:rsidRPr="002F5247">
        <w:rPr>
          <w:rFonts w:ascii="Calibri" w:hAnsi="Calibri" w:cs="Calibri"/>
        </w:rPr>
        <w:t>b</w:t>
      </w:r>
      <w:r>
        <w:rPr>
          <w:rFonts w:ascii="Calibri" w:hAnsi="Calibri" w:cs="Calibri"/>
        </w:rPr>
        <w:t>) was achieved.</w:t>
      </w:r>
      <w:r w:rsidRPr="002F5247">
        <w:rPr>
          <w:rFonts w:ascii="Calibri" w:hAnsi="Calibri" w:cs="Calibri"/>
        </w:rPr>
        <w:t xml:space="preserve"> Around half (50.4 per cent) of the 131 </w:t>
      </w:r>
      <w:proofErr w:type="spellStart"/>
      <w:r w:rsidRPr="002F5247">
        <w:rPr>
          <w:rFonts w:ascii="Calibri" w:hAnsi="Calibri" w:cs="Calibri"/>
        </w:rPr>
        <w:t>TJP</w:t>
      </w:r>
      <w:proofErr w:type="spellEnd"/>
      <w:r w:rsidRPr="002F5247">
        <w:rPr>
          <w:rFonts w:ascii="Calibri" w:hAnsi="Calibri" w:cs="Calibri"/>
        </w:rPr>
        <w:t xml:space="preserve"> placements commenced by 31 January 2015 achieved an incentive payment</w:t>
      </w:r>
    </w:p>
    <w:p w:rsidR="00F6535B" w:rsidRPr="002F5247" w:rsidRDefault="00F6535B" w:rsidP="00F6535B">
      <w:pPr>
        <w:pStyle w:val="ListParagraph"/>
        <w:numPr>
          <w:ilvl w:val="0"/>
          <w:numId w:val="39"/>
        </w:numPr>
        <w:spacing w:after="120"/>
      </w:pPr>
      <w:proofErr w:type="spellStart"/>
      <w:r w:rsidRPr="002F5247">
        <w:rPr>
          <w:rFonts w:ascii="Calibri" w:hAnsi="Calibri" w:cs="Calibri"/>
        </w:rPr>
        <w:t>KPI</w:t>
      </w:r>
      <w:proofErr w:type="spellEnd"/>
      <w:r w:rsidRPr="002F5247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(</w:t>
      </w:r>
      <w:r w:rsidRPr="002F5247">
        <w:rPr>
          <w:rFonts w:ascii="Calibri" w:hAnsi="Calibri" w:cs="Calibri"/>
        </w:rPr>
        <w:t>a</w:t>
      </w:r>
      <w:r>
        <w:rPr>
          <w:rFonts w:ascii="Calibri" w:hAnsi="Calibri" w:cs="Calibri"/>
        </w:rPr>
        <w:t>)</w:t>
      </w:r>
      <w:r w:rsidRPr="002F5247">
        <w:rPr>
          <w:rFonts w:ascii="Calibri" w:hAnsi="Calibri" w:cs="Calibri"/>
        </w:rPr>
        <w:t xml:space="preserve"> was achieved.</w:t>
      </w:r>
      <w:r w:rsidRPr="002F5247">
        <w:rPr>
          <w:rFonts w:ascii="Calibri" w:hAnsi="Calibri" w:cs="Calibri"/>
          <w:noProof/>
        </w:rPr>
        <w:t xml:space="preserve"> Of the 146 TJP placements commenced by 30 April 2015, 76.7 per cent achieved a 13 week outcome</w:t>
      </w:r>
    </w:p>
    <w:p w:rsidR="00F6535B" w:rsidRPr="002F5247" w:rsidRDefault="00F6535B" w:rsidP="00F6535B">
      <w:pPr>
        <w:pStyle w:val="ListParagraph"/>
        <w:numPr>
          <w:ilvl w:val="0"/>
          <w:numId w:val="39"/>
        </w:numPr>
        <w:spacing w:after="120"/>
      </w:pPr>
      <w:proofErr w:type="spellStart"/>
      <w:r w:rsidRPr="002F5247">
        <w:rPr>
          <w:rFonts w:ascii="Calibri" w:hAnsi="Calibri" w:cs="Calibri"/>
        </w:rPr>
        <w:t>KPI</w:t>
      </w:r>
      <w:proofErr w:type="spellEnd"/>
      <w:r w:rsidRPr="002F5247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(</w:t>
      </w:r>
      <w:r w:rsidRPr="002F5247">
        <w:rPr>
          <w:rFonts w:ascii="Calibri" w:hAnsi="Calibri" w:cs="Calibri"/>
        </w:rPr>
        <w:t>b</w:t>
      </w:r>
      <w:r>
        <w:rPr>
          <w:rFonts w:ascii="Calibri" w:hAnsi="Calibri" w:cs="Calibri"/>
        </w:rPr>
        <w:t>)</w:t>
      </w:r>
      <w:r w:rsidRPr="002F5247">
        <w:rPr>
          <w:rFonts w:ascii="Calibri" w:hAnsi="Calibri" w:cs="Calibri"/>
        </w:rPr>
        <w:t xml:space="preserve"> was achieved. Of the 131 </w:t>
      </w:r>
      <w:proofErr w:type="spellStart"/>
      <w:r w:rsidRPr="002F5247">
        <w:rPr>
          <w:rFonts w:ascii="Calibri" w:hAnsi="Calibri" w:cs="Calibri"/>
        </w:rPr>
        <w:t>TJP</w:t>
      </w:r>
      <w:proofErr w:type="spellEnd"/>
      <w:r w:rsidRPr="002F5247">
        <w:rPr>
          <w:rFonts w:ascii="Calibri" w:hAnsi="Calibri" w:cs="Calibri"/>
        </w:rPr>
        <w:t xml:space="preserve"> placements commenced by 31 January 2015, 64.1</w:t>
      </w:r>
      <w:r w:rsidR="0084164D">
        <w:rPr>
          <w:rFonts w:ascii="Calibri" w:hAnsi="Calibri" w:cs="Calibri"/>
        </w:rPr>
        <w:t> </w:t>
      </w:r>
      <w:r w:rsidRPr="002F5247">
        <w:rPr>
          <w:rFonts w:ascii="Calibri" w:hAnsi="Calibri" w:cs="Calibri"/>
        </w:rPr>
        <w:t>per cent achieved a 26 week outcome</w:t>
      </w:r>
    </w:p>
    <w:p w:rsidR="00F6535B" w:rsidRDefault="00F6535B" w:rsidP="00F6535B">
      <w:pPr>
        <w:pStyle w:val="ListParagraph"/>
        <w:numPr>
          <w:ilvl w:val="0"/>
          <w:numId w:val="39"/>
        </w:numPr>
      </w:pPr>
      <w:proofErr w:type="spellStart"/>
      <w:r w:rsidRPr="008A67ED">
        <w:rPr>
          <w:rFonts w:ascii="Calibri" w:hAnsi="Calibri" w:cs="Calibri"/>
        </w:rPr>
        <w:t>KPI</w:t>
      </w:r>
      <w:proofErr w:type="spellEnd"/>
      <w:r w:rsidRPr="008A67ED">
        <w:rPr>
          <w:rFonts w:ascii="Calibri" w:hAnsi="Calibri" w:cs="Calibri"/>
        </w:rPr>
        <w:t xml:space="preserve"> 3 was not achieved</w:t>
      </w:r>
      <w:r w:rsidRPr="002F5247">
        <w:rPr>
          <w:noProof/>
        </w:rPr>
        <w:t>.</w:t>
      </w:r>
      <w:r w:rsidRPr="008A67ED">
        <w:rPr>
          <w:rFonts w:ascii="Calibri" w:hAnsi="Calibri" w:cs="Calibri"/>
        </w:rPr>
        <w:t xml:space="preserve"> Of the 52 </w:t>
      </w:r>
      <w:proofErr w:type="spellStart"/>
      <w:r w:rsidRPr="008A67ED">
        <w:rPr>
          <w:rFonts w:ascii="Calibri" w:hAnsi="Calibri" w:cs="Calibri"/>
        </w:rPr>
        <w:t>JSA</w:t>
      </w:r>
      <w:proofErr w:type="spellEnd"/>
      <w:r w:rsidRPr="008A67ED">
        <w:rPr>
          <w:rFonts w:ascii="Calibri" w:hAnsi="Calibri" w:cs="Calibri"/>
        </w:rPr>
        <w:t xml:space="preserve"> placements that commenced by 31 October 2014 (all full-time) and received the incentive payment after 26 weeks, 71.2 per cent</w:t>
      </w:r>
      <w:r w:rsidRPr="001309C0">
        <w:t xml:space="preserve"> were off </w:t>
      </w:r>
      <w:r>
        <w:t xml:space="preserve">income support nine months later. This shows that a high proportion of </w:t>
      </w:r>
      <w:proofErr w:type="spellStart"/>
      <w:r>
        <w:t>TJP</w:t>
      </w:r>
      <w:proofErr w:type="spellEnd"/>
      <w:r>
        <w:t xml:space="preserve"> recipients were able to transition off income support, but falls </w:t>
      </w:r>
      <w:r w:rsidRPr="001309C0">
        <w:t xml:space="preserve">just short of the </w:t>
      </w:r>
      <w:r>
        <w:t xml:space="preserve">80 per cent </w:t>
      </w:r>
      <w:r w:rsidRPr="001309C0">
        <w:t>target.</w:t>
      </w:r>
      <w:r>
        <w:t xml:space="preserve"> Job seekers who commenced a </w:t>
      </w:r>
      <w:proofErr w:type="spellStart"/>
      <w:r>
        <w:t>TJP</w:t>
      </w:r>
      <w:proofErr w:type="spellEnd"/>
      <w:r>
        <w:t xml:space="preserve"> placement had a significantly higher probability of being off income support than comparable job seekers in Tasmania who commenced non-</w:t>
      </w:r>
      <w:proofErr w:type="spellStart"/>
      <w:r>
        <w:t>TJP</w:t>
      </w:r>
      <w:proofErr w:type="spellEnd"/>
      <w:r>
        <w:t xml:space="preserve"> subsidised placements over the same time period. </w:t>
      </w:r>
    </w:p>
    <w:p w:rsidR="00F6535B" w:rsidRDefault="00F6535B" w:rsidP="00F6535B">
      <w:pPr>
        <w:spacing w:after="120"/>
      </w:pPr>
      <w:r w:rsidRPr="001F5144">
        <w:t>Overall, the evaluation f</w:t>
      </w:r>
      <w:r>
        <w:t>inds</w:t>
      </w:r>
      <w:r w:rsidR="00B551E3">
        <w:t>,</w:t>
      </w:r>
      <w:r w:rsidRPr="001F5144">
        <w:t xml:space="preserve"> </w:t>
      </w:r>
      <w:r>
        <w:t xml:space="preserve">despite a low take-up rate, </w:t>
      </w:r>
      <w:proofErr w:type="gramStart"/>
      <w:r w:rsidR="00B551E3">
        <w:t>participants</w:t>
      </w:r>
      <w:proofErr w:type="gramEnd"/>
      <w:r w:rsidR="00B551E3">
        <w:t xml:space="preserve"> </w:t>
      </w:r>
      <w:r>
        <w:t>sustained employment outcomes</w:t>
      </w:r>
      <w:r w:rsidR="00B551E3">
        <w:t>.</w:t>
      </w:r>
      <w:r>
        <w:t xml:space="preserve"> These e</w:t>
      </w:r>
      <w:r w:rsidRPr="001F5144">
        <w:t>valuation findings w</w:t>
      </w:r>
      <w:r>
        <w:t xml:space="preserve">ill </w:t>
      </w:r>
      <w:r w:rsidRPr="001F5144">
        <w:t xml:space="preserve">inform </w:t>
      </w:r>
      <w:r>
        <w:t>future policy and program development. Some key lessons are:</w:t>
      </w:r>
    </w:p>
    <w:p w:rsidR="00F6535B" w:rsidRDefault="00F6535B" w:rsidP="00F6535B">
      <w:pPr>
        <w:pStyle w:val="ListParagraph"/>
        <w:numPr>
          <w:ilvl w:val="0"/>
          <w:numId w:val="37"/>
        </w:numPr>
      </w:pPr>
      <w:r>
        <w:t>wage subsidies are effective for particular cohorts if the subsidy is appropriately designed</w:t>
      </w:r>
    </w:p>
    <w:p w:rsidR="00F6535B" w:rsidRDefault="00F6535B" w:rsidP="00F6535B">
      <w:pPr>
        <w:pStyle w:val="ListParagraph"/>
        <w:numPr>
          <w:ilvl w:val="0"/>
          <w:numId w:val="37"/>
        </w:numPr>
      </w:pPr>
      <w:r>
        <w:t>future initiatives should carefully consider barriers to program take-up such as considering the labour market conditions, improving program awareness by employers, and the program design</w:t>
      </w:r>
    </w:p>
    <w:p w:rsidR="00F6535B" w:rsidRPr="005B3DAC" w:rsidRDefault="00F6535B" w:rsidP="00F6535B">
      <w:pPr>
        <w:pStyle w:val="ListParagraph"/>
        <w:numPr>
          <w:ilvl w:val="0"/>
          <w:numId w:val="37"/>
        </w:numPr>
      </w:pPr>
      <w:proofErr w:type="gramStart"/>
      <w:r w:rsidRPr="005B3DAC">
        <w:t>consideration</w:t>
      </w:r>
      <w:proofErr w:type="gramEnd"/>
      <w:r w:rsidRPr="005B3DAC">
        <w:t xml:space="preserve"> should be given to tailoring the design of wages subsidies based not only on job seeker characteristics, but also with reference to business type and size. </w:t>
      </w:r>
    </w:p>
    <w:sectPr w:rsidR="00F6535B" w:rsidRPr="005B3DAC" w:rsidSect="00A35435">
      <w:headerReference w:type="default" r:id="rId14"/>
      <w:footerReference w:type="default" r:id="rId15"/>
      <w:type w:val="continuous"/>
      <w:pgSz w:w="11906" w:h="16838"/>
      <w:pgMar w:top="1985" w:right="1440" w:bottom="1440" w:left="1588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10" w:rsidRDefault="00134410" w:rsidP="00130923">
      <w:pPr>
        <w:spacing w:after="0" w:line="240" w:lineRule="auto"/>
      </w:pPr>
      <w:r>
        <w:separator/>
      </w:r>
    </w:p>
  </w:endnote>
  <w:endnote w:type="continuationSeparator" w:id="0">
    <w:p w:rsidR="00134410" w:rsidRDefault="00134410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3242B9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021978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10" w:rsidRDefault="00134410" w:rsidP="00130923">
      <w:pPr>
        <w:spacing w:after="0" w:line="240" w:lineRule="auto"/>
      </w:pPr>
      <w:r>
        <w:separator/>
      </w:r>
    </w:p>
  </w:footnote>
  <w:footnote w:type="continuationSeparator" w:id="0">
    <w:p w:rsidR="00134410" w:rsidRDefault="00134410" w:rsidP="00130923">
      <w:pPr>
        <w:spacing w:after="0" w:line="240" w:lineRule="auto"/>
      </w:pPr>
      <w:r>
        <w:continuationSeparator/>
      </w:r>
    </w:p>
  </w:footnote>
  <w:footnote w:id="1">
    <w:p w:rsidR="00F6535B" w:rsidRDefault="00F6535B" w:rsidP="00F6535B">
      <w:pPr>
        <w:pStyle w:val="FootnoteText"/>
        <w:tabs>
          <w:tab w:val="left" w:pos="426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Some dates referenced here vary from the 31 July 2015 end date mentioned above so as to allow sufficient time to achieve </w:t>
      </w:r>
      <w:proofErr w:type="spellStart"/>
      <w:r>
        <w:t>KPI</w:t>
      </w:r>
      <w:proofErr w:type="spellEnd"/>
      <w:r>
        <w:t xml:space="preserve"> requirements. For instance for </w:t>
      </w:r>
      <w:proofErr w:type="spellStart"/>
      <w:r>
        <w:t>KPI</w:t>
      </w:r>
      <w:proofErr w:type="spellEnd"/>
      <w:r>
        <w:t xml:space="preserve"> 2(a) analysis 30 April 2015 was the last date for </w:t>
      </w:r>
      <w:proofErr w:type="spellStart"/>
      <w:r>
        <w:t>TJP</w:t>
      </w:r>
      <w:proofErr w:type="spellEnd"/>
      <w:r>
        <w:t xml:space="preserve"> placements used as this date is 13 weeks prior to the last date (31 July 2015) for which </w:t>
      </w:r>
      <w:proofErr w:type="spellStart"/>
      <w:r>
        <w:t>TJP</w:t>
      </w:r>
      <w:proofErr w:type="spellEnd"/>
      <w:r>
        <w:t xml:space="preserve"> outcome data was available at the time of this analysis.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Default="00036C94" w:rsidP="00560CA0">
    <w:pPr>
      <w:pStyle w:val="Header"/>
      <w:jc w:val="right"/>
      <w:rPr>
        <w:b/>
      </w:rPr>
    </w:pPr>
    <w:r>
      <w:rPr>
        <w:b/>
      </w:rPr>
      <w:t>Tasmanian Jobs Programme</w:t>
    </w:r>
    <w:r w:rsidR="00E35C5C" w:rsidRPr="00E35C5C">
      <w:rPr>
        <w:b/>
      </w:rPr>
      <w:t xml:space="preserve"> Evaluation</w:t>
    </w:r>
    <w:r w:rsidR="00E35C5C">
      <w:rPr>
        <w:b/>
      </w:rPr>
      <w:t xml:space="preserve"> Key Facts</w:t>
    </w:r>
  </w:p>
  <w:p w:rsidR="00E35C5C" w:rsidRDefault="00E35C5C" w:rsidP="00E35C5C">
    <w:pPr>
      <w:pStyle w:val="Header"/>
      <w:jc w:val="center"/>
    </w:pPr>
  </w:p>
  <w:p w:rsidR="00E35C5C" w:rsidRDefault="00E35C5C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846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E69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00D16"/>
    <w:multiLevelType w:val="multilevel"/>
    <w:tmpl w:val="9D9E4B96"/>
    <w:numStyleLink w:val="BulletList"/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221775B9"/>
    <w:multiLevelType w:val="hybridMultilevel"/>
    <w:tmpl w:val="857A4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D5840"/>
    <w:multiLevelType w:val="hybridMultilevel"/>
    <w:tmpl w:val="9B06E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449430C3"/>
    <w:multiLevelType w:val="hybridMultilevel"/>
    <w:tmpl w:val="1FC8C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4061A"/>
    <w:multiLevelType w:val="hybridMultilevel"/>
    <w:tmpl w:val="1A1C1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>
    <w:nsid w:val="6D702326"/>
    <w:multiLevelType w:val="hybridMultilevel"/>
    <w:tmpl w:val="3F1ECA3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0787EC1"/>
    <w:multiLevelType w:val="multilevel"/>
    <w:tmpl w:val="0E88F2A2"/>
    <w:styleLink w:val="Bullets3"/>
    <w:lvl w:ilvl="0">
      <w:numFmt w:val="bullet"/>
      <w:pStyle w:val="bullet"/>
      <w:lvlText w:val="•"/>
      <w:lvlJc w:val="left"/>
      <w:pPr>
        <w:ind w:left="785" w:hanging="360"/>
      </w:pPr>
      <w:rPr>
        <w:rFonts w:ascii="Calibri" w:eastAsia="Times New Roman" w:hAnsi="Calibri" w:cs="Calibri" w:hint="default"/>
        <w:b w:val="0"/>
        <w:i w:val="0"/>
        <w:color w:val="0D0D0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345375"/>
    <w:multiLevelType w:val="hybridMultilevel"/>
    <w:tmpl w:val="FF0AD086"/>
    <w:lvl w:ilvl="0" w:tplc="1E86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AD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2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A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F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E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4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B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C2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10"/>
  </w:num>
  <w:num w:numId="28">
    <w:abstractNumId w:val="10"/>
  </w:num>
  <w:num w:numId="29">
    <w:abstractNumId w:val="9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5"/>
  </w:num>
  <w:num w:numId="38">
    <w:abstractNumId w:val="16"/>
  </w:num>
  <w:num w:numId="39">
    <w:abstractNumId w:val="18"/>
  </w:num>
  <w:num w:numId="40">
    <w:abstractNumId w:val="17"/>
  </w:num>
  <w:num w:numId="41">
    <w:abstractNumId w:val="17"/>
  </w:num>
  <w:num w:numId="42">
    <w:abstractNumId w:val="19"/>
  </w:num>
  <w:num w:numId="43">
    <w:abstractNumId w:val="23"/>
  </w:num>
  <w:num w:numId="44">
    <w:abstractNumId w:val="23"/>
  </w:num>
  <w:num w:numId="45">
    <w:abstractNumId w:val="23"/>
  </w:num>
  <w:num w:numId="46">
    <w:abstractNumId w:val="2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379ad71-e915-4649-b594-2d502c319d90"/>
    <w:docVar w:name="_AMO_XmlVersion" w:val="Empty"/>
  </w:docVars>
  <w:rsids>
    <w:rsidRoot w:val="00C10C19"/>
    <w:rsid w:val="00002721"/>
    <w:rsid w:val="00021978"/>
    <w:rsid w:val="00024E24"/>
    <w:rsid w:val="00034EAA"/>
    <w:rsid w:val="00036C94"/>
    <w:rsid w:val="00063E40"/>
    <w:rsid w:val="000861A6"/>
    <w:rsid w:val="000B25D6"/>
    <w:rsid w:val="000E7E7B"/>
    <w:rsid w:val="000F3BA2"/>
    <w:rsid w:val="00101BE5"/>
    <w:rsid w:val="00105325"/>
    <w:rsid w:val="001059A7"/>
    <w:rsid w:val="001175BF"/>
    <w:rsid w:val="00130923"/>
    <w:rsid w:val="00134410"/>
    <w:rsid w:val="001414F3"/>
    <w:rsid w:val="00143FCD"/>
    <w:rsid w:val="00160AAE"/>
    <w:rsid w:val="00181E47"/>
    <w:rsid w:val="001B6467"/>
    <w:rsid w:val="001E10B9"/>
    <w:rsid w:val="001E15E1"/>
    <w:rsid w:val="001F1C07"/>
    <w:rsid w:val="00223EB1"/>
    <w:rsid w:val="00236917"/>
    <w:rsid w:val="00236BF4"/>
    <w:rsid w:val="00243D6B"/>
    <w:rsid w:val="002440BA"/>
    <w:rsid w:val="002B06E6"/>
    <w:rsid w:val="002D271F"/>
    <w:rsid w:val="002D5D10"/>
    <w:rsid w:val="002D6386"/>
    <w:rsid w:val="002F5247"/>
    <w:rsid w:val="00305B35"/>
    <w:rsid w:val="003166C5"/>
    <w:rsid w:val="003242B9"/>
    <w:rsid w:val="0032782A"/>
    <w:rsid w:val="003D67FC"/>
    <w:rsid w:val="00406E5A"/>
    <w:rsid w:val="00435B7B"/>
    <w:rsid w:val="00455B34"/>
    <w:rsid w:val="00476140"/>
    <w:rsid w:val="0048762C"/>
    <w:rsid w:val="004A760F"/>
    <w:rsid w:val="004B256F"/>
    <w:rsid w:val="004D12BF"/>
    <w:rsid w:val="005113B6"/>
    <w:rsid w:val="00531817"/>
    <w:rsid w:val="00560CA0"/>
    <w:rsid w:val="005624F3"/>
    <w:rsid w:val="005811EF"/>
    <w:rsid w:val="005A1BE5"/>
    <w:rsid w:val="005B0878"/>
    <w:rsid w:val="005B3DAC"/>
    <w:rsid w:val="005B4B7F"/>
    <w:rsid w:val="005C15C0"/>
    <w:rsid w:val="005D3E53"/>
    <w:rsid w:val="005E1673"/>
    <w:rsid w:val="00610654"/>
    <w:rsid w:val="006172EB"/>
    <w:rsid w:val="006318B9"/>
    <w:rsid w:val="00635AFE"/>
    <w:rsid w:val="0067026C"/>
    <w:rsid w:val="00686AED"/>
    <w:rsid w:val="00692776"/>
    <w:rsid w:val="006C4962"/>
    <w:rsid w:val="006D27EB"/>
    <w:rsid w:val="006E2D49"/>
    <w:rsid w:val="0070362F"/>
    <w:rsid w:val="00734FF2"/>
    <w:rsid w:val="00740922"/>
    <w:rsid w:val="007468FC"/>
    <w:rsid w:val="00753EB2"/>
    <w:rsid w:val="00756759"/>
    <w:rsid w:val="00792CA3"/>
    <w:rsid w:val="007A67B4"/>
    <w:rsid w:val="007B2FDD"/>
    <w:rsid w:val="007D58FB"/>
    <w:rsid w:val="00804665"/>
    <w:rsid w:val="00814AE4"/>
    <w:rsid w:val="0083468A"/>
    <w:rsid w:val="008412D8"/>
    <w:rsid w:val="0084164D"/>
    <w:rsid w:val="00842D43"/>
    <w:rsid w:val="00856D1C"/>
    <w:rsid w:val="00876AC0"/>
    <w:rsid w:val="008A67ED"/>
    <w:rsid w:val="00903408"/>
    <w:rsid w:val="009116EA"/>
    <w:rsid w:val="00926BB5"/>
    <w:rsid w:val="00933671"/>
    <w:rsid w:val="00941BF2"/>
    <w:rsid w:val="0095052E"/>
    <w:rsid w:val="0096483F"/>
    <w:rsid w:val="00972BF7"/>
    <w:rsid w:val="00972DD5"/>
    <w:rsid w:val="00982ADD"/>
    <w:rsid w:val="00984879"/>
    <w:rsid w:val="00985632"/>
    <w:rsid w:val="00991B63"/>
    <w:rsid w:val="00997E16"/>
    <w:rsid w:val="009A602F"/>
    <w:rsid w:val="009B2428"/>
    <w:rsid w:val="009B5CB7"/>
    <w:rsid w:val="009C0607"/>
    <w:rsid w:val="009C0EE2"/>
    <w:rsid w:val="009C4CDF"/>
    <w:rsid w:val="009C5738"/>
    <w:rsid w:val="009C61E7"/>
    <w:rsid w:val="00A03A03"/>
    <w:rsid w:val="00A21FB0"/>
    <w:rsid w:val="00A31242"/>
    <w:rsid w:val="00A35435"/>
    <w:rsid w:val="00A52530"/>
    <w:rsid w:val="00A551BF"/>
    <w:rsid w:val="00A70524"/>
    <w:rsid w:val="00A73406"/>
    <w:rsid w:val="00A9672C"/>
    <w:rsid w:val="00AC65DA"/>
    <w:rsid w:val="00AF1E73"/>
    <w:rsid w:val="00B2722A"/>
    <w:rsid w:val="00B331D1"/>
    <w:rsid w:val="00B551E3"/>
    <w:rsid w:val="00B618BA"/>
    <w:rsid w:val="00B728C6"/>
    <w:rsid w:val="00B83C8E"/>
    <w:rsid w:val="00BA282D"/>
    <w:rsid w:val="00BB6260"/>
    <w:rsid w:val="00BF10F4"/>
    <w:rsid w:val="00C05E74"/>
    <w:rsid w:val="00C10C19"/>
    <w:rsid w:val="00C143B8"/>
    <w:rsid w:val="00C169F7"/>
    <w:rsid w:val="00C17D02"/>
    <w:rsid w:val="00C5649C"/>
    <w:rsid w:val="00C75486"/>
    <w:rsid w:val="00C8202C"/>
    <w:rsid w:val="00C91ABA"/>
    <w:rsid w:val="00C92A5B"/>
    <w:rsid w:val="00C935AD"/>
    <w:rsid w:val="00CA46EC"/>
    <w:rsid w:val="00CE1252"/>
    <w:rsid w:val="00D05B29"/>
    <w:rsid w:val="00D1394D"/>
    <w:rsid w:val="00D47740"/>
    <w:rsid w:val="00D812B9"/>
    <w:rsid w:val="00D903FD"/>
    <w:rsid w:val="00D94BC5"/>
    <w:rsid w:val="00D96C08"/>
    <w:rsid w:val="00DC3052"/>
    <w:rsid w:val="00DC76D7"/>
    <w:rsid w:val="00DF46C4"/>
    <w:rsid w:val="00E35C5C"/>
    <w:rsid w:val="00E44341"/>
    <w:rsid w:val="00EB0266"/>
    <w:rsid w:val="00EC024C"/>
    <w:rsid w:val="00EC64C4"/>
    <w:rsid w:val="00EC78E7"/>
    <w:rsid w:val="00ED43D2"/>
    <w:rsid w:val="00EE3B8C"/>
    <w:rsid w:val="00EF4A38"/>
    <w:rsid w:val="00F11B8F"/>
    <w:rsid w:val="00F4737A"/>
    <w:rsid w:val="00F6535B"/>
    <w:rsid w:val="00F74011"/>
    <w:rsid w:val="00F975AB"/>
    <w:rsid w:val="00FB10CB"/>
    <w:rsid w:val="00FD4A7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Subtitle"/>
    <w:next w:val="Normal"/>
    <w:link w:val="Heading1Char"/>
    <w:uiPriority w:val="9"/>
    <w:qFormat/>
    <w:rsid w:val="00C91ABA"/>
    <w:pPr>
      <w:spacing w:after="360"/>
      <w:outlineLvl w:val="0"/>
    </w:pPr>
    <w:rPr>
      <w:b/>
      <w:iCs w:val="0"/>
      <w:spacing w:val="5"/>
      <w:sz w:val="4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91ABA"/>
    <w:rPr>
      <w:rFonts w:ascii="Calibri" w:eastAsiaTheme="majorEastAsia" w:hAnsi="Calibri" w:cstheme="majorBidi"/>
      <w:b/>
      <w:color w:val="003D6B"/>
      <w:spacing w:val="5"/>
      <w:sz w:val="42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List Paragraph1,Recommendation,List Paragraph11,Bullet Point,L,Bullet points,Content descriptions,Bulletr List Paragraph,FooterText,List Paragraph2,List Paragraph21,Listeafsnit1,NFP GP Bulleted List,Paragraphe de liste1,Body Bullets 1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6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6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6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5C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 Point Char,L Char,Bullet points Char,Content descriptions Char,Bulletr List Paragraph Char,FooterText Char,List Paragraph2 Char,List Paragraph21 Char"/>
    <w:basedOn w:val="DefaultParagraphFont"/>
    <w:link w:val="ListParagraph"/>
    <w:uiPriority w:val="34"/>
    <w:locked/>
    <w:rsid w:val="00635AFE"/>
  </w:style>
  <w:style w:type="character" w:styleId="FootnoteReference">
    <w:name w:val="footnote reference"/>
    <w:basedOn w:val="DefaultParagraphFont"/>
    <w:uiPriority w:val="99"/>
    <w:rsid w:val="00AF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F1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E73"/>
    <w:rPr>
      <w:sz w:val="20"/>
      <w:szCs w:val="20"/>
    </w:rPr>
  </w:style>
  <w:style w:type="paragraph" w:customStyle="1" w:styleId="bullet">
    <w:name w:val="bullet"/>
    <w:basedOn w:val="Normal"/>
    <w:link w:val="bulletChar"/>
    <w:rsid w:val="005D3E53"/>
    <w:pPr>
      <w:numPr>
        <w:numId w:val="43"/>
      </w:num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 w:cs="Garamond"/>
      <w:color w:val="000000"/>
      <w:szCs w:val="24"/>
      <w:lang w:val="en-GB" w:eastAsia="en-AU"/>
    </w:rPr>
  </w:style>
  <w:style w:type="character" w:customStyle="1" w:styleId="bulletChar">
    <w:name w:val="bullet Char"/>
    <w:basedOn w:val="BodyTextChar"/>
    <w:link w:val="bullet"/>
    <w:rsid w:val="005D3E53"/>
    <w:rPr>
      <w:rFonts w:eastAsia="Times New Roman" w:cs="Garamond"/>
      <w:color w:val="000000"/>
      <w:szCs w:val="24"/>
      <w:lang w:val="en-GB" w:eastAsia="en-AU"/>
    </w:rPr>
  </w:style>
  <w:style w:type="numbering" w:customStyle="1" w:styleId="Bullets3">
    <w:name w:val="Bullets3"/>
    <w:basedOn w:val="NoList"/>
    <w:rsid w:val="005D3E53"/>
    <w:pPr>
      <w:numPr>
        <w:numId w:val="43"/>
      </w:numPr>
    </w:pPr>
  </w:style>
  <w:style w:type="paragraph" w:customStyle="1" w:styleId="Normal6pt">
    <w:name w:val="Normal + 6pt"/>
    <w:basedOn w:val="Normal"/>
    <w:qFormat/>
    <w:rsid w:val="005D3E53"/>
    <w:pPr>
      <w:spacing w:after="120"/>
    </w:pPr>
    <w:rPr>
      <w:sz w:val="12"/>
      <w:szCs w:val="12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32782A"/>
    <w:rPr>
      <w:sz w:val="20"/>
      <w:szCs w:val="20"/>
    </w:rPr>
  </w:style>
  <w:style w:type="numbering" w:customStyle="1" w:styleId="Bullets31">
    <w:name w:val="Bullets31"/>
    <w:basedOn w:val="NoList"/>
    <w:rsid w:val="00CE1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Subtitle"/>
    <w:next w:val="Normal"/>
    <w:link w:val="Heading1Char"/>
    <w:uiPriority w:val="9"/>
    <w:qFormat/>
    <w:rsid w:val="00C91ABA"/>
    <w:pPr>
      <w:spacing w:after="360"/>
      <w:outlineLvl w:val="0"/>
    </w:pPr>
    <w:rPr>
      <w:b/>
      <w:iCs w:val="0"/>
      <w:spacing w:val="5"/>
      <w:sz w:val="4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91ABA"/>
    <w:rPr>
      <w:rFonts w:ascii="Calibri" w:eastAsiaTheme="majorEastAsia" w:hAnsi="Calibri" w:cstheme="majorBidi"/>
      <w:b/>
      <w:color w:val="003D6B"/>
      <w:spacing w:val="5"/>
      <w:sz w:val="42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List Paragraph1,Recommendation,List Paragraph11,Bullet Point,L,Bullet points,Content descriptions,Bulletr List Paragraph,FooterText,List Paragraph2,List Paragraph21,Listeafsnit1,NFP GP Bulleted List,Paragraphe de liste1,Body Bullets 1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6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6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6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5C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 Point Char,L Char,Bullet points Char,Content descriptions Char,Bulletr List Paragraph Char,FooterText Char,List Paragraph2 Char,List Paragraph21 Char"/>
    <w:basedOn w:val="DefaultParagraphFont"/>
    <w:link w:val="ListParagraph"/>
    <w:uiPriority w:val="34"/>
    <w:locked/>
    <w:rsid w:val="00635AFE"/>
  </w:style>
  <w:style w:type="character" w:styleId="FootnoteReference">
    <w:name w:val="footnote reference"/>
    <w:basedOn w:val="DefaultParagraphFont"/>
    <w:uiPriority w:val="99"/>
    <w:rsid w:val="00AF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F1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E73"/>
    <w:rPr>
      <w:sz w:val="20"/>
      <w:szCs w:val="20"/>
    </w:rPr>
  </w:style>
  <w:style w:type="paragraph" w:customStyle="1" w:styleId="bullet">
    <w:name w:val="bullet"/>
    <w:basedOn w:val="Normal"/>
    <w:link w:val="bulletChar"/>
    <w:rsid w:val="005D3E53"/>
    <w:pPr>
      <w:numPr>
        <w:numId w:val="43"/>
      </w:num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 w:cs="Garamond"/>
      <w:color w:val="000000"/>
      <w:szCs w:val="24"/>
      <w:lang w:val="en-GB" w:eastAsia="en-AU"/>
    </w:rPr>
  </w:style>
  <w:style w:type="character" w:customStyle="1" w:styleId="bulletChar">
    <w:name w:val="bullet Char"/>
    <w:basedOn w:val="BodyTextChar"/>
    <w:link w:val="bullet"/>
    <w:rsid w:val="005D3E53"/>
    <w:rPr>
      <w:rFonts w:eastAsia="Times New Roman" w:cs="Garamond"/>
      <w:color w:val="000000"/>
      <w:szCs w:val="24"/>
      <w:lang w:val="en-GB" w:eastAsia="en-AU"/>
    </w:rPr>
  </w:style>
  <w:style w:type="numbering" w:customStyle="1" w:styleId="Bullets3">
    <w:name w:val="Bullets3"/>
    <w:basedOn w:val="NoList"/>
    <w:rsid w:val="005D3E53"/>
    <w:pPr>
      <w:numPr>
        <w:numId w:val="43"/>
      </w:numPr>
    </w:pPr>
  </w:style>
  <w:style w:type="paragraph" w:customStyle="1" w:styleId="Normal6pt">
    <w:name w:val="Normal + 6pt"/>
    <w:basedOn w:val="Normal"/>
    <w:qFormat/>
    <w:rsid w:val="005D3E53"/>
    <w:pPr>
      <w:spacing w:after="120"/>
    </w:pPr>
    <w:rPr>
      <w:sz w:val="12"/>
      <w:szCs w:val="12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32782A"/>
    <w:rPr>
      <w:sz w:val="20"/>
      <w:szCs w:val="20"/>
    </w:rPr>
  </w:style>
  <w:style w:type="numbering" w:customStyle="1" w:styleId="Bullets31">
    <w:name w:val="Bullets31"/>
    <w:basedOn w:val="NoList"/>
    <w:rsid w:val="00C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>Templates</DEEWRCategory>
    <Security_x0020_DLM xmlns="f1dbda1a-7fbc-4c5c-b5bc-7a3a8ee7102f" xsi:nil="true"/>
    <_x003e__x003e_ xmlns="f1dbda1a-7fbc-4c5c-b5bc-7a3a8ee7102f">Employment - Word templates</_x003e__x003e_>
    <Security_x0020_Classification xmlns="f1dbda1a-7fbc-4c5c-b5bc-7a3a8ee71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EWRDocument" ma:contentTypeID="0x0101009EDC4876AF524A70BD125A9D2C0D191E000479EDFA51D86F45A0C81432ABAE4A67" ma:contentTypeVersion="6" ma:contentTypeDescription="Create a new DEEWR Document." ma:contentTypeScope="" ma:versionID="1a6fb262788ef64d7f4440c4622b5632">
  <xsd:schema xmlns:xsd="http://www.w3.org/2001/XMLSchema" xmlns:xs="http://www.w3.org/2001/XMLSchema" xmlns:p="http://schemas.microsoft.com/office/2006/metadata/properties" xmlns:ns1="http://schemas.microsoft.com/sharepoint/v3" xmlns:ns2="f1dbda1a-7fbc-4c5c-b5bc-7a3a8ee7102f" targetNamespace="http://schemas.microsoft.com/office/2006/metadata/properties" ma:root="true" ma:fieldsID="9176191f23cb87124ed67ee2584b54d0" ns1:_="" ns2:_="">
    <xsd:import namespace="http://schemas.microsoft.com/sharepoint/v3"/>
    <xsd:import namespace="f1dbda1a-7fbc-4c5c-b5bc-7a3a8ee7102f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2:_x003e__x003e_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&gt;" ma:default="Templates" ma:format="Dropdown" ma:internalName="DEEWRCategory" ma:readOnly="false">
      <xsd:simpleType>
        <xsd:restriction base="dms:Choice">
          <xsd:enumeration value="General"/>
          <xsd:enumeration value="Factsheets"/>
          <xsd:enumeration value="Forms"/>
          <xsd:enumeration value="Guides"/>
          <xsd:enumeration value="Guidelines"/>
          <xsd:enumeration value="Info"/>
          <xsd:enumeration value="Procedures"/>
          <xsd:enumeration value="Templates"/>
          <xsd:enumeration value="Publishing"/>
          <xsd:enumeration value="Newsletter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da1a-7fbc-4c5c-b5bc-7a3a8ee7102f" elementFormDefault="qualified">
    <xsd:import namespace="http://schemas.microsoft.com/office/2006/documentManagement/types"/>
    <xsd:import namespace="http://schemas.microsoft.com/office/infopath/2007/PartnerControls"/>
    <xsd:element name="_x003e__x003e_" ma:index="9" nillable="true" ma:displayName="&gt;&gt;" ma:default="SSC" ma:format="Dropdown" ma:internalName="_x003e__x003e_">
      <xsd:simpleType>
        <xsd:restriction base="dms:Choice">
          <xsd:enumeration value="Education - Secretary"/>
          <xsd:enumeration value="Education - Letter - State Office"/>
          <xsd:enumeration value="Education - Letter - Regional Office"/>
          <xsd:enumeration value="Education - Letter - Deputy or Associate Secretary"/>
          <xsd:enumeration value="Education - Letter - Other"/>
          <xsd:enumeration value="Education - Fax"/>
          <xsd:enumeration value="Education - File Note"/>
          <xsd:enumeration value="Education - Minutes and meetings"/>
          <xsd:enumeration value="Education - Other"/>
          <xsd:enumeration value="Education - PowerPoint"/>
          <xsd:enumeration value="-----------------"/>
          <xsd:enumeration value="Employment - Secretary"/>
          <xsd:enumeration value="Employment - Letter - State Office"/>
          <xsd:enumeration value="Employment - Letter - Regional Office"/>
          <xsd:enumeration value="Employment - Letter - Deputy or Associate Secretary"/>
          <xsd:enumeration value="Employment - Letter"/>
          <xsd:enumeration value="Employment - Fax"/>
          <xsd:enumeration value="Employment - File Note"/>
          <xsd:enumeration value="Employment - Minutes and meetings"/>
          <xsd:enumeration value="Employment - Other"/>
          <xsd:enumeration value="Employment - PowerPoint"/>
          <xsd:enumeration value="Employment - Word templates"/>
          <xsd:enumeration value="General"/>
          <xsd:enumeration value="SSC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"/>
          <xsd:enumeration value="For Official Use Only"/>
          <xsd:enumeration value="Sensitive"/>
          <xsd:enumeration value="Sensitive: Personal"/>
          <xsd:enumeration value="Sensitive: Legal"/>
          <xsd:enumeration value="Sensitive: Cabinet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  <xsd:enumeration value="PROTECTED"/>
          <xsd:enumeration value="CONFIDENTIAL"/>
          <xsd:enumeration value="SECRET"/>
          <xsd:enumeration value="TOP SECR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CCD2-197F-465A-ABAD-8B3E49999B47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f1dbda1a-7fbc-4c5c-b5bc-7a3a8ee7102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AF862B-EAFA-46CB-8833-2F9810F4D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3420F-42C8-4BC3-B821-ED4E6703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dbda1a-7fbc-4c5c-b5bc-7a3a8ee71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CB37E-85E6-46F7-B4DF-0ED35A06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C3A6C617.dotm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0001 EMP Word Template Factsheet Navy_01</vt:lpstr>
    </vt:vector>
  </TitlesOfParts>
  <Company>Australian Government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0001 EMP Word Template Factsheet Navy_01</dc:title>
  <dc:creator>Luke Fisher</dc:creator>
  <cp:lastModifiedBy>Karen Costanzo</cp:lastModifiedBy>
  <cp:revision>2</cp:revision>
  <cp:lastPrinted>2017-06-27T05:01:00Z</cp:lastPrinted>
  <dcterms:created xsi:type="dcterms:W3CDTF">2017-06-27T05:02:00Z</dcterms:created>
  <dcterms:modified xsi:type="dcterms:W3CDTF">2017-06-27T05:02:00Z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0x0101009EDC4876AF524A70BD125A9D2C0D191E000479EDFA51D86F45A0C81432ABAE4A67</vt:lpwstr>
  </property>
  <property fmtid="{D5CDD505-2E9C-101B-9397-08002B2CF9AE}" pid="3" name="Order">
    <vt:r8>69500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epartment Stream">
    <vt:lpwstr>Employment</vt:lpwstr>
  </property>
</Properties>
</file>