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58AC0" w14:textId="599D7DE2" w:rsidR="00C012AC" w:rsidRDefault="00C012AC" w:rsidP="00313671">
      <w:pPr>
        <w:keepNext/>
        <w:keepLines/>
        <w:spacing w:before="440" w:after="360" w:line="240" w:lineRule="auto"/>
        <w:outlineLvl w:val="0"/>
        <w:rPr>
          <w:rFonts w:ascii="Calibri" w:eastAsia="MS Gothic" w:hAnsi="Calibri" w:cs="Times New Roman"/>
          <w:b/>
          <w:bCs/>
          <w:color w:val="1D2D5F"/>
          <w:sz w:val="44"/>
          <w:szCs w:val="44"/>
          <w:lang w:eastAsia="en-AU"/>
        </w:rPr>
        <w:sectPr w:rsidR="00C012AC" w:rsidSect="00C012AC">
          <w:pgSz w:w="11906" w:h="16838"/>
          <w:pgMar w:top="0" w:right="0" w:bottom="0" w:left="0" w:header="708" w:footer="708" w:gutter="0"/>
          <w:cols w:space="708"/>
          <w:docGrid w:linePitch="360"/>
        </w:sectPr>
      </w:pPr>
      <w:bookmarkStart w:id="0" w:name="_Toc56167667"/>
      <w:r w:rsidRPr="00C012AC">
        <w:rPr>
          <w:rFonts w:ascii="Calibri" w:eastAsia="MS Gothic" w:hAnsi="Calibri" w:cs="Times New Roman"/>
          <w:b/>
          <w:bCs/>
          <w:color w:val="1D2D5F"/>
          <w:sz w:val="44"/>
          <w:szCs w:val="44"/>
          <w:lang w:eastAsia="en-AU"/>
        </w:rPr>
        <w:drawing>
          <wp:inline distT="0" distB="0" distL="0" distR="0" wp14:anchorId="09F32271" wp14:editId="668B24EE">
            <wp:extent cx="7562850" cy="10769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F1D7A05" w14:textId="77777777" w:rsidR="00313671" w:rsidRPr="00D14828" w:rsidRDefault="00313671" w:rsidP="00B80412">
      <w:pPr>
        <w:keepNext/>
        <w:keepLines/>
        <w:spacing w:before="440" w:after="360" w:line="240" w:lineRule="auto"/>
        <w:ind w:left="-567"/>
        <w:outlineLvl w:val="0"/>
        <w:rPr>
          <w:rFonts w:ascii="Calibri" w:eastAsia="MS Gothic" w:hAnsi="Calibri" w:cs="Times New Roman"/>
          <w:b/>
          <w:bCs/>
          <w:color w:val="1D2D5F"/>
          <w:sz w:val="44"/>
          <w:szCs w:val="44"/>
          <w:lang w:eastAsia="en-AU"/>
        </w:rPr>
      </w:pPr>
      <w:r w:rsidRPr="00D14828">
        <w:rPr>
          <w:rFonts w:ascii="Calibri" w:eastAsia="MS Gothic" w:hAnsi="Calibri" w:cs="Times New Roman"/>
          <w:b/>
          <w:bCs/>
          <w:color w:val="1D2D5F"/>
          <w:sz w:val="44"/>
          <w:szCs w:val="44"/>
          <w:lang w:eastAsia="en-AU"/>
        </w:rPr>
        <w:lastRenderedPageBreak/>
        <w:t>Useful Resources</w:t>
      </w:r>
    </w:p>
    <w:tbl>
      <w:tblPr>
        <w:tblStyle w:val="TableGrid"/>
        <w:tblW w:w="5471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4196"/>
        <w:gridCol w:w="4111"/>
      </w:tblGrid>
      <w:tr w:rsidR="00313671" w:rsidRPr="00313671" w14:paraId="602FB7F2" w14:textId="77777777" w:rsidTr="00D14828">
        <w:tc>
          <w:tcPr>
            <w:tcW w:w="794" w:type="pct"/>
            <w:shd w:val="clear" w:color="auto" w:fill="F65E5D"/>
          </w:tcPr>
          <w:p w14:paraId="38DEF83F" w14:textId="77777777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Resource</w:t>
            </w:r>
          </w:p>
        </w:tc>
        <w:tc>
          <w:tcPr>
            <w:tcW w:w="2124" w:type="pct"/>
            <w:shd w:val="clear" w:color="auto" w:fill="F65E5D"/>
          </w:tcPr>
          <w:p w14:paraId="5CE647FA" w14:textId="77777777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2081" w:type="pct"/>
            <w:shd w:val="clear" w:color="auto" w:fill="F65E5D"/>
          </w:tcPr>
          <w:p w14:paraId="0964196A" w14:textId="77777777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Link</w:t>
            </w:r>
          </w:p>
        </w:tc>
      </w:tr>
      <w:tr w:rsidR="00313671" w:rsidRPr="00313671" w14:paraId="4D3BD545" w14:textId="77777777" w:rsidTr="00D14828">
        <w:tc>
          <w:tcPr>
            <w:tcW w:w="794" w:type="pct"/>
          </w:tcPr>
          <w:p w14:paraId="21B0A0D9" w14:textId="77777777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Flexible by Design</w:t>
            </w:r>
          </w:p>
        </w:tc>
        <w:tc>
          <w:tcPr>
            <w:tcW w:w="2124" w:type="pct"/>
          </w:tcPr>
          <w:p w14:paraId="101767D2" w14:textId="1A56541D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color w:val="000000"/>
                <w:sz w:val="24"/>
                <w:szCs w:val="24"/>
              </w:rPr>
              <w:t xml:space="preserve">A framework </w:t>
            </w:r>
            <w:r w:rsidR="00D14828">
              <w:rPr>
                <w:rFonts w:ascii="Calibri Light" w:hAnsi="Calibri Light"/>
                <w:color w:val="000000"/>
                <w:sz w:val="24"/>
                <w:szCs w:val="24"/>
              </w:rPr>
              <w:t xml:space="preserve">that </w:t>
            </w:r>
            <w:r w:rsidRPr="00313671">
              <w:rPr>
                <w:rFonts w:ascii="Calibri Light" w:hAnsi="Calibri Light"/>
                <w:color w:val="000000"/>
                <w:sz w:val="24"/>
                <w:szCs w:val="24"/>
              </w:rPr>
              <w:t>outlines the benefits, reasons and principles behind flexible work as well as the organisational journey to achieve a healthy work-life blend.</w:t>
            </w:r>
          </w:p>
        </w:tc>
        <w:tc>
          <w:tcPr>
            <w:tcW w:w="2081" w:type="pct"/>
          </w:tcPr>
          <w:p w14:paraId="6CF6A599" w14:textId="77777777" w:rsidR="00313671" w:rsidRPr="00313671" w:rsidRDefault="00B80412" w:rsidP="00313671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hyperlink r:id="rId5" w:history="1">
              <w:r w:rsidR="00313671" w:rsidRPr="00313671">
                <w:rPr>
                  <w:rFonts w:ascii="Calibri Light" w:hAnsi="Calibri Light"/>
                  <w:color w:val="000000"/>
                  <w:sz w:val="24"/>
                  <w:szCs w:val="24"/>
                  <w:u w:val="single"/>
                </w:rPr>
                <w:t>https://www.forgov.qld.gov.au/flexible-by-design</w:t>
              </w:r>
            </w:hyperlink>
          </w:p>
        </w:tc>
      </w:tr>
      <w:tr w:rsidR="00313671" w:rsidRPr="00313671" w14:paraId="10AD37F0" w14:textId="77777777" w:rsidTr="00D14828">
        <w:tc>
          <w:tcPr>
            <w:tcW w:w="794" w:type="pct"/>
          </w:tcPr>
          <w:p w14:paraId="0B71871F" w14:textId="77777777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3671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FlexAbility</w:t>
            </w:r>
            <w:proofErr w:type="spellEnd"/>
            <w:r w:rsidRPr="00313671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 xml:space="preserve"> Kit for Managers </w:t>
            </w:r>
          </w:p>
        </w:tc>
        <w:tc>
          <w:tcPr>
            <w:tcW w:w="2124" w:type="pct"/>
          </w:tcPr>
          <w:p w14:paraId="1D595594" w14:textId="77777777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color w:val="000000"/>
                <w:sz w:val="24"/>
                <w:szCs w:val="24"/>
              </w:rPr>
              <w:t>A kit for Managers that has information relating to how to tackle myths, bias and get buy-in with your peers at the senior level.</w:t>
            </w:r>
          </w:p>
        </w:tc>
        <w:tc>
          <w:tcPr>
            <w:tcW w:w="2081" w:type="pct"/>
          </w:tcPr>
          <w:p w14:paraId="0734D3C7" w14:textId="77777777" w:rsidR="00313671" w:rsidRPr="00313671" w:rsidRDefault="00B80412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hyperlink r:id="rId6" w:history="1">
              <w:r w:rsidR="00313671" w:rsidRPr="00313671">
                <w:rPr>
                  <w:rFonts w:ascii="Calibri Light" w:hAnsi="Calibri Light"/>
                  <w:color w:val="000000"/>
                  <w:sz w:val="24"/>
                  <w:szCs w:val="24"/>
                  <w:u w:val="single"/>
                </w:rPr>
                <w:t>http://www.flexibleworkingday.com/flexabilitykit/</w:t>
              </w:r>
            </w:hyperlink>
          </w:p>
        </w:tc>
      </w:tr>
      <w:tr w:rsidR="00313671" w:rsidRPr="00313671" w14:paraId="39767883" w14:textId="77777777" w:rsidTr="00D14828">
        <w:tc>
          <w:tcPr>
            <w:tcW w:w="794" w:type="pct"/>
          </w:tcPr>
          <w:p w14:paraId="60479FF8" w14:textId="77777777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Flexible working for Managers</w:t>
            </w:r>
          </w:p>
        </w:tc>
        <w:tc>
          <w:tcPr>
            <w:tcW w:w="2124" w:type="pct"/>
          </w:tcPr>
          <w:p w14:paraId="36D0C642" w14:textId="77777777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color w:val="000000"/>
                <w:sz w:val="24"/>
                <w:szCs w:val="24"/>
              </w:rPr>
              <w:t>A comprehensive suite of resources to help managers implement flexible working.</w:t>
            </w:r>
          </w:p>
        </w:tc>
        <w:tc>
          <w:tcPr>
            <w:tcW w:w="2081" w:type="pct"/>
          </w:tcPr>
          <w:p w14:paraId="0252B1AA" w14:textId="77777777" w:rsidR="00313671" w:rsidRPr="00313671" w:rsidRDefault="00B80412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hyperlink r:id="rId7" w:history="1">
              <w:r w:rsidR="00313671" w:rsidRPr="00313671">
                <w:rPr>
                  <w:rFonts w:ascii="Calibri Light" w:hAnsi="Calibri Light"/>
                  <w:color w:val="000000"/>
                  <w:sz w:val="24"/>
                  <w:szCs w:val="24"/>
                  <w:u w:val="single"/>
                </w:rPr>
                <w:t>https://www.wgea.gov.au/topics/workplace-flexibility/flexibility-for-managers</w:t>
              </w:r>
            </w:hyperlink>
            <w:r w:rsidR="00313671" w:rsidRPr="00313671">
              <w:rPr>
                <w:rFonts w:ascii="Calibri Light" w:hAnsi="Calibri Light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313671" w:rsidRPr="00313671" w14:paraId="60B9E0A1" w14:textId="77777777" w:rsidTr="00D14828">
        <w:tc>
          <w:tcPr>
            <w:tcW w:w="794" w:type="pct"/>
          </w:tcPr>
          <w:p w14:paraId="10FA0473" w14:textId="77777777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Flexible working case studies</w:t>
            </w:r>
          </w:p>
        </w:tc>
        <w:tc>
          <w:tcPr>
            <w:tcW w:w="2124" w:type="pct"/>
          </w:tcPr>
          <w:p w14:paraId="62896580" w14:textId="0F39E499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color w:val="000000"/>
                <w:sz w:val="24"/>
                <w:szCs w:val="24"/>
              </w:rPr>
              <w:t>A set of case studies from various workplaces where organisations have encountered similar challenges</w:t>
            </w:r>
            <w:r w:rsidR="00D14828">
              <w:rPr>
                <w:rFonts w:ascii="Calibri Light" w:hAnsi="Calibri Ligh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1" w:type="pct"/>
          </w:tcPr>
          <w:p w14:paraId="4C07C268" w14:textId="77777777" w:rsidR="00313671" w:rsidRPr="00313671" w:rsidRDefault="00B80412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  <w:u w:val="single"/>
              </w:rPr>
            </w:pPr>
            <w:hyperlink r:id="rId8" w:history="1">
              <w:r w:rsidR="00313671" w:rsidRPr="00313671">
                <w:rPr>
                  <w:rFonts w:ascii="Calibri Light" w:hAnsi="Calibri Light"/>
                  <w:color w:val="000000"/>
                  <w:sz w:val="24"/>
                  <w:szCs w:val="24"/>
                  <w:u w:val="single"/>
                </w:rPr>
                <w:t>https://www.psc.nsw.gov.au/workplace-culture---diversity/flexible-working/implementing-flexibility--resources-for-people-and-culture-teams/leading-implementation-of-flexible-working/case-studies</w:t>
              </w:r>
            </w:hyperlink>
          </w:p>
        </w:tc>
      </w:tr>
      <w:tr w:rsidR="00313671" w:rsidRPr="00313671" w14:paraId="35160E3A" w14:textId="77777777" w:rsidTr="00D14828">
        <w:tc>
          <w:tcPr>
            <w:tcW w:w="794" w:type="pct"/>
          </w:tcPr>
          <w:p w14:paraId="55EB59F4" w14:textId="77777777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A Guide to Managing Your (Newly) Remote Workers</w:t>
            </w:r>
          </w:p>
        </w:tc>
        <w:tc>
          <w:tcPr>
            <w:tcW w:w="2124" w:type="pct"/>
          </w:tcPr>
          <w:p w14:paraId="40E6BAD6" w14:textId="11EA6CE1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color w:val="000000"/>
                <w:sz w:val="24"/>
                <w:szCs w:val="24"/>
              </w:rPr>
              <w:t>An overview of common challenges face by remotely working teams, and some tangible hints and tips to improve performance.</w:t>
            </w:r>
          </w:p>
        </w:tc>
        <w:tc>
          <w:tcPr>
            <w:tcW w:w="2081" w:type="pct"/>
          </w:tcPr>
          <w:p w14:paraId="6E9A6B5F" w14:textId="77777777" w:rsidR="00313671" w:rsidRPr="00313671" w:rsidRDefault="00B80412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hyperlink r:id="rId9" w:history="1">
              <w:r w:rsidR="00313671" w:rsidRPr="00313671">
                <w:rPr>
                  <w:rFonts w:ascii="Calibri Light" w:hAnsi="Calibri Light"/>
                  <w:color w:val="000000"/>
                  <w:sz w:val="24"/>
                  <w:szCs w:val="24"/>
                  <w:u w:val="single"/>
                </w:rPr>
                <w:t>https://hbr.org/2020/03/a-guide-to-managing-your-newly-remote-workers</w:t>
              </w:r>
            </w:hyperlink>
          </w:p>
        </w:tc>
      </w:tr>
      <w:tr w:rsidR="00313671" w:rsidRPr="00313671" w14:paraId="311C71E3" w14:textId="77777777" w:rsidTr="00D14828">
        <w:tc>
          <w:tcPr>
            <w:tcW w:w="794" w:type="pct"/>
          </w:tcPr>
          <w:p w14:paraId="2A2CA482" w14:textId="77777777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21st Century Work Life and leading remote teams</w:t>
            </w:r>
          </w:p>
        </w:tc>
        <w:tc>
          <w:tcPr>
            <w:tcW w:w="2124" w:type="pct"/>
          </w:tcPr>
          <w:p w14:paraId="0DAFD61D" w14:textId="695FA929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color w:val="000000"/>
                <w:sz w:val="24"/>
                <w:szCs w:val="24"/>
              </w:rPr>
              <w:t>A podcast that looks at different ways of earning a living, of using technology at work and of managing teams</w:t>
            </w:r>
            <w:r w:rsidR="00D14828">
              <w:rPr>
                <w:rFonts w:ascii="Calibri Light" w:hAnsi="Calibri Ligh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1" w:type="pct"/>
          </w:tcPr>
          <w:p w14:paraId="2DB5C392" w14:textId="77777777" w:rsidR="00313671" w:rsidRPr="00313671" w:rsidRDefault="00B80412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hyperlink r:id="rId10" w:history="1">
              <w:r w:rsidR="00313671" w:rsidRPr="00313671">
                <w:rPr>
                  <w:rFonts w:ascii="Calibri Light" w:hAnsi="Calibri Light"/>
                  <w:color w:val="000000"/>
                  <w:sz w:val="24"/>
                  <w:szCs w:val="24"/>
                  <w:u w:val="single"/>
                </w:rPr>
                <w:t>https://player.fm/series/21st-century-work-life-and-leading-remote-teams</w:t>
              </w:r>
            </w:hyperlink>
          </w:p>
        </w:tc>
      </w:tr>
      <w:tr w:rsidR="00313671" w:rsidRPr="00313671" w14:paraId="6DB1B3D3" w14:textId="77777777" w:rsidTr="00D14828">
        <w:tc>
          <w:tcPr>
            <w:tcW w:w="794" w:type="pct"/>
          </w:tcPr>
          <w:p w14:paraId="2B49CDA2" w14:textId="77777777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 xml:space="preserve">Flexible Working diagnostic assessment </w:t>
            </w:r>
          </w:p>
        </w:tc>
        <w:tc>
          <w:tcPr>
            <w:tcW w:w="2124" w:type="pct"/>
          </w:tcPr>
          <w:p w14:paraId="49629438" w14:textId="15E9774B" w:rsidR="00313671" w:rsidRPr="00313671" w:rsidRDefault="00313671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313671">
              <w:rPr>
                <w:rFonts w:ascii="Calibri Light" w:hAnsi="Calibri Light"/>
                <w:color w:val="000000"/>
                <w:sz w:val="24"/>
                <w:szCs w:val="24"/>
              </w:rPr>
              <w:t>A readiness assessment to understand where you are now, determine your flexibility vision and identify key priorities</w:t>
            </w:r>
            <w:r w:rsidR="00D14828">
              <w:rPr>
                <w:rFonts w:ascii="Calibri Light" w:hAnsi="Calibri Ligh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1" w:type="pct"/>
          </w:tcPr>
          <w:p w14:paraId="65DD1669" w14:textId="77777777" w:rsidR="00313671" w:rsidRPr="00313671" w:rsidRDefault="00B80412" w:rsidP="00313671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hyperlink r:id="rId11" w:history="1">
              <w:r w:rsidR="00313671" w:rsidRPr="00313671">
                <w:rPr>
                  <w:rFonts w:ascii="Calibri Light" w:hAnsi="Calibri Light"/>
                  <w:color w:val="000000"/>
                  <w:sz w:val="24"/>
                  <w:szCs w:val="24"/>
                  <w:u w:val="single"/>
                </w:rPr>
                <w:t>https://www.wgea.gov.au/topics/workplace-flexibility/performing-a-diagnostic-assessment</w:t>
              </w:r>
            </w:hyperlink>
          </w:p>
        </w:tc>
      </w:tr>
    </w:tbl>
    <w:p w14:paraId="3C2B8055" w14:textId="77777777" w:rsidR="00697011" w:rsidRDefault="00B80412"/>
    <w:sectPr w:rsidR="00697011" w:rsidSect="00B8041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71"/>
    <w:rsid w:val="000E75DD"/>
    <w:rsid w:val="001816E6"/>
    <w:rsid w:val="00313671"/>
    <w:rsid w:val="0076530F"/>
    <w:rsid w:val="00A06531"/>
    <w:rsid w:val="00B80412"/>
    <w:rsid w:val="00C012AC"/>
    <w:rsid w:val="00D1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CF52"/>
  <w15:chartTrackingRefBased/>
  <w15:docId w15:val="{7F486023-367F-4361-B86E-024FFDA3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5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c.nsw.gov.au/workplace-culture---diversity/flexible-working/implementing-flexibility--resources-for-people-and-culture-teams/leading-implementation-of-flexible-working/case-studi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gea.gov.au/topics/workplace-flexibility/flexibility-for-manage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exibleworkingday.com/flexabilitykit/" TargetMode="External"/><Relationship Id="rId11" Type="http://schemas.openxmlformats.org/officeDocument/2006/relationships/hyperlink" Target="https://www.wgea.gov.au/topics/workplace-flexibility/performing-a-diagnostic-assessment" TargetMode="External"/><Relationship Id="rId5" Type="http://schemas.openxmlformats.org/officeDocument/2006/relationships/hyperlink" Target="https://www.forgov.qld.gov.au/flexible-by-design" TargetMode="External"/><Relationship Id="rId10" Type="http://schemas.openxmlformats.org/officeDocument/2006/relationships/hyperlink" Target="https://player.fm/series/21st-century-work-life-and-leading-remote-team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hbr.org/2020/03/a-guide-to-managing-your-newly-remote-work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Toohey</dc:creator>
  <cp:keywords/>
  <dc:description/>
  <cp:lastModifiedBy>FISK,Ursula</cp:lastModifiedBy>
  <cp:revision>3</cp:revision>
  <dcterms:created xsi:type="dcterms:W3CDTF">2021-07-09T04:53:00Z</dcterms:created>
  <dcterms:modified xsi:type="dcterms:W3CDTF">2021-07-09T04:54:00Z</dcterms:modified>
</cp:coreProperties>
</file>