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0"/>
        <w:gridCol w:w="6205"/>
        <w:gridCol w:w="7088"/>
      </w:tblGrid>
      <w:tr w:rsidR="00DD4347" w:rsidRPr="00377664" w:rsidTr="001A145B">
        <w:tc>
          <w:tcPr>
            <w:tcW w:w="608"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Topic</w:t>
            </w:r>
          </w:p>
        </w:tc>
        <w:tc>
          <w:tcPr>
            <w:tcW w:w="2050"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2"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Recommendations</w:t>
            </w:r>
          </w:p>
        </w:tc>
      </w:tr>
      <w:tr w:rsidR="00DD4347" w:rsidRPr="00377664" w:rsidTr="001A145B">
        <w:trPr>
          <w:trHeight w:val="2618"/>
        </w:trPr>
        <w:tc>
          <w:tcPr>
            <w:tcW w:w="608" w:type="pct"/>
            <w:vMerge w:val="restart"/>
          </w:tcPr>
          <w:p w:rsidR="00DD4347" w:rsidRPr="00377664" w:rsidRDefault="00DD4347" w:rsidP="00035F28">
            <w:pPr>
              <w:spacing w:before="80" w:after="80" w:line="240" w:lineRule="atLeast"/>
              <w:rPr>
                <w:rFonts w:asciiTheme="minorHAnsi" w:hAnsiTheme="minorHAnsi" w:cstheme="minorHAnsi"/>
                <w:color w:val="auto"/>
                <w:sz w:val="20"/>
                <w:lang w:val="en-AU" w:eastAsia="en-AU"/>
              </w:rPr>
            </w:pPr>
            <w:r w:rsidRPr="00377664">
              <w:rPr>
                <w:rFonts w:asciiTheme="minorHAnsi" w:hAnsiTheme="minorHAnsi" w:cstheme="minorHAnsi"/>
                <w:color w:val="auto"/>
                <w:sz w:val="20"/>
                <w:lang w:val="en-AU" w:eastAsia="en-AU"/>
              </w:rPr>
              <w:t xml:space="preserve">1. Reducing regulatory burden across the Programs as a whole. </w:t>
            </w:r>
          </w:p>
        </w:tc>
        <w:tc>
          <w:tcPr>
            <w:tcW w:w="2050" w:type="pct"/>
          </w:tcPr>
          <w:p w:rsidR="00DD4347" w:rsidRPr="00377664" w:rsidRDefault="00DD4347" w:rsidP="00F32B46">
            <w:pPr>
              <w:spacing w:before="40" w:after="40" w:line="280" w:lineRule="atLeast"/>
              <w:rPr>
                <w:rFonts w:asciiTheme="minorHAnsi" w:hAnsiTheme="minorHAnsi" w:cstheme="minorHAnsi"/>
                <w:color w:val="auto"/>
                <w:sz w:val="20"/>
                <w:lang w:val="en-AU" w:eastAsia="en-AU"/>
              </w:rPr>
            </w:pPr>
            <w:r w:rsidRPr="00377664">
              <w:rPr>
                <w:rFonts w:asciiTheme="minorHAnsi" w:hAnsiTheme="minorHAnsi" w:cstheme="minorHAnsi"/>
                <w:color w:val="auto"/>
                <w:sz w:val="20"/>
                <w:lang w:val="en-AU" w:eastAsia="en-AU"/>
              </w:rPr>
              <w:t>1.1. The Australian Government has demonstrated a commitment to reducing regulatory burden in the Programs and has already taken steps to simplify administration while driving better outcomes for jobseekers and maintaining appropriate accountability.</w:t>
            </w:r>
          </w:p>
          <w:p w:rsidR="00DD4347" w:rsidRPr="00377664" w:rsidRDefault="00DD4347" w:rsidP="00F32B46">
            <w:pPr>
              <w:spacing w:before="40" w:after="40" w:line="280" w:lineRule="atLeast"/>
              <w:rPr>
                <w:rFonts w:asciiTheme="minorHAnsi" w:hAnsiTheme="minorHAnsi" w:cstheme="minorHAnsi"/>
                <w:color w:val="auto"/>
                <w:sz w:val="20"/>
                <w:lang w:val="en-AU" w:eastAsia="en-AU"/>
              </w:rPr>
            </w:pPr>
          </w:p>
        </w:tc>
        <w:tc>
          <w:tcPr>
            <w:tcW w:w="2342" w:type="pct"/>
          </w:tcPr>
          <w:p w:rsidR="00DD4347" w:rsidRPr="00377664" w:rsidRDefault="00DD4347" w:rsidP="00035F28">
            <w:pPr>
              <w:spacing w:before="80" w:after="80" w:line="240" w:lineRule="atLeast"/>
              <w:rPr>
                <w:rFonts w:asciiTheme="minorHAnsi" w:hAnsiTheme="minorHAnsi" w:cstheme="minorHAnsi"/>
                <w:color w:val="auto"/>
                <w:sz w:val="20"/>
                <w:lang w:val="en-AU" w:eastAsia="en-AU"/>
              </w:rPr>
            </w:pPr>
          </w:p>
        </w:tc>
      </w:tr>
      <w:tr w:rsidR="00DD4347" w:rsidRPr="00377664" w:rsidTr="001A145B">
        <w:trPr>
          <w:trHeight w:val="2617"/>
        </w:trPr>
        <w:tc>
          <w:tcPr>
            <w:tcW w:w="608" w:type="pct"/>
            <w:vMerge/>
          </w:tcPr>
          <w:p w:rsidR="00DD4347" w:rsidRPr="00377664" w:rsidRDefault="00DD4347" w:rsidP="00035F28">
            <w:pPr>
              <w:spacing w:before="80" w:after="80" w:line="240" w:lineRule="atLeast"/>
              <w:rPr>
                <w:rFonts w:asciiTheme="minorHAnsi" w:hAnsiTheme="minorHAnsi" w:cstheme="minorHAnsi"/>
                <w:color w:val="auto"/>
                <w:sz w:val="20"/>
                <w:lang w:val="en-AU" w:eastAsia="en-AU"/>
              </w:rPr>
            </w:pPr>
          </w:p>
        </w:tc>
        <w:tc>
          <w:tcPr>
            <w:tcW w:w="2050" w:type="pct"/>
          </w:tcPr>
          <w:p w:rsidR="00DD4347" w:rsidRPr="00377664" w:rsidRDefault="00DD4347" w:rsidP="00F32B46">
            <w:pPr>
              <w:spacing w:before="40" w:after="40" w:line="280" w:lineRule="atLeast"/>
              <w:rPr>
                <w:rFonts w:asciiTheme="minorHAnsi" w:hAnsiTheme="minorHAnsi" w:cstheme="minorHAnsi"/>
                <w:color w:val="auto"/>
                <w:sz w:val="20"/>
                <w:lang w:val="en-AU" w:eastAsia="en-AU"/>
              </w:rPr>
            </w:pPr>
            <w:r w:rsidRPr="00377664">
              <w:rPr>
                <w:rFonts w:asciiTheme="minorHAnsi" w:hAnsiTheme="minorHAnsi" w:cstheme="minorHAnsi"/>
                <w:color w:val="auto"/>
                <w:sz w:val="20"/>
                <w:lang w:val="en-AU" w:eastAsia="en-AU"/>
              </w:rPr>
              <w:t>1.2. Nevertheless, the Panel found that the Programs are complex and red tape can be further reduced without jeopardising the Program outcomes and appropriate accountability. Most of the excessive red tape arises from the design and administration of the Programs, but some of the providers’ own systems are another source of unnecessary red tape. The complexity of the Programs is likely to have weakened accountability for performance and outcomes, and to have constricted innovation.</w:t>
            </w:r>
          </w:p>
        </w:tc>
        <w:tc>
          <w:tcPr>
            <w:tcW w:w="2342" w:type="pct"/>
          </w:tcPr>
          <w:p w:rsidR="00DD4347" w:rsidRPr="00377664" w:rsidRDefault="00DD4347" w:rsidP="00F32B46">
            <w:pPr>
              <w:spacing w:before="40" w:after="40" w:line="280" w:lineRule="atLeast"/>
              <w:rPr>
                <w:rFonts w:asciiTheme="minorHAnsi" w:hAnsiTheme="minorHAnsi" w:cstheme="minorHAnsi"/>
                <w:color w:val="auto"/>
                <w:sz w:val="20"/>
                <w:lang w:val="en-AU" w:eastAsia="en-AU"/>
              </w:rPr>
            </w:pPr>
            <w:r w:rsidRPr="00377664">
              <w:rPr>
                <w:rFonts w:asciiTheme="minorHAnsi" w:hAnsiTheme="minorHAnsi" w:cstheme="minorHAnsi"/>
                <w:color w:val="auto"/>
                <w:sz w:val="20"/>
                <w:lang w:val="en-AU" w:eastAsia="en-AU"/>
              </w:rPr>
              <w:t>1.1. That a new Industry Consultation Forum be established, comprising representatives of jobseekers, employers, providers and the Government. The role of the new forum would be to identify administrative improvements and other opportunities to simplify, streamline and enhance the Programs. The forum would facilitate cooperation and information sharing.</w:t>
            </w:r>
          </w:p>
          <w:p w:rsidR="00DD4347" w:rsidRPr="00377664" w:rsidRDefault="00DD4347" w:rsidP="00F32B46">
            <w:pPr>
              <w:spacing w:before="40" w:after="40" w:line="280" w:lineRule="atLeast"/>
              <w:rPr>
                <w:rFonts w:asciiTheme="minorHAnsi" w:hAnsiTheme="minorHAnsi" w:cstheme="minorHAnsi"/>
                <w:color w:val="auto"/>
                <w:sz w:val="20"/>
                <w:lang w:val="en-AU" w:eastAsia="en-AU"/>
              </w:rPr>
            </w:pPr>
            <w:r w:rsidRPr="00377664">
              <w:rPr>
                <w:rFonts w:asciiTheme="minorHAnsi" w:hAnsiTheme="minorHAnsi" w:cstheme="minorHAnsi"/>
                <w:color w:val="auto"/>
                <w:sz w:val="20"/>
                <w:lang w:val="en-AU" w:eastAsia="en-AU"/>
              </w:rPr>
              <w:t>1.2. That DEEWR review each of the administrative controls in the Programs by applying the Panel’s review framework, outlined in Appendix 1. The framework involves a fine-grained review to identify and address those administrative controls that are redundant or poorly designed.</w:t>
            </w:r>
          </w:p>
          <w:p w:rsidR="00DD4347" w:rsidRPr="00377664" w:rsidRDefault="00DD4347" w:rsidP="00F32B46">
            <w:pPr>
              <w:spacing w:before="80" w:after="80" w:line="240" w:lineRule="atLeast"/>
              <w:rPr>
                <w:rFonts w:asciiTheme="minorHAnsi" w:hAnsiTheme="minorHAnsi" w:cstheme="minorHAnsi"/>
                <w:color w:val="auto"/>
                <w:sz w:val="20"/>
                <w:lang w:val="en-AU" w:eastAsia="en-AU"/>
              </w:rPr>
            </w:pPr>
            <w:r w:rsidRPr="00377664">
              <w:rPr>
                <w:rFonts w:asciiTheme="minorHAnsi" w:hAnsiTheme="minorHAnsi" w:cstheme="minorHAnsi"/>
                <w:color w:val="auto"/>
                <w:sz w:val="20"/>
                <w:lang w:val="en-AU" w:eastAsia="en-AU"/>
              </w:rPr>
              <w:t>1.3. That providers apply the same framework to review their own ‘shadow’ systems for data management, to ensure that the systems do not unnecessarily duplicate those of DEEWR, and to identify and remove unnecessary administration and red tape.</w:t>
            </w:r>
          </w:p>
        </w:tc>
      </w:tr>
      <w:tr w:rsidR="00DD4347" w:rsidRPr="00377664" w:rsidTr="00CC55CF">
        <w:trPr>
          <w:trHeight w:val="2401"/>
        </w:trPr>
        <w:tc>
          <w:tcPr>
            <w:tcW w:w="5000" w:type="pct"/>
            <w:gridSpan w:val="3"/>
          </w:tcPr>
          <w:p w:rsidR="00DD4347" w:rsidRPr="00377664" w:rsidRDefault="001A145B"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Feedback </w:t>
            </w:r>
          </w:p>
        </w:tc>
      </w:tr>
    </w:tbl>
    <w:p w:rsidR="001A145B" w:rsidRPr="00377664" w:rsidRDefault="001A145B">
      <w:pPr>
        <w:rPr>
          <w:rFonts w:asciiTheme="minorHAnsi" w:hAnsiTheme="minorHAnsi" w:cstheme="minorHAnsi"/>
          <w:sz w:val="20"/>
        </w:rPr>
      </w:pP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7"/>
        <w:gridCol w:w="6208"/>
        <w:gridCol w:w="7088"/>
      </w:tblGrid>
      <w:tr w:rsidR="00DD4347" w:rsidRPr="00377664" w:rsidTr="001A145B">
        <w:tc>
          <w:tcPr>
            <w:tcW w:w="607" w:type="pct"/>
            <w:shd w:val="clear" w:color="auto" w:fill="C9C2D1"/>
          </w:tcPr>
          <w:p w:rsidR="00DD4347" w:rsidRPr="00377664" w:rsidRDefault="001A145B"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00DD4347" w:rsidRPr="00377664">
              <w:rPr>
                <w:rFonts w:asciiTheme="minorHAnsi" w:hAnsiTheme="minorHAnsi" w:cstheme="minorHAnsi"/>
                <w:b/>
                <w:color w:val="auto"/>
                <w:sz w:val="20"/>
                <w:lang w:val="en-AU"/>
              </w:rPr>
              <w:t>Topic</w:t>
            </w:r>
          </w:p>
        </w:tc>
        <w:tc>
          <w:tcPr>
            <w:tcW w:w="2051"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2" w:type="pct"/>
            <w:shd w:val="clear" w:color="auto" w:fill="C9C2D1"/>
          </w:tcPr>
          <w:p w:rsidR="00DD4347" w:rsidRPr="00377664" w:rsidRDefault="007E6635"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DD4347" w:rsidRPr="00377664" w:rsidTr="001A145B">
        <w:tc>
          <w:tcPr>
            <w:tcW w:w="607"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2. A jobseeker-centred approach</w:t>
            </w:r>
          </w:p>
        </w:tc>
        <w:tc>
          <w:tcPr>
            <w:tcW w:w="2051" w:type="pct"/>
          </w:tcPr>
          <w:p w:rsidR="00DD4347" w:rsidRPr="00377664" w:rsidRDefault="00DD4347" w:rsidP="00521A77">
            <w:pPr>
              <w:tabs>
                <w:tab w:val="left" w:pos="3648"/>
              </w:tabs>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2.1. The Panel concluded that, with sufficient support, most people can participate in work, and all aspects of the Programs should reflect a strong focus on jobseekers. With this focus in mind, the Panel concluded that the Programs’ goals would desirably be re-expressed in terms of achieving social inclusion and economic participation for jobseekers.</w:t>
            </w:r>
          </w:p>
        </w:tc>
        <w:tc>
          <w:tcPr>
            <w:tcW w:w="2342" w:type="pct"/>
          </w:tcPr>
          <w:p w:rsidR="00DD4347" w:rsidRPr="00377664" w:rsidRDefault="00DD4347" w:rsidP="00521A77">
            <w:pPr>
              <w:spacing w:before="40" w:after="40" w:line="28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2.1. That the Government define the Programs’ goals in terms of achieving economic participation and social inclusion for jobseekers.</w:t>
            </w:r>
          </w:p>
          <w:p w:rsidR="00DD4347" w:rsidRPr="00377664" w:rsidRDefault="00DD4347" w:rsidP="00521A77">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2.2. That DEEWR identify and pursue further opportunities to empower jobseekers as the key participants in, and the immediate beneficiaries of, the Programs. The opportunities include improved information provision, improved complaints processes, and greater tailoring of services to better meet the needs of jobseekers with special needs. This work would be informed by independent research on the experiences of jobseekers.</w:t>
            </w:r>
          </w:p>
        </w:tc>
      </w:tr>
      <w:tr w:rsidR="00A56434" w:rsidRPr="00377664" w:rsidTr="00CC55CF">
        <w:trPr>
          <w:trHeight w:val="5803"/>
        </w:trPr>
        <w:tc>
          <w:tcPr>
            <w:tcW w:w="5000" w:type="pct"/>
            <w:gridSpan w:val="3"/>
          </w:tcPr>
          <w:p w:rsidR="00A56434" w:rsidRPr="00377664" w:rsidRDefault="001A145B" w:rsidP="001A145B">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Feedback</w:t>
            </w:r>
          </w:p>
        </w:tc>
      </w:tr>
    </w:tbl>
    <w:p w:rsidR="001A145B" w:rsidRPr="00377664" w:rsidRDefault="001A145B">
      <w:pPr>
        <w:rPr>
          <w:rFonts w:asciiTheme="minorHAnsi" w:hAnsiTheme="minorHAnsi" w:cstheme="minorHAnsi"/>
          <w:sz w:val="20"/>
        </w:rPr>
      </w:pP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2"/>
        <w:gridCol w:w="6513"/>
        <w:gridCol w:w="7088"/>
      </w:tblGrid>
      <w:tr w:rsidR="00DD4347" w:rsidRPr="00377664" w:rsidTr="001A145B">
        <w:tc>
          <w:tcPr>
            <w:tcW w:w="506" w:type="pct"/>
            <w:shd w:val="clear" w:color="auto" w:fill="C9C2D1"/>
          </w:tcPr>
          <w:p w:rsidR="00DD4347" w:rsidRPr="00377664" w:rsidRDefault="001A145B"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00DD4347" w:rsidRPr="00377664">
              <w:rPr>
                <w:rFonts w:asciiTheme="minorHAnsi" w:hAnsiTheme="minorHAnsi" w:cstheme="minorHAnsi"/>
                <w:sz w:val="20"/>
              </w:rPr>
              <w:br w:type="page"/>
            </w:r>
            <w:r w:rsidR="00DD4347" w:rsidRPr="00377664">
              <w:rPr>
                <w:rFonts w:asciiTheme="minorHAnsi" w:hAnsiTheme="minorHAnsi" w:cstheme="minorHAnsi"/>
                <w:sz w:val="20"/>
              </w:rPr>
              <w:br w:type="page"/>
            </w:r>
            <w:r w:rsidR="00DD4347" w:rsidRPr="00377664">
              <w:rPr>
                <w:rFonts w:asciiTheme="minorHAnsi" w:hAnsiTheme="minorHAnsi" w:cstheme="minorHAnsi"/>
                <w:b/>
                <w:color w:val="auto"/>
                <w:sz w:val="20"/>
                <w:lang w:val="en-AU"/>
              </w:rPr>
              <w:t>Topic</w:t>
            </w:r>
          </w:p>
        </w:tc>
        <w:tc>
          <w:tcPr>
            <w:tcW w:w="2152"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2" w:type="pct"/>
            <w:shd w:val="clear" w:color="auto" w:fill="C9C2D1"/>
          </w:tcPr>
          <w:p w:rsidR="00DD4347" w:rsidRPr="00377664" w:rsidRDefault="007E6635"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DD4347" w:rsidRPr="00377664" w:rsidTr="001A145B">
        <w:tc>
          <w:tcPr>
            <w:tcW w:w="506"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3. Simplifying the </w:t>
            </w:r>
            <w:proofErr w:type="spellStart"/>
            <w:r w:rsidRPr="00377664">
              <w:rPr>
                <w:rFonts w:asciiTheme="minorHAnsi" w:hAnsiTheme="minorHAnsi" w:cstheme="minorHAnsi"/>
                <w:color w:val="auto"/>
                <w:sz w:val="20"/>
                <w:lang w:val="en-AU"/>
              </w:rPr>
              <w:t>JSA</w:t>
            </w:r>
            <w:proofErr w:type="spellEnd"/>
            <w:r w:rsidRPr="00377664">
              <w:rPr>
                <w:rFonts w:asciiTheme="minorHAnsi" w:hAnsiTheme="minorHAnsi" w:cstheme="minorHAnsi"/>
                <w:color w:val="auto"/>
                <w:sz w:val="20"/>
                <w:lang w:val="en-AU"/>
              </w:rPr>
              <w:t xml:space="preserve"> Stream structure</w:t>
            </w:r>
          </w:p>
        </w:tc>
        <w:tc>
          <w:tcPr>
            <w:tcW w:w="2152"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3.1. </w:t>
            </w:r>
            <w:proofErr w:type="spellStart"/>
            <w:r w:rsidRPr="00377664">
              <w:rPr>
                <w:rFonts w:asciiTheme="minorHAnsi" w:hAnsiTheme="minorHAnsi" w:cstheme="minorHAnsi"/>
                <w:color w:val="auto"/>
                <w:sz w:val="20"/>
                <w:lang w:val="en-AU"/>
              </w:rPr>
              <w:t>JSA</w:t>
            </w:r>
            <w:proofErr w:type="spellEnd"/>
            <w:r w:rsidRPr="00377664">
              <w:rPr>
                <w:rFonts w:asciiTheme="minorHAnsi" w:hAnsiTheme="minorHAnsi" w:cstheme="minorHAnsi"/>
                <w:color w:val="auto"/>
                <w:sz w:val="20"/>
                <w:lang w:val="en-AU"/>
              </w:rPr>
              <w:t xml:space="preserve"> features four Streams. Stream 1 </w:t>
            </w:r>
            <w:proofErr w:type="gramStart"/>
            <w:r w:rsidRPr="00377664">
              <w:rPr>
                <w:rFonts w:asciiTheme="minorHAnsi" w:hAnsiTheme="minorHAnsi" w:cstheme="minorHAnsi"/>
                <w:color w:val="auto"/>
                <w:sz w:val="20"/>
                <w:lang w:val="en-AU"/>
              </w:rPr>
              <w:t>services</w:t>
            </w:r>
            <w:proofErr w:type="gramEnd"/>
            <w:r w:rsidRPr="00377664">
              <w:rPr>
                <w:rFonts w:asciiTheme="minorHAnsi" w:hAnsiTheme="minorHAnsi" w:cstheme="minorHAnsi"/>
                <w:color w:val="auto"/>
                <w:sz w:val="20"/>
                <w:lang w:val="en-AU"/>
              </w:rPr>
              <w:t xml:space="preserve"> the most work-ready jobseekers, and Streams 2 and 3 service jobseekers with moderate barriers to employment. J</w:t>
            </w:r>
            <w:r w:rsidRPr="00377664">
              <w:rPr>
                <w:rFonts w:asciiTheme="minorHAnsi" w:hAnsiTheme="minorHAnsi" w:cstheme="minorHAnsi"/>
                <w:bCs/>
                <w:color w:val="auto"/>
                <w:sz w:val="20"/>
                <w:lang w:val="en-AU"/>
              </w:rPr>
              <w:t>obseekers in Stream 4 have</w:t>
            </w:r>
            <w:r w:rsidRPr="00377664">
              <w:rPr>
                <w:rFonts w:asciiTheme="minorHAnsi" w:hAnsiTheme="minorHAnsi" w:cstheme="minorHAnsi"/>
                <w:color w:val="auto"/>
                <w:sz w:val="20"/>
                <w:lang w:val="en-AU"/>
              </w:rPr>
              <w:t xml:space="preserve"> been assessed as having complex or multiple non-vocational barriers. The current Stream structure is an important source of </w:t>
            </w:r>
            <w:proofErr w:type="spellStart"/>
            <w:r w:rsidRPr="00377664">
              <w:rPr>
                <w:rFonts w:asciiTheme="minorHAnsi" w:hAnsiTheme="minorHAnsi" w:cstheme="minorHAnsi"/>
                <w:color w:val="auto"/>
                <w:sz w:val="20"/>
                <w:lang w:val="en-AU"/>
              </w:rPr>
              <w:t>JSA’s</w:t>
            </w:r>
            <w:proofErr w:type="spellEnd"/>
            <w:r w:rsidRPr="00377664">
              <w:rPr>
                <w:rFonts w:asciiTheme="minorHAnsi" w:hAnsiTheme="minorHAnsi" w:cstheme="minorHAnsi"/>
                <w:color w:val="auto"/>
                <w:sz w:val="20"/>
                <w:lang w:val="en-AU"/>
              </w:rPr>
              <w:t xml:space="preserve"> complexity and has the effect of increasing the number of Outcome types.</w:t>
            </w:r>
          </w:p>
        </w:tc>
        <w:tc>
          <w:tcPr>
            <w:tcW w:w="2342" w:type="pct"/>
          </w:tcPr>
          <w:p w:rsidR="00DD4347" w:rsidRPr="00377664" w:rsidRDefault="00DD4347" w:rsidP="00377664">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3.1</w:t>
            </w:r>
            <w:r w:rsidR="00377664" w:rsidRPr="00377664">
              <w:rPr>
                <w:rFonts w:asciiTheme="minorHAnsi" w:hAnsiTheme="minorHAnsi" w:cstheme="minorHAnsi"/>
                <w:color w:val="auto"/>
                <w:sz w:val="20"/>
                <w:lang w:val="en-AU"/>
              </w:rPr>
              <w:t xml:space="preserve">. </w:t>
            </w:r>
            <w:r w:rsidRPr="00377664">
              <w:rPr>
                <w:rFonts w:asciiTheme="minorHAnsi" w:hAnsiTheme="minorHAnsi" w:cstheme="minorHAnsi"/>
                <w:color w:val="auto"/>
                <w:sz w:val="20"/>
                <w:lang w:val="en-AU"/>
              </w:rPr>
              <w:t xml:space="preserve">That the </w:t>
            </w:r>
            <w:proofErr w:type="spellStart"/>
            <w:r w:rsidRPr="00377664">
              <w:rPr>
                <w:rFonts w:asciiTheme="minorHAnsi" w:hAnsiTheme="minorHAnsi" w:cstheme="minorHAnsi"/>
                <w:color w:val="auto"/>
                <w:sz w:val="20"/>
                <w:lang w:val="en-AU"/>
              </w:rPr>
              <w:t>JSA</w:t>
            </w:r>
            <w:proofErr w:type="spellEnd"/>
            <w:r w:rsidRPr="00377664">
              <w:rPr>
                <w:rFonts w:asciiTheme="minorHAnsi" w:hAnsiTheme="minorHAnsi" w:cstheme="minorHAnsi"/>
                <w:color w:val="auto"/>
                <w:sz w:val="20"/>
                <w:lang w:val="en-AU"/>
              </w:rPr>
              <w:t xml:space="preserve"> Stream structure be simplified by combining Streams 2 and 3. This would be done in a way that reduces significantly the number of Outcome types, and has regard to how jobseekers would best be served with regard to their needs and the goal of sustainable employment.</w:t>
            </w:r>
          </w:p>
        </w:tc>
      </w:tr>
      <w:tr w:rsidR="00A56434" w:rsidRPr="00377664" w:rsidTr="007E6635">
        <w:trPr>
          <w:trHeight w:val="6707"/>
        </w:trPr>
        <w:tc>
          <w:tcPr>
            <w:tcW w:w="5000" w:type="pct"/>
            <w:gridSpan w:val="3"/>
          </w:tcPr>
          <w:p w:rsidR="00A56434" w:rsidRPr="00377664" w:rsidRDefault="00A56434"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Feedback </w:t>
            </w:r>
          </w:p>
          <w:p w:rsidR="00A56434" w:rsidRPr="00377664" w:rsidRDefault="00A56434" w:rsidP="00F32B46">
            <w:pPr>
              <w:spacing w:before="80" w:after="80" w:line="240" w:lineRule="atLeast"/>
              <w:rPr>
                <w:rFonts w:asciiTheme="minorHAnsi" w:hAnsiTheme="minorHAnsi" w:cstheme="minorHAnsi"/>
                <w:color w:val="auto"/>
                <w:sz w:val="20"/>
                <w:lang w:val="en-AU"/>
              </w:rPr>
            </w:pPr>
          </w:p>
        </w:tc>
      </w:tr>
    </w:tbl>
    <w:p w:rsidR="001A145B" w:rsidRPr="00377664" w:rsidRDefault="001A145B">
      <w:pPr>
        <w:rPr>
          <w:rFonts w:asciiTheme="minorHAnsi" w:hAnsiTheme="minorHAnsi" w:cstheme="minorHAnsi"/>
          <w:sz w:val="20"/>
        </w:rPr>
      </w:pPr>
      <w:r w:rsidRPr="00377664">
        <w:rPr>
          <w:rFonts w:asciiTheme="minorHAnsi" w:hAnsiTheme="minorHAnsi" w:cstheme="minorHAnsi"/>
          <w:sz w:val="20"/>
        </w:rPr>
        <w:br w:type="page"/>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2"/>
        <w:gridCol w:w="6513"/>
        <w:gridCol w:w="7088"/>
      </w:tblGrid>
      <w:tr w:rsidR="00DD4347" w:rsidRPr="00377664" w:rsidTr="00020A45">
        <w:tc>
          <w:tcPr>
            <w:tcW w:w="506"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Pr="00377664">
              <w:rPr>
                <w:rFonts w:asciiTheme="minorHAnsi" w:hAnsiTheme="minorHAnsi" w:cstheme="minorHAnsi"/>
                <w:b/>
                <w:color w:val="auto"/>
                <w:sz w:val="20"/>
                <w:lang w:val="en-AU"/>
              </w:rPr>
              <w:t>Topic</w:t>
            </w:r>
          </w:p>
        </w:tc>
        <w:tc>
          <w:tcPr>
            <w:tcW w:w="2152"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2" w:type="pct"/>
            <w:shd w:val="clear" w:color="auto" w:fill="C9C2D1"/>
          </w:tcPr>
          <w:p w:rsidR="00DD4347" w:rsidRPr="00377664" w:rsidRDefault="007E6635"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Recommendations</w:t>
            </w:r>
          </w:p>
        </w:tc>
      </w:tr>
      <w:tr w:rsidR="00DD4347" w:rsidRPr="00377664" w:rsidTr="00020A45">
        <w:tc>
          <w:tcPr>
            <w:tcW w:w="506"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4. Provider Assisted </w:t>
            </w:r>
            <w:proofErr w:type="spellStart"/>
            <w:r w:rsidRPr="00377664">
              <w:rPr>
                <w:rFonts w:asciiTheme="minorHAnsi" w:hAnsiTheme="minorHAnsi" w:cstheme="minorHAnsi"/>
                <w:color w:val="auto"/>
                <w:sz w:val="20"/>
                <w:lang w:val="en-AU"/>
              </w:rPr>
              <w:t>vs</w:t>
            </w:r>
            <w:proofErr w:type="spellEnd"/>
            <w:r w:rsidRPr="00377664">
              <w:rPr>
                <w:rFonts w:asciiTheme="minorHAnsi" w:hAnsiTheme="minorHAnsi" w:cstheme="minorHAnsi"/>
                <w:color w:val="auto"/>
                <w:sz w:val="20"/>
                <w:lang w:val="en-AU"/>
              </w:rPr>
              <w:t xml:space="preserve"> Provider Brokered Outcomes</w:t>
            </w:r>
          </w:p>
        </w:tc>
        <w:tc>
          <w:tcPr>
            <w:tcW w:w="2152"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4.1. Within </w:t>
            </w:r>
            <w:proofErr w:type="spellStart"/>
            <w:r w:rsidRPr="00377664">
              <w:rPr>
                <w:rFonts w:asciiTheme="minorHAnsi" w:hAnsiTheme="minorHAnsi" w:cstheme="minorHAnsi"/>
                <w:color w:val="auto"/>
                <w:sz w:val="20"/>
                <w:lang w:val="en-AU"/>
              </w:rPr>
              <w:t>JSA</w:t>
            </w:r>
            <w:proofErr w:type="spellEnd"/>
            <w:r w:rsidRPr="00377664">
              <w:rPr>
                <w:rFonts w:asciiTheme="minorHAnsi" w:hAnsiTheme="minorHAnsi" w:cstheme="minorHAnsi"/>
                <w:color w:val="auto"/>
                <w:sz w:val="20"/>
                <w:lang w:val="en-AU"/>
              </w:rPr>
              <w:t xml:space="preserve"> there are 144 Outcome payment types. These are determined by: the jobseeker’s employment services Stream and period of unemployment; whether the payment is a Full Outcome or a Pathway Outcome; whether the Outcome was Provider Brokered (that is – through contact with the employer) or Provider Assisted (including Full Outcome Employment); and whether the Outcome attracts a bonus. The current Outcome structure is an important source of complexity in the Program.</w:t>
            </w:r>
          </w:p>
        </w:tc>
        <w:tc>
          <w:tcPr>
            <w:tcW w:w="2342" w:type="pct"/>
          </w:tcPr>
          <w:p w:rsidR="00DD4347" w:rsidRPr="00377664" w:rsidRDefault="00DD4347" w:rsidP="00035F28">
            <w:pPr>
              <w:spacing w:before="80" w:after="80" w:line="240" w:lineRule="atLeast"/>
              <w:rPr>
                <w:rFonts w:asciiTheme="minorHAnsi" w:hAnsiTheme="minorHAnsi" w:cstheme="minorHAnsi"/>
                <w:color w:val="auto"/>
                <w:sz w:val="20"/>
                <w:lang w:val="en-AU"/>
              </w:rPr>
            </w:pPr>
          </w:p>
        </w:tc>
      </w:tr>
      <w:tr w:rsidR="00A56434" w:rsidRPr="00377664" w:rsidTr="00020A45">
        <w:trPr>
          <w:trHeight w:val="5671"/>
        </w:trPr>
        <w:tc>
          <w:tcPr>
            <w:tcW w:w="5000" w:type="pct"/>
            <w:gridSpan w:val="3"/>
          </w:tcPr>
          <w:p w:rsidR="00A56434" w:rsidRPr="00377664" w:rsidRDefault="007204B6" w:rsidP="00035F28">
            <w:pPr>
              <w:spacing w:before="80" w:after="80" w:line="240" w:lineRule="atLeast"/>
              <w:rPr>
                <w:rFonts w:asciiTheme="minorHAnsi" w:hAnsiTheme="minorHAnsi" w:cstheme="minorHAnsi"/>
                <w:color w:val="auto"/>
                <w:sz w:val="20"/>
                <w:lang w:val="en-AU"/>
              </w:rPr>
            </w:pPr>
            <w:r w:rsidRPr="007204B6">
              <w:rPr>
                <w:rFonts w:asciiTheme="minorHAnsi" w:hAnsiTheme="minorHAnsi" w:cstheme="minorHAnsi"/>
                <w:color w:val="auto"/>
                <w:sz w:val="20"/>
                <w:lang w:val="en-AU"/>
              </w:rPr>
              <w:t>C</w:t>
            </w:r>
            <w:r w:rsidR="0063427D" w:rsidRPr="007204B6">
              <w:rPr>
                <w:rFonts w:asciiTheme="minorHAnsi" w:hAnsiTheme="minorHAnsi" w:cstheme="minorHAnsi"/>
                <w:color w:val="auto"/>
                <w:sz w:val="20"/>
                <w:lang w:val="en-AU"/>
              </w:rPr>
              <w:t>omments</w:t>
            </w:r>
            <w:r w:rsidRPr="007204B6">
              <w:rPr>
                <w:rFonts w:asciiTheme="minorHAnsi" w:hAnsiTheme="minorHAnsi" w:cstheme="minorHAnsi"/>
                <w:color w:val="auto"/>
                <w:sz w:val="20"/>
                <w:lang w:val="en-AU"/>
              </w:rPr>
              <w:t xml:space="preserve"> </w:t>
            </w:r>
            <w:r w:rsidR="0063427D">
              <w:rPr>
                <w:rFonts w:asciiTheme="minorHAnsi" w:hAnsiTheme="minorHAnsi" w:cstheme="minorHAnsi"/>
                <w:color w:val="auto"/>
                <w:sz w:val="20"/>
                <w:lang w:val="en-AU"/>
              </w:rPr>
              <w:t xml:space="preserve"> </w:t>
            </w:r>
          </w:p>
          <w:p w:rsidR="00A56434" w:rsidRPr="00377664" w:rsidRDefault="00A56434" w:rsidP="00377664">
            <w:pPr>
              <w:spacing w:before="80" w:after="80" w:line="240" w:lineRule="atLeast"/>
              <w:rPr>
                <w:rFonts w:asciiTheme="minorHAnsi" w:hAnsiTheme="minorHAnsi" w:cstheme="minorHAnsi"/>
                <w:color w:val="auto"/>
                <w:sz w:val="20"/>
                <w:lang w:val="en-AU"/>
              </w:rPr>
            </w:pPr>
          </w:p>
        </w:tc>
      </w:tr>
    </w:tbl>
    <w:p w:rsidR="001A145B" w:rsidRPr="00377664" w:rsidRDefault="001A145B">
      <w:pPr>
        <w:rPr>
          <w:rFonts w:asciiTheme="minorHAnsi" w:hAnsiTheme="minorHAnsi" w:cstheme="minorHAnsi"/>
          <w:sz w:val="20"/>
        </w:rPr>
      </w:pPr>
    </w:p>
    <w:p w:rsidR="001A145B" w:rsidRPr="00377664" w:rsidRDefault="001A145B">
      <w:pPr>
        <w:spacing w:after="0" w:line="240" w:lineRule="auto"/>
        <w:rPr>
          <w:rFonts w:asciiTheme="minorHAnsi" w:hAnsiTheme="minorHAnsi" w:cstheme="minorHAnsi"/>
          <w:sz w:val="20"/>
        </w:rPr>
      </w:pPr>
      <w:r w:rsidRPr="00377664">
        <w:rPr>
          <w:rFonts w:asciiTheme="minorHAnsi" w:hAnsiTheme="minorHAnsi" w:cstheme="minorHAnsi"/>
          <w:sz w:val="20"/>
        </w:rPr>
        <w:br w:type="page"/>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7"/>
        <w:gridCol w:w="6208"/>
        <w:gridCol w:w="7088"/>
      </w:tblGrid>
      <w:tr w:rsidR="00DD4347" w:rsidRPr="00377664" w:rsidTr="001A145B">
        <w:tc>
          <w:tcPr>
            <w:tcW w:w="607"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Pr="00377664">
              <w:rPr>
                <w:rFonts w:asciiTheme="minorHAnsi" w:hAnsiTheme="minorHAnsi" w:cstheme="minorHAnsi"/>
                <w:b/>
                <w:color w:val="auto"/>
                <w:sz w:val="20"/>
                <w:lang w:val="en-AU"/>
              </w:rPr>
              <w:t>Topic</w:t>
            </w:r>
          </w:p>
        </w:tc>
        <w:tc>
          <w:tcPr>
            <w:tcW w:w="2051"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2" w:type="pct"/>
            <w:shd w:val="clear" w:color="auto" w:fill="C9C2D1"/>
          </w:tcPr>
          <w:p w:rsidR="00DD4347" w:rsidRPr="00377664" w:rsidRDefault="00020A45"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DD4347" w:rsidRPr="00377664" w:rsidTr="001A145B">
        <w:tc>
          <w:tcPr>
            <w:tcW w:w="607"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5. Sustainable employment</w:t>
            </w:r>
          </w:p>
        </w:tc>
        <w:tc>
          <w:tcPr>
            <w:tcW w:w="2051"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5.1</w:t>
            </w:r>
            <w:r w:rsidR="007D4AC9">
              <w:rPr>
                <w:rFonts w:asciiTheme="minorHAnsi" w:hAnsiTheme="minorHAnsi" w:cstheme="minorHAnsi"/>
                <w:color w:val="auto"/>
                <w:sz w:val="20"/>
                <w:lang w:val="en-AU"/>
              </w:rPr>
              <w:t xml:space="preserve">. </w:t>
            </w:r>
            <w:r w:rsidRPr="00377664">
              <w:rPr>
                <w:rFonts w:asciiTheme="minorHAnsi" w:hAnsiTheme="minorHAnsi" w:cstheme="minorHAnsi"/>
                <w:color w:val="auto"/>
                <w:sz w:val="20"/>
                <w:lang w:val="en-AU"/>
              </w:rPr>
              <w:t>The ultimate outcome being sought by the Programs is sustainable employment for jobseekers. The structuring of Outcome payments affects whether this goal is achieved. Outcome payments are currently available for 13 week and 26 week Outcomes. The panel concluded that 26 weeks is too short a timeframe to know if an employment outcome is sustainable.</w:t>
            </w:r>
          </w:p>
        </w:tc>
        <w:tc>
          <w:tcPr>
            <w:tcW w:w="2342"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5.1</w:t>
            </w:r>
            <w:r w:rsidR="007D4AC9">
              <w:rPr>
                <w:rFonts w:asciiTheme="minorHAnsi" w:hAnsiTheme="minorHAnsi" w:cstheme="minorHAnsi"/>
                <w:color w:val="auto"/>
                <w:sz w:val="20"/>
                <w:lang w:val="en-AU"/>
              </w:rPr>
              <w:t xml:space="preserve">. </w:t>
            </w:r>
            <w:r w:rsidRPr="00377664">
              <w:rPr>
                <w:rFonts w:asciiTheme="minorHAnsi" w:hAnsiTheme="minorHAnsi" w:cstheme="minorHAnsi"/>
                <w:color w:val="auto"/>
                <w:sz w:val="20"/>
                <w:lang w:val="en-AU"/>
              </w:rPr>
              <w:t>That the definition of sustainable employment outcomes be extended to 52 weeks. Outcome payments would then occur at 13, 26 and 52 weeks. The new definition of sustainable employment would take account of the number of job changes that is accepted as the norm in certain vocations, e.g. the hospitality industry.</w:t>
            </w:r>
          </w:p>
        </w:tc>
      </w:tr>
      <w:tr w:rsidR="00A56434" w:rsidRPr="00377664" w:rsidTr="00CC55CF">
        <w:trPr>
          <w:trHeight w:val="6441"/>
        </w:trPr>
        <w:tc>
          <w:tcPr>
            <w:tcW w:w="5000" w:type="pct"/>
            <w:gridSpan w:val="3"/>
          </w:tcPr>
          <w:p w:rsidR="00A56434" w:rsidRPr="00377664" w:rsidRDefault="00A56434"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Feedback </w:t>
            </w:r>
          </w:p>
          <w:p w:rsidR="00A56434" w:rsidRPr="00377664" w:rsidRDefault="00A56434" w:rsidP="001A145B">
            <w:pPr>
              <w:spacing w:before="80" w:after="80" w:line="240" w:lineRule="atLeast"/>
              <w:rPr>
                <w:rFonts w:asciiTheme="minorHAnsi" w:hAnsiTheme="minorHAnsi" w:cstheme="minorHAnsi"/>
                <w:color w:val="auto"/>
                <w:sz w:val="20"/>
                <w:lang w:val="en-AU"/>
              </w:rPr>
            </w:pPr>
          </w:p>
        </w:tc>
      </w:tr>
    </w:tbl>
    <w:p w:rsidR="001A145B" w:rsidRPr="00377664" w:rsidRDefault="001A145B">
      <w:pPr>
        <w:rPr>
          <w:rFonts w:asciiTheme="minorHAnsi" w:hAnsiTheme="minorHAnsi" w:cstheme="minorHAnsi"/>
          <w:sz w:val="20"/>
        </w:rPr>
      </w:pPr>
    </w:p>
    <w:p w:rsidR="001A145B" w:rsidRPr="00377664" w:rsidRDefault="001A145B">
      <w:pPr>
        <w:spacing w:after="0" w:line="240" w:lineRule="auto"/>
        <w:rPr>
          <w:rFonts w:asciiTheme="minorHAnsi" w:hAnsiTheme="minorHAnsi" w:cstheme="minorHAnsi"/>
          <w:sz w:val="20"/>
        </w:rPr>
      </w:pPr>
      <w:r w:rsidRPr="00377664">
        <w:rPr>
          <w:rFonts w:asciiTheme="minorHAnsi" w:hAnsiTheme="minorHAnsi" w:cstheme="minorHAnsi"/>
          <w:sz w:val="20"/>
        </w:rPr>
        <w:br w:type="page"/>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7"/>
        <w:gridCol w:w="6208"/>
        <w:gridCol w:w="7088"/>
      </w:tblGrid>
      <w:tr w:rsidR="00DD4347" w:rsidRPr="00377664" w:rsidTr="001A145B">
        <w:tc>
          <w:tcPr>
            <w:tcW w:w="607"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Topic</w:t>
            </w:r>
          </w:p>
        </w:tc>
        <w:tc>
          <w:tcPr>
            <w:tcW w:w="2051" w:type="pct"/>
            <w:shd w:val="clear" w:color="auto" w:fill="C9C2D1"/>
          </w:tcPr>
          <w:p w:rsidR="00DD4347" w:rsidRPr="00377664" w:rsidRDefault="00DD4347" w:rsidP="00F32B46">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2" w:type="pct"/>
            <w:shd w:val="clear" w:color="auto" w:fill="C9C2D1"/>
          </w:tcPr>
          <w:p w:rsidR="00DD4347" w:rsidRPr="00377664" w:rsidRDefault="00020A45"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DD4347" w:rsidRPr="00377664" w:rsidTr="001A145B">
        <w:tc>
          <w:tcPr>
            <w:tcW w:w="607"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6. Increased scope for innovation</w:t>
            </w:r>
          </w:p>
        </w:tc>
        <w:tc>
          <w:tcPr>
            <w:tcW w:w="2051" w:type="pct"/>
          </w:tcPr>
          <w:p w:rsidR="00DD4347" w:rsidRPr="00377664" w:rsidRDefault="00DD4347" w:rsidP="001A145B">
            <w:pPr>
              <w:spacing w:before="80" w:after="80" w:line="240" w:lineRule="atLeast"/>
              <w:rPr>
                <w:rFonts w:asciiTheme="minorHAnsi" w:hAnsiTheme="minorHAnsi" w:cstheme="minorHAnsi"/>
                <w:color w:val="auto"/>
                <w:sz w:val="20"/>
                <w:highlight w:val="yellow"/>
                <w:lang w:val="en-AU"/>
              </w:rPr>
            </w:pPr>
            <w:r w:rsidRPr="00377664">
              <w:rPr>
                <w:rFonts w:asciiTheme="minorHAnsi" w:hAnsiTheme="minorHAnsi" w:cstheme="minorHAnsi"/>
                <w:color w:val="auto"/>
                <w:sz w:val="20"/>
                <w:lang w:val="en-AU"/>
              </w:rPr>
              <w:t>6.1</w:t>
            </w:r>
            <w:r w:rsidR="001A145B" w:rsidRPr="00377664">
              <w:rPr>
                <w:rFonts w:asciiTheme="minorHAnsi" w:hAnsiTheme="minorHAnsi" w:cstheme="minorHAnsi"/>
                <w:color w:val="auto"/>
                <w:sz w:val="20"/>
                <w:lang w:val="en-AU"/>
              </w:rPr>
              <w:t>. T</w:t>
            </w:r>
            <w:r w:rsidRPr="00377664">
              <w:rPr>
                <w:rFonts w:asciiTheme="minorHAnsi" w:hAnsiTheme="minorHAnsi" w:cstheme="minorHAnsi"/>
                <w:color w:val="auto"/>
                <w:sz w:val="20"/>
                <w:lang w:val="en-AU"/>
              </w:rPr>
              <w:t>he Programs’ high-level architecture is designed to encourage innovation, leading to improved outcomes and better value for money. In practice, however, providers’ scope to innovate in the provision of services is significantly constrained by the Programs’ administrative and compliance arrangements. Benefits would be expected to flow from encouraging a more innovative approach to practice.</w:t>
            </w:r>
          </w:p>
        </w:tc>
        <w:tc>
          <w:tcPr>
            <w:tcW w:w="2342" w:type="pct"/>
          </w:tcPr>
          <w:p w:rsidR="00DD4347" w:rsidRPr="00377664" w:rsidRDefault="00DD4347" w:rsidP="007D4AC9">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6.1</w:t>
            </w:r>
            <w:r w:rsidR="001A145B" w:rsidRPr="00377664">
              <w:rPr>
                <w:rFonts w:asciiTheme="minorHAnsi" w:hAnsiTheme="minorHAnsi" w:cstheme="minorHAnsi"/>
                <w:color w:val="auto"/>
                <w:sz w:val="20"/>
                <w:lang w:val="en-AU"/>
              </w:rPr>
              <w:t xml:space="preserve">. </w:t>
            </w:r>
            <w:r w:rsidRPr="00377664">
              <w:rPr>
                <w:rFonts w:asciiTheme="minorHAnsi" w:hAnsiTheme="minorHAnsi" w:cstheme="minorHAnsi"/>
                <w:color w:val="auto"/>
                <w:sz w:val="20"/>
                <w:lang w:val="en-AU"/>
              </w:rPr>
              <w:t xml:space="preserve">That DEEWR encourage greater service innovation among providers, and reflect this in the design of contracts and other features of the employment services model. This would include encouraging providers to innovate in the design and administration of services, and to identify more efficient ways to tailor services and to achieve the Programs’ </w:t>
            </w:r>
            <w:r w:rsidR="007D4AC9" w:rsidRPr="00377664">
              <w:rPr>
                <w:rFonts w:asciiTheme="minorHAnsi" w:hAnsiTheme="minorHAnsi" w:cstheme="minorHAnsi"/>
                <w:color w:val="auto"/>
                <w:sz w:val="20"/>
                <w:lang w:val="en-AU"/>
              </w:rPr>
              <w:t xml:space="preserve">objectives. </w:t>
            </w:r>
          </w:p>
        </w:tc>
      </w:tr>
      <w:tr w:rsidR="00A56434" w:rsidRPr="00377664" w:rsidTr="007E6635">
        <w:trPr>
          <w:trHeight w:val="6161"/>
        </w:trPr>
        <w:tc>
          <w:tcPr>
            <w:tcW w:w="5000" w:type="pct"/>
            <w:gridSpan w:val="3"/>
          </w:tcPr>
          <w:p w:rsidR="00A56434" w:rsidRPr="00377664" w:rsidRDefault="00A56434"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Feedback </w:t>
            </w:r>
          </w:p>
          <w:p w:rsidR="00A56434" w:rsidRPr="00377664" w:rsidRDefault="00A56434" w:rsidP="001A145B">
            <w:pPr>
              <w:spacing w:before="80" w:after="80" w:line="240" w:lineRule="atLeast"/>
              <w:rPr>
                <w:rFonts w:asciiTheme="minorHAnsi" w:hAnsiTheme="minorHAnsi" w:cstheme="minorHAnsi"/>
                <w:color w:val="auto"/>
                <w:sz w:val="20"/>
                <w:lang w:val="en-AU"/>
              </w:rPr>
            </w:pPr>
          </w:p>
        </w:tc>
      </w:tr>
    </w:tbl>
    <w:p w:rsidR="00A56434" w:rsidRPr="00377664" w:rsidRDefault="00A56434">
      <w:pPr>
        <w:rPr>
          <w:rFonts w:asciiTheme="minorHAnsi" w:hAnsiTheme="minorHAnsi" w:cstheme="minorHAnsi"/>
          <w:sz w:val="20"/>
        </w:rPr>
      </w:pPr>
    </w:p>
    <w:p w:rsidR="001A145B" w:rsidRPr="00377664" w:rsidRDefault="001A145B">
      <w:pPr>
        <w:spacing w:after="0" w:line="240" w:lineRule="auto"/>
        <w:rPr>
          <w:rFonts w:asciiTheme="minorHAnsi" w:hAnsiTheme="minorHAnsi" w:cstheme="minorHAnsi"/>
          <w:sz w:val="20"/>
        </w:rPr>
      </w:pPr>
      <w:r w:rsidRPr="00377664">
        <w:rPr>
          <w:rFonts w:asciiTheme="minorHAnsi" w:hAnsiTheme="minorHAnsi" w:cstheme="minorHAnsi"/>
          <w:sz w:val="20"/>
        </w:rPr>
        <w:br w:type="page"/>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4"/>
        <w:gridCol w:w="6208"/>
        <w:gridCol w:w="7091"/>
      </w:tblGrid>
      <w:tr w:rsidR="00DD4347" w:rsidRPr="00377664" w:rsidTr="001A145B">
        <w:tc>
          <w:tcPr>
            <w:tcW w:w="606"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Pr="00377664">
              <w:rPr>
                <w:rFonts w:asciiTheme="minorHAnsi" w:hAnsiTheme="minorHAnsi" w:cstheme="minorHAnsi"/>
                <w:sz w:val="20"/>
              </w:rPr>
              <w:br w:type="page"/>
            </w:r>
            <w:r w:rsidRPr="00377664">
              <w:rPr>
                <w:rFonts w:asciiTheme="minorHAnsi" w:hAnsiTheme="minorHAnsi" w:cstheme="minorHAnsi"/>
                <w:b/>
                <w:color w:val="auto"/>
                <w:sz w:val="20"/>
                <w:lang w:val="en-AU"/>
              </w:rPr>
              <w:t>Topic</w:t>
            </w:r>
          </w:p>
        </w:tc>
        <w:tc>
          <w:tcPr>
            <w:tcW w:w="2051"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2" w:type="pct"/>
            <w:shd w:val="clear" w:color="auto" w:fill="C9C2D1"/>
          </w:tcPr>
          <w:p w:rsidR="00DD4347" w:rsidRPr="00377664" w:rsidRDefault="00020A45"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DD4347" w:rsidRPr="00377664" w:rsidTr="001A145B">
        <w:tc>
          <w:tcPr>
            <w:tcW w:w="606"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7. Contract length and certainty</w:t>
            </w:r>
          </w:p>
        </w:tc>
        <w:tc>
          <w:tcPr>
            <w:tcW w:w="2051" w:type="pct"/>
          </w:tcPr>
          <w:p w:rsidR="00DD4347" w:rsidRPr="00377664" w:rsidRDefault="00377664"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7.1. </w:t>
            </w:r>
            <w:r w:rsidR="00DD4347" w:rsidRPr="00377664">
              <w:rPr>
                <w:rFonts w:asciiTheme="minorHAnsi" w:hAnsiTheme="minorHAnsi" w:cstheme="minorHAnsi"/>
                <w:color w:val="auto"/>
                <w:sz w:val="20"/>
                <w:lang w:val="en-AU"/>
              </w:rPr>
              <w:t>Employment services contracts are currently for three years with a three-year renewal period. The Panel concluded that longer employment services contracts would improve providers’ ability to plan and invest adequately, and to attract and retain high-quality staff.</w:t>
            </w:r>
          </w:p>
        </w:tc>
        <w:tc>
          <w:tcPr>
            <w:tcW w:w="2342"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7.1</w:t>
            </w:r>
            <w:r w:rsidR="00377664" w:rsidRPr="00377664">
              <w:rPr>
                <w:rFonts w:asciiTheme="minorHAnsi" w:hAnsiTheme="minorHAnsi" w:cstheme="minorHAnsi"/>
                <w:color w:val="auto"/>
                <w:sz w:val="20"/>
                <w:lang w:val="en-AU"/>
              </w:rPr>
              <w:t xml:space="preserve">. </w:t>
            </w:r>
            <w:r w:rsidRPr="00377664">
              <w:rPr>
                <w:rFonts w:asciiTheme="minorHAnsi" w:hAnsiTheme="minorHAnsi" w:cstheme="minorHAnsi"/>
                <w:color w:val="auto"/>
                <w:sz w:val="20"/>
                <w:lang w:val="en-AU"/>
              </w:rPr>
              <w:t>That DEEWR introduce longer employment services contracts in the Programs. The longer contracts would be subject to renewed safeguards including for changes in ownership and significant changes in direction.</w:t>
            </w:r>
          </w:p>
        </w:tc>
      </w:tr>
      <w:tr w:rsidR="00A56434" w:rsidRPr="00377664" w:rsidTr="001A145B">
        <w:trPr>
          <w:trHeight w:val="6392"/>
        </w:trPr>
        <w:tc>
          <w:tcPr>
            <w:tcW w:w="5000" w:type="pct"/>
            <w:gridSpan w:val="3"/>
          </w:tcPr>
          <w:p w:rsidR="00A56434" w:rsidRPr="00377664" w:rsidRDefault="00A56434"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Feedback </w:t>
            </w:r>
          </w:p>
          <w:p w:rsidR="00A56434" w:rsidRPr="00377664" w:rsidRDefault="00A56434" w:rsidP="007E6635">
            <w:pPr>
              <w:spacing w:before="80" w:after="80" w:line="240" w:lineRule="atLeast"/>
              <w:rPr>
                <w:rFonts w:asciiTheme="minorHAnsi" w:hAnsiTheme="minorHAnsi" w:cstheme="minorHAnsi"/>
                <w:color w:val="auto"/>
                <w:sz w:val="20"/>
                <w:lang w:val="en-AU"/>
              </w:rPr>
            </w:pPr>
          </w:p>
        </w:tc>
      </w:tr>
    </w:tbl>
    <w:p w:rsidR="001A145B" w:rsidRPr="00377664" w:rsidRDefault="001A145B">
      <w:pPr>
        <w:rPr>
          <w:rFonts w:asciiTheme="minorHAnsi" w:hAnsiTheme="minorHAnsi" w:cstheme="minorHAnsi"/>
          <w:sz w:val="20"/>
        </w:rPr>
      </w:pPr>
      <w:r w:rsidRPr="00377664">
        <w:rPr>
          <w:rFonts w:asciiTheme="minorHAnsi" w:hAnsiTheme="minorHAnsi" w:cstheme="minorHAnsi"/>
          <w:sz w:val="20"/>
        </w:rPr>
        <w:br w:type="page"/>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4"/>
        <w:gridCol w:w="6208"/>
        <w:gridCol w:w="7091"/>
      </w:tblGrid>
      <w:tr w:rsidR="00DD4347" w:rsidRPr="00377664" w:rsidTr="00020A45">
        <w:tc>
          <w:tcPr>
            <w:tcW w:w="606"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Pr="00377664">
              <w:rPr>
                <w:rFonts w:asciiTheme="minorHAnsi" w:hAnsiTheme="minorHAnsi" w:cstheme="minorHAnsi"/>
                <w:b/>
                <w:color w:val="auto"/>
                <w:sz w:val="20"/>
                <w:lang w:val="en-AU"/>
              </w:rPr>
              <w:t>Topic</w:t>
            </w:r>
          </w:p>
        </w:tc>
        <w:tc>
          <w:tcPr>
            <w:tcW w:w="2051"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2" w:type="pct"/>
            <w:shd w:val="clear" w:color="auto" w:fill="C9C2D1"/>
          </w:tcPr>
          <w:p w:rsidR="00DD4347" w:rsidRPr="00377664" w:rsidRDefault="00020A45"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DD4347" w:rsidRPr="00377664" w:rsidTr="00020A45">
        <w:tc>
          <w:tcPr>
            <w:tcW w:w="606"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8. Professionalising the employment services workforce</w:t>
            </w:r>
          </w:p>
        </w:tc>
        <w:tc>
          <w:tcPr>
            <w:tcW w:w="2051"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8.1</w:t>
            </w:r>
            <w:r w:rsidR="00377664" w:rsidRPr="00377664">
              <w:rPr>
                <w:rFonts w:asciiTheme="minorHAnsi" w:hAnsiTheme="minorHAnsi" w:cstheme="minorHAnsi"/>
                <w:color w:val="auto"/>
                <w:sz w:val="20"/>
                <w:lang w:val="en-AU"/>
              </w:rPr>
              <w:t xml:space="preserve">. </w:t>
            </w:r>
            <w:r w:rsidRPr="00377664">
              <w:rPr>
                <w:rFonts w:asciiTheme="minorHAnsi" w:hAnsiTheme="minorHAnsi" w:cstheme="minorHAnsi"/>
                <w:color w:val="auto"/>
                <w:sz w:val="20"/>
                <w:lang w:val="en-AU"/>
              </w:rPr>
              <w:t>Turnover in the employment services workforce is high (around 35% nationally). Peak body and provider analyses of the reasons for this high turnover include uncompetitive wages, high administrative requirements of staff, the emotional toll of the work, and inadequate training. Professionalising the workforce (</w:t>
            </w:r>
            <w:proofErr w:type="spellStart"/>
            <w:r w:rsidRPr="00377664">
              <w:rPr>
                <w:rFonts w:asciiTheme="minorHAnsi" w:hAnsiTheme="minorHAnsi" w:cstheme="minorHAnsi"/>
                <w:color w:val="auto"/>
                <w:sz w:val="20"/>
                <w:lang w:val="en-AU"/>
              </w:rPr>
              <w:t>i</w:t>
            </w:r>
            <w:proofErr w:type="spellEnd"/>
            <w:r w:rsidRPr="00377664">
              <w:rPr>
                <w:rFonts w:asciiTheme="minorHAnsi" w:hAnsiTheme="minorHAnsi" w:cstheme="minorHAnsi"/>
                <w:color w:val="auto"/>
                <w:sz w:val="20"/>
                <w:lang w:val="en-AU"/>
              </w:rPr>
              <w:t>) would help lift and solidify standards and improve retention and (ii) requires that there are sufficient resources and capability in providers so they can make the necessary investment in training in an acceptable timeframe.</w:t>
            </w:r>
          </w:p>
        </w:tc>
        <w:tc>
          <w:tcPr>
            <w:tcW w:w="2342"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8.1</w:t>
            </w:r>
            <w:r w:rsidR="00377664" w:rsidRPr="00377664">
              <w:rPr>
                <w:rFonts w:asciiTheme="minorHAnsi" w:hAnsiTheme="minorHAnsi" w:cstheme="minorHAnsi"/>
                <w:color w:val="auto"/>
                <w:sz w:val="20"/>
                <w:lang w:val="en-AU"/>
              </w:rPr>
              <w:t xml:space="preserve">. </w:t>
            </w:r>
            <w:r w:rsidRPr="00377664">
              <w:rPr>
                <w:rFonts w:asciiTheme="minorHAnsi" w:hAnsiTheme="minorHAnsi" w:cstheme="minorHAnsi"/>
                <w:color w:val="auto"/>
                <w:sz w:val="20"/>
                <w:lang w:val="en-AU"/>
              </w:rPr>
              <w:t xml:space="preserve">That DEEWR and the provider sector jointly pursue the </w:t>
            </w:r>
            <w:proofErr w:type="spellStart"/>
            <w:r w:rsidRPr="00377664">
              <w:rPr>
                <w:rFonts w:asciiTheme="minorHAnsi" w:hAnsiTheme="minorHAnsi" w:cstheme="minorHAnsi"/>
                <w:color w:val="auto"/>
                <w:sz w:val="20"/>
                <w:lang w:val="en-AU"/>
              </w:rPr>
              <w:t>professionalisation</w:t>
            </w:r>
            <w:proofErr w:type="spellEnd"/>
            <w:r w:rsidRPr="00377664">
              <w:rPr>
                <w:rFonts w:asciiTheme="minorHAnsi" w:hAnsiTheme="minorHAnsi" w:cstheme="minorHAnsi"/>
                <w:color w:val="auto"/>
                <w:sz w:val="20"/>
                <w:lang w:val="en-AU"/>
              </w:rPr>
              <w:t xml:space="preserve"> of the employment services workforce in a manner that is cost-neutral for Government and improves service flexibility and quality whilst reducing red tape. This would include developing agreed knowledge, skills and competency standards for provider staff, and removing Program controls rendered unnecessary by the introduction of competency standards. The professional standards would include recommended minimum qualifications, Recognition of Prior Learning (</w:t>
            </w:r>
            <w:proofErr w:type="spellStart"/>
            <w:r w:rsidRPr="00377664">
              <w:rPr>
                <w:rFonts w:asciiTheme="minorHAnsi" w:hAnsiTheme="minorHAnsi" w:cstheme="minorHAnsi"/>
                <w:color w:val="auto"/>
                <w:sz w:val="20"/>
                <w:lang w:val="en-AU"/>
              </w:rPr>
              <w:t>RPL</w:t>
            </w:r>
            <w:proofErr w:type="spellEnd"/>
            <w:r w:rsidRPr="00377664">
              <w:rPr>
                <w:rFonts w:asciiTheme="minorHAnsi" w:hAnsiTheme="minorHAnsi" w:cstheme="minorHAnsi"/>
                <w:color w:val="auto"/>
                <w:sz w:val="20"/>
                <w:lang w:val="en-AU"/>
              </w:rPr>
              <w:t>), Recognition of Current Competency (</w:t>
            </w:r>
            <w:proofErr w:type="spellStart"/>
            <w:r w:rsidRPr="00377664">
              <w:rPr>
                <w:rFonts w:asciiTheme="minorHAnsi" w:hAnsiTheme="minorHAnsi" w:cstheme="minorHAnsi"/>
                <w:color w:val="auto"/>
                <w:sz w:val="20"/>
                <w:lang w:val="en-AU"/>
              </w:rPr>
              <w:t>RCC</w:t>
            </w:r>
            <w:proofErr w:type="spellEnd"/>
            <w:r w:rsidRPr="00377664">
              <w:rPr>
                <w:rFonts w:asciiTheme="minorHAnsi" w:hAnsiTheme="minorHAnsi" w:cstheme="minorHAnsi"/>
                <w:color w:val="auto"/>
                <w:sz w:val="20"/>
                <w:lang w:val="en-AU"/>
              </w:rPr>
              <w:t>), explicit recognition of on-the-job learning and a range of pathways to acquire the necessary skills and knowledge.</w:t>
            </w:r>
          </w:p>
        </w:tc>
      </w:tr>
      <w:tr w:rsidR="00A56434" w:rsidRPr="00377664" w:rsidTr="00020A45">
        <w:trPr>
          <w:trHeight w:val="5309"/>
        </w:trPr>
        <w:tc>
          <w:tcPr>
            <w:tcW w:w="5000" w:type="pct"/>
            <w:gridSpan w:val="3"/>
          </w:tcPr>
          <w:p w:rsidR="00A56434" w:rsidRPr="00377664" w:rsidRDefault="00A56434"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Feedback</w:t>
            </w:r>
          </w:p>
          <w:p w:rsidR="00A56434" w:rsidRPr="00377664" w:rsidRDefault="00A56434" w:rsidP="00377664">
            <w:pPr>
              <w:spacing w:before="80" w:after="80" w:line="240" w:lineRule="atLeast"/>
              <w:rPr>
                <w:rFonts w:asciiTheme="minorHAnsi" w:hAnsiTheme="minorHAnsi" w:cstheme="minorHAnsi"/>
                <w:color w:val="auto"/>
                <w:sz w:val="20"/>
                <w:lang w:val="en-AU"/>
              </w:rPr>
            </w:pPr>
          </w:p>
        </w:tc>
      </w:tr>
    </w:tbl>
    <w:p w:rsidR="001A145B" w:rsidRPr="00377664" w:rsidRDefault="001A145B">
      <w:pPr>
        <w:rPr>
          <w:rFonts w:asciiTheme="minorHAnsi" w:hAnsiTheme="minorHAnsi" w:cstheme="minorHAnsi"/>
          <w:sz w:val="20"/>
        </w:rPr>
      </w:pPr>
    </w:p>
    <w:p w:rsidR="001A145B" w:rsidRPr="00377664" w:rsidRDefault="001A145B">
      <w:pPr>
        <w:spacing w:after="0" w:line="240" w:lineRule="auto"/>
        <w:rPr>
          <w:rFonts w:asciiTheme="minorHAnsi" w:hAnsiTheme="minorHAnsi" w:cstheme="minorHAnsi"/>
          <w:sz w:val="20"/>
        </w:rPr>
      </w:pPr>
      <w:r w:rsidRPr="00377664">
        <w:rPr>
          <w:rFonts w:asciiTheme="minorHAnsi" w:hAnsiTheme="minorHAnsi" w:cstheme="minorHAnsi"/>
          <w:sz w:val="20"/>
        </w:rPr>
        <w:br w:type="page"/>
      </w: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7"/>
        <w:gridCol w:w="6209"/>
        <w:gridCol w:w="7084"/>
      </w:tblGrid>
      <w:tr w:rsidR="00DD4347" w:rsidRPr="00377664" w:rsidTr="001A145B">
        <w:tc>
          <w:tcPr>
            <w:tcW w:w="607"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Pr="00377664">
              <w:rPr>
                <w:rFonts w:asciiTheme="minorHAnsi" w:hAnsiTheme="minorHAnsi" w:cstheme="minorHAnsi"/>
                <w:sz w:val="20"/>
              </w:rPr>
              <w:br w:type="page"/>
            </w:r>
            <w:r w:rsidRPr="00377664">
              <w:rPr>
                <w:rFonts w:asciiTheme="minorHAnsi" w:hAnsiTheme="minorHAnsi" w:cstheme="minorHAnsi"/>
                <w:b/>
                <w:color w:val="auto"/>
                <w:sz w:val="20"/>
                <w:lang w:val="en-AU"/>
              </w:rPr>
              <w:t>Topic</w:t>
            </w:r>
          </w:p>
        </w:tc>
        <w:tc>
          <w:tcPr>
            <w:tcW w:w="2052"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1" w:type="pct"/>
            <w:shd w:val="clear" w:color="auto" w:fill="C9C2D1"/>
          </w:tcPr>
          <w:p w:rsidR="00DD4347" w:rsidRPr="00377664" w:rsidRDefault="00020A45"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DD4347" w:rsidRPr="00377664" w:rsidTr="001A145B">
        <w:tc>
          <w:tcPr>
            <w:tcW w:w="607"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9. Accreditation of providers</w:t>
            </w:r>
          </w:p>
        </w:tc>
        <w:tc>
          <w:tcPr>
            <w:tcW w:w="2052" w:type="pct"/>
          </w:tcPr>
          <w:p w:rsidR="00DD4347" w:rsidRPr="00377664" w:rsidRDefault="00DD4347" w:rsidP="00E92862">
            <w:pPr>
              <w:spacing w:before="40" w:after="40" w:line="28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9.1</w:t>
            </w:r>
            <w:r w:rsidR="007D4AC9">
              <w:rPr>
                <w:rFonts w:asciiTheme="minorHAnsi" w:hAnsiTheme="minorHAnsi" w:cstheme="minorHAnsi"/>
                <w:color w:val="auto"/>
                <w:sz w:val="20"/>
                <w:lang w:val="en-AU"/>
              </w:rPr>
              <w:t>.</w:t>
            </w:r>
            <w:r w:rsidR="00377664" w:rsidRPr="00377664">
              <w:rPr>
                <w:rFonts w:asciiTheme="minorHAnsi" w:hAnsiTheme="minorHAnsi" w:cstheme="minorHAnsi"/>
                <w:color w:val="auto"/>
                <w:sz w:val="20"/>
                <w:lang w:val="en-AU"/>
              </w:rPr>
              <w:t xml:space="preserve"> </w:t>
            </w:r>
            <w:r w:rsidRPr="00377664">
              <w:rPr>
                <w:rFonts w:asciiTheme="minorHAnsi" w:hAnsiTheme="minorHAnsi" w:cstheme="minorHAnsi"/>
                <w:color w:val="auto"/>
                <w:sz w:val="20"/>
                <w:lang w:val="en-AU"/>
              </w:rPr>
              <w:t>The Panel concluded that establishing an accreditation scheme for providers would help ensure that services are delivered at or above a consistent standard of quality. The accreditation scheme would:</w:t>
            </w:r>
          </w:p>
          <w:p w:rsidR="00DD4347" w:rsidRPr="00377664" w:rsidRDefault="00DD4347" w:rsidP="00E92862">
            <w:pPr>
              <w:numPr>
                <w:ilvl w:val="0"/>
                <w:numId w:val="4"/>
              </w:numPr>
              <w:spacing w:before="40" w:after="40" w:line="28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involve independent accreditation of providers, based on an agreed set of industry standards for </w:t>
            </w:r>
            <w:proofErr w:type="spellStart"/>
            <w:r w:rsidRPr="00377664">
              <w:rPr>
                <w:rFonts w:asciiTheme="minorHAnsi" w:hAnsiTheme="minorHAnsi" w:cstheme="minorHAnsi"/>
                <w:color w:val="auto"/>
                <w:sz w:val="20"/>
                <w:lang w:val="en-AU"/>
              </w:rPr>
              <w:t>JSA</w:t>
            </w:r>
            <w:proofErr w:type="spellEnd"/>
            <w:r w:rsidRPr="00377664">
              <w:rPr>
                <w:rFonts w:asciiTheme="minorHAnsi" w:hAnsiTheme="minorHAnsi" w:cstheme="minorHAnsi"/>
                <w:color w:val="auto"/>
                <w:sz w:val="20"/>
                <w:lang w:val="en-AU"/>
              </w:rPr>
              <w:t xml:space="preserve"> and DES providers; and</w:t>
            </w:r>
          </w:p>
          <w:p w:rsidR="00DD4347" w:rsidRPr="00377664" w:rsidRDefault="00DD4347" w:rsidP="00E92862">
            <w:pPr>
              <w:numPr>
                <w:ilvl w:val="0"/>
                <w:numId w:val="4"/>
              </w:numPr>
              <w:spacing w:before="40" w:after="40" w:line="280" w:lineRule="atLeast"/>
              <w:rPr>
                <w:rFonts w:asciiTheme="minorHAnsi" w:hAnsiTheme="minorHAnsi" w:cstheme="minorHAnsi"/>
                <w:color w:val="auto"/>
                <w:sz w:val="20"/>
                <w:lang w:val="en-AU"/>
              </w:rPr>
            </w:pPr>
            <w:proofErr w:type="gramStart"/>
            <w:r w:rsidRPr="00377664">
              <w:rPr>
                <w:rFonts w:asciiTheme="minorHAnsi" w:hAnsiTheme="minorHAnsi" w:cstheme="minorHAnsi"/>
                <w:color w:val="auto"/>
                <w:sz w:val="20"/>
                <w:lang w:val="en-AU"/>
              </w:rPr>
              <w:t>require</w:t>
            </w:r>
            <w:proofErr w:type="gramEnd"/>
            <w:r w:rsidRPr="00377664">
              <w:rPr>
                <w:rFonts w:asciiTheme="minorHAnsi" w:hAnsiTheme="minorHAnsi" w:cstheme="minorHAnsi"/>
                <w:color w:val="auto"/>
                <w:sz w:val="20"/>
                <w:lang w:val="en-AU"/>
              </w:rPr>
              <w:t xml:space="preserve"> providers to establish appropriate internal assurance systems, and would be linked to the audit and assurance framework for the employment services model (discussed further below).</w:t>
            </w:r>
          </w:p>
          <w:p w:rsidR="00DD4347" w:rsidRPr="00377664" w:rsidRDefault="00DD4347" w:rsidP="00E92862">
            <w:pPr>
              <w:spacing w:before="40" w:after="40" w:line="28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The proposed industry standards would be developed by building upon existing standards (such as the Disability Service Standards), other relevant requirements (including </w:t>
            </w:r>
            <w:proofErr w:type="spellStart"/>
            <w:r w:rsidRPr="00377664">
              <w:rPr>
                <w:rFonts w:asciiTheme="minorHAnsi" w:hAnsiTheme="minorHAnsi" w:cstheme="minorHAnsi"/>
                <w:color w:val="auto"/>
                <w:sz w:val="20"/>
                <w:lang w:val="en-AU"/>
              </w:rPr>
              <w:t>ASIC</w:t>
            </w:r>
            <w:proofErr w:type="spellEnd"/>
            <w:r w:rsidRPr="00377664">
              <w:rPr>
                <w:rFonts w:asciiTheme="minorHAnsi" w:hAnsiTheme="minorHAnsi" w:cstheme="minorHAnsi"/>
                <w:color w:val="auto"/>
                <w:sz w:val="20"/>
                <w:lang w:val="en-AU"/>
              </w:rPr>
              <w:t xml:space="preserve"> requirements) and identifying and addressing gaps. DEEWR in consultation with industry would develop the standards.</w:t>
            </w:r>
          </w:p>
          <w:p w:rsidR="00DD4347" w:rsidRPr="00377664" w:rsidRDefault="00DD4347" w:rsidP="007D4AC9">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9.2</w:t>
            </w:r>
            <w:r w:rsidR="007D4AC9">
              <w:rPr>
                <w:rFonts w:asciiTheme="minorHAnsi" w:hAnsiTheme="minorHAnsi" w:cstheme="minorHAnsi"/>
                <w:color w:val="auto"/>
                <w:sz w:val="20"/>
                <w:lang w:val="en-AU"/>
              </w:rPr>
              <w:t xml:space="preserve">. </w:t>
            </w:r>
            <w:r w:rsidRPr="00377664">
              <w:rPr>
                <w:rFonts w:asciiTheme="minorHAnsi" w:hAnsiTheme="minorHAnsi" w:cstheme="minorHAnsi"/>
                <w:color w:val="auto"/>
                <w:sz w:val="20"/>
                <w:lang w:val="en-AU"/>
              </w:rPr>
              <w:t>The Panel notes the risk that an accreditation system would increase complexity and administrative burden. It is important, therefore, that the accreditation scheme would only be implemented if there were offsetting reductions in the compliance burden and red tape.</w:t>
            </w:r>
          </w:p>
        </w:tc>
        <w:tc>
          <w:tcPr>
            <w:tcW w:w="2341" w:type="pct"/>
          </w:tcPr>
          <w:p w:rsidR="00DD4347" w:rsidRPr="00377664" w:rsidRDefault="00377664"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9.1. </w:t>
            </w:r>
            <w:r w:rsidR="00DD4347" w:rsidRPr="00377664">
              <w:rPr>
                <w:rFonts w:asciiTheme="minorHAnsi" w:hAnsiTheme="minorHAnsi" w:cstheme="minorHAnsi"/>
                <w:color w:val="auto"/>
                <w:sz w:val="20"/>
                <w:lang w:val="en-AU"/>
              </w:rPr>
              <w:t>That the provider sector, with support from DEEWR, establish a new accreditation scheme to help assure the performance and capability of providers. The scheme would be based on new standards for the delivery of employment services and would be linked to the audit and assurance framework for providers and the red tape burden reduction agenda.</w:t>
            </w:r>
          </w:p>
        </w:tc>
      </w:tr>
      <w:tr w:rsidR="00A56434" w:rsidRPr="00377664" w:rsidTr="001A145B">
        <w:trPr>
          <w:trHeight w:val="2886"/>
        </w:trPr>
        <w:tc>
          <w:tcPr>
            <w:tcW w:w="5000" w:type="pct"/>
            <w:gridSpan w:val="3"/>
          </w:tcPr>
          <w:p w:rsidR="00A56434" w:rsidRPr="00377664" w:rsidRDefault="00A56434"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Feedback</w:t>
            </w:r>
          </w:p>
          <w:p w:rsidR="00A56434" w:rsidRPr="00377664" w:rsidRDefault="00A56434" w:rsidP="00377664">
            <w:pPr>
              <w:spacing w:before="80" w:after="80" w:line="240" w:lineRule="atLeast"/>
              <w:rPr>
                <w:rFonts w:asciiTheme="minorHAnsi" w:hAnsiTheme="minorHAnsi" w:cstheme="minorHAnsi"/>
                <w:color w:val="auto"/>
                <w:sz w:val="20"/>
                <w:lang w:val="en-AU"/>
              </w:rPr>
            </w:pPr>
          </w:p>
        </w:tc>
      </w:tr>
    </w:tbl>
    <w:p w:rsidR="00377664" w:rsidRPr="00377664" w:rsidRDefault="00377664">
      <w:pPr>
        <w:rPr>
          <w:rFonts w:asciiTheme="minorHAnsi" w:hAnsiTheme="minorHAnsi" w:cstheme="minorHAnsi"/>
          <w:sz w:val="20"/>
        </w:rPr>
      </w:pPr>
    </w:p>
    <w:p w:rsidR="00377664" w:rsidRPr="00377664" w:rsidRDefault="00377664">
      <w:pPr>
        <w:spacing w:after="0" w:line="240" w:lineRule="auto"/>
        <w:rPr>
          <w:rFonts w:asciiTheme="minorHAnsi" w:hAnsiTheme="minorHAnsi" w:cstheme="minorHAnsi"/>
          <w:sz w:val="20"/>
        </w:rPr>
      </w:pPr>
      <w:r w:rsidRPr="00377664">
        <w:rPr>
          <w:rFonts w:asciiTheme="minorHAnsi" w:hAnsiTheme="minorHAnsi" w:cstheme="minorHAnsi"/>
          <w:sz w:val="20"/>
        </w:rPr>
        <w:br w:type="page"/>
      </w: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7"/>
        <w:gridCol w:w="6209"/>
        <w:gridCol w:w="7084"/>
      </w:tblGrid>
      <w:tr w:rsidR="00DD4347" w:rsidRPr="00377664" w:rsidTr="00377664">
        <w:tc>
          <w:tcPr>
            <w:tcW w:w="607" w:type="pct"/>
            <w:shd w:val="clear" w:color="auto" w:fill="C9C2D1"/>
          </w:tcPr>
          <w:p w:rsidR="00DD4347" w:rsidRPr="00377664" w:rsidRDefault="00DD4347"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Pr="00377664">
              <w:rPr>
                <w:rFonts w:asciiTheme="minorHAnsi" w:hAnsiTheme="minorHAnsi" w:cstheme="minorHAnsi"/>
                <w:sz w:val="20"/>
              </w:rPr>
              <w:br w:type="page"/>
            </w:r>
            <w:r w:rsidRPr="00377664">
              <w:rPr>
                <w:rFonts w:asciiTheme="minorHAnsi" w:hAnsiTheme="minorHAnsi" w:cstheme="minorHAnsi"/>
                <w:b/>
                <w:color w:val="auto"/>
                <w:sz w:val="20"/>
                <w:lang w:val="en-AU"/>
              </w:rPr>
              <w:t>Topic</w:t>
            </w:r>
          </w:p>
        </w:tc>
        <w:tc>
          <w:tcPr>
            <w:tcW w:w="2052" w:type="pct"/>
            <w:shd w:val="clear" w:color="auto" w:fill="C9C2D1"/>
          </w:tcPr>
          <w:p w:rsidR="00DD4347" w:rsidRPr="00377664" w:rsidRDefault="00DD4347" w:rsidP="00F32B46">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1" w:type="pct"/>
            <w:shd w:val="clear" w:color="auto" w:fill="C9C2D1"/>
          </w:tcPr>
          <w:p w:rsidR="00DD4347" w:rsidRPr="00377664" w:rsidRDefault="00020A45" w:rsidP="00035F28">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DD4347" w:rsidRPr="00377664" w:rsidTr="00377664">
        <w:tc>
          <w:tcPr>
            <w:tcW w:w="607" w:type="pct"/>
          </w:tcPr>
          <w:p w:rsidR="00DD4347" w:rsidRPr="00377664" w:rsidRDefault="00DD4347"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10. Job Seeker Classification Instrument (</w:t>
            </w:r>
            <w:proofErr w:type="spellStart"/>
            <w:r w:rsidRPr="00377664">
              <w:rPr>
                <w:rFonts w:asciiTheme="minorHAnsi" w:hAnsiTheme="minorHAnsi" w:cstheme="minorHAnsi"/>
                <w:color w:val="auto"/>
                <w:sz w:val="20"/>
                <w:lang w:val="en-AU"/>
              </w:rPr>
              <w:t>JSCI</w:t>
            </w:r>
            <w:proofErr w:type="spellEnd"/>
            <w:r w:rsidRPr="00377664">
              <w:rPr>
                <w:rFonts w:asciiTheme="minorHAnsi" w:hAnsiTheme="minorHAnsi" w:cstheme="minorHAnsi"/>
                <w:color w:val="auto"/>
                <w:sz w:val="20"/>
                <w:lang w:val="en-AU"/>
              </w:rPr>
              <w:t>)</w:t>
            </w:r>
          </w:p>
        </w:tc>
        <w:tc>
          <w:tcPr>
            <w:tcW w:w="2052" w:type="pct"/>
          </w:tcPr>
          <w:p w:rsidR="00DD4347" w:rsidRPr="00377664" w:rsidRDefault="00377664" w:rsidP="00035F28">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10.1. </w:t>
            </w:r>
            <w:r w:rsidR="00DD4347" w:rsidRPr="00377664">
              <w:rPr>
                <w:rFonts w:asciiTheme="minorHAnsi" w:hAnsiTheme="minorHAnsi" w:cstheme="minorHAnsi"/>
                <w:color w:val="auto"/>
                <w:sz w:val="20"/>
                <w:lang w:val="en-AU"/>
              </w:rPr>
              <w:t xml:space="preserve">The </w:t>
            </w:r>
            <w:proofErr w:type="spellStart"/>
            <w:r w:rsidR="00DD4347" w:rsidRPr="00377664">
              <w:rPr>
                <w:rFonts w:asciiTheme="minorHAnsi" w:hAnsiTheme="minorHAnsi" w:cstheme="minorHAnsi"/>
                <w:color w:val="auto"/>
                <w:sz w:val="20"/>
                <w:lang w:val="en-AU"/>
              </w:rPr>
              <w:t>JSCI</w:t>
            </w:r>
            <w:proofErr w:type="spellEnd"/>
            <w:r w:rsidR="00DD4347" w:rsidRPr="00377664">
              <w:rPr>
                <w:rFonts w:asciiTheme="minorHAnsi" w:hAnsiTheme="minorHAnsi" w:cstheme="minorHAnsi"/>
                <w:color w:val="auto"/>
                <w:sz w:val="20"/>
                <w:lang w:val="en-AU"/>
              </w:rPr>
              <w:t xml:space="preserve"> serves multiple purposes for Centrelink, providers and DEEWR, with different expectations across the sector regarding the instrument’s value and how it is to be used. The Panel does not consider that providers should have the power to reclassify jobseekers across Streams in </w:t>
            </w:r>
            <w:proofErr w:type="spellStart"/>
            <w:r w:rsidR="00DD4347" w:rsidRPr="00377664">
              <w:rPr>
                <w:rFonts w:asciiTheme="minorHAnsi" w:hAnsiTheme="minorHAnsi" w:cstheme="minorHAnsi"/>
                <w:color w:val="auto"/>
                <w:sz w:val="20"/>
                <w:lang w:val="en-AU"/>
              </w:rPr>
              <w:t>JSA</w:t>
            </w:r>
            <w:proofErr w:type="spellEnd"/>
            <w:r w:rsidR="00DD4347" w:rsidRPr="00377664">
              <w:rPr>
                <w:rFonts w:asciiTheme="minorHAnsi" w:hAnsiTheme="minorHAnsi" w:cstheme="minorHAnsi"/>
                <w:color w:val="auto"/>
                <w:sz w:val="20"/>
                <w:lang w:val="en-AU"/>
              </w:rPr>
              <w:t xml:space="preserve">. The Panel notes that reducing the number of Streams, as proposed by the Panel, would help address concerns about the classification of jobseekers. The Panel further notes that more could be done to explain the </w:t>
            </w:r>
            <w:proofErr w:type="spellStart"/>
            <w:r w:rsidR="00DD4347" w:rsidRPr="00377664">
              <w:rPr>
                <w:rFonts w:asciiTheme="minorHAnsi" w:hAnsiTheme="minorHAnsi" w:cstheme="minorHAnsi"/>
                <w:color w:val="auto"/>
                <w:sz w:val="20"/>
                <w:lang w:val="en-AU"/>
              </w:rPr>
              <w:t>JSCI’s</w:t>
            </w:r>
            <w:proofErr w:type="spellEnd"/>
            <w:r w:rsidR="00DD4347" w:rsidRPr="00377664">
              <w:rPr>
                <w:rFonts w:asciiTheme="minorHAnsi" w:hAnsiTheme="minorHAnsi" w:cstheme="minorHAnsi"/>
                <w:color w:val="auto"/>
                <w:sz w:val="20"/>
                <w:lang w:val="en-AU"/>
              </w:rPr>
              <w:t xml:space="preserve"> purpose and utility to case workers.</w:t>
            </w:r>
          </w:p>
        </w:tc>
        <w:tc>
          <w:tcPr>
            <w:tcW w:w="2341" w:type="pct"/>
          </w:tcPr>
          <w:p w:rsidR="00DD4347" w:rsidRPr="00377664" w:rsidRDefault="00DD4347" w:rsidP="00035F28">
            <w:pPr>
              <w:tabs>
                <w:tab w:val="left" w:pos="1500"/>
              </w:tabs>
              <w:rPr>
                <w:rFonts w:asciiTheme="minorHAnsi" w:hAnsiTheme="minorHAnsi" w:cstheme="minorHAnsi"/>
                <w:sz w:val="20"/>
                <w:lang w:val="en-AU"/>
              </w:rPr>
            </w:pPr>
          </w:p>
        </w:tc>
      </w:tr>
      <w:tr w:rsidR="00A56434" w:rsidRPr="00377664" w:rsidTr="001A145B">
        <w:trPr>
          <w:trHeight w:val="6094"/>
        </w:trPr>
        <w:tc>
          <w:tcPr>
            <w:tcW w:w="5000" w:type="pct"/>
            <w:gridSpan w:val="3"/>
          </w:tcPr>
          <w:p w:rsidR="00A56434" w:rsidRPr="00377664" w:rsidRDefault="007204B6" w:rsidP="00035F28">
            <w:pPr>
              <w:spacing w:before="80" w:after="80" w:line="240" w:lineRule="atLeast"/>
              <w:rPr>
                <w:rFonts w:asciiTheme="minorHAnsi" w:hAnsiTheme="minorHAnsi" w:cstheme="minorHAnsi"/>
                <w:color w:val="auto"/>
                <w:sz w:val="20"/>
                <w:lang w:val="en-AU"/>
              </w:rPr>
            </w:pPr>
            <w:r w:rsidRPr="007204B6">
              <w:rPr>
                <w:rFonts w:asciiTheme="minorHAnsi" w:hAnsiTheme="minorHAnsi" w:cstheme="minorHAnsi"/>
                <w:color w:val="auto"/>
                <w:sz w:val="20"/>
                <w:lang w:val="en-AU"/>
              </w:rPr>
              <w:t>C</w:t>
            </w:r>
            <w:r w:rsidR="0063427D" w:rsidRPr="007204B6">
              <w:rPr>
                <w:rFonts w:asciiTheme="minorHAnsi" w:hAnsiTheme="minorHAnsi" w:cstheme="minorHAnsi"/>
                <w:color w:val="auto"/>
                <w:sz w:val="20"/>
                <w:lang w:val="en-AU"/>
              </w:rPr>
              <w:t>omments</w:t>
            </w:r>
            <w:r>
              <w:rPr>
                <w:rFonts w:asciiTheme="minorHAnsi" w:hAnsiTheme="minorHAnsi" w:cstheme="minorHAnsi"/>
                <w:color w:val="auto"/>
                <w:sz w:val="20"/>
                <w:highlight w:val="yellow"/>
                <w:lang w:val="en-AU"/>
              </w:rPr>
              <w:t xml:space="preserve"> </w:t>
            </w:r>
          </w:p>
          <w:p w:rsidR="00A56434" w:rsidRPr="00377664" w:rsidRDefault="00A56434" w:rsidP="00035F28">
            <w:pPr>
              <w:spacing w:before="80" w:after="80" w:line="240" w:lineRule="atLeast"/>
              <w:rPr>
                <w:rFonts w:asciiTheme="minorHAnsi" w:hAnsiTheme="minorHAnsi" w:cstheme="minorHAnsi"/>
                <w:color w:val="auto"/>
                <w:sz w:val="20"/>
                <w:lang w:val="en-AU"/>
              </w:rPr>
            </w:pPr>
          </w:p>
        </w:tc>
      </w:tr>
    </w:tbl>
    <w:p w:rsidR="001A145B" w:rsidRPr="00377664" w:rsidRDefault="001A145B">
      <w:pPr>
        <w:rPr>
          <w:rFonts w:asciiTheme="minorHAnsi" w:hAnsiTheme="minorHAnsi" w:cstheme="minorHAnsi"/>
          <w:sz w:val="20"/>
        </w:rPr>
      </w:pP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7"/>
        <w:gridCol w:w="6209"/>
        <w:gridCol w:w="7084"/>
      </w:tblGrid>
      <w:tr w:rsidR="00CC55CF" w:rsidRPr="00377664" w:rsidTr="0063427D">
        <w:tc>
          <w:tcPr>
            <w:tcW w:w="607" w:type="pct"/>
            <w:shd w:val="clear" w:color="auto" w:fill="C9C2D1"/>
          </w:tcPr>
          <w:p w:rsidR="00CC55CF" w:rsidRPr="00377664" w:rsidRDefault="001A145B" w:rsidP="0063427D">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00CC55CF" w:rsidRPr="00377664">
              <w:rPr>
                <w:rFonts w:asciiTheme="minorHAnsi" w:hAnsiTheme="minorHAnsi" w:cstheme="minorHAnsi"/>
                <w:sz w:val="20"/>
              </w:rPr>
              <w:br w:type="page"/>
            </w:r>
            <w:r w:rsidR="00CC55CF" w:rsidRPr="00377664">
              <w:rPr>
                <w:rFonts w:asciiTheme="minorHAnsi" w:hAnsiTheme="minorHAnsi" w:cstheme="minorHAnsi"/>
                <w:sz w:val="20"/>
              </w:rPr>
              <w:br w:type="page"/>
            </w:r>
            <w:r w:rsidR="00CC55CF" w:rsidRPr="00377664">
              <w:rPr>
                <w:rFonts w:asciiTheme="minorHAnsi" w:hAnsiTheme="minorHAnsi" w:cstheme="minorHAnsi"/>
                <w:b/>
                <w:color w:val="auto"/>
                <w:sz w:val="20"/>
                <w:lang w:val="en-AU"/>
              </w:rPr>
              <w:t>Topic</w:t>
            </w:r>
          </w:p>
        </w:tc>
        <w:tc>
          <w:tcPr>
            <w:tcW w:w="2052" w:type="pct"/>
            <w:shd w:val="clear" w:color="auto" w:fill="C9C2D1"/>
          </w:tcPr>
          <w:p w:rsidR="00CC55CF" w:rsidRPr="00377664" w:rsidRDefault="00CC55CF" w:rsidP="0063427D">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1" w:type="pct"/>
            <w:shd w:val="clear" w:color="auto" w:fill="C9C2D1"/>
          </w:tcPr>
          <w:p w:rsidR="00CC55CF" w:rsidRPr="00377664" w:rsidRDefault="00CC55CF" w:rsidP="0063427D">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CC55CF" w:rsidRPr="00377664" w:rsidTr="0063427D">
        <w:tc>
          <w:tcPr>
            <w:tcW w:w="607" w:type="pct"/>
          </w:tcPr>
          <w:p w:rsidR="00CC55CF" w:rsidRPr="00377664" w:rsidRDefault="00CC55CF" w:rsidP="00CC55CF">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11. A new risk-based assurance framework</w:t>
            </w:r>
          </w:p>
        </w:tc>
        <w:tc>
          <w:tcPr>
            <w:tcW w:w="2052" w:type="pct"/>
          </w:tcPr>
          <w:p w:rsidR="00CC55CF" w:rsidRPr="00377664" w:rsidRDefault="00CC55CF" w:rsidP="00CC55CF">
            <w:pPr>
              <w:spacing w:before="40" w:after="40" w:line="28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11.1. Various arrangements are currently in place to provide assurance about the performance and compliance of providers. This includes audits of providers’ adherence to their contractual obligations. The Panel concluded that a new assurance framework is required for the Programs. The new framework would:</w:t>
            </w:r>
          </w:p>
          <w:p w:rsidR="00CC55CF" w:rsidRPr="00377664" w:rsidRDefault="00CC55CF" w:rsidP="00CC55CF">
            <w:pPr>
              <w:numPr>
                <w:ilvl w:val="0"/>
                <w:numId w:val="4"/>
              </w:numPr>
              <w:spacing w:before="40" w:after="40" w:line="280" w:lineRule="atLeast"/>
              <w:rPr>
                <w:rFonts w:asciiTheme="minorHAnsi" w:hAnsiTheme="minorHAnsi" w:cstheme="minorHAnsi"/>
                <w:color w:val="auto"/>
                <w:sz w:val="20"/>
                <w:lang w:val="en-AU"/>
              </w:rPr>
            </w:pPr>
            <w:proofErr w:type="gramStart"/>
            <w:r w:rsidRPr="00377664">
              <w:rPr>
                <w:rFonts w:asciiTheme="minorHAnsi" w:hAnsiTheme="minorHAnsi" w:cstheme="minorHAnsi"/>
                <w:color w:val="auto"/>
                <w:sz w:val="20"/>
                <w:lang w:val="en-AU"/>
              </w:rPr>
              <w:t>involve</w:t>
            </w:r>
            <w:proofErr w:type="gramEnd"/>
            <w:r w:rsidRPr="00377664">
              <w:rPr>
                <w:rFonts w:asciiTheme="minorHAnsi" w:hAnsiTheme="minorHAnsi" w:cstheme="minorHAnsi"/>
                <w:color w:val="auto"/>
                <w:sz w:val="20"/>
                <w:lang w:val="en-AU"/>
              </w:rPr>
              <w:t xml:space="preserve"> a more risk-based approach, including better targeting of the audit program, with more frequent and extensive audits of providers that lack a positive track record of performance, compliance and honesty. For providers whose program delivery outcomes and administration were found to be of a consistently high standard, audits could be less frequent, of narrower scope, or targeted at internal systems rather than transactions;</w:t>
            </w:r>
          </w:p>
          <w:p w:rsidR="00CC55CF" w:rsidRPr="00377664" w:rsidRDefault="00CC55CF" w:rsidP="00CC55CF">
            <w:pPr>
              <w:numPr>
                <w:ilvl w:val="0"/>
                <w:numId w:val="4"/>
              </w:numPr>
              <w:spacing w:before="40" w:after="40" w:line="280" w:lineRule="atLeast"/>
              <w:rPr>
                <w:rFonts w:asciiTheme="minorHAnsi" w:hAnsiTheme="minorHAnsi" w:cstheme="minorHAnsi"/>
                <w:color w:val="auto"/>
                <w:sz w:val="20"/>
                <w:lang w:val="en-AU"/>
              </w:rPr>
            </w:pPr>
            <w:proofErr w:type="gramStart"/>
            <w:r w:rsidRPr="00377664">
              <w:rPr>
                <w:rFonts w:asciiTheme="minorHAnsi" w:hAnsiTheme="minorHAnsi" w:cstheme="minorHAnsi"/>
                <w:color w:val="auto"/>
                <w:sz w:val="20"/>
                <w:lang w:val="en-AU"/>
              </w:rPr>
              <w:t>have</w:t>
            </w:r>
            <w:proofErr w:type="gramEnd"/>
            <w:r w:rsidRPr="00377664">
              <w:rPr>
                <w:rFonts w:asciiTheme="minorHAnsi" w:hAnsiTheme="minorHAnsi" w:cstheme="minorHAnsi"/>
                <w:color w:val="auto"/>
                <w:sz w:val="20"/>
                <w:lang w:val="en-AU"/>
              </w:rPr>
              <w:t xml:space="preserve"> regard to providers’ own audit arrangements (including the use of independent auditors) and internal systems (including the quality of corporate governance) as potential sources of assurance about the providers’ compliance and performance. For example, providers with robust and independent assurance arrangements in place could be subject to more light handed oversight, such as less frequent audits;</w:t>
            </w:r>
          </w:p>
          <w:p w:rsidR="00CC55CF" w:rsidRPr="00377664" w:rsidRDefault="00CC55CF" w:rsidP="00CC55CF">
            <w:pPr>
              <w:numPr>
                <w:ilvl w:val="0"/>
                <w:numId w:val="4"/>
              </w:numPr>
              <w:spacing w:before="40" w:after="40" w:line="28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review providers’ performance against the proposed industry standards; and</w:t>
            </w:r>
          </w:p>
          <w:p w:rsidR="00CC55CF" w:rsidRPr="00377664" w:rsidRDefault="00CC55CF" w:rsidP="00CC55CF">
            <w:pPr>
              <w:numPr>
                <w:ilvl w:val="0"/>
                <w:numId w:val="4"/>
              </w:numPr>
              <w:spacing w:before="40" w:after="40" w:line="280" w:lineRule="atLeast"/>
              <w:rPr>
                <w:rFonts w:asciiTheme="minorHAnsi" w:hAnsiTheme="minorHAnsi" w:cstheme="minorHAnsi"/>
                <w:color w:val="auto"/>
                <w:sz w:val="20"/>
                <w:lang w:val="en-AU"/>
              </w:rPr>
            </w:pPr>
            <w:proofErr w:type="gramStart"/>
            <w:r w:rsidRPr="00377664">
              <w:rPr>
                <w:rFonts w:asciiTheme="minorHAnsi" w:hAnsiTheme="minorHAnsi" w:cstheme="minorHAnsi"/>
                <w:color w:val="auto"/>
                <w:sz w:val="20"/>
                <w:lang w:val="en-AU"/>
              </w:rPr>
              <w:t>in</w:t>
            </w:r>
            <w:proofErr w:type="gramEnd"/>
            <w:r w:rsidRPr="00377664">
              <w:rPr>
                <w:rFonts w:asciiTheme="minorHAnsi" w:hAnsiTheme="minorHAnsi" w:cstheme="minorHAnsi"/>
                <w:color w:val="auto"/>
                <w:sz w:val="20"/>
                <w:lang w:val="en-AU"/>
              </w:rPr>
              <w:t xml:space="preserve"> the longer term, potentially allow application of the ‘Star Rating’ system to become less frequent, and, ultimately, unnecessary.</w:t>
            </w:r>
          </w:p>
          <w:p w:rsidR="00CC55CF" w:rsidRPr="00377664" w:rsidRDefault="00CC55CF" w:rsidP="0053494D">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 xml:space="preserve">Further details of the proposed risk-based framework are provided in </w:t>
            </w:r>
            <w:r w:rsidRPr="00DD2694">
              <w:rPr>
                <w:rFonts w:asciiTheme="minorHAnsi" w:hAnsiTheme="minorHAnsi" w:cstheme="minorHAnsi"/>
                <w:color w:val="auto"/>
                <w:sz w:val="20"/>
                <w:lang w:val="en-AU"/>
              </w:rPr>
              <w:t>Appendix 3</w:t>
            </w:r>
            <w:r w:rsidRPr="0053494D">
              <w:rPr>
                <w:rFonts w:asciiTheme="minorHAnsi" w:hAnsiTheme="minorHAnsi" w:cstheme="minorHAnsi"/>
                <w:color w:val="auto"/>
                <w:sz w:val="20"/>
                <w:lang w:val="en-AU"/>
              </w:rPr>
              <w:t>.</w:t>
            </w:r>
            <w:r w:rsidR="0063427D" w:rsidRPr="0053494D">
              <w:rPr>
                <w:rFonts w:asciiTheme="minorHAnsi" w:hAnsiTheme="minorHAnsi" w:cstheme="minorHAnsi"/>
                <w:color w:val="auto"/>
                <w:sz w:val="20"/>
                <w:lang w:val="en-AU"/>
              </w:rPr>
              <w:t xml:space="preserve"> </w:t>
            </w:r>
          </w:p>
        </w:tc>
        <w:tc>
          <w:tcPr>
            <w:tcW w:w="2341" w:type="pct"/>
          </w:tcPr>
          <w:p w:rsidR="00CC55CF" w:rsidRPr="00377664" w:rsidRDefault="00CC55CF" w:rsidP="00CC55CF">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11.1. That DEEWR implement the Panel’s proposed risk-based assurance framework, as detailed in this report. The framework features a more risk-based approach to the scheduling and conduct of audits. This would involve random audits for providers, plus targeted and more frequent audits for higher risk providers, such as those with a poor track record of compliance and performance, and potentially narrower and less frequent audits for providers whose program delivery outcomes, governance and administration are of a consistently high standard.</w:t>
            </w:r>
          </w:p>
        </w:tc>
      </w:tr>
      <w:tr w:rsidR="00CC55CF" w:rsidRPr="00377664" w:rsidTr="00CC55CF">
        <w:trPr>
          <w:trHeight w:val="8638"/>
        </w:trPr>
        <w:tc>
          <w:tcPr>
            <w:tcW w:w="5000" w:type="pct"/>
            <w:gridSpan w:val="3"/>
          </w:tcPr>
          <w:p w:rsidR="00CC55CF" w:rsidRPr="00377664" w:rsidRDefault="00CC55CF" w:rsidP="0063427D">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Feedback</w:t>
            </w:r>
          </w:p>
          <w:p w:rsidR="00CC55CF" w:rsidRPr="00377664" w:rsidRDefault="00CC55CF" w:rsidP="0063427D">
            <w:pPr>
              <w:spacing w:before="80" w:after="80" w:line="240" w:lineRule="atLeast"/>
              <w:rPr>
                <w:rFonts w:asciiTheme="minorHAnsi" w:hAnsiTheme="minorHAnsi" w:cstheme="minorHAnsi"/>
                <w:color w:val="auto"/>
                <w:sz w:val="20"/>
                <w:lang w:val="en-AU"/>
              </w:rPr>
            </w:pPr>
          </w:p>
        </w:tc>
      </w:tr>
    </w:tbl>
    <w:p w:rsidR="00CC55CF" w:rsidRDefault="00CC55CF">
      <w:pPr>
        <w:spacing w:after="0" w:line="240" w:lineRule="auto"/>
        <w:rPr>
          <w:rFonts w:asciiTheme="minorHAnsi" w:hAnsiTheme="minorHAnsi" w:cstheme="minorHAnsi"/>
          <w:sz w:val="20"/>
        </w:rPr>
      </w:pPr>
    </w:p>
    <w:p w:rsidR="00CC55CF" w:rsidRDefault="00CC55CF">
      <w:pPr>
        <w:spacing w:after="0" w:line="240" w:lineRule="auto"/>
        <w:rPr>
          <w:rFonts w:asciiTheme="minorHAnsi" w:hAnsiTheme="minorHAnsi" w:cstheme="minorHAnsi"/>
          <w:sz w:val="20"/>
        </w:rPr>
      </w:pPr>
      <w:r>
        <w:rPr>
          <w:rFonts w:asciiTheme="minorHAnsi" w:hAnsiTheme="minorHAnsi" w:cstheme="minorHAnsi"/>
          <w:sz w:val="20"/>
        </w:rPr>
        <w:br w:type="page"/>
      </w:r>
    </w:p>
    <w:p w:rsidR="00CC55CF" w:rsidRDefault="00CC55CF">
      <w:pPr>
        <w:spacing w:after="0" w:line="240" w:lineRule="auto"/>
        <w:rPr>
          <w:rFonts w:asciiTheme="minorHAnsi" w:hAnsiTheme="minorHAnsi" w:cstheme="minorHAnsi"/>
          <w:sz w:val="20"/>
        </w:rPr>
      </w:pPr>
    </w:p>
    <w:tbl>
      <w:tblPr>
        <w:tblpPr w:leftFromText="180" w:rightFromText="180" w:vertAnchor="text" w:horzAnchor="margin" w:tblpY="-74"/>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7"/>
        <w:gridCol w:w="6209"/>
        <w:gridCol w:w="7084"/>
      </w:tblGrid>
      <w:tr w:rsidR="00CC55CF" w:rsidRPr="00377664" w:rsidTr="00CC55CF">
        <w:tc>
          <w:tcPr>
            <w:tcW w:w="607" w:type="pct"/>
            <w:shd w:val="clear" w:color="auto" w:fill="C9C2D1"/>
          </w:tcPr>
          <w:p w:rsidR="00CC55CF" w:rsidRPr="00377664" w:rsidRDefault="00CC55CF" w:rsidP="00CC55CF">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sz w:val="20"/>
              </w:rPr>
              <w:br w:type="page"/>
            </w:r>
            <w:r w:rsidRPr="00377664">
              <w:rPr>
                <w:rFonts w:asciiTheme="minorHAnsi" w:hAnsiTheme="minorHAnsi" w:cstheme="minorHAnsi"/>
                <w:sz w:val="20"/>
              </w:rPr>
              <w:br w:type="page"/>
            </w:r>
            <w:r w:rsidRPr="00377664">
              <w:rPr>
                <w:rFonts w:asciiTheme="minorHAnsi" w:hAnsiTheme="minorHAnsi" w:cstheme="minorHAnsi"/>
                <w:b/>
                <w:color w:val="auto"/>
                <w:sz w:val="20"/>
                <w:lang w:val="en-AU"/>
              </w:rPr>
              <w:t>Topic</w:t>
            </w:r>
          </w:p>
        </w:tc>
        <w:tc>
          <w:tcPr>
            <w:tcW w:w="2052" w:type="pct"/>
            <w:shd w:val="clear" w:color="auto" w:fill="C9C2D1"/>
          </w:tcPr>
          <w:p w:rsidR="00CC55CF" w:rsidRPr="00377664" w:rsidRDefault="00CC55CF" w:rsidP="00CC55CF">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Findings</w:t>
            </w:r>
          </w:p>
        </w:tc>
        <w:tc>
          <w:tcPr>
            <w:tcW w:w="2341" w:type="pct"/>
            <w:shd w:val="clear" w:color="auto" w:fill="C9C2D1"/>
          </w:tcPr>
          <w:p w:rsidR="00CC55CF" w:rsidRPr="00377664" w:rsidRDefault="00CC55CF" w:rsidP="00CC55CF">
            <w:pPr>
              <w:keepNext/>
              <w:spacing w:before="80" w:after="80" w:line="240" w:lineRule="atLeast"/>
              <w:rPr>
                <w:rFonts w:asciiTheme="minorHAnsi" w:hAnsiTheme="minorHAnsi" w:cstheme="minorHAnsi"/>
                <w:b/>
                <w:color w:val="auto"/>
                <w:sz w:val="20"/>
                <w:lang w:val="en-AU"/>
              </w:rPr>
            </w:pPr>
            <w:r w:rsidRPr="00377664">
              <w:rPr>
                <w:rFonts w:asciiTheme="minorHAnsi" w:hAnsiTheme="minorHAnsi" w:cstheme="minorHAnsi"/>
                <w:b/>
                <w:color w:val="auto"/>
                <w:sz w:val="20"/>
                <w:lang w:val="en-AU"/>
              </w:rPr>
              <w:t xml:space="preserve">Recommendations </w:t>
            </w:r>
          </w:p>
        </w:tc>
      </w:tr>
      <w:tr w:rsidR="00CC55CF" w:rsidRPr="00377664" w:rsidTr="00CC55CF">
        <w:tc>
          <w:tcPr>
            <w:tcW w:w="607" w:type="pct"/>
          </w:tcPr>
          <w:p w:rsidR="00CC55CF" w:rsidRPr="00377664" w:rsidRDefault="00CC55CF" w:rsidP="00CC55CF">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12. Implementation of the Panel’s recommendations</w:t>
            </w:r>
          </w:p>
        </w:tc>
        <w:tc>
          <w:tcPr>
            <w:tcW w:w="2052" w:type="pct"/>
          </w:tcPr>
          <w:p w:rsidR="00CC55CF" w:rsidRPr="00377664" w:rsidRDefault="0063427D" w:rsidP="00CC55CF">
            <w:pPr>
              <w:spacing w:before="80" w:after="80" w:line="240" w:lineRule="atLeast"/>
              <w:rPr>
                <w:rFonts w:asciiTheme="minorHAnsi" w:hAnsiTheme="minorHAnsi" w:cstheme="minorHAnsi"/>
                <w:color w:val="auto"/>
                <w:sz w:val="20"/>
                <w:lang w:val="en-AU"/>
              </w:rPr>
            </w:pPr>
            <w:proofErr w:type="gramStart"/>
            <w:r>
              <w:rPr>
                <w:rFonts w:asciiTheme="minorHAnsi" w:hAnsiTheme="minorHAnsi" w:cstheme="minorHAnsi"/>
                <w:color w:val="auto"/>
                <w:sz w:val="20"/>
                <w:lang w:val="en-AU"/>
              </w:rPr>
              <w:t xml:space="preserve">12.1 </w:t>
            </w:r>
            <w:r w:rsidR="00CC55CF" w:rsidRPr="00377664">
              <w:rPr>
                <w:rFonts w:asciiTheme="minorHAnsi" w:hAnsiTheme="minorHAnsi" w:cstheme="minorHAnsi"/>
                <w:color w:val="auto"/>
                <w:sz w:val="20"/>
                <w:lang w:val="en-AU"/>
              </w:rPr>
              <w:t xml:space="preserve"> The</w:t>
            </w:r>
            <w:proofErr w:type="gramEnd"/>
            <w:r w:rsidR="00CC55CF" w:rsidRPr="00377664">
              <w:rPr>
                <w:rFonts w:asciiTheme="minorHAnsi" w:hAnsiTheme="minorHAnsi" w:cstheme="minorHAnsi"/>
                <w:color w:val="auto"/>
                <w:sz w:val="20"/>
                <w:lang w:val="en-AU"/>
              </w:rPr>
              <w:t xml:space="preserve"> Panel’s recommendations in relation to contract length, simplifying the </w:t>
            </w:r>
            <w:proofErr w:type="spellStart"/>
            <w:r w:rsidR="00CC55CF" w:rsidRPr="00377664">
              <w:rPr>
                <w:rFonts w:asciiTheme="minorHAnsi" w:hAnsiTheme="minorHAnsi" w:cstheme="minorHAnsi"/>
                <w:color w:val="auto"/>
                <w:sz w:val="20"/>
                <w:lang w:val="en-AU"/>
              </w:rPr>
              <w:t>JSA</w:t>
            </w:r>
            <w:proofErr w:type="spellEnd"/>
            <w:r w:rsidR="00CC55CF" w:rsidRPr="00377664">
              <w:rPr>
                <w:rFonts w:asciiTheme="minorHAnsi" w:hAnsiTheme="minorHAnsi" w:cstheme="minorHAnsi"/>
                <w:color w:val="auto"/>
                <w:sz w:val="20"/>
                <w:lang w:val="en-AU"/>
              </w:rPr>
              <w:t xml:space="preserve"> Streams, the risk-based assurance framework, and Provider Assisted and Provider Brokered Outcomes, are intended for implementation for the 2015 contract period.</w:t>
            </w:r>
          </w:p>
        </w:tc>
        <w:tc>
          <w:tcPr>
            <w:tcW w:w="2341" w:type="pct"/>
          </w:tcPr>
          <w:p w:rsidR="00CC55CF" w:rsidRPr="00377664" w:rsidRDefault="00CC55CF" w:rsidP="00CC55CF">
            <w:pPr>
              <w:rPr>
                <w:rFonts w:asciiTheme="minorHAnsi" w:hAnsiTheme="minorHAnsi" w:cstheme="minorHAnsi"/>
                <w:sz w:val="20"/>
                <w:lang w:val="en-AU"/>
              </w:rPr>
            </w:pPr>
            <w:r w:rsidRPr="00377664">
              <w:rPr>
                <w:rFonts w:asciiTheme="minorHAnsi" w:hAnsiTheme="minorHAnsi" w:cstheme="minorHAnsi"/>
                <w:color w:val="auto"/>
                <w:sz w:val="20"/>
                <w:lang w:val="en-AU"/>
              </w:rPr>
              <w:t>12.1. That the Panel’s recommendations be implemented according to the timeline set out in the report, with suitable arrangements in place for implementation planning; DEEWR-led consultation with jobseekers and employers occurring during 2012; and reporting of progress in implementing the recommendations.</w:t>
            </w:r>
          </w:p>
          <w:p w:rsidR="00CC55CF" w:rsidRPr="00377664" w:rsidRDefault="00CC55CF" w:rsidP="00CC55CF">
            <w:pPr>
              <w:jc w:val="center"/>
              <w:rPr>
                <w:rFonts w:asciiTheme="minorHAnsi" w:hAnsiTheme="minorHAnsi" w:cstheme="minorHAnsi"/>
                <w:sz w:val="20"/>
                <w:lang w:val="en-AU"/>
              </w:rPr>
            </w:pPr>
          </w:p>
        </w:tc>
      </w:tr>
      <w:tr w:rsidR="00CC55CF" w:rsidRPr="00377664" w:rsidTr="00A32947">
        <w:trPr>
          <w:trHeight w:val="6285"/>
        </w:trPr>
        <w:tc>
          <w:tcPr>
            <w:tcW w:w="5000" w:type="pct"/>
            <w:gridSpan w:val="3"/>
          </w:tcPr>
          <w:p w:rsidR="00CC55CF" w:rsidRPr="00377664" w:rsidRDefault="00CC55CF" w:rsidP="00CC55CF">
            <w:pPr>
              <w:spacing w:before="80" w:after="80" w:line="240" w:lineRule="atLeast"/>
              <w:rPr>
                <w:rFonts w:asciiTheme="minorHAnsi" w:hAnsiTheme="minorHAnsi" w:cstheme="minorHAnsi"/>
                <w:color w:val="auto"/>
                <w:sz w:val="20"/>
                <w:lang w:val="en-AU"/>
              </w:rPr>
            </w:pPr>
            <w:r w:rsidRPr="00377664">
              <w:rPr>
                <w:rFonts w:asciiTheme="minorHAnsi" w:hAnsiTheme="minorHAnsi" w:cstheme="minorHAnsi"/>
                <w:color w:val="auto"/>
                <w:sz w:val="20"/>
                <w:lang w:val="en-AU"/>
              </w:rPr>
              <w:t>Feedback</w:t>
            </w:r>
          </w:p>
          <w:p w:rsidR="00CC55CF" w:rsidRPr="00377664" w:rsidRDefault="00CC55CF" w:rsidP="00CC55CF">
            <w:pPr>
              <w:spacing w:before="80" w:after="80" w:line="240" w:lineRule="atLeast"/>
              <w:rPr>
                <w:rFonts w:asciiTheme="minorHAnsi" w:hAnsiTheme="minorHAnsi" w:cstheme="minorHAnsi"/>
                <w:color w:val="auto"/>
                <w:sz w:val="20"/>
                <w:lang w:val="en-AU"/>
              </w:rPr>
            </w:pPr>
          </w:p>
        </w:tc>
      </w:tr>
    </w:tbl>
    <w:p w:rsidR="00CC55CF" w:rsidRDefault="00CC55CF" w:rsidP="00CC55CF">
      <w:pPr>
        <w:spacing w:after="0" w:line="240" w:lineRule="auto"/>
        <w:rPr>
          <w:rFonts w:asciiTheme="minorHAnsi" w:hAnsiTheme="minorHAnsi" w:cstheme="minorHAnsi"/>
          <w:sz w:val="20"/>
        </w:rPr>
      </w:pPr>
    </w:p>
    <w:sectPr w:rsidR="00CC55CF" w:rsidSect="00262803">
      <w:headerReference w:type="default" r:id="rId11"/>
      <w:footerReference w:type="default" r:id="rId12"/>
      <w:pgSz w:w="16838" w:h="11906" w:orient="landscape"/>
      <w:pgMar w:top="720" w:right="720" w:bottom="720" w:left="72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F87" w:rsidRDefault="00422F87" w:rsidP="00E87130">
      <w:pPr>
        <w:spacing w:after="0" w:line="240" w:lineRule="auto"/>
      </w:pPr>
      <w:r>
        <w:separator/>
      </w:r>
    </w:p>
  </w:endnote>
  <w:endnote w:type="continuationSeparator" w:id="0">
    <w:p w:rsidR="00422F87" w:rsidRDefault="00422F87" w:rsidP="00E87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4B6" w:rsidRDefault="007204B6">
    <w:pPr>
      <w:pStyle w:val="Footer"/>
    </w:pPr>
    <w:r>
      <w:t xml:space="preserve">Page | </w:t>
    </w:r>
    <w:fldSimple w:instr=" PAGE   \* MERGEFORMAT ">
      <w:r w:rsidR="008455A2">
        <w:rPr>
          <w:noProof/>
        </w:rPr>
        <w:t>1</w:t>
      </w:r>
    </w:fldSimple>
  </w:p>
  <w:p w:rsidR="007204B6" w:rsidRDefault="007204B6" w:rsidP="006C670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F87" w:rsidRDefault="00422F87" w:rsidP="00E87130">
      <w:pPr>
        <w:spacing w:after="0" w:line="240" w:lineRule="auto"/>
      </w:pPr>
      <w:r>
        <w:separator/>
      </w:r>
    </w:p>
  </w:footnote>
  <w:footnote w:type="continuationSeparator" w:id="0">
    <w:p w:rsidR="00422F87" w:rsidRDefault="00422F87" w:rsidP="00E871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4B6" w:rsidRDefault="007204B6" w:rsidP="00E87130">
    <w:pPr>
      <w:pStyle w:val="Header"/>
      <w:jc w:val="center"/>
      <w:rPr>
        <w:b/>
      </w:rPr>
    </w:pPr>
    <w:r>
      <w:rPr>
        <w:b/>
      </w:rPr>
      <w:t xml:space="preserve">Advisory Panel on Employment Services Administration and Accountability – Final Report Feedback  </w:t>
    </w:r>
  </w:p>
  <w:p w:rsidR="007204B6" w:rsidRPr="00E87130" w:rsidRDefault="007204B6" w:rsidP="00E87130">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1CA"/>
    <w:multiLevelType w:val="hybridMultilevel"/>
    <w:tmpl w:val="6B540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F11D65"/>
    <w:multiLevelType w:val="hybridMultilevel"/>
    <w:tmpl w:val="E2FA354C"/>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nsid w:val="16091874"/>
    <w:multiLevelType w:val="hybridMultilevel"/>
    <w:tmpl w:val="99F02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A4B06EC"/>
    <w:multiLevelType w:val="hybridMultilevel"/>
    <w:tmpl w:val="3B14CAD0"/>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63B6C"/>
    <w:rsid w:val="00006C30"/>
    <w:rsid w:val="00020A45"/>
    <w:rsid w:val="00020CB3"/>
    <w:rsid w:val="00035F28"/>
    <w:rsid w:val="00043AC2"/>
    <w:rsid w:val="000453F8"/>
    <w:rsid w:val="00046192"/>
    <w:rsid w:val="00046C45"/>
    <w:rsid w:val="00066DC2"/>
    <w:rsid w:val="00092CF0"/>
    <w:rsid w:val="000A23F2"/>
    <w:rsid w:val="000A7AF1"/>
    <w:rsid w:val="000B5E73"/>
    <w:rsid w:val="000C1A36"/>
    <w:rsid w:val="000F72A4"/>
    <w:rsid w:val="0010041A"/>
    <w:rsid w:val="00105221"/>
    <w:rsid w:val="00141DA3"/>
    <w:rsid w:val="00146549"/>
    <w:rsid w:val="00152B51"/>
    <w:rsid w:val="00162660"/>
    <w:rsid w:val="00163833"/>
    <w:rsid w:val="00163BD6"/>
    <w:rsid w:val="00175366"/>
    <w:rsid w:val="00177BE0"/>
    <w:rsid w:val="00183559"/>
    <w:rsid w:val="001835ED"/>
    <w:rsid w:val="001934AE"/>
    <w:rsid w:val="00196D3B"/>
    <w:rsid w:val="001A145B"/>
    <w:rsid w:val="001B2A26"/>
    <w:rsid w:val="001B7BC3"/>
    <w:rsid w:val="001F6D78"/>
    <w:rsid w:val="001F75A1"/>
    <w:rsid w:val="00201D1A"/>
    <w:rsid w:val="002070D6"/>
    <w:rsid w:val="00224D51"/>
    <w:rsid w:val="00231684"/>
    <w:rsid w:val="00233898"/>
    <w:rsid w:val="0024461A"/>
    <w:rsid w:val="00262803"/>
    <w:rsid w:val="00274609"/>
    <w:rsid w:val="00281C3F"/>
    <w:rsid w:val="002910D3"/>
    <w:rsid w:val="00291694"/>
    <w:rsid w:val="00295923"/>
    <w:rsid w:val="002A47DD"/>
    <w:rsid w:val="002B0FCD"/>
    <w:rsid w:val="002C328E"/>
    <w:rsid w:val="002C4766"/>
    <w:rsid w:val="002C7E9B"/>
    <w:rsid w:val="00302DDA"/>
    <w:rsid w:val="0030315F"/>
    <w:rsid w:val="00305D1A"/>
    <w:rsid w:val="003060BF"/>
    <w:rsid w:val="00306FE8"/>
    <w:rsid w:val="003079BC"/>
    <w:rsid w:val="003128FE"/>
    <w:rsid w:val="003174AD"/>
    <w:rsid w:val="003234A4"/>
    <w:rsid w:val="003234E9"/>
    <w:rsid w:val="0032369D"/>
    <w:rsid w:val="0032585C"/>
    <w:rsid w:val="00341047"/>
    <w:rsid w:val="003528EE"/>
    <w:rsid w:val="00360DE4"/>
    <w:rsid w:val="00361EFB"/>
    <w:rsid w:val="00363B6C"/>
    <w:rsid w:val="00364941"/>
    <w:rsid w:val="00366946"/>
    <w:rsid w:val="00375517"/>
    <w:rsid w:val="00377664"/>
    <w:rsid w:val="0038463B"/>
    <w:rsid w:val="003B0E06"/>
    <w:rsid w:val="003B3A6E"/>
    <w:rsid w:val="003C215A"/>
    <w:rsid w:val="003C7FC4"/>
    <w:rsid w:val="003E6F99"/>
    <w:rsid w:val="003F5458"/>
    <w:rsid w:val="00404129"/>
    <w:rsid w:val="00422F87"/>
    <w:rsid w:val="00427050"/>
    <w:rsid w:val="004359D5"/>
    <w:rsid w:val="00435B0A"/>
    <w:rsid w:val="00447686"/>
    <w:rsid w:val="00460C52"/>
    <w:rsid w:val="00472121"/>
    <w:rsid w:val="004735A1"/>
    <w:rsid w:val="00476A59"/>
    <w:rsid w:val="00481A25"/>
    <w:rsid w:val="0048523A"/>
    <w:rsid w:val="004921EA"/>
    <w:rsid w:val="00495138"/>
    <w:rsid w:val="004A2484"/>
    <w:rsid w:val="004D1D87"/>
    <w:rsid w:val="004D4F31"/>
    <w:rsid w:val="004D5FE1"/>
    <w:rsid w:val="004E1868"/>
    <w:rsid w:val="004E66C5"/>
    <w:rsid w:val="004F28AC"/>
    <w:rsid w:val="004F6C55"/>
    <w:rsid w:val="00514271"/>
    <w:rsid w:val="00521A77"/>
    <w:rsid w:val="005266A9"/>
    <w:rsid w:val="0053494D"/>
    <w:rsid w:val="00541909"/>
    <w:rsid w:val="00561F57"/>
    <w:rsid w:val="005634ED"/>
    <w:rsid w:val="00575232"/>
    <w:rsid w:val="00590F1F"/>
    <w:rsid w:val="005919F6"/>
    <w:rsid w:val="0059343F"/>
    <w:rsid w:val="0059469E"/>
    <w:rsid w:val="005B0C88"/>
    <w:rsid w:val="005D76D7"/>
    <w:rsid w:val="005E0951"/>
    <w:rsid w:val="005E62C5"/>
    <w:rsid w:val="005F0874"/>
    <w:rsid w:val="005F0E46"/>
    <w:rsid w:val="006216CF"/>
    <w:rsid w:val="00623407"/>
    <w:rsid w:val="006254D4"/>
    <w:rsid w:val="0063427D"/>
    <w:rsid w:val="006349F4"/>
    <w:rsid w:val="00635CC2"/>
    <w:rsid w:val="00640399"/>
    <w:rsid w:val="00650F4B"/>
    <w:rsid w:val="006550C1"/>
    <w:rsid w:val="00655DE5"/>
    <w:rsid w:val="00664E60"/>
    <w:rsid w:val="006722BF"/>
    <w:rsid w:val="006752C6"/>
    <w:rsid w:val="00685F79"/>
    <w:rsid w:val="00686925"/>
    <w:rsid w:val="00690039"/>
    <w:rsid w:val="006901BD"/>
    <w:rsid w:val="006B245A"/>
    <w:rsid w:val="006C4FB8"/>
    <w:rsid w:val="006C6708"/>
    <w:rsid w:val="006E51CE"/>
    <w:rsid w:val="006E7A6F"/>
    <w:rsid w:val="006F6B17"/>
    <w:rsid w:val="00717FEA"/>
    <w:rsid w:val="007204B6"/>
    <w:rsid w:val="007219EE"/>
    <w:rsid w:val="007535BF"/>
    <w:rsid w:val="00761F44"/>
    <w:rsid w:val="00764DD0"/>
    <w:rsid w:val="00787AF0"/>
    <w:rsid w:val="0079188C"/>
    <w:rsid w:val="00793B4C"/>
    <w:rsid w:val="007966A9"/>
    <w:rsid w:val="007A38FF"/>
    <w:rsid w:val="007A4AAD"/>
    <w:rsid w:val="007A5FC1"/>
    <w:rsid w:val="007D13C0"/>
    <w:rsid w:val="007D4AC9"/>
    <w:rsid w:val="007E451E"/>
    <w:rsid w:val="007E6635"/>
    <w:rsid w:val="007E6804"/>
    <w:rsid w:val="007E714D"/>
    <w:rsid w:val="008008E7"/>
    <w:rsid w:val="00803996"/>
    <w:rsid w:val="008066AC"/>
    <w:rsid w:val="008117BF"/>
    <w:rsid w:val="008204ED"/>
    <w:rsid w:val="00821D48"/>
    <w:rsid w:val="008278A7"/>
    <w:rsid w:val="008455A2"/>
    <w:rsid w:val="00851655"/>
    <w:rsid w:val="008644E8"/>
    <w:rsid w:val="008722B0"/>
    <w:rsid w:val="00887A1E"/>
    <w:rsid w:val="008A0D9F"/>
    <w:rsid w:val="008B1B0C"/>
    <w:rsid w:val="008D499D"/>
    <w:rsid w:val="008F47E6"/>
    <w:rsid w:val="009049BB"/>
    <w:rsid w:val="0093410E"/>
    <w:rsid w:val="00950595"/>
    <w:rsid w:val="009654A3"/>
    <w:rsid w:val="00970AFB"/>
    <w:rsid w:val="00981B79"/>
    <w:rsid w:val="00991A5F"/>
    <w:rsid w:val="00996609"/>
    <w:rsid w:val="009C17BA"/>
    <w:rsid w:val="009F6B4E"/>
    <w:rsid w:val="00A043D1"/>
    <w:rsid w:val="00A32947"/>
    <w:rsid w:val="00A469D4"/>
    <w:rsid w:val="00A52718"/>
    <w:rsid w:val="00A56434"/>
    <w:rsid w:val="00A56731"/>
    <w:rsid w:val="00A67CB7"/>
    <w:rsid w:val="00A87C32"/>
    <w:rsid w:val="00AB207A"/>
    <w:rsid w:val="00AB21AC"/>
    <w:rsid w:val="00AC2B13"/>
    <w:rsid w:val="00AD4EEB"/>
    <w:rsid w:val="00AE71FD"/>
    <w:rsid w:val="00AF046E"/>
    <w:rsid w:val="00AF0ED1"/>
    <w:rsid w:val="00B040A4"/>
    <w:rsid w:val="00B24D94"/>
    <w:rsid w:val="00B437AB"/>
    <w:rsid w:val="00B673A9"/>
    <w:rsid w:val="00B91EFF"/>
    <w:rsid w:val="00B9487A"/>
    <w:rsid w:val="00B94D0E"/>
    <w:rsid w:val="00BA6757"/>
    <w:rsid w:val="00BB241F"/>
    <w:rsid w:val="00BB64CB"/>
    <w:rsid w:val="00BC34A3"/>
    <w:rsid w:val="00BD3944"/>
    <w:rsid w:val="00BE7F8F"/>
    <w:rsid w:val="00BF01DE"/>
    <w:rsid w:val="00BF16CD"/>
    <w:rsid w:val="00BF50B2"/>
    <w:rsid w:val="00C01E69"/>
    <w:rsid w:val="00C070E7"/>
    <w:rsid w:val="00C22E95"/>
    <w:rsid w:val="00C34F55"/>
    <w:rsid w:val="00C353AB"/>
    <w:rsid w:val="00C46BCD"/>
    <w:rsid w:val="00C5071C"/>
    <w:rsid w:val="00C5386A"/>
    <w:rsid w:val="00C57E78"/>
    <w:rsid w:val="00C66E7E"/>
    <w:rsid w:val="00C755AA"/>
    <w:rsid w:val="00C81304"/>
    <w:rsid w:val="00C853BA"/>
    <w:rsid w:val="00C938C3"/>
    <w:rsid w:val="00CA5C0F"/>
    <w:rsid w:val="00CB2AEC"/>
    <w:rsid w:val="00CB5796"/>
    <w:rsid w:val="00CB6E2B"/>
    <w:rsid w:val="00CC0153"/>
    <w:rsid w:val="00CC55CF"/>
    <w:rsid w:val="00CC5B54"/>
    <w:rsid w:val="00CD2E50"/>
    <w:rsid w:val="00CF1498"/>
    <w:rsid w:val="00CF321C"/>
    <w:rsid w:val="00D07226"/>
    <w:rsid w:val="00D14DFA"/>
    <w:rsid w:val="00D26C73"/>
    <w:rsid w:val="00D35945"/>
    <w:rsid w:val="00D44147"/>
    <w:rsid w:val="00D56947"/>
    <w:rsid w:val="00D711B2"/>
    <w:rsid w:val="00D75020"/>
    <w:rsid w:val="00D77CE8"/>
    <w:rsid w:val="00DA714E"/>
    <w:rsid w:val="00DD2694"/>
    <w:rsid w:val="00DD4347"/>
    <w:rsid w:val="00DD5111"/>
    <w:rsid w:val="00DF3251"/>
    <w:rsid w:val="00DF7497"/>
    <w:rsid w:val="00E11A04"/>
    <w:rsid w:val="00E1476D"/>
    <w:rsid w:val="00E16BEC"/>
    <w:rsid w:val="00E67530"/>
    <w:rsid w:val="00E823E2"/>
    <w:rsid w:val="00E87130"/>
    <w:rsid w:val="00E92862"/>
    <w:rsid w:val="00EA1282"/>
    <w:rsid w:val="00EA46CD"/>
    <w:rsid w:val="00EA498D"/>
    <w:rsid w:val="00EB6F27"/>
    <w:rsid w:val="00EC18B3"/>
    <w:rsid w:val="00EC4AB0"/>
    <w:rsid w:val="00ED3BB1"/>
    <w:rsid w:val="00EE1F0B"/>
    <w:rsid w:val="00EE560A"/>
    <w:rsid w:val="00EE57F9"/>
    <w:rsid w:val="00EF3502"/>
    <w:rsid w:val="00F00C6B"/>
    <w:rsid w:val="00F02DEA"/>
    <w:rsid w:val="00F32B46"/>
    <w:rsid w:val="00F4458F"/>
    <w:rsid w:val="00F57A70"/>
    <w:rsid w:val="00F61637"/>
    <w:rsid w:val="00F64605"/>
    <w:rsid w:val="00F8156C"/>
    <w:rsid w:val="00F856E6"/>
    <w:rsid w:val="00FB3812"/>
    <w:rsid w:val="00FC26DE"/>
    <w:rsid w:val="00FC45D8"/>
    <w:rsid w:val="00FC5E61"/>
    <w:rsid w:val="00FD1EEF"/>
    <w:rsid w:val="00FD2FC4"/>
    <w:rsid w:val="00FE18D4"/>
    <w:rsid w:val="00FF303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6C"/>
    <w:pPr>
      <w:spacing w:after="160" w:line="288" w:lineRule="auto"/>
    </w:pPr>
    <w:rPr>
      <w:rFonts w:ascii="Corbel" w:hAnsi="Corbel"/>
      <w:color w:val="5A5A5A"/>
      <w:sz w:val="24"/>
      <w:szCs w:val="20"/>
      <w:lang w:val="en-US" w:eastAsia="en-US"/>
    </w:rPr>
  </w:style>
  <w:style w:type="paragraph" w:styleId="Heading1">
    <w:name w:val="heading 1"/>
    <w:basedOn w:val="Normal"/>
    <w:next w:val="Normal"/>
    <w:link w:val="Heading1Char"/>
    <w:uiPriority w:val="99"/>
    <w:qFormat/>
    <w:rsid w:val="007A38FF"/>
    <w:pPr>
      <w:spacing w:before="400" w:after="240" w:line="240" w:lineRule="auto"/>
      <w:contextualSpacing/>
      <w:outlineLvl w:val="0"/>
    </w:pPr>
    <w:rPr>
      <w:smallCaps/>
      <w:color w:val="2C313B"/>
      <w:spacing w:val="2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38FF"/>
    <w:rPr>
      <w:rFonts w:ascii="Corbel" w:hAnsi="Corbel" w:cs="Times New Roman"/>
      <w:smallCaps/>
      <w:color w:val="2C313B"/>
      <w:spacing w:val="20"/>
      <w:sz w:val="32"/>
      <w:szCs w:val="32"/>
    </w:rPr>
  </w:style>
  <w:style w:type="paragraph" w:styleId="ListParagraph">
    <w:name w:val="List Paragraph"/>
    <w:basedOn w:val="Normal"/>
    <w:uiPriority w:val="99"/>
    <w:qFormat/>
    <w:rsid w:val="006901BD"/>
    <w:pPr>
      <w:ind w:left="720"/>
    </w:pPr>
    <w:rPr>
      <w:rFonts w:ascii="Calibri" w:hAnsi="Calibri" w:cs="Calibri"/>
      <w:sz w:val="22"/>
      <w:szCs w:val="22"/>
      <w:lang w:eastAsia="en-AU"/>
    </w:rPr>
  </w:style>
  <w:style w:type="paragraph" w:styleId="Header">
    <w:name w:val="header"/>
    <w:basedOn w:val="Normal"/>
    <w:link w:val="HeaderChar"/>
    <w:uiPriority w:val="99"/>
    <w:rsid w:val="00E8713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87130"/>
    <w:rPr>
      <w:rFonts w:ascii="Corbel" w:eastAsia="Times New Roman" w:hAnsi="Corbel" w:cs="Times New Roman"/>
      <w:color w:val="5A5A5A"/>
      <w:sz w:val="24"/>
      <w:lang w:val="en-US" w:eastAsia="en-US"/>
    </w:rPr>
  </w:style>
  <w:style w:type="paragraph" w:styleId="Footer">
    <w:name w:val="footer"/>
    <w:basedOn w:val="Normal"/>
    <w:link w:val="FooterChar"/>
    <w:uiPriority w:val="99"/>
    <w:rsid w:val="00E8713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87130"/>
    <w:rPr>
      <w:rFonts w:ascii="Corbel" w:eastAsia="Times New Roman" w:hAnsi="Corbel" w:cs="Times New Roman"/>
      <w:color w:val="5A5A5A"/>
      <w:sz w:val="24"/>
      <w:lang w:val="en-US" w:eastAsia="en-US"/>
    </w:rPr>
  </w:style>
  <w:style w:type="table" w:styleId="TableGrid">
    <w:name w:val="Table Grid"/>
    <w:basedOn w:val="TableNormal"/>
    <w:uiPriority w:val="99"/>
    <w:rsid w:val="00E871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49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68CC0D738113754388A8B269D74F254F" ma:contentTypeVersion="5" ma:contentTypeDescription="" ma:contentTypeScope="" ma:versionID="059c02dd85244c0c86a12f49b1c724f5">
  <xsd:schema xmlns:xsd="http://www.w3.org/2001/XMLSchema" xmlns:p="http://schemas.microsoft.com/office/2006/metadata/properties" xmlns:ns2="ee11eb11-1946-43c5-b60a-95cb175f9d0d" targetNamespace="http://schemas.microsoft.com/office/2006/metadata/properties" ma:root="true" ma:fieldsID="23dca949407c59d1985f251391f8ec2f" ns2:_="">
    <xsd:import namespace="ee11eb11-1946-43c5-b60a-95cb175f9d0d"/>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2:International" minOccurs="0"/>
                <xsd:element ref="ns2:Indigenous" minOccurs="0"/>
              </xsd:all>
            </xsd:complexType>
          </xsd:element>
        </xsd:sequence>
      </xsd:complexType>
    </xsd:element>
  </xsd:schema>
  <xsd:schema xmlns:xsd="http://www.w3.org/2001/XMLSchema" xmlns:dms="http://schemas.microsoft.com/office/2006/documentManagement/types" targetNamespace="ee11eb11-1946-43c5-b60a-95cb175f9d0d"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default="1"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arlyChildhood xmlns="ee11eb11-1946-43c5-b60a-95cb175f9d0d">false</EarlyChildhood>
    <International xmlns="ee11eb11-1946-43c5-b60a-95cb175f9d0d">false</International>
    <HigherEducation xmlns="ee11eb11-1946-43c5-b60a-95cb175f9d0d">false</HigherEducation>
    <TheDepartment xmlns="ee11eb11-1946-43c5-b60a-95cb175f9d0d">false</TheDepartment>
    <Employment xmlns="ee11eb11-1946-43c5-b60a-95cb175f9d0d">true</Employment>
    <Indigenous xmlns="ee11eb11-1946-43c5-b60a-95cb175f9d0d">false</Indigenous>
    <WorkplaceRelations xmlns="ee11eb11-1946-43c5-b60a-95cb175f9d0d">false</WorkplaceRelations>
    <Youth xmlns="ee11eb11-1946-43c5-b60a-95cb175f9d0d">false</Youth>
    <Schooling xmlns="ee11eb11-1946-43c5-b60a-95cb175f9d0d">false</Schooling>
    <Skills xmlns="ee11eb11-1946-43c5-b60a-95cb175f9d0d">false</Skills>
  </documentManagement>
</p:propertie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xs="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9A6B-2490-4B04-85EA-AFCD265833B2}"/>
</file>

<file path=customXml/itemProps2.xml><?xml version="1.0" encoding="utf-8"?>
<ds:datastoreItem xmlns:ds="http://schemas.openxmlformats.org/officeDocument/2006/customXml" ds:itemID="{3BF12801-F917-40C4-A8A9-507DBD457244}"/>
</file>

<file path=customXml/itemProps3.xml><?xml version="1.0" encoding="utf-8"?>
<ds:datastoreItem xmlns:ds="http://schemas.openxmlformats.org/officeDocument/2006/customXml" ds:itemID="{BABA0D06-1640-41D8-AC5A-19C1195A5C8C}"/>
</file>

<file path=customXml/itemProps4.xml><?xml version="1.0" encoding="utf-8"?>
<ds:datastoreItem xmlns:ds="http://schemas.openxmlformats.org/officeDocument/2006/customXml" ds:itemID="{EC419DCE-2037-4426-8D06-3CA537C70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Sebbens</dc:creator>
  <cp:lastModifiedBy>Jess MAIN</cp:lastModifiedBy>
  <cp:revision>4</cp:revision>
  <cp:lastPrinted>2012-09-20T01:42:00Z</cp:lastPrinted>
  <dcterms:created xsi:type="dcterms:W3CDTF">2012-09-20T06:30:00Z</dcterms:created>
  <dcterms:modified xsi:type="dcterms:W3CDTF">2012-09-20T23:44:00Z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0x010100A307F53EE80F4E9D9B7E4786A22684B70068CC0D738113754388A8B269D74F254F</vt:lpwstr>
  </property>
  <property fmtid="{D5CDD505-2E9C-101B-9397-08002B2CF9AE}" pid="6" name="ItemRetentionFormula">
    <vt:lpwstr/>
  </property>
  <property fmtid="{D5CDD505-2E9C-101B-9397-08002B2CF9AE}" pid="7" name="_dlc_policyId">
    <vt:lpwstr/>
  </property>
  <property fmtid="{D5CDD505-2E9C-101B-9397-08002B2CF9AE}" pid="8" name="TemplateUrl">
    <vt:lpwstr/>
  </property>
  <property fmtid="{D5CDD505-2E9C-101B-9397-08002B2CF9AE}" pid="9" name="xd_Signature">
    <vt:bool>false</vt:bool>
  </property>
  <property fmtid="{D5CDD505-2E9C-101B-9397-08002B2CF9AE}" pid="10" name="xd_ProgID">
    <vt:lpwstr/>
  </property>
  <property fmtid="{D5CDD505-2E9C-101B-9397-08002B2CF9AE}" pid="13" name="_SourceUrl">
    <vt:lpwstr/>
  </property>
  <property fmtid="{D5CDD505-2E9C-101B-9397-08002B2CF9AE}" pid="14" name="_SharedFileIndex">
    <vt:lpwstr/>
  </property>
</Properties>
</file>