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7CF" w:rsidRDefault="00E707CF" w:rsidP="00F440E7">
      <w:pPr>
        <w:ind w:hanging="284"/>
        <w:rPr>
          <w:rFonts w:cstheme="minorHAnsi"/>
        </w:rPr>
      </w:pPr>
      <w:bookmarkStart w:id="0" w:name="_Toc302486423"/>
      <w:bookmarkStart w:id="1" w:name="_GoBack"/>
      <w:bookmarkEnd w:id="1"/>
    </w:p>
    <w:sdt>
      <w:sdtPr>
        <w:rPr>
          <w:rFonts w:cstheme="minorHAnsi"/>
        </w:rPr>
        <w:id w:val="685869552"/>
        <w:docPartObj>
          <w:docPartGallery w:val="Cover Pages"/>
          <w:docPartUnique/>
        </w:docPartObj>
      </w:sdtPr>
      <w:sdtEndPr/>
      <w:sdtContent>
        <w:p w:rsidR="00B17D9B" w:rsidRPr="004420A3" w:rsidRDefault="00B17D9B" w:rsidP="00F440E7">
          <w:pPr>
            <w:ind w:hanging="284"/>
            <w:rPr>
              <w:rFonts w:cstheme="minorHAnsi"/>
              <w:noProof/>
            </w:rPr>
          </w:pPr>
        </w:p>
        <w:p w:rsidR="008B316E" w:rsidRPr="004420A3" w:rsidRDefault="008B316E" w:rsidP="00F440E7">
          <w:pPr>
            <w:ind w:hanging="284"/>
            <w:rPr>
              <w:rFonts w:cstheme="minorHAnsi"/>
            </w:rPr>
          </w:pPr>
          <w:r w:rsidRPr="004420A3">
            <w:rPr>
              <w:rFonts w:cstheme="minorHAnsi"/>
              <w:noProof/>
            </w:rPr>
            <w:drawing>
              <wp:inline distT="0" distB="0" distL="0" distR="0" wp14:anchorId="23A10295" wp14:editId="72ECC62C">
                <wp:extent cx="4336415" cy="561340"/>
                <wp:effectExtent l="0" t="0" r="6985" b="0"/>
                <wp:docPr id="3" name="Picture 3" descr="Australian Government Department of Education,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Employment and Workplace Rela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36415" cy="561340"/>
                        </a:xfrm>
                        <a:prstGeom prst="rect">
                          <a:avLst/>
                        </a:prstGeom>
                        <a:noFill/>
                        <a:ln>
                          <a:noFill/>
                        </a:ln>
                      </pic:spPr>
                    </pic:pic>
                  </a:graphicData>
                </a:graphic>
              </wp:inline>
            </w:drawing>
          </w:r>
        </w:p>
        <w:p w:rsidR="008B316E" w:rsidRPr="004420A3" w:rsidRDefault="008B316E" w:rsidP="008B316E">
          <w:pPr>
            <w:rPr>
              <w:rFonts w:cstheme="minorHAnsi"/>
              <w:sz w:val="48"/>
              <w:szCs w:val="48"/>
              <w:lang w:bidi="en-US"/>
            </w:rPr>
          </w:pPr>
        </w:p>
        <w:p w:rsidR="00D05827" w:rsidRPr="004420A3" w:rsidRDefault="00D05827" w:rsidP="008B316E">
          <w:pPr>
            <w:rPr>
              <w:rFonts w:cstheme="minorHAnsi"/>
              <w:sz w:val="48"/>
              <w:szCs w:val="48"/>
              <w:lang w:bidi="en-US"/>
            </w:rPr>
          </w:pPr>
        </w:p>
        <w:sdt>
          <w:sdtPr>
            <w:rPr>
              <w:rFonts w:asciiTheme="minorHAnsi" w:hAnsiTheme="minorHAnsi" w:cstheme="minorHAnsi"/>
              <w:color w:val="auto"/>
              <w:sz w:val="56"/>
              <w:szCs w:val="56"/>
            </w:rPr>
            <w:alias w:val="Title"/>
            <w:tag w:val=""/>
            <w:id w:val="-1218355058"/>
            <w:dataBinding w:prefixMappings="xmlns:ns0='http://purl.org/dc/elements/1.1/' xmlns:ns1='http://schemas.openxmlformats.org/package/2006/metadata/core-properties' " w:xpath="/ns1:coreProperties[1]/ns0:title[1]" w:storeItemID="{6C3C8BC8-F283-45AE-878A-BAB7291924A1}"/>
            <w:text/>
          </w:sdtPr>
          <w:sdtEndPr/>
          <w:sdtContent>
            <w:p w:rsidR="008B316E" w:rsidRPr="004420A3" w:rsidRDefault="00FD74B2" w:rsidP="003B43E9">
              <w:pPr>
                <w:pStyle w:val="Title"/>
                <w:spacing w:before="480" w:after="120"/>
                <w:ind w:left="992"/>
                <w:jc w:val="left"/>
                <w:rPr>
                  <w:rFonts w:asciiTheme="minorHAnsi" w:hAnsiTheme="minorHAnsi" w:cstheme="minorHAnsi"/>
                </w:rPr>
              </w:pPr>
              <w:r w:rsidRPr="004420A3">
                <w:rPr>
                  <w:rFonts w:asciiTheme="minorHAnsi" w:hAnsiTheme="minorHAnsi" w:cstheme="minorHAnsi"/>
                  <w:color w:val="auto"/>
                  <w:sz w:val="56"/>
                  <w:szCs w:val="56"/>
                </w:rPr>
                <w:t xml:space="preserve">Townsville                            </w:t>
              </w:r>
              <w:r w:rsidR="0055121C" w:rsidRPr="004420A3">
                <w:rPr>
                  <w:rFonts w:asciiTheme="minorHAnsi" w:hAnsiTheme="minorHAnsi" w:cstheme="minorHAnsi"/>
                  <w:color w:val="auto"/>
                  <w:sz w:val="56"/>
                  <w:szCs w:val="56"/>
                </w:rPr>
                <w:t>Priority Employment Area</w:t>
              </w:r>
            </w:p>
          </w:sdtContent>
        </w:sdt>
        <w:p w:rsidR="004B1A2D" w:rsidRPr="004420A3" w:rsidRDefault="006F2676" w:rsidP="004F62FF">
          <w:pPr>
            <w:pStyle w:val="Heading1"/>
            <w:pBdr>
              <w:bottom w:val="single" w:sz="8" w:space="2" w:color="165788"/>
            </w:pBdr>
            <w:ind w:left="993"/>
            <w:rPr>
              <w:rFonts w:asciiTheme="minorHAnsi" w:hAnsiTheme="minorHAnsi" w:cstheme="minorHAnsi"/>
            </w:rPr>
          </w:pPr>
          <w:bookmarkStart w:id="2" w:name="_Toc338940315"/>
          <w:bookmarkStart w:id="3" w:name="_Toc339275835"/>
          <w:bookmarkStart w:id="4" w:name="_Toc339367556"/>
          <w:bookmarkStart w:id="5" w:name="_Toc339554326"/>
          <w:bookmarkStart w:id="6" w:name="_Toc339554363"/>
          <w:bookmarkStart w:id="7" w:name="_Toc340153440"/>
          <w:bookmarkStart w:id="8" w:name="_Toc340490911"/>
          <w:bookmarkStart w:id="9" w:name="_Toc340499857"/>
          <w:bookmarkStart w:id="10" w:name="_Toc341361656"/>
          <w:bookmarkStart w:id="11" w:name="_Toc342050337"/>
          <w:bookmarkStart w:id="12" w:name="_Toc342900518"/>
          <w:bookmarkStart w:id="13" w:name="_Toc356376472"/>
          <w:bookmarkStart w:id="14" w:name="_Toc356389308"/>
          <w:bookmarkStart w:id="15" w:name="_Toc357082148"/>
          <w:bookmarkStart w:id="16" w:name="_Toc357166893"/>
          <w:bookmarkStart w:id="17" w:name="_Toc357409689"/>
          <w:bookmarkStart w:id="18" w:name="_Toc358550423"/>
          <w:bookmarkStart w:id="19" w:name="_Toc358550518"/>
          <w:bookmarkStart w:id="20" w:name="_Toc358630772"/>
          <w:bookmarkStart w:id="21" w:name="_Toc358714366"/>
          <w:bookmarkStart w:id="22" w:name="_Toc358808827"/>
          <w:bookmarkStart w:id="23" w:name="_Toc358883755"/>
          <w:bookmarkStart w:id="24" w:name="_Toc359222837"/>
          <w:bookmarkStart w:id="25" w:name="_Toc359318628"/>
          <w:bookmarkStart w:id="26" w:name="_Toc359505757"/>
          <w:r w:rsidRPr="004420A3">
            <w:rPr>
              <w:rFonts w:asciiTheme="minorHAnsi" w:hAnsiTheme="minorHAnsi" w:cstheme="minorHAnsi"/>
            </w:rPr>
            <w:t>Survey of Employers’ Recruitment Experiences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F440E7" w:rsidRPr="004420A3" w:rsidRDefault="00FD74B2" w:rsidP="00F440E7">
          <w:pPr>
            <w:pStyle w:val="Heading2"/>
            <w:ind w:left="993"/>
            <w:rPr>
              <w:rStyle w:val="Heading2Char"/>
              <w:rFonts w:asciiTheme="minorHAnsi" w:hAnsiTheme="minorHAnsi" w:cstheme="minorHAnsi"/>
            </w:rPr>
          </w:pPr>
          <w:bookmarkStart w:id="27" w:name="_Toc338850210"/>
          <w:bookmarkStart w:id="28" w:name="_Toc338852467"/>
          <w:bookmarkStart w:id="29" w:name="_Toc338940316"/>
          <w:bookmarkStart w:id="30" w:name="_Toc339275836"/>
          <w:bookmarkStart w:id="31" w:name="_Toc339367557"/>
          <w:bookmarkStart w:id="32" w:name="_Toc339554327"/>
          <w:bookmarkStart w:id="33" w:name="_Toc339554364"/>
          <w:bookmarkStart w:id="34" w:name="_Toc340153441"/>
          <w:bookmarkStart w:id="35" w:name="_Toc340490912"/>
          <w:bookmarkStart w:id="36" w:name="_Toc340499858"/>
          <w:bookmarkStart w:id="37" w:name="_Toc341361657"/>
          <w:bookmarkStart w:id="38" w:name="_Toc342050338"/>
          <w:bookmarkStart w:id="39" w:name="_Toc342900519"/>
          <w:bookmarkStart w:id="40" w:name="_Toc343771297"/>
          <w:bookmarkStart w:id="41" w:name="_Toc356376473"/>
          <w:bookmarkStart w:id="42" w:name="_Toc356389309"/>
          <w:bookmarkStart w:id="43" w:name="_Toc357082149"/>
          <w:bookmarkStart w:id="44" w:name="_Toc357166894"/>
          <w:bookmarkStart w:id="45" w:name="_Toc357409690"/>
          <w:bookmarkStart w:id="46" w:name="_Toc358550424"/>
          <w:bookmarkStart w:id="47" w:name="_Toc358550519"/>
          <w:bookmarkStart w:id="48" w:name="_Toc358630773"/>
          <w:bookmarkStart w:id="49" w:name="_Toc358714367"/>
          <w:bookmarkStart w:id="50" w:name="_Toc358808828"/>
          <w:bookmarkStart w:id="51" w:name="_Toc358883756"/>
          <w:bookmarkStart w:id="52" w:name="_Toc359222838"/>
          <w:bookmarkStart w:id="53" w:name="_Toc359318629"/>
          <w:bookmarkStart w:id="54" w:name="_Toc359505758"/>
          <w:r w:rsidRPr="004420A3">
            <w:rPr>
              <w:rFonts w:asciiTheme="minorHAnsi" w:hAnsiTheme="minorHAnsi" w:cstheme="minorHAnsi"/>
            </w:rPr>
            <w:t>February</w:t>
          </w:r>
          <w:r w:rsidR="003B43E9" w:rsidRPr="004420A3">
            <w:rPr>
              <w:rFonts w:asciiTheme="minorHAnsi" w:hAnsiTheme="minorHAnsi" w:cstheme="minorHAnsi"/>
            </w:rPr>
            <w:t xml:space="preserve"> 201</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4420A3">
            <w:rPr>
              <w:rFonts w:asciiTheme="minorHAnsi" w:hAnsiTheme="minorHAnsi" w:cstheme="minorHAnsi"/>
            </w:rPr>
            <w:t>3</w:t>
          </w:r>
          <w:bookmarkEnd w:id="49"/>
          <w:bookmarkEnd w:id="50"/>
          <w:bookmarkEnd w:id="51"/>
          <w:bookmarkEnd w:id="52"/>
          <w:bookmarkEnd w:id="53"/>
          <w:bookmarkEnd w:id="54"/>
        </w:p>
        <w:p w:rsidR="004B1A2D" w:rsidRPr="004420A3" w:rsidRDefault="004B1A2D" w:rsidP="00F440E7">
          <w:pPr>
            <w:spacing w:before="0" w:after="0" w:line="240" w:lineRule="auto"/>
            <w:ind w:left="993"/>
            <w:rPr>
              <w:rStyle w:val="Heading2Char"/>
              <w:rFonts w:asciiTheme="minorHAnsi" w:hAnsiTheme="minorHAnsi" w:cstheme="minorHAnsi"/>
            </w:rPr>
          </w:pPr>
          <w:r w:rsidRPr="004420A3">
            <w:rPr>
              <w:rFonts w:eastAsiaTheme="majorEastAsia" w:cstheme="minorHAnsi"/>
              <w:b/>
              <w:bCs/>
              <w:noProof/>
              <w:color w:val="165788"/>
              <w:sz w:val="32"/>
              <w:szCs w:val="26"/>
            </w:rPr>
            <w:drawing>
              <wp:anchor distT="0" distB="0" distL="114300" distR="114300" simplePos="0" relativeHeight="251659264" behindDoc="1" locked="0" layoutInCell="1" allowOverlap="1" wp14:anchorId="007B8119" wp14:editId="1D1439FB">
                <wp:simplePos x="0" y="0"/>
                <wp:positionH relativeFrom="column">
                  <wp:posOffset>-1019175</wp:posOffset>
                </wp:positionH>
                <wp:positionV relativeFrom="paragraph">
                  <wp:posOffset>2087880</wp:posOffset>
                </wp:positionV>
                <wp:extent cx="7724775" cy="3838575"/>
                <wp:effectExtent l="19050" t="0" r="952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24775" cy="3838575"/>
                        </a:xfrm>
                        <a:prstGeom prst="rect">
                          <a:avLst/>
                        </a:prstGeom>
                        <a:noFill/>
                        <a:ln>
                          <a:noFill/>
                        </a:ln>
                      </pic:spPr>
                    </pic:pic>
                  </a:graphicData>
                </a:graphic>
              </wp:anchor>
            </w:drawing>
          </w:r>
          <w:r w:rsidRPr="004420A3">
            <w:rPr>
              <w:rFonts w:eastAsiaTheme="majorEastAsia" w:cstheme="minorHAnsi"/>
              <w:b/>
              <w:bCs/>
              <w:noProof/>
              <w:color w:val="165788"/>
              <w:sz w:val="32"/>
              <w:szCs w:val="26"/>
            </w:rPr>
            <w:drawing>
              <wp:anchor distT="0" distB="0" distL="114300" distR="114300" simplePos="0" relativeHeight="251660288" behindDoc="1" locked="0" layoutInCell="1" allowOverlap="1" wp14:anchorId="2C0117DF" wp14:editId="40FD8224">
                <wp:simplePos x="0" y="0"/>
                <wp:positionH relativeFrom="column">
                  <wp:posOffset>-1002030</wp:posOffset>
                </wp:positionH>
                <wp:positionV relativeFrom="paragraph">
                  <wp:posOffset>585470</wp:posOffset>
                </wp:positionV>
                <wp:extent cx="7738110" cy="1874520"/>
                <wp:effectExtent l="19050" t="0" r="0"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38110" cy="1874520"/>
                        </a:xfrm>
                        <a:prstGeom prst="rect">
                          <a:avLst/>
                        </a:prstGeom>
                        <a:noFill/>
                        <a:ln>
                          <a:noFill/>
                        </a:ln>
                      </pic:spPr>
                    </pic:pic>
                  </a:graphicData>
                </a:graphic>
              </wp:anchor>
            </w:drawing>
          </w:r>
          <w:r w:rsidRPr="004420A3">
            <w:rPr>
              <w:rStyle w:val="Heading2Char"/>
              <w:rFonts w:asciiTheme="minorHAnsi" w:hAnsiTheme="minorHAnsi" w:cstheme="minorHAnsi"/>
            </w:rPr>
            <w:br w:type="page"/>
          </w:r>
        </w:p>
        <w:p w:rsidR="00BD69AE" w:rsidRPr="004420A3" w:rsidRDefault="00BD69AE" w:rsidP="004B1A2D">
          <w:pPr>
            <w:spacing w:before="0" w:after="0" w:line="240" w:lineRule="auto"/>
            <w:rPr>
              <w:rFonts w:eastAsiaTheme="majorEastAsia" w:cstheme="minorHAnsi"/>
              <w:b/>
              <w:bCs/>
              <w:color w:val="165788"/>
              <w:sz w:val="40"/>
              <w:szCs w:val="28"/>
            </w:rPr>
            <w:sectPr w:rsidR="00BD69AE" w:rsidRPr="004420A3" w:rsidSect="00213EDD">
              <w:headerReference w:type="default" r:id="rId18"/>
              <w:footerReference w:type="default" r:id="rId19"/>
              <w:headerReference w:type="first" r:id="rId20"/>
              <w:footerReference w:type="first" r:id="rId21"/>
              <w:type w:val="continuous"/>
              <w:pgSz w:w="11907" w:h="16839" w:code="9"/>
              <w:pgMar w:top="1440" w:right="1559" w:bottom="1440" w:left="1440" w:header="709" w:footer="709" w:gutter="0"/>
              <w:cols w:space="708"/>
              <w:titlePg/>
              <w:docGrid w:linePitch="360"/>
            </w:sectPr>
          </w:pPr>
        </w:p>
        <w:p w:rsidR="004B1A2D" w:rsidRPr="004420A3" w:rsidRDefault="00572024" w:rsidP="004B1A2D">
          <w:pPr>
            <w:spacing w:before="0" w:after="0" w:line="240" w:lineRule="auto"/>
            <w:rPr>
              <w:rFonts w:eastAsiaTheme="majorEastAsia" w:cstheme="minorHAnsi"/>
              <w:b/>
              <w:bCs/>
              <w:color w:val="165788"/>
              <w:sz w:val="40"/>
              <w:szCs w:val="28"/>
            </w:rPr>
          </w:pPr>
        </w:p>
      </w:sdtContent>
    </w:sdt>
    <w:bookmarkEnd w:id="0" w:displacedByCustomXml="prev"/>
    <w:p w:rsidR="009F1AE2" w:rsidRPr="004420A3" w:rsidRDefault="009F1AE2" w:rsidP="0019736B">
      <w:pPr>
        <w:pStyle w:val="numberedpara"/>
        <w:numPr>
          <w:ilvl w:val="0"/>
          <w:numId w:val="0"/>
        </w:numPr>
        <w:tabs>
          <w:tab w:val="left" w:pos="720"/>
        </w:tabs>
        <w:ind w:left="142"/>
        <w:rPr>
          <w:rFonts w:asciiTheme="minorHAnsi" w:hAnsiTheme="minorHAnsi" w:cstheme="minorHAnsi"/>
          <w:sz w:val="560"/>
          <w:szCs w:val="560"/>
        </w:rPr>
      </w:pPr>
    </w:p>
    <w:p w:rsidR="009F1AE2" w:rsidRPr="004420A3" w:rsidRDefault="009F1AE2" w:rsidP="009F1AE2">
      <w:pPr>
        <w:pStyle w:val="BodyText"/>
        <w:rPr>
          <w:rFonts w:cstheme="minorHAnsi"/>
        </w:rPr>
      </w:pPr>
    </w:p>
    <w:p w:rsidR="0019736B" w:rsidRPr="004420A3" w:rsidRDefault="0019736B" w:rsidP="0019736B">
      <w:pPr>
        <w:pStyle w:val="numberedpara"/>
        <w:numPr>
          <w:ilvl w:val="0"/>
          <w:numId w:val="0"/>
        </w:numPr>
        <w:tabs>
          <w:tab w:val="left" w:pos="720"/>
        </w:tabs>
        <w:rPr>
          <w:rFonts w:asciiTheme="minorHAnsi" w:hAnsiTheme="minorHAnsi" w:cstheme="minorHAnsi"/>
          <w:sz w:val="20"/>
          <w:szCs w:val="20"/>
        </w:rPr>
      </w:pPr>
      <w:r w:rsidRPr="004420A3">
        <w:rPr>
          <w:rFonts w:asciiTheme="minorHAnsi" w:hAnsiTheme="minorHAnsi" w:cstheme="minorHAnsi"/>
          <w:noProof/>
          <w:sz w:val="20"/>
          <w:szCs w:val="20"/>
        </w:rPr>
        <w:drawing>
          <wp:inline distT="0" distB="0" distL="0" distR="0" wp14:anchorId="58768325" wp14:editId="5591FF5A">
            <wp:extent cx="847725" cy="285750"/>
            <wp:effectExtent l="19050" t="0" r="9525" b="0"/>
            <wp:docPr id="4" name="Picture 1" descr="cid:image001.png@01CC5B5E.C6C8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2" r:link="rId23"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19736B" w:rsidRPr="004420A3" w:rsidRDefault="0019736B" w:rsidP="0019736B">
      <w:pPr>
        <w:pStyle w:val="Default"/>
        <w:spacing w:before="120" w:after="120"/>
        <w:rPr>
          <w:rFonts w:asciiTheme="minorHAnsi" w:hAnsiTheme="minorHAnsi" w:cstheme="minorHAnsi"/>
          <w:sz w:val="20"/>
          <w:szCs w:val="20"/>
        </w:rPr>
      </w:pPr>
      <w:r w:rsidRPr="004420A3">
        <w:rPr>
          <w:rFonts w:asciiTheme="minorHAnsi" w:hAnsiTheme="minorHAnsi" w:cstheme="minorHAnsi"/>
          <w:sz w:val="20"/>
          <w:szCs w:val="20"/>
        </w:rPr>
        <w:t>With the exception of the Commonwealth Coat of Arms, the Department’s logo, any material protected by a trade mark and where otherwise noted all material presented in this document is provided under a Creative Commons Attribution 3.0 Australia (</w:t>
      </w:r>
      <w:hyperlink r:id="rId24" w:history="1">
        <w:r w:rsidRPr="004420A3">
          <w:rPr>
            <w:rStyle w:val="Hyperlink"/>
            <w:rFonts w:asciiTheme="minorHAnsi" w:hAnsiTheme="minorHAnsi" w:cstheme="minorHAnsi"/>
          </w:rPr>
          <w:t>http://creativecommons.org/licenses/by/3.0/au/</w:t>
        </w:r>
      </w:hyperlink>
      <w:r w:rsidRPr="004420A3">
        <w:rPr>
          <w:rFonts w:asciiTheme="minorHAnsi" w:hAnsiTheme="minorHAnsi" w:cstheme="minorHAnsi"/>
          <w:sz w:val="20"/>
          <w:szCs w:val="20"/>
        </w:rPr>
        <w:t xml:space="preserve">) licence. </w:t>
      </w:r>
    </w:p>
    <w:p w:rsidR="0019736B" w:rsidRPr="004420A3" w:rsidRDefault="0019736B" w:rsidP="0019736B">
      <w:pPr>
        <w:pStyle w:val="Default"/>
        <w:spacing w:before="120" w:after="120"/>
        <w:rPr>
          <w:rFonts w:asciiTheme="minorHAnsi" w:hAnsiTheme="minorHAnsi" w:cstheme="minorHAnsi"/>
          <w:sz w:val="20"/>
          <w:szCs w:val="20"/>
        </w:rPr>
      </w:pPr>
      <w:r w:rsidRPr="004420A3">
        <w:rPr>
          <w:rFonts w:asciiTheme="minorHAnsi" w:hAnsiTheme="minorHAnsi" w:cstheme="minorHAnsi"/>
          <w:sz w:val="20"/>
          <w:szCs w:val="20"/>
        </w:rPr>
        <w:t>The details of the relevant licence conditions are available on the Creative Commons website (accessible using the links provided) as is the full legal code for the CC BY 3.0 AU licence (</w:t>
      </w:r>
      <w:hyperlink r:id="rId25" w:history="1">
        <w:r w:rsidRPr="004420A3">
          <w:rPr>
            <w:rStyle w:val="Hyperlink"/>
            <w:rFonts w:asciiTheme="minorHAnsi" w:hAnsiTheme="minorHAnsi" w:cstheme="minorHAnsi"/>
          </w:rPr>
          <w:t>http://creativecommons.org/licenses/by/3.0/au/legalcode</w:t>
        </w:r>
      </w:hyperlink>
      <w:r w:rsidRPr="004420A3">
        <w:rPr>
          <w:rFonts w:asciiTheme="minorHAnsi" w:hAnsiTheme="minorHAnsi" w:cstheme="minorHAnsi"/>
          <w:sz w:val="20"/>
          <w:szCs w:val="20"/>
        </w:rPr>
        <w:t xml:space="preserve">). </w:t>
      </w:r>
    </w:p>
    <w:p w:rsidR="0019736B" w:rsidRPr="004420A3" w:rsidRDefault="0019736B" w:rsidP="0019736B">
      <w:pPr>
        <w:pStyle w:val="numberedpara"/>
        <w:numPr>
          <w:ilvl w:val="0"/>
          <w:numId w:val="0"/>
        </w:numPr>
        <w:tabs>
          <w:tab w:val="left" w:pos="720"/>
        </w:tabs>
        <w:spacing w:before="120" w:after="120"/>
        <w:rPr>
          <w:rFonts w:asciiTheme="minorHAnsi" w:hAnsiTheme="minorHAnsi" w:cstheme="minorHAnsi"/>
          <w:sz w:val="20"/>
          <w:szCs w:val="20"/>
        </w:rPr>
      </w:pPr>
      <w:r w:rsidRPr="004420A3">
        <w:rPr>
          <w:rFonts w:asciiTheme="minorHAnsi" w:hAnsiTheme="minorHAnsi" w:cstheme="minorHAnsi"/>
          <w:sz w:val="20"/>
          <w:szCs w:val="20"/>
        </w:rPr>
        <w:t>The document must be attributed as the</w:t>
      </w:r>
      <w:r w:rsidR="00B52422" w:rsidRPr="004420A3">
        <w:rPr>
          <w:rFonts w:asciiTheme="minorHAnsi" w:hAnsiTheme="minorHAnsi" w:cstheme="minorHAnsi"/>
          <w:sz w:val="20"/>
          <w:szCs w:val="20"/>
        </w:rPr>
        <w:t xml:space="preserve"> </w:t>
      </w:r>
      <w:r w:rsidR="0060157A" w:rsidRPr="004420A3">
        <w:rPr>
          <w:rFonts w:asciiTheme="minorHAnsi" w:hAnsiTheme="minorHAnsi" w:cstheme="minorHAnsi"/>
          <w:sz w:val="20"/>
          <w:szCs w:val="20"/>
        </w:rPr>
        <w:t>‘Department of Education, Employment and Workplace Relations Survey of Employers</w:t>
      </w:r>
      <w:r w:rsidR="00954670" w:rsidRPr="004420A3">
        <w:rPr>
          <w:rFonts w:asciiTheme="minorHAnsi" w:hAnsiTheme="minorHAnsi" w:cstheme="minorHAnsi"/>
          <w:sz w:val="20"/>
          <w:szCs w:val="20"/>
        </w:rPr>
        <w:t xml:space="preserve">’ Recruitment Experiences – </w:t>
      </w:r>
      <w:r w:rsidR="002433BB" w:rsidRPr="004420A3">
        <w:rPr>
          <w:rFonts w:asciiTheme="minorHAnsi" w:hAnsiTheme="minorHAnsi" w:cstheme="minorHAnsi"/>
          <w:sz w:val="20"/>
          <w:szCs w:val="20"/>
        </w:rPr>
        <w:t>Townsville</w:t>
      </w:r>
      <w:r w:rsidR="00EA43A8" w:rsidRPr="004420A3">
        <w:rPr>
          <w:rFonts w:asciiTheme="minorHAnsi" w:hAnsiTheme="minorHAnsi" w:cstheme="minorHAnsi"/>
          <w:sz w:val="20"/>
          <w:szCs w:val="20"/>
        </w:rPr>
        <w:t xml:space="preserve"> P</w:t>
      </w:r>
      <w:r w:rsidR="00A05D1E" w:rsidRPr="004420A3">
        <w:rPr>
          <w:rFonts w:asciiTheme="minorHAnsi" w:hAnsiTheme="minorHAnsi" w:cstheme="minorHAnsi"/>
          <w:sz w:val="20"/>
          <w:szCs w:val="20"/>
        </w:rPr>
        <w:t xml:space="preserve">riority </w:t>
      </w:r>
      <w:r w:rsidR="0060157A" w:rsidRPr="004420A3">
        <w:rPr>
          <w:rFonts w:asciiTheme="minorHAnsi" w:hAnsiTheme="minorHAnsi" w:cstheme="minorHAnsi"/>
          <w:sz w:val="20"/>
          <w:szCs w:val="20"/>
        </w:rPr>
        <w:t xml:space="preserve">Employment Area – </w:t>
      </w:r>
      <w:r w:rsidR="002433BB" w:rsidRPr="004420A3">
        <w:rPr>
          <w:rFonts w:asciiTheme="minorHAnsi" w:hAnsiTheme="minorHAnsi" w:cstheme="minorHAnsi"/>
          <w:sz w:val="20"/>
          <w:szCs w:val="20"/>
        </w:rPr>
        <w:t>February</w:t>
      </w:r>
      <w:r w:rsidR="00A05D1E" w:rsidRPr="004420A3">
        <w:rPr>
          <w:rFonts w:asciiTheme="minorHAnsi" w:hAnsiTheme="minorHAnsi" w:cstheme="minorHAnsi"/>
          <w:sz w:val="20"/>
          <w:szCs w:val="20"/>
        </w:rPr>
        <w:t xml:space="preserve"> </w:t>
      </w:r>
      <w:r w:rsidR="002433BB" w:rsidRPr="004420A3">
        <w:rPr>
          <w:rFonts w:asciiTheme="minorHAnsi" w:hAnsiTheme="minorHAnsi" w:cstheme="minorHAnsi"/>
          <w:sz w:val="20"/>
          <w:szCs w:val="20"/>
        </w:rPr>
        <w:t>2013</w:t>
      </w:r>
      <w:r w:rsidR="0060157A" w:rsidRPr="004420A3">
        <w:rPr>
          <w:rFonts w:asciiTheme="minorHAnsi" w:hAnsiTheme="minorHAnsi" w:cstheme="minorHAnsi"/>
          <w:sz w:val="20"/>
          <w:szCs w:val="20"/>
        </w:rPr>
        <w:t>’.</w:t>
      </w:r>
    </w:p>
    <w:p w:rsidR="00383AC5" w:rsidRPr="004420A3" w:rsidRDefault="00383AC5" w:rsidP="00383AC5">
      <w:pPr>
        <w:pStyle w:val="numberedpara"/>
        <w:numPr>
          <w:ilvl w:val="0"/>
          <w:numId w:val="0"/>
        </w:numPr>
        <w:tabs>
          <w:tab w:val="left" w:pos="720"/>
        </w:tabs>
        <w:spacing w:before="120" w:after="120"/>
        <w:rPr>
          <w:rFonts w:cstheme="minorHAnsi"/>
          <w:sz w:val="20"/>
          <w:szCs w:val="20"/>
        </w:rPr>
      </w:pPr>
      <w:r w:rsidRPr="004420A3">
        <w:rPr>
          <w:rFonts w:cstheme="minorHAnsi"/>
          <w:sz w:val="20"/>
          <w:szCs w:val="20"/>
        </w:rPr>
        <w:t>This report was prepared by the Labour Market Research and Analysis Branch and is based on research conducted by the Branch.</w:t>
      </w:r>
    </w:p>
    <w:p w:rsidR="00FD74B2" w:rsidRPr="004420A3" w:rsidRDefault="00FD74B2" w:rsidP="00383AC5">
      <w:pPr>
        <w:pStyle w:val="numberedpara"/>
        <w:numPr>
          <w:ilvl w:val="0"/>
          <w:numId w:val="0"/>
        </w:numPr>
        <w:tabs>
          <w:tab w:val="left" w:pos="720"/>
        </w:tabs>
        <w:spacing w:before="120" w:after="120"/>
        <w:rPr>
          <w:rFonts w:cstheme="minorHAnsi"/>
          <w:sz w:val="20"/>
          <w:szCs w:val="20"/>
        </w:rPr>
      </w:pPr>
      <w:r w:rsidRPr="004420A3">
        <w:rPr>
          <w:rFonts w:cstheme="minorHAnsi"/>
          <w:sz w:val="20"/>
          <w:szCs w:val="20"/>
        </w:rPr>
        <w:t>For further information:</w:t>
      </w:r>
    </w:p>
    <w:p w:rsidR="00FD74B2" w:rsidRPr="004420A3" w:rsidRDefault="00383AC5" w:rsidP="00383AC5">
      <w:pPr>
        <w:pStyle w:val="numberedpara"/>
        <w:numPr>
          <w:ilvl w:val="0"/>
          <w:numId w:val="0"/>
        </w:numPr>
        <w:tabs>
          <w:tab w:val="left" w:pos="720"/>
        </w:tabs>
        <w:spacing w:before="120" w:after="120"/>
        <w:rPr>
          <w:rFonts w:cstheme="minorHAnsi"/>
          <w:sz w:val="20"/>
          <w:szCs w:val="20"/>
        </w:rPr>
      </w:pPr>
      <w:r w:rsidRPr="004420A3">
        <w:rPr>
          <w:rFonts w:cstheme="minorHAnsi"/>
          <w:sz w:val="20"/>
          <w:szCs w:val="20"/>
        </w:rPr>
        <w:t>www.deewr.gov.au</w:t>
      </w:r>
      <w:r w:rsidRPr="004420A3">
        <w:rPr>
          <w:rFonts w:cstheme="minorHAnsi"/>
          <w:sz w:val="20"/>
          <w:szCs w:val="20"/>
        </w:rPr>
        <w:br/>
        <w:t xml:space="preserve">Ph: 1800 059 439 | </w:t>
      </w:r>
      <w:hyperlink r:id="rId26" w:history="1">
        <w:r w:rsidRPr="004420A3">
          <w:rPr>
            <w:rStyle w:val="Hyperlink"/>
            <w:rFonts w:cstheme="minorHAnsi"/>
            <w:sz w:val="20"/>
            <w:szCs w:val="20"/>
          </w:rPr>
          <w:t>recruitmentsurveys@deewr.gov.au</w:t>
        </w:r>
      </w:hyperlink>
      <w:r w:rsidRPr="004420A3">
        <w:rPr>
          <w:rFonts w:cstheme="minorHAnsi"/>
          <w:sz w:val="20"/>
          <w:szCs w:val="20"/>
        </w:rPr>
        <w:tab/>
        <w:t xml:space="preserve">         </w:t>
      </w:r>
      <w:r w:rsidR="00FD74B2" w:rsidRPr="004420A3">
        <w:rPr>
          <w:rFonts w:cstheme="minorHAnsi"/>
          <w:sz w:val="20"/>
          <w:szCs w:val="20"/>
        </w:rPr>
        <w:t xml:space="preserve">                             </w:t>
      </w:r>
    </w:p>
    <w:p w:rsidR="00383AC5" w:rsidRPr="004420A3" w:rsidRDefault="00383AC5" w:rsidP="00383AC5">
      <w:pPr>
        <w:pStyle w:val="numberedpara"/>
        <w:numPr>
          <w:ilvl w:val="0"/>
          <w:numId w:val="0"/>
        </w:numPr>
        <w:tabs>
          <w:tab w:val="left" w:pos="720"/>
        </w:tabs>
        <w:spacing w:before="120" w:after="120"/>
        <w:rPr>
          <w:rFonts w:cstheme="minorHAnsi"/>
          <w:sz w:val="20"/>
          <w:szCs w:val="20"/>
        </w:rPr>
      </w:pPr>
      <w:r w:rsidRPr="004420A3">
        <w:rPr>
          <w:rFonts w:cstheme="minorHAnsi"/>
          <w:sz w:val="20"/>
          <w:szCs w:val="20"/>
        </w:rPr>
        <w:t>ABN: 63 578 775 294</w:t>
      </w:r>
    </w:p>
    <w:p w:rsidR="00383AC5" w:rsidRPr="004420A3" w:rsidRDefault="00383AC5" w:rsidP="0019736B">
      <w:pPr>
        <w:pStyle w:val="numberedpara"/>
        <w:numPr>
          <w:ilvl w:val="0"/>
          <w:numId w:val="0"/>
        </w:numPr>
        <w:tabs>
          <w:tab w:val="left" w:pos="720"/>
        </w:tabs>
        <w:spacing w:before="120" w:after="120"/>
        <w:rPr>
          <w:rFonts w:asciiTheme="minorHAnsi" w:hAnsiTheme="minorHAnsi" w:cstheme="minorHAnsi"/>
          <w:sz w:val="20"/>
          <w:szCs w:val="20"/>
        </w:rPr>
      </w:pPr>
    </w:p>
    <w:p w:rsidR="0019736B" w:rsidRPr="004420A3" w:rsidRDefault="0019736B">
      <w:pPr>
        <w:spacing w:before="0" w:after="0" w:line="240" w:lineRule="auto"/>
        <w:rPr>
          <w:rFonts w:eastAsiaTheme="majorEastAsia" w:cstheme="minorHAnsi"/>
          <w:b/>
          <w:bCs/>
          <w:color w:val="165788"/>
          <w:sz w:val="40"/>
          <w:szCs w:val="28"/>
        </w:rPr>
      </w:pPr>
      <w:r w:rsidRPr="004420A3">
        <w:rPr>
          <w:rFonts w:cstheme="minorHAnsi"/>
        </w:rPr>
        <w:br w:type="page"/>
      </w:r>
    </w:p>
    <w:bookmarkStart w:id="55" w:name="_Toc359505759" w:displacedByCustomXml="next"/>
    <w:bookmarkStart w:id="56" w:name="_Toc358808829" w:displacedByCustomXml="next"/>
    <w:bookmarkStart w:id="57" w:name="_Toc358630774" w:displacedByCustomXml="next"/>
    <w:bookmarkStart w:id="58" w:name="_Toc357166895" w:displacedByCustomXml="next"/>
    <w:bookmarkStart w:id="59" w:name="_Toc357082150" w:displacedByCustomXml="next"/>
    <w:bookmarkStart w:id="60" w:name="_Toc341361658" w:displacedByCustomXml="next"/>
    <w:bookmarkStart w:id="61" w:name="_Toc340153442" w:displacedByCustomXml="next"/>
    <w:bookmarkStart w:id="62" w:name="_Toc340499859" w:displacedByCustomXml="next"/>
    <w:bookmarkStart w:id="63" w:name="_Toc342050339" w:displacedByCustomXml="next"/>
    <w:bookmarkStart w:id="64" w:name="_Toc342900520" w:displacedByCustomXml="next"/>
    <w:bookmarkStart w:id="65" w:name="_Toc343771298" w:displacedByCustomXml="next"/>
    <w:bookmarkStart w:id="66" w:name="_Toc356376474" w:displacedByCustomXml="next"/>
    <w:bookmarkStart w:id="67" w:name="_Toc356389310" w:displacedByCustomXml="next"/>
    <w:bookmarkStart w:id="68" w:name="_Toc357409691" w:displacedByCustomXml="next"/>
    <w:bookmarkStart w:id="69" w:name="_Toc358550425" w:displacedByCustomXml="next"/>
    <w:bookmarkStart w:id="70" w:name="_Toc358550520" w:displacedByCustomXml="next"/>
    <w:bookmarkStart w:id="71" w:name="_Toc358883757" w:displacedByCustomXml="next"/>
    <w:bookmarkStart w:id="72" w:name="_Toc359222839" w:displacedByCustomXml="next"/>
    <w:bookmarkStart w:id="73" w:name="_Toc359318630" w:displacedByCustomXml="next"/>
    <w:sdt>
      <w:sdtPr>
        <w:rPr>
          <w:rFonts w:asciiTheme="minorHAnsi" w:eastAsia="Times New Roman" w:hAnsiTheme="minorHAnsi" w:cstheme="minorHAnsi"/>
          <w:b w:val="0"/>
          <w:bCs w:val="0"/>
          <w:smallCaps/>
          <w:color w:val="auto"/>
          <w:sz w:val="22"/>
          <w:szCs w:val="24"/>
        </w:rPr>
        <w:id w:val="86572131"/>
        <w:docPartObj>
          <w:docPartGallery w:val="Table of Contents"/>
          <w:docPartUnique/>
        </w:docPartObj>
      </w:sdtPr>
      <w:sdtEndPr>
        <w:rPr>
          <w:smallCaps w:val="0"/>
        </w:rPr>
      </w:sdtEndPr>
      <w:sdtContent>
        <w:bookmarkStart w:id="74" w:name="_Toc339275837" w:displacedByCustomXml="prev"/>
        <w:bookmarkStart w:id="75" w:name="_Toc338940317" w:displacedByCustomXml="prev"/>
        <w:bookmarkStart w:id="76" w:name="_Toc338850211" w:displacedByCustomXml="prev"/>
        <w:bookmarkStart w:id="77" w:name="_Toc338852468" w:displacedByCustomXml="prev"/>
        <w:bookmarkStart w:id="78" w:name="_Toc339367558" w:displacedByCustomXml="prev"/>
        <w:p w:rsidR="0097493D" w:rsidRPr="004420A3" w:rsidRDefault="0097493D" w:rsidP="007519A5">
          <w:pPr>
            <w:pStyle w:val="Heading1"/>
            <w:ind w:left="284"/>
            <w:rPr>
              <w:rFonts w:asciiTheme="minorHAnsi" w:hAnsiTheme="minorHAnsi" w:cstheme="minorHAnsi"/>
            </w:rPr>
          </w:pPr>
          <w:r w:rsidRPr="004420A3">
            <w:rPr>
              <w:rFonts w:asciiTheme="minorHAnsi" w:hAnsiTheme="minorHAnsi" w:cstheme="minorHAnsi"/>
            </w:rPr>
            <w:t>Contents</w:t>
          </w:r>
          <w:bookmarkEnd w:id="78"/>
          <w:bookmarkEnd w:id="77"/>
          <w:bookmarkEnd w:id="76"/>
          <w:bookmarkEnd w:id="75"/>
          <w:bookmarkEnd w:id="74"/>
          <w:bookmarkEnd w:id="73"/>
          <w:bookmarkEnd w:id="72"/>
          <w:bookmarkEnd w:id="71"/>
          <w:bookmarkEnd w:id="70"/>
          <w:bookmarkEnd w:id="69"/>
          <w:bookmarkEnd w:id="68"/>
          <w:bookmarkEnd w:id="67"/>
          <w:bookmarkEnd w:id="66"/>
          <w:bookmarkEnd w:id="65"/>
          <w:bookmarkEnd w:id="64"/>
          <w:bookmarkEnd w:id="63"/>
          <w:bookmarkEnd w:id="62"/>
          <w:bookmarkEnd w:id="61"/>
          <w:bookmarkEnd w:id="60"/>
          <w:bookmarkEnd w:id="59"/>
          <w:bookmarkEnd w:id="58"/>
          <w:bookmarkEnd w:id="57"/>
          <w:bookmarkEnd w:id="56"/>
          <w:bookmarkEnd w:id="55"/>
        </w:p>
        <w:p w:rsidR="00BA2891" w:rsidRDefault="00226F63" w:rsidP="00BA2891">
          <w:pPr>
            <w:pStyle w:val="TOC1"/>
            <w:rPr>
              <w:rFonts w:asciiTheme="minorHAnsi" w:eastAsiaTheme="minorEastAsia" w:hAnsiTheme="minorHAnsi" w:cstheme="minorBidi"/>
              <w:b w:val="0"/>
              <w:noProof/>
              <w:color w:val="auto"/>
              <w:szCs w:val="22"/>
            </w:rPr>
          </w:pPr>
          <w:r w:rsidRPr="004420A3">
            <w:rPr>
              <w:rFonts w:asciiTheme="minorHAnsi" w:hAnsiTheme="minorHAnsi" w:cstheme="minorHAnsi"/>
            </w:rPr>
            <w:fldChar w:fldCharType="begin"/>
          </w:r>
          <w:r w:rsidR="0097493D" w:rsidRPr="004420A3">
            <w:rPr>
              <w:rFonts w:asciiTheme="minorHAnsi" w:hAnsiTheme="minorHAnsi" w:cstheme="minorHAnsi"/>
            </w:rPr>
            <w:instrText xml:space="preserve"> TOC \o "1-3" \h \z \u </w:instrText>
          </w:r>
          <w:r w:rsidRPr="004420A3">
            <w:rPr>
              <w:rFonts w:asciiTheme="minorHAnsi" w:hAnsiTheme="minorHAnsi" w:cstheme="minorHAnsi"/>
            </w:rPr>
            <w:fldChar w:fldCharType="separate"/>
          </w:r>
          <w:hyperlink w:anchor="_Toc359505760" w:history="1">
            <w:r w:rsidR="00BA2891" w:rsidRPr="00BD4835">
              <w:rPr>
                <w:rStyle w:val="Hyperlink"/>
                <w:rFonts w:eastAsiaTheme="majorEastAsia" w:cstheme="minorHAnsi"/>
                <w:bCs/>
                <w:noProof/>
                <w:lang w:eastAsia="en-US"/>
              </w:rPr>
              <w:t>Key Findings</w:t>
            </w:r>
            <w:r w:rsidR="00BA2891">
              <w:rPr>
                <w:noProof/>
                <w:webHidden/>
              </w:rPr>
              <w:tab/>
            </w:r>
            <w:r w:rsidR="00BA2891">
              <w:rPr>
                <w:noProof/>
                <w:webHidden/>
              </w:rPr>
              <w:fldChar w:fldCharType="begin"/>
            </w:r>
            <w:r w:rsidR="00BA2891">
              <w:rPr>
                <w:noProof/>
                <w:webHidden/>
              </w:rPr>
              <w:instrText xml:space="preserve"> PAGEREF _Toc359505760 \h </w:instrText>
            </w:r>
            <w:r w:rsidR="00BA2891">
              <w:rPr>
                <w:noProof/>
                <w:webHidden/>
              </w:rPr>
            </w:r>
            <w:r w:rsidR="00BA2891">
              <w:rPr>
                <w:noProof/>
                <w:webHidden/>
              </w:rPr>
              <w:fldChar w:fldCharType="separate"/>
            </w:r>
            <w:r w:rsidR="00572024">
              <w:rPr>
                <w:noProof/>
                <w:webHidden/>
              </w:rPr>
              <w:t>1</w:t>
            </w:r>
            <w:r w:rsidR="00BA2891">
              <w:rPr>
                <w:noProof/>
                <w:webHidden/>
              </w:rPr>
              <w:fldChar w:fldCharType="end"/>
            </w:r>
          </w:hyperlink>
        </w:p>
        <w:p w:rsidR="00BA2891" w:rsidRDefault="00572024">
          <w:pPr>
            <w:pStyle w:val="TOC1"/>
            <w:rPr>
              <w:rFonts w:asciiTheme="minorHAnsi" w:eastAsiaTheme="minorEastAsia" w:hAnsiTheme="minorHAnsi" w:cstheme="minorBidi"/>
              <w:b w:val="0"/>
              <w:noProof/>
              <w:color w:val="auto"/>
              <w:szCs w:val="22"/>
            </w:rPr>
          </w:pPr>
          <w:hyperlink w:anchor="_Toc359505761" w:history="1">
            <w:r w:rsidR="00BA2891" w:rsidRPr="00BD4835">
              <w:rPr>
                <w:rStyle w:val="Hyperlink"/>
                <w:rFonts w:eastAsiaTheme="majorEastAsia"/>
                <w:noProof/>
              </w:rPr>
              <w:t>Townsville Priority Employment Area</w:t>
            </w:r>
            <w:r w:rsidR="00BA2891">
              <w:rPr>
                <w:noProof/>
                <w:webHidden/>
              </w:rPr>
              <w:tab/>
            </w:r>
            <w:r w:rsidR="00BA2891">
              <w:rPr>
                <w:noProof/>
                <w:webHidden/>
              </w:rPr>
              <w:fldChar w:fldCharType="begin"/>
            </w:r>
            <w:r w:rsidR="00BA2891">
              <w:rPr>
                <w:noProof/>
                <w:webHidden/>
              </w:rPr>
              <w:instrText xml:space="preserve"> PAGEREF _Toc359505761 \h </w:instrText>
            </w:r>
            <w:r w:rsidR="00BA2891">
              <w:rPr>
                <w:noProof/>
                <w:webHidden/>
              </w:rPr>
            </w:r>
            <w:r w:rsidR="00BA2891">
              <w:rPr>
                <w:noProof/>
                <w:webHidden/>
              </w:rPr>
              <w:fldChar w:fldCharType="separate"/>
            </w:r>
            <w:r>
              <w:rPr>
                <w:noProof/>
                <w:webHidden/>
              </w:rPr>
              <w:t>1</w:t>
            </w:r>
            <w:r w:rsidR="00BA2891">
              <w:rPr>
                <w:noProof/>
                <w:webHidden/>
              </w:rPr>
              <w:fldChar w:fldCharType="end"/>
            </w:r>
          </w:hyperlink>
        </w:p>
        <w:p w:rsidR="00BA2891" w:rsidRDefault="00572024">
          <w:pPr>
            <w:pStyle w:val="TOC1"/>
            <w:rPr>
              <w:rFonts w:asciiTheme="minorHAnsi" w:eastAsiaTheme="minorEastAsia" w:hAnsiTheme="minorHAnsi" w:cstheme="minorBidi"/>
              <w:b w:val="0"/>
              <w:noProof/>
              <w:color w:val="auto"/>
              <w:szCs w:val="22"/>
            </w:rPr>
          </w:pPr>
          <w:hyperlink w:anchor="_Toc359505762" w:history="1">
            <w:r w:rsidR="00BA2891" w:rsidRPr="00BD4835">
              <w:rPr>
                <w:rStyle w:val="Hyperlink"/>
                <w:rFonts w:eastAsiaTheme="majorEastAsia"/>
                <w:noProof/>
              </w:rPr>
              <w:t>Recruitment Activity Slowing</w:t>
            </w:r>
            <w:r w:rsidR="00BA2891">
              <w:rPr>
                <w:noProof/>
                <w:webHidden/>
              </w:rPr>
              <w:tab/>
            </w:r>
            <w:r w:rsidR="00BA2891">
              <w:rPr>
                <w:noProof/>
                <w:webHidden/>
              </w:rPr>
              <w:fldChar w:fldCharType="begin"/>
            </w:r>
            <w:r w:rsidR="00BA2891">
              <w:rPr>
                <w:noProof/>
                <w:webHidden/>
              </w:rPr>
              <w:instrText xml:space="preserve"> PAGEREF _Toc359505762 \h </w:instrText>
            </w:r>
            <w:r w:rsidR="00BA2891">
              <w:rPr>
                <w:noProof/>
                <w:webHidden/>
              </w:rPr>
            </w:r>
            <w:r w:rsidR="00BA2891">
              <w:rPr>
                <w:noProof/>
                <w:webHidden/>
              </w:rPr>
              <w:fldChar w:fldCharType="separate"/>
            </w:r>
            <w:r>
              <w:rPr>
                <w:noProof/>
                <w:webHidden/>
              </w:rPr>
              <w:t>2</w:t>
            </w:r>
            <w:r w:rsidR="00BA2891">
              <w:rPr>
                <w:noProof/>
                <w:webHidden/>
              </w:rPr>
              <w:fldChar w:fldCharType="end"/>
            </w:r>
          </w:hyperlink>
        </w:p>
        <w:p w:rsidR="00BA2891" w:rsidRDefault="00572024">
          <w:pPr>
            <w:pStyle w:val="TOC1"/>
            <w:rPr>
              <w:rFonts w:asciiTheme="minorHAnsi" w:eastAsiaTheme="minorEastAsia" w:hAnsiTheme="minorHAnsi" w:cstheme="minorBidi"/>
              <w:b w:val="0"/>
              <w:noProof/>
              <w:color w:val="auto"/>
              <w:szCs w:val="22"/>
            </w:rPr>
          </w:pPr>
          <w:hyperlink w:anchor="_Toc359505763" w:history="1">
            <w:r w:rsidR="00BA2891" w:rsidRPr="00BD4835">
              <w:rPr>
                <w:rStyle w:val="Hyperlink"/>
                <w:rFonts w:eastAsiaTheme="majorEastAsia"/>
                <w:noProof/>
              </w:rPr>
              <w:t>Competition for Vacancies Increasing</w:t>
            </w:r>
            <w:r w:rsidR="00BA2891">
              <w:rPr>
                <w:noProof/>
                <w:webHidden/>
              </w:rPr>
              <w:tab/>
            </w:r>
            <w:r w:rsidR="00BA2891">
              <w:rPr>
                <w:noProof/>
                <w:webHidden/>
              </w:rPr>
              <w:fldChar w:fldCharType="begin"/>
            </w:r>
            <w:r w:rsidR="00BA2891">
              <w:rPr>
                <w:noProof/>
                <w:webHidden/>
              </w:rPr>
              <w:instrText xml:space="preserve"> PAGEREF _Toc359505763 \h </w:instrText>
            </w:r>
            <w:r w:rsidR="00BA2891">
              <w:rPr>
                <w:noProof/>
                <w:webHidden/>
              </w:rPr>
            </w:r>
            <w:r w:rsidR="00BA2891">
              <w:rPr>
                <w:noProof/>
                <w:webHidden/>
              </w:rPr>
              <w:fldChar w:fldCharType="separate"/>
            </w:r>
            <w:r>
              <w:rPr>
                <w:noProof/>
                <w:webHidden/>
              </w:rPr>
              <w:t>3</w:t>
            </w:r>
            <w:r w:rsidR="00BA2891">
              <w:rPr>
                <w:noProof/>
                <w:webHidden/>
              </w:rPr>
              <w:fldChar w:fldCharType="end"/>
            </w:r>
          </w:hyperlink>
        </w:p>
        <w:p w:rsidR="00BA2891" w:rsidRDefault="00572024">
          <w:pPr>
            <w:pStyle w:val="TOC1"/>
            <w:rPr>
              <w:rFonts w:asciiTheme="minorHAnsi" w:eastAsiaTheme="minorEastAsia" w:hAnsiTheme="minorHAnsi" w:cstheme="minorBidi"/>
              <w:b w:val="0"/>
              <w:noProof/>
              <w:color w:val="auto"/>
              <w:szCs w:val="22"/>
            </w:rPr>
          </w:pPr>
          <w:hyperlink w:anchor="_Toc359505764" w:history="1">
            <w:r w:rsidR="00BA2891" w:rsidRPr="00BD4835">
              <w:rPr>
                <w:rStyle w:val="Hyperlink"/>
                <w:rFonts w:eastAsiaTheme="majorEastAsia"/>
                <w:noProof/>
              </w:rPr>
              <w:t>Recruitment Outlook Moderate</w:t>
            </w:r>
            <w:r w:rsidR="00BA2891">
              <w:rPr>
                <w:noProof/>
                <w:webHidden/>
              </w:rPr>
              <w:tab/>
            </w:r>
            <w:r w:rsidR="00BA2891">
              <w:rPr>
                <w:noProof/>
                <w:webHidden/>
              </w:rPr>
              <w:fldChar w:fldCharType="begin"/>
            </w:r>
            <w:r w:rsidR="00BA2891">
              <w:rPr>
                <w:noProof/>
                <w:webHidden/>
              </w:rPr>
              <w:instrText xml:space="preserve"> PAGEREF _Toc359505764 \h </w:instrText>
            </w:r>
            <w:r w:rsidR="00BA2891">
              <w:rPr>
                <w:noProof/>
                <w:webHidden/>
              </w:rPr>
            </w:r>
            <w:r w:rsidR="00BA2891">
              <w:rPr>
                <w:noProof/>
                <w:webHidden/>
              </w:rPr>
              <w:fldChar w:fldCharType="separate"/>
            </w:r>
            <w:r>
              <w:rPr>
                <w:noProof/>
                <w:webHidden/>
              </w:rPr>
              <w:t>4</w:t>
            </w:r>
            <w:r w:rsidR="00BA2891">
              <w:rPr>
                <w:noProof/>
                <w:webHidden/>
              </w:rPr>
              <w:fldChar w:fldCharType="end"/>
            </w:r>
          </w:hyperlink>
        </w:p>
        <w:p w:rsidR="00BA2891" w:rsidRDefault="00572024">
          <w:pPr>
            <w:pStyle w:val="TOC1"/>
            <w:rPr>
              <w:rFonts w:asciiTheme="minorHAnsi" w:eastAsiaTheme="minorEastAsia" w:hAnsiTheme="minorHAnsi" w:cstheme="minorBidi"/>
              <w:b w:val="0"/>
              <w:noProof/>
              <w:color w:val="auto"/>
              <w:szCs w:val="22"/>
            </w:rPr>
          </w:pPr>
          <w:hyperlink w:anchor="_Toc359505765" w:history="1">
            <w:r w:rsidR="00BA2891" w:rsidRPr="00BD4835">
              <w:rPr>
                <w:rStyle w:val="Hyperlink"/>
                <w:rFonts w:eastAsiaTheme="majorEastAsia"/>
                <w:noProof/>
              </w:rPr>
              <w:t>Opportunities for Job Seekers</w:t>
            </w:r>
            <w:r w:rsidR="00BA2891">
              <w:rPr>
                <w:noProof/>
                <w:webHidden/>
              </w:rPr>
              <w:tab/>
            </w:r>
            <w:r w:rsidR="00BA2891">
              <w:rPr>
                <w:noProof/>
                <w:webHidden/>
              </w:rPr>
              <w:fldChar w:fldCharType="begin"/>
            </w:r>
            <w:r w:rsidR="00BA2891">
              <w:rPr>
                <w:noProof/>
                <w:webHidden/>
              </w:rPr>
              <w:instrText xml:space="preserve"> PAGEREF _Toc359505765 \h </w:instrText>
            </w:r>
            <w:r w:rsidR="00BA2891">
              <w:rPr>
                <w:noProof/>
                <w:webHidden/>
              </w:rPr>
            </w:r>
            <w:r w:rsidR="00BA2891">
              <w:rPr>
                <w:noProof/>
                <w:webHidden/>
              </w:rPr>
              <w:fldChar w:fldCharType="separate"/>
            </w:r>
            <w:r>
              <w:rPr>
                <w:noProof/>
                <w:webHidden/>
              </w:rPr>
              <w:t>4</w:t>
            </w:r>
            <w:r w:rsidR="00BA2891">
              <w:rPr>
                <w:noProof/>
                <w:webHidden/>
              </w:rPr>
              <w:fldChar w:fldCharType="end"/>
            </w:r>
          </w:hyperlink>
        </w:p>
        <w:p w:rsidR="00BA2891" w:rsidRDefault="00572024">
          <w:pPr>
            <w:pStyle w:val="TOC1"/>
            <w:rPr>
              <w:rFonts w:asciiTheme="minorHAnsi" w:eastAsiaTheme="minorEastAsia" w:hAnsiTheme="minorHAnsi" w:cstheme="minorBidi"/>
              <w:b w:val="0"/>
              <w:noProof/>
              <w:color w:val="auto"/>
              <w:szCs w:val="22"/>
            </w:rPr>
          </w:pPr>
          <w:hyperlink w:anchor="_Toc359505766" w:history="1">
            <w:r w:rsidR="00BA2891" w:rsidRPr="00BD4835">
              <w:rPr>
                <w:rStyle w:val="Hyperlink"/>
                <w:rFonts w:eastAsiaTheme="majorEastAsia"/>
                <w:noProof/>
              </w:rPr>
              <w:t>More Information</w:t>
            </w:r>
            <w:r w:rsidR="00BA2891">
              <w:rPr>
                <w:noProof/>
                <w:webHidden/>
              </w:rPr>
              <w:tab/>
            </w:r>
            <w:r w:rsidR="00BA2891">
              <w:rPr>
                <w:noProof/>
                <w:webHidden/>
              </w:rPr>
              <w:fldChar w:fldCharType="begin"/>
            </w:r>
            <w:r w:rsidR="00BA2891">
              <w:rPr>
                <w:noProof/>
                <w:webHidden/>
              </w:rPr>
              <w:instrText xml:space="preserve"> PAGEREF _Toc359505766 \h </w:instrText>
            </w:r>
            <w:r w:rsidR="00BA2891">
              <w:rPr>
                <w:noProof/>
                <w:webHidden/>
              </w:rPr>
            </w:r>
            <w:r w:rsidR="00BA2891">
              <w:rPr>
                <w:noProof/>
                <w:webHidden/>
              </w:rPr>
              <w:fldChar w:fldCharType="separate"/>
            </w:r>
            <w:r>
              <w:rPr>
                <w:noProof/>
                <w:webHidden/>
              </w:rPr>
              <w:t>5</w:t>
            </w:r>
            <w:r w:rsidR="00BA2891">
              <w:rPr>
                <w:noProof/>
                <w:webHidden/>
              </w:rPr>
              <w:fldChar w:fldCharType="end"/>
            </w:r>
          </w:hyperlink>
        </w:p>
        <w:p w:rsidR="0097493D" w:rsidRPr="004420A3" w:rsidRDefault="00226F63">
          <w:pPr>
            <w:rPr>
              <w:rFonts w:cstheme="minorHAnsi"/>
            </w:rPr>
          </w:pPr>
          <w:r w:rsidRPr="004420A3">
            <w:rPr>
              <w:rFonts w:cstheme="minorHAnsi"/>
            </w:rPr>
            <w:fldChar w:fldCharType="end"/>
          </w:r>
        </w:p>
      </w:sdtContent>
    </w:sdt>
    <w:p w:rsidR="004B1A2D" w:rsidRPr="004420A3" w:rsidRDefault="004B1A2D" w:rsidP="004B1A2D">
      <w:pPr>
        <w:rPr>
          <w:rFonts w:cstheme="minorHAnsi"/>
        </w:rPr>
      </w:pPr>
    </w:p>
    <w:p w:rsidR="004B1A2D" w:rsidRPr="004420A3" w:rsidRDefault="004B1A2D" w:rsidP="00EC514F">
      <w:pPr>
        <w:pStyle w:val="Heading1"/>
        <w:rPr>
          <w:rFonts w:asciiTheme="minorHAnsi" w:hAnsiTheme="minorHAnsi" w:cstheme="minorHAnsi"/>
          <w:b w:val="0"/>
        </w:rPr>
      </w:pPr>
      <w:r w:rsidRPr="004420A3">
        <w:rPr>
          <w:rFonts w:asciiTheme="minorHAnsi" w:hAnsiTheme="minorHAnsi" w:cstheme="minorHAnsi"/>
        </w:rPr>
        <w:br w:type="page"/>
      </w:r>
    </w:p>
    <w:p w:rsidR="00D252F4" w:rsidRPr="004420A3" w:rsidRDefault="00D252F4" w:rsidP="007B6B42">
      <w:pPr>
        <w:pStyle w:val="RIESbriefreports"/>
        <w:spacing w:before="240"/>
        <w:rPr>
          <w:szCs w:val="24"/>
        </w:rPr>
        <w:sectPr w:rsidR="00D252F4" w:rsidRPr="004420A3" w:rsidSect="00213EDD">
          <w:headerReference w:type="default" r:id="rId27"/>
          <w:footerReference w:type="default" r:id="rId28"/>
          <w:headerReference w:type="first" r:id="rId29"/>
          <w:footerReference w:type="first" r:id="rId30"/>
          <w:pgSz w:w="11906" w:h="16838"/>
          <w:pgMar w:top="709" w:right="1418" w:bottom="1440" w:left="1418" w:header="709" w:footer="709" w:gutter="0"/>
          <w:pgNumType w:fmt="lowerRoman" w:start="1"/>
          <w:cols w:space="708"/>
          <w:titlePg/>
          <w:docGrid w:linePitch="360"/>
        </w:sectPr>
      </w:pPr>
    </w:p>
    <w:p w:rsidR="00FD74B2" w:rsidRPr="004420A3" w:rsidRDefault="00FD74B2" w:rsidP="00305AEF">
      <w:pPr>
        <w:keepNext/>
        <w:keepLines/>
        <w:pBdr>
          <w:bottom w:val="single" w:sz="4" w:space="4" w:color="auto"/>
        </w:pBdr>
        <w:spacing w:before="0" w:after="0" w:line="276" w:lineRule="auto"/>
        <w:outlineLvl w:val="0"/>
        <w:rPr>
          <w:rFonts w:eastAsiaTheme="majorEastAsia" w:cstheme="minorHAnsi"/>
          <w:b/>
          <w:bCs/>
          <w:color w:val="365F91" w:themeColor="accent1" w:themeShade="BF"/>
          <w:sz w:val="24"/>
          <w:lang w:eastAsia="en-US"/>
        </w:rPr>
      </w:pPr>
      <w:bookmarkStart w:id="79" w:name="_Toc357424980"/>
      <w:bookmarkStart w:id="80" w:name="_Toc359505760"/>
      <w:bookmarkStart w:id="81" w:name="_Toc351128438"/>
      <w:r w:rsidRPr="004420A3">
        <w:rPr>
          <w:rFonts w:eastAsiaTheme="majorEastAsia" w:cstheme="minorHAnsi"/>
          <w:b/>
          <w:bCs/>
          <w:color w:val="365F91" w:themeColor="accent1" w:themeShade="BF"/>
          <w:sz w:val="24"/>
          <w:lang w:eastAsia="en-US"/>
        </w:rPr>
        <w:lastRenderedPageBreak/>
        <w:t>Key Findings</w:t>
      </w:r>
      <w:bookmarkEnd w:id="79"/>
      <w:bookmarkEnd w:id="80"/>
    </w:p>
    <w:p w:rsidR="00132BB8" w:rsidRPr="00132BB8" w:rsidRDefault="00132BB8" w:rsidP="00132BB8">
      <w:pPr>
        <w:spacing w:line="240" w:lineRule="auto"/>
        <w:jc w:val="both"/>
        <w:rPr>
          <w:rFonts w:cstheme="minorHAnsi"/>
          <w:sz w:val="24"/>
        </w:rPr>
      </w:pPr>
      <w:r w:rsidRPr="00132BB8">
        <w:rPr>
          <w:rFonts w:cstheme="minorHAnsi"/>
          <w:sz w:val="24"/>
        </w:rPr>
        <w:t xml:space="preserve">While the unemployment rate in the Townsville </w:t>
      </w:r>
      <w:r>
        <w:rPr>
          <w:rFonts w:cstheme="minorHAnsi"/>
          <w:sz w:val="24"/>
        </w:rPr>
        <w:t>Priority Employment Area (</w:t>
      </w:r>
      <w:r w:rsidRPr="00132BB8">
        <w:rPr>
          <w:rFonts w:cstheme="minorHAnsi"/>
          <w:sz w:val="24"/>
        </w:rPr>
        <w:t>PEA</w:t>
      </w:r>
      <w:r>
        <w:rPr>
          <w:rFonts w:cstheme="minorHAnsi"/>
          <w:sz w:val="24"/>
        </w:rPr>
        <w:t>)</w:t>
      </w:r>
      <w:r w:rsidRPr="00132BB8">
        <w:rPr>
          <w:rFonts w:cstheme="minorHAnsi"/>
          <w:sz w:val="24"/>
        </w:rPr>
        <w:t xml:space="preserve"> has remained lower than that for the state and the other </w:t>
      </w:r>
      <w:r>
        <w:rPr>
          <w:rFonts w:cstheme="minorHAnsi"/>
          <w:sz w:val="24"/>
        </w:rPr>
        <w:t>PEA</w:t>
      </w:r>
      <w:r w:rsidRPr="00132BB8">
        <w:rPr>
          <w:rFonts w:cstheme="minorHAnsi"/>
          <w:sz w:val="24"/>
        </w:rPr>
        <w:t>s for much of the last five years, labour market conditions have moderated in the past two years and there are some signs of weakness in the region.  </w:t>
      </w:r>
    </w:p>
    <w:p w:rsidR="00132BB8" w:rsidRPr="00132BB8" w:rsidRDefault="00132BB8" w:rsidP="00132BB8">
      <w:pPr>
        <w:pStyle w:val="ListParagraph"/>
        <w:numPr>
          <w:ilvl w:val="0"/>
          <w:numId w:val="44"/>
        </w:numPr>
        <w:spacing w:after="0" w:line="240" w:lineRule="auto"/>
        <w:jc w:val="both"/>
        <w:rPr>
          <w:rFonts w:asciiTheme="minorHAnsi" w:eastAsiaTheme="minorHAnsi" w:hAnsiTheme="minorHAnsi" w:cstheme="minorHAnsi"/>
          <w:color w:val="auto"/>
          <w:szCs w:val="24"/>
          <w:lang w:val="en-AU" w:bidi="ar-SA"/>
        </w:rPr>
      </w:pPr>
      <w:r w:rsidRPr="00132BB8">
        <w:rPr>
          <w:rFonts w:asciiTheme="minorHAnsi" w:eastAsiaTheme="minorHAnsi" w:hAnsiTheme="minorHAnsi" w:cstheme="minorHAnsi"/>
          <w:color w:val="auto"/>
          <w:szCs w:val="24"/>
          <w:lang w:val="en-AU" w:bidi="ar-SA"/>
        </w:rPr>
        <w:t>Overall employment and the labour force participation rate have declined in the last two years indicating that the labour market has softened;</w:t>
      </w:r>
    </w:p>
    <w:p w:rsidR="00132BB8" w:rsidRPr="00132BB8" w:rsidRDefault="00132BB8" w:rsidP="00132BB8">
      <w:pPr>
        <w:pStyle w:val="ListParagraph"/>
        <w:numPr>
          <w:ilvl w:val="0"/>
          <w:numId w:val="44"/>
        </w:numPr>
        <w:spacing w:after="0" w:line="240" w:lineRule="auto"/>
        <w:jc w:val="both"/>
        <w:rPr>
          <w:rFonts w:asciiTheme="minorHAnsi" w:eastAsiaTheme="minorHAnsi" w:hAnsiTheme="minorHAnsi" w:cstheme="minorHAnsi"/>
          <w:color w:val="auto"/>
          <w:szCs w:val="24"/>
          <w:lang w:val="en-AU" w:bidi="ar-SA"/>
        </w:rPr>
      </w:pPr>
      <w:r w:rsidRPr="00132BB8">
        <w:rPr>
          <w:rFonts w:asciiTheme="minorHAnsi" w:eastAsiaTheme="minorHAnsi" w:hAnsiTheme="minorHAnsi" w:cstheme="minorHAnsi"/>
          <w:color w:val="auto"/>
          <w:szCs w:val="24"/>
          <w:lang w:val="en-AU" w:bidi="ar-SA"/>
        </w:rPr>
        <w:t>There are also pockets of disadvantage within the Townsville PEA, with the Indigenous population in particular experiencing poorer labour market outcomes;</w:t>
      </w:r>
    </w:p>
    <w:p w:rsidR="00132BB8" w:rsidRPr="00132BB8" w:rsidRDefault="00132BB8" w:rsidP="00132BB8">
      <w:pPr>
        <w:pStyle w:val="ListParagraph"/>
        <w:numPr>
          <w:ilvl w:val="0"/>
          <w:numId w:val="44"/>
        </w:numPr>
        <w:spacing w:after="0" w:line="240" w:lineRule="auto"/>
        <w:jc w:val="both"/>
        <w:rPr>
          <w:rFonts w:asciiTheme="minorHAnsi" w:eastAsiaTheme="minorHAnsi" w:hAnsiTheme="minorHAnsi" w:cstheme="minorHAnsi"/>
          <w:color w:val="auto"/>
          <w:szCs w:val="24"/>
          <w:lang w:val="en-AU" w:bidi="ar-SA"/>
        </w:rPr>
      </w:pPr>
      <w:r w:rsidRPr="00132BB8">
        <w:rPr>
          <w:rFonts w:asciiTheme="minorHAnsi" w:eastAsiaTheme="minorHAnsi" w:hAnsiTheme="minorHAnsi" w:cstheme="minorHAnsi"/>
          <w:color w:val="auto"/>
          <w:szCs w:val="24"/>
          <w:lang w:val="en-AU" w:bidi="ar-SA"/>
        </w:rPr>
        <w:t>The survey results show a reduction in recruitment activity, although the level of recruitment is still in line with the average for all regions surveyed;</w:t>
      </w:r>
    </w:p>
    <w:p w:rsidR="00132BB8" w:rsidRPr="00132BB8" w:rsidRDefault="00132BB8" w:rsidP="00132BB8">
      <w:pPr>
        <w:pStyle w:val="ListParagraph"/>
        <w:numPr>
          <w:ilvl w:val="0"/>
          <w:numId w:val="44"/>
        </w:numPr>
        <w:spacing w:after="0" w:line="240" w:lineRule="auto"/>
        <w:jc w:val="both"/>
        <w:rPr>
          <w:rFonts w:asciiTheme="minorHAnsi" w:eastAsiaTheme="minorHAnsi" w:hAnsiTheme="minorHAnsi" w:cstheme="minorHAnsi"/>
          <w:color w:val="auto"/>
          <w:szCs w:val="24"/>
          <w:lang w:val="en-AU" w:bidi="ar-SA"/>
        </w:rPr>
      </w:pPr>
      <w:r w:rsidRPr="00132BB8">
        <w:rPr>
          <w:rFonts w:asciiTheme="minorHAnsi" w:eastAsiaTheme="minorHAnsi" w:hAnsiTheme="minorHAnsi" w:cstheme="minorHAnsi"/>
          <w:color w:val="auto"/>
          <w:szCs w:val="24"/>
          <w:lang w:val="en-AU" w:bidi="ar-SA"/>
        </w:rPr>
        <w:t>Since the last survey in November 2011, competition for vacancies has increased and the unfilled vacancy rate has decreased significantly, particularly for Technicians and Trades Workers, indicating that past skill shortages are easing;</w:t>
      </w:r>
    </w:p>
    <w:p w:rsidR="00132BB8" w:rsidRPr="00132BB8" w:rsidRDefault="00132BB8" w:rsidP="00132BB8">
      <w:pPr>
        <w:pStyle w:val="ListParagraph"/>
        <w:numPr>
          <w:ilvl w:val="0"/>
          <w:numId w:val="44"/>
        </w:numPr>
        <w:spacing w:after="0" w:line="240" w:lineRule="auto"/>
        <w:jc w:val="both"/>
        <w:rPr>
          <w:rFonts w:asciiTheme="minorHAnsi" w:eastAsiaTheme="minorHAnsi" w:hAnsiTheme="minorHAnsi" w:cstheme="minorHAnsi"/>
          <w:color w:val="auto"/>
          <w:szCs w:val="24"/>
          <w:lang w:val="en-AU" w:bidi="ar-SA"/>
        </w:rPr>
      </w:pPr>
      <w:r w:rsidRPr="00132BB8">
        <w:rPr>
          <w:rFonts w:asciiTheme="minorHAnsi" w:eastAsiaTheme="minorHAnsi" w:hAnsiTheme="minorHAnsi" w:cstheme="minorHAnsi"/>
          <w:color w:val="auto"/>
          <w:szCs w:val="24"/>
          <w:lang w:val="en-AU" w:bidi="ar-SA"/>
        </w:rPr>
        <w:t xml:space="preserve">While future recruitment expectations have softened since November 2011, there will be a range of employment opportunities, in both higher and lower skilled occupations, in the coming year. </w:t>
      </w:r>
    </w:p>
    <w:p w:rsidR="00FD74B2" w:rsidRPr="004420A3" w:rsidRDefault="00FD74B2" w:rsidP="00132BB8">
      <w:pPr>
        <w:spacing w:before="0" w:line="240" w:lineRule="auto"/>
        <w:rPr>
          <w:rFonts w:eastAsiaTheme="majorEastAsia" w:cstheme="minorHAnsi"/>
          <w:b/>
          <w:bCs/>
          <w:color w:val="365F91" w:themeColor="accent1" w:themeShade="BF"/>
          <w:sz w:val="24"/>
          <w:lang w:eastAsia="en-US"/>
        </w:rPr>
      </w:pPr>
    </w:p>
    <w:p w:rsidR="00FD74B2" w:rsidRPr="004420A3" w:rsidRDefault="00FD74B2" w:rsidP="00FD74B2">
      <w:pPr>
        <w:pStyle w:val="RIESbriefreports"/>
        <w:spacing w:before="0"/>
        <w:rPr>
          <w:szCs w:val="24"/>
        </w:rPr>
      </w:pPr>
      <w:bookmarkStart w:id="82" w:name="_Toc357424982"/>
      <w:bookmarkStart w:id="83" w:name="_Toc359505761"/>
      <w:bookmarkEnd w:id="81"/>
      <w:r w:rsidRPr="004420A3">
        <w:rPr>
          <w:szCs w:val="24"/>
        </w:rPr>
        <w:t>Townsville Priority Employment Area</w:t>
      </w:r>
      <w:bookmarkEnd w:id="82"/>
      <w:bookmarkEnd w:id="83"/>
    </w:p>
    <w:p w:rsidR="00FD74B2" w:rsidRPr="004420A3" w:rsidRDefault="00FD74B2" w:rsidP="00A579F0">
      <w:pPr>
        <w:spacing w:before="0" w:line="240" w:lineRule="auto"/>
        <w:jc w:val="both"/>
        <w:rPr>
          <w:rFonts w:cstheme="minorHAnsi"/>
          <w:sz w:val="24"/>
        </w:rPr>
      </w:pPr>
      <w:r w:rsidRPr="004420A3">
        <w:rPr>
          <w:sz w:val="24"/>
        </w:rPr>
        <w:t>The Townsville PEA includes the LGAs of Burd</w:t>
      </w:r>
      <w:r w:rsidR="00AB7E1C">
        <w:rPr>
          <w:sz w:val="24"/>
        </w:rPr>
        <w:t>ekin, Charters Towers</w:t>
      </w:r>
      <w:r w:rsidRPr="004420A3">
        <w:rPr>
          <w:sz w:val="24"/>
        </w:rPr>
        <w:t>,</w:t>
      </w:r>
      <w:r w:rsidRPr="004420A3">
        <w:rPr>
          <w:rFonts w:eastAsiaTheme="minorEastAsia" w:hAnsi="Calibri" w:cstheme="minorBidi"/>
          <w:color w:val="FF0000"/>
          <w:kern w:val="24"/>
          <w:sz w:val="24"/>
        </w:rPr>
        <w:t xml:space="preserve"> </w:t>
      </w:r>
      <w:r w:rsidRPr="004420A3">
        <w:rPr>
          <w:sz w:val="24"/>
        </w:rPr>
        <w:t>Hinchinbrook,</w:t>
      </w:r>
      <w:r w:rsidRPr="004420A3">
        <w:rPr>
          <w:rFonts w:eastAsiaTheme="minorEastAsia" w:hAnsi="Calibri" w:cstheme="minorBidi"/>
          <w:color w:val="FF0000"/>
          <w:kern w:val="24"/>
          <w:sz w:val="24"/>
        </w:rPr>
        <w:t xml:space="preserve"> </w:t>
      </w:r>
      <w:r w:rsidR="00AB7E1C">
        <w:rPr>
          <w:sz w:val="24"/>
        </w:rPr>
        <w:t xml:space="preserve">Palm Island </w:t>
      </w:r>
      <w:r w:rsidRPr="004420A3">
        <w:rPr>
          <w:sz w:val="24"/>
        </w:rPr>
        <w:t>and Townsville</w:t>
      </w:r>
      <w:r w:rsidR="00A73402" w:rsidRPr="004420A3">
        <w:rPr>
          <w:sz w:val="24"/>
        </w:rPr>
        <w:t xml:space="preserve"> and</w:t>
      </w:r>
      <w:r w:rsidRPr="004420A3">
        <w:rPr>
          <w:sz w:val="24"/>
        </w:rPr>
        <w:t xml:space="preserve"> has a working age population of 153,000.</w:t>
      </w:r>
      <w:r w:rsidRPr="004420A3">
        <w:rPr>
          <w:rStyle w:val="FootnoteReference"/>
          <w:sz w:val="24"/>
        </w:rPr>
        <w:footnoteReference w:id="1"/>
      </w:r>
      <w:r w:rsidRPr="004420A3">
        <w:rPr>
          <w:rFonts w:cstheme="minorHAnsi"/>
          <w:sz w:val="24"/>
        </w:rPr>
        <w:t xml:space="preserve"> </w:t>
      </w:r>
    </w:p>
    <w:p w:rsidR="00FD74B2" w:rsidRPr="004420A3" w:rsidRDefault="00FD74B2" w:rsidP="00A579F0">
      <w:pPr>
        <w:spacing w:before="0" w:line="240" w:lineRule="auto"/>
        <w:jc w:val="both"/>
        <w:rPr>
          <w:rFonts w:eastAsiaTheme="minorHAnsi" w:cstheme="minorHAnsi"/>
          <w:sz w:val="24"/>
          <w:lang w:eastAsia="en-US"/>
        </w:rPr>
      </w:pPr>
      <w:r w:rsidRPr="004420A3">
        <w:rPr>
          <w:rFonts w:cstheme="minorHAnsi"/>
          <w:sz w:val="24"/>
        </w:rPr>
        <w:t>Th</w:t>
      </w:r>
      <w:r w:rsidRPr="004420A3">
        <w:rPr>
          <w:rFonts w:eastAsiaTheme="minorHAnsi" w:cstheme="minorHAnsi"/>
          <w:sz w:val="24"/>
          <w:lang w:eastAsia="en-US"/>
        </w:rPr>
        <w:t>e unemployment rate for the Townsville PEA in December 2012 was 4.2 per cent,</w:t>
      </w:r>
      <w:r w:rsidRPr="004420A3">
        <w:rPr>
          <w:rFonts w:eastAsiaTheme="minorHAnsi" w:cstheme="minorHAnsi"/>
          <w:sz w:val="24"/>
          <w:vertAlign w:val="superscript"/>
          <w:lang w:eastAsia="en-US"/>
        </w:rPr>
        <w:footnoteReference w:id="2"/>
      </w:r>
      <w:r w:rsidRPr="004420A3">
        <w:rPr>
          <w:rFonts w:eastAsiaTheme="minorHAnsi" w:cstheme="minorHAnsi"/>
          <w:sz w:val="24"/>
          <w:lang w:eastAsia="en-US"/>
        </w:rPr>
        <w:t xml:space="preserve"> we</w:t>
      </w:r>
      <w:r w:rsidR="00872BCF">
        <w:rPr>
          <w:rFonts w:eastAsiaTheme="minorHAnsi" w:cstheme="minorHAnsi"/>
          <w:sz w:val="24"/>
          <w:lang w:eastAsia="en-US"/>
        </w:rPr>
        <w:t>ll below that for the state (5.8</w:t>
      </w:r>
      <w:r w:rsidRPr="004420A3">
        <w:rPr>
          <w:rFonts w:eastAsiaTheme="minorHAnsi" w:cstheme="minorHAnsi"/>
          <w:sz w:val="24"/>
          <w:lang w:eastAsia="en-US"/>
        </w:rPr>
        <w:t xml:space="preserve"> per cent).</w:t>
      </w:r>
      <w:r w:rsidRPr="004420A3">
        <w:rPr>
          <w:rStyle w:val="FootnoteReference"/>
          <w:rFonts w:eastAsiaTheme="minorHAnsi" w:cstheme="minorHAnsi"/>
          <w:sz w:val="24"/>
          <w:lang w:eastAsia="en-US"/>
        </w:rPr>
        <w:footnoteReference w:id="3"/>
      </w:r>
      <w:r w:rsidRPr="004420A3">
        <w:rPr>
          <w:rFonts w:eastAsiaTheme="minorHAnsi" w:cstheme="minorHAnsi"/>
          <w:sz w:val="24"/>
          <w:lang w:eastAsia="en-US"/>
        </w:rPr>
        <w:t xml:space="preserve"> Unemployment rates across the PEA ranged from a low of 3.8 per cent in the Burdekin Local Government Area (LGA), to a high of 9.3 per cent in the Palm Island LGA.</w:t>
      </w:r>
      <w:r w:rsidRPr="004420A3">
        <w:rPr>
          <w:rStyle w:val="FootnoteReference"/>
          <w:rFonts w:eastAsiaTheme="minorHAnsi" w:cstheme="minorHAnsi"/>
          <w:sz w:val="24"/>
          <w:lang w:eastAsia="en-US"/>
        </w:rPr>
        <w:footnoteReference w:id="4"/>
      </w:r>
    </w:p>
    <w:p w:rsidR="00FD74B2" w:rsidRPr="004420A3" w:rsidRDefault="00FD74B2" w:rsidP="00A579F0">
      <w:pPr>
        <w:spacing w:before="0" w:line="240" w:lineRule="auto"/>
        <w:jc w:val="both"/>
        <w:rPr>
          <w:sz w:val="24"/>
        </w:rPr>
      </w:pPr>
      <w:r w:rsidRPr="000E1F38">
        <w:rPr>
          <w:sz w:val="24"/>
        </w:rPr>
        <w:t xml:space="preserve">Despite the relatively low unemployment rate in the region, </w:t>
      </w:r>
      <w:r w:rsidR="0027702E" w:rsidRPr="000E1F38">
        <w:rPr>
          <w:sz w:val="24"/>
        </w:rPr>
        <w:t xml:space="preserve">total </w:t>
      </w:r>
      <w:r w:rsidR="0082663C" w:rsidRPr="000E1F38">
        <w:rPr>
          <w:sz w:val="24"/>
        </w:rPr>
        <w:t>employment declined by 8,7</w:t>
      </w:r>
      <w:r w:rsidR="005E4D62" w:rsidRPr="000E1F38">
        <w:rPr>
          <w:sz w:val="24"/>
        </w:rPr>
        <w:t xml:space="preserve">00 </w:t>
      </w:r>
      <w:r w:rsidRPr="000E1F38">
        <w:rPr>
          <w:sz w:val="24"/>
        </w:rPr>
        <w:t>in the Northern-North West Labour Force Region (LFR)</w:t>
      </w:r>
      <w:r w:rsidR="00956B49" w:rsidRPr="000E1F38">
        <w:rPr>
          <w:rStyle w:val="FootnoteReference"/>
          <w:rFonts w:eastAsiaTheme="minorHAnsi" w:cstheme="minorHAnsi"/>
          <w:sz w:val="24"/>
          <w:lang w:eastAsia="en-US"/>
        </w:rPr>
        <w:footnoteReference w:id="5"/>
      </w:r>
      <w:r w:rsidRPr="000E1F38">
        <w:rPr>
          <w:sz w:val="24"/>
        </w:rPr>
        <w:t xml:space="preserve"> in the </w:t>
      </w:r>
      <w:r w:rsidR="001D5B89" w:rsidRPr="000E1F38">
        <w:rPr>
          <w:sz w:val="24"/>
        </w:rPr>
        <w:t xml:space="preserve">two </w:t>
      </w:r>
      <w:r w:rsidRPr="000E1F38">
        <w:rPr>
          <w:sz w:val="24"/>
        </w:rPr>
        <w:t>year</w:t>
      </w:r>
      <w:r w:rsidR="001D5B89" w:rsidRPr="000E1F38">
        <w:rPr>
          <w:sz w:val="24"/>
        </w:rPr>
        <w:t>s</w:t>
      </w:r>
      <w:r w:rsidR="0082663C" w:rsidRPr="000E1F38">
        <w:rPr>
          <w:sz w:val="24"/>
        </w:rPr>
        <w:t xml:space="preserve"> to May</w:t>
      </w:r>
      <w:r w:rsidRPr="000E1F38">
        <w:rPr>
          <w:sz w:val="24"/>
        </w:rPr>
        <w:t xml:space="preserve"> 2013. Over the same period</w:t>
      </w:r>
      <w:r w:rsidR="000E3524" w:rsidRPr="000E1F38">
        <w:rPr>
          <w:sz w:val="24"/>
        </w:rPr>
        <w:t>,</w:t>
      </w:r>
      <w:r w:rsidRPr="000E1F38">
        <w:rPr>
          <w:sz w:val="24"/>
        </w:rPr>
        <w:t xml:space="preserve"> the participation rate</w:t>
      </w:r>
      <w:r w:rsidR="00DD78E7" w:rsidRPr="000E1F38">
        <w:rPr>
          <w:sz w:val="24"/>
        </w:rPr>
        <w:t xml:space="preserve"> </w:t>
      </w:r>
      <w:r w:rsidR="00D876F2" w:rsidRPr="000E1F38">
        <w:rPr>
          <w:sz w:val="24"/>
        </w:rPr>
        <w:t xml:space="preserve">also </w:t>
      </w:r>
      <w:r w:rsidR="0082663C" w:rsidRPr="000E1F38">
        <w:rPr>
          <w:sz w:val="24"/>
        </w:rPr>
        <w:t>decreased from 76.4</w:t>
      </w:r>
      <w:r w:rsidR="001D5B89" w:rsidRPr="000E1F38">
        <w:rPr>
          <w:sz w:val="24"/>
        </w:rPr>
        <w:t> </w:t>
      </w:r>
      <w:r w:rsidRPr="000E1F38">
        <w:rPr>
          <w:sz w:val="24"/>
        </w:rPr>
        <w:t>per</w:t>
      </w:r>
      <w:r w:rsidR="001D5B89" w:rsidRPr="000E1F38">
        <w:rPr>
          <w:sz w:val="24"/>
        </w:rPr>
        <w:t> </w:t>
      </w:r>
      <w:r w:rsidR="0082663C" w:rsidRPr="000E1F38">
        <w:rPr>
          <w:sz w:val="24"/>
        </w:rPr>
        <w:t>cent to 69.6</w:t>
      </w:r>
      <w:r w:rsidR="00DD78E7" w:rsidRPr="000E1F38">
        <w:rPr>
          <w:sz w:val="24"/>
        </w:rPr>
        <w:t> </w:t>
      </w:r>
      <w:r w:rsidRPr="000E1F38">
        <w:rPr>
          <w:sz w:val="24"/>
        </w:rPr>
        <w:t>per</w:t>
      </w:r>
      <w:r w:rsidR="0088258B" w:rsidRPr="000E1F38">
        <w:rPr>
          <w:sz w:val="24"/>
        </w:rPr>
        <w:t> </w:t>
      </w:r>
      <w:r w:rsidRPr="000E1F38">
        <w:rPr>
          <w:sz w:val="24"/>
        </w:rPr>
        <w:t>cent.</w:t>
      </w:r>
      <w:r w:rsidRPr="000E1F38">
        <w:rPr>
          <w:rStyle w:val="FootnoteReference"/>
          <w:rFonts w:eastAsiaTheme="minorHAnsi" w:cstheme="minorHAnsi"/>
          <w:sz w:val="24"/>
          <w:lang w:eastAsia="en-US"/>
        </w:rPr>
        <w:footnoteReference w:id="6"/>
      </w:r>
      <w:r w:rsidR="004D601B" w:rsidRPr="004420A3">
        <w:rPr>
          <w:sz w:val="24"/>
        </w:rPr>
        <w:t xml:space="preserve"> </w:t>
      </w:r>
    </w:p>
    <w:p w:rsidR="00FD74B2" w:rsidRDefault="00FD74B2" w:rsidP="00A6770B">
      <w:pPr>
        <w:spacing w:before="0" w:line="240" w:lineRule="auto"/>
        <w:jc w:val="both"/>
        <w:rPr>
          <w:sz w:val="24"/>
        </w:rPr>
      </w:pPr>
      <w:r w:rsidRPr="004420A3">
        <w:rPr>
          <w:sz w:val="24"/>
        </w:rPr>
        <w:t>The larges</w:t>
      </w:r>
      <w:r w:rsidR="008164DD" w:rsidRPr="004420A3">
        <w:rPr>
          <w:sz w:val="24"/>
        </w:rPr>
        <w:t>t employing industries for people</w:t>
      </w:r>
      <w:r w:rsidRPr="004420A3">
        <w:rPr>
          <w:sz w:val="24"/>
        </w:rPr>
        <w:t xml:space="preserve"> living in the Townsville PEA are Health Care and Social Assistance (12 per cent of all employment), Public Administration and Safety (11 per cent), and Retail Trade (11 per cent). Growth</w:t>
      </w:r>
      <w:r w:rsidR="0088258B">
        <w:rPr>
          <w:sz w:val="24"/>
        </w:rPr>
        <w:t xml:space="preserve"> in employment between 2006 and </w:t>
      </w:r>
      <w:r w:rsidRPr="004420A3">
        <w:rPr>
          <w:sz w:val="24"/>
        </w:rPr>
        <w:t>2011 was highest in the Health Care and Social Assistance and Construction industr</w:t>
      </w:r>
      <w:r w:rsidR="0088258B">
        <w:rPr>
          <w:sz w:val="24"/>
        </w:rPr>
        <w:t>ies, while employment fell</w:t>
      </w:r>
      <w:r w:rsidRPr="004420A3">
        <w:rPr>
          <w:sz w:val="24"/>
        </w:rPr>
        <w:t xml:space="preserve"> significantly in the Agriculture, Forestry and Fishing industry.</w:t>
      </w:r>
      <w:r w:rsidR="008164DD" w:rsidRPr="004420A3">
        <w:rPr>
          <w:rStyle w:val="FootnoteReference"/>
          <w:rFonts w:eastAsiaTheme="minorHAnsi" w:cstheme="minorHAnsi"/>
          <w:sz w:val="24"/>
          <w:lang w:eastAsia="en-US"/>
        </w:rPr>
        <w:footnoteReference w:id="7"/>
      </w:r>
      <w:r w:rsidRPr="004420A3">
        <w:rPr>
          <w:sz w:val="24"/>
        </w:rPr>
        <w:t xml:space="preserve"> </w:t>
      </w:r>
    </w:p>
    <w:p w:rsidR="00AB7E1C" w:rsidRPr="004420A3" w:rsidRDefault="00AB7E1C" w:rsidP="00A6770B">
      <w:pPr>
        <w:spacing w:before="0" w:line="240" w:lineRule="auto"/>
        <w:jc w:val="both"/>
        <w:rPr>
          <w:sz w:val="24"/>
        </w:rPr>
      </w:pPr>
    </w:p>
    <w:p w:rsidR="00FD74B2" w:rsidRPr="004420A3" w:rsidRDefault="00FD74B2" w:rsidP="00FD74B2">
      <w:pPr>
        <w:spacing w:before="0" w:after="0" w:line="240" w:lineRule="auto"/>
        <w:jc w:val="both"/>
        <w:rPr>
          <w:rFonts w:eastAsiaTheme="minorHAnsi" w:cstheme="minorHAnsi"/>
          <w:sz w:val="24"/>
          <w:lang w:eastAsia="en-US"/>
        </w:rPr>
      </w:pPr>
      <w:r w:rsidRPr="004420A3">
        <w:rPr>
          <w:rFonts w:eastAsiaTheme="minorHAnsi" w:cstheme="minorHAnsi"/>
          <w:sz w:val="24"/>
          <w:lang w:eastAsia="en-US"/>
        </w:rPr>
        <w:lastRenderedPageBreak/>
        <w:t>At th</w:t>
      </w:r>
      <w:r w:rsidR="0088258B">
        <w:rPr>
          <w:rFonts w:eastAsiaTheme="minorHAnsi" w:cstheme="minorHAnsi"/>
          <w:sz w:val="24"/>
          <w:lang w:eastAsia="en-US"/>
        </w:rPr>
        <w:t xml:space="preserve">e time of the 2011 Census, </w:t>
      </w:r>
      <w:r w:rsidRPr="004420A3">
        <w:rPr>
          <w:rFonts w:eastAsiaTheme="minorHAnsi" w:cstheme="minorHAnsi"/>
          <w:sz w:val="24"/>
          <w:lang w:eastAsia="en-US"/>
        </w:rPr>
        <w:t>7 per cent of the working age popul</w:t>
      </w:r>
      <w:r w:rsidR="000E3524" w:rsidRPr="004420A3">
        <w:rPr>
          <w:rFonts w:eastAsiaTheme="minorHAnsi" w:cstheme="minorHAnsi"/>
          <w:sz w:val="24"/>
          <w:lang w:eastAsia="en-US"/>
        </w:rPr>
        <w:t>ation in the Townsvill</w:t>
      </w:r>
      <w:r w:rsidR="0002713E">
        <w:rPr>
          <w:rFonts w:eastAsiaTheme="minorHAnsi" w:cstheme="minorHAnsi"/>
          <w:sz w:val="24"/>
          <w:lang w:eastAsia="en-US"/>
        </w:rPr>
        <w:t>e PEA identified as Indigenous (</w:t>
      </w:r>
      <w:r w:rsidRPr="004420A3">
        <w:rPr>
          <w:rFonts w:eastAsiaTheme="minorHAnsi" w:cstheme="minorHAnsi"/>
          <w:sz w:val="24"/>
          <w:lang w:eastAsia="en-US"/>
        </w:rPr>
        <w:t>3</w:t>
      </w:r>
      <w:r w:rsidR="002C4E60" w:rsidRPr="004420A3">
        <w:rPr>
          <w:rFonts w:eastAsiaTheme="minorHAnsi" w:cstheme="minorHAnsi"/>
          <w:sz w:val="24"/>
          <w:lang w:eastAsia="en-US"/>
        </w:rPr>
        <w:t> </w:t>
      </w:r>
      <w:r w:rsidRPr="004420A3">
        <w:rPr>
          <w:rFonts w:eastAsiaTheme="minorHAnsi" w:cstheme="minorHAnsi"/>
          <w:sz w:val="24"/>
          <w:lang w:eastAsia="en-US"/>
        </w:rPr>
        <w:t>per</w:t>
      </w:r>
      <w:r w:rsidR="002C4E60" w:rsidRPr="004420A3">
        <w:rPr>
          <w:rFonts w:eastAsiaTheme="minorHAnsi" w:cstheme="minorHAnsi"/>
          <w:sz w:val="24"/>
          <w:lang w:eastAsia="en-US"/>
        </w:rPr>
        <w:t> </w:t>
      </w:r>
      <w:r w:rsidR="0088258B">
        <w:rPr>
          <w:rFonts w:eastAsiaTheme="minorHAnsi" w:cstheme="minorHAnsi"/>
          <w:sz w:val="24"/>
          <w:lang w:eastAsia="en-US"/>
        </w:rPr>
        <w:t>cent for Queensland</w:t>
      </w:r>
      <w:r w:rsidR="0002713E">
        <w:rPr>
          <w:rFonts w:eastAsiaTheme="minorHAnsi" w:cstheme="minorHAnsi"/>
          <w:sz w:val="24"/>
          <w:lang w:eastAsia="en-US"/>
        </w:rPr>
        <w:t xml:space="preserve"> overall)</w:t>
      </w:r>
      <w:r w:rsidRPr="004420A3">
        <w:rPr>
          <w:rFonts w:eastAsiaTheme="minorHAnsi" w:cstheme="minorHAnsi"/>
          <w:sz w:val="24"/>
          <w:lang w:eastAsia="en-US"/>
        </w:rPr>
        <w:t xml:space="preserve">. </w:t>
      </w:r>
      <w:r w:rsidR="00E73BEC">
        <w:rPr>
          <w:rFonts w:eastAsiaTheme="minorHAnsi" w:cstheme="minorHAnsi"/>
          <w:sz w:val="24"/>
          <w:lang w:eastAsia="en-US"/>
        </w:rPr>
        <w:t xml:space="preserve">A significantly lower proportion of the </w:t>
      </w:r>
      <w:r w:rsidR="00E73BEC" w:rsidRPr="004420A3">
        <w:rPr>
          <w:rFonts w:eastAsiaTheme="minorHAnsi" w:cstheme="minorHAnsi"/>
          <w:sz w:val="24"/>
          <w:lang w:eastAsia="en-US"/>
        </w:rPr>
        <w:t xml:space="preserve">Indigenous working age population </w:t>
      </w:r>
      <w:r w:rsidRPr="004420A3">
        <w:rPr>
          <w:rFonts w:eastAsiaTheme="minorHAnsi" w:cstheme="minorHAnsi"/>
          <w:sz w:val="24"/>
          <w:lang w:eastAsia="en-US"/>
        </w:rPr>
        <w:t>(44</w:t>
      </w:r>
      <w:r w:rsidR="0088258B">
        <w:rPr>
          <w:rFonts w:eastAsiaTheme="minorHAnsi" w:cstheme="minorHAnsi"/>
          <w:sz w:val="24"/>
          <w:lang w:eastAsia="en-US"/>
        </w:rPr>
        <w:t> </w:t>
      </w:r>
      <w:r w:rsidRPr="004420A3">
        <w:rPr>
          <w:rFonts w:eastAsiaTheme="minorHAnsi" w:cstheme="minorHAnsi"/>
          <w:sz w:val="24"/>
          <w:lang w:eastAsia="en-US"/>
        </w:rPr>
        <w:t xml:space="preserve">per cent) in the </w:t>
      </w:r>
      <w:r w:rsidRPr="004420A3">
        <w:rPr>
          <w:rFonts w:cstheme="minorHAnsi"/>
          <w:sz w:val="24"/>
        </w:rPr>
        <w:t xml:space="preserve">Townsville </w:t>
      </w:r>
      <w:r w:rsidRPr="004420A3">
        <w:rPr>
          <w:rFonts w:eastAsiaTheme="minorHAnsi" w:cstheme="minorHAnsi"/>
          <w:sz w:val="24"/>
          <w:lang w:eastAsia="en-US"/>
        </w:rPr>
        <w:t xml:space="preserve">PEA were employed compared with </w:t>
      </w:r>
      <w:r w:rsidR="0002713E">
        <w:rPr>
          <w:rFonts w:eastAsiaTheme="minorHAnsi" w:cstheme="minorHAnsi"/>
          <w:sz w:val="24"/>
          <w:lang w:eastAsia="en-US"/>
        </w:rPr>
        <w:t xml:space="preserve">the </w:t>
      </w:r>
      <w:r w:rsidRPr="004420A3">
        <w:rPr>
          <w:rFonts w:eastAsiaTheme="minorHAnsi" w:cstheme="minorHAnsi"/>
          <w:sz w:val="24"/>
          <w:lang w:eastAsia="en-US"/>
        </w:rPr>
        <w:t>non-Indigenous working age population</w:t>
      </w:r>
      <w:r w:rsidR="00E73BEC">
        <w:rPr>
          <w:rFonts w:eastAsiaTheme="minorHAnsi" w:cstheme="minorHAnsi"/>
          <w:sz w:val="24"/>
          <w:lang w:eastAsia="en-US"/>
        </w:rPr>
        <w:t xml:space="preserve"> (</w:t>
      </w:r>
      <w:r w:rsidR="00E73BEC" w:rsidRPr="004420A3">
        <w:rPr>
          <w:rFonts w:eastAsiaTheme="minorHAnsi" w:cstheme="minorHAnsi"/>
          <w:sz w:val="24"/>
          <w:lang w:eastAsia="en-US"/>
        </w:rPr>
        <w:t>77 per cent</w:t>
      </w:r>
      <w:r w:rsidR="00E73BEC">
        <w:rPr>
          <w:rFonts w:eastAsiaTheme="minorHAnsi" w:cstheme="minorHAnsi"/>
          <w:sz w:val="24"/>
          <w:lang w:eastAsia="en-US"/>
        </w:rPr>
        <w:t>)</w:t>
      </w:r>
      <w:r w:rsidRPr="004420A3">
        <w:rPr>
          <w:rFonts w:eastAsiaTheme="minorHAnsi" w:cstheme="minorHAnsi"/>
          <w:sz w:val="24"/>
          <w:lang w:eastAsia="en-US"/>
        </w:rPr>
        <w:t>.</w:t>
      </w:r>
      <w:r w:rsidRPr="004420A3">
        <w:rPr>
          <w:rStyle w:val="FootnoteReference"/>
          <w:rFonts w:eastAsiaTheme="minorHAnsi" w:cstheme="minorHAnsi"/>
          <w:sz w:val="24"/>
          <w:lang w:eastAsia="en-US"/>
        </w:rPr>
        <w:footnoteReference w:id="8"/>
      </w:r>
      <w:r w:rsidRPr="004420A3">
        <w:rPr>
          <w:rFonts w:eastAsiaTheme="minorHAnsi" w:cstheme="minorHAnsi"/>
          <w:sz w:val="24"/>
          <w:lang w:eastAsia="en-US"/>
        </w:rPr>
        <w:t xml:space="preserve"> </w:t>
      </w:r>
    </w:p>
    <w:p w:rsidR="00FD74B2" w:rsidRPr="004420A3" w:rsidRDefault="00FD74B2" w:rsidP="00213EDD">
      <w:pPr>
        <w:spacing w:before="0" w:line="240" w:lineRule="auto"/>
        <w:contextualSpacing/>
        <w:jc w:val="both"/>
        <w:rPr>
          <w:rFonts w:eastAsiaTheme="minorHAnsi" w:cstheme="minorHAnsi"/>
          <w:sz w:val="24"/>
        </w:rPr>
      </w:pPr>
    </w:p>
    <w:p w:rsidR="00FD74B2" w:rsidRPr="004420A3" w:rsidRDefault="00FD74B2" w:rsidP="00FD74B2">
      <w:pPr>
        <w:pStyle w:val="RIESbriefreports"/>
        <w:spacing w:before="0"/>
        <w:rPr>
          <w:szCs w:val="24"/>
        </w:rPr>
      </w:pPr>
      <w:bookmarkStart w:id="84" w:name="_Toc357424983"/>
      <w:bookmarkStart w:id="85" w:name="_Toc359505762"/>
      <w:r w:rsidRPr="004420A3">
        <w:rPr>
          <w:szCs w:val="24"/>
        </w:rPr>
        <w:t xml:space="preserve">Recruitment </w:t>
      </w:r>
      <w:r w:rsidR="00A744E2" w:rsidRPr="004420A3">
        <w:rPr>
          <w:szCs w:val="24"/>
        </w:rPr>
        <w:t xml:space="preserve">Activity </w:t>
      </w:r>
      <w:bookmarkEnd w:id="84"/>
      <w:r w:rsidR="0073180F" w:rsidRPr="004420A3">
        <w:rPr>
          <w:szCs w:val="24"/>
        </w:rPr>
        <w:t>Slowing</w:t>
      </w:r>
      <w:bookmarkEnd w:id="85"/>
    </w:p>
    <w:p w:rsidR="00FD74B2" w:rsidRPr="004420A3" w:rsidRDefault="00FC3AB9" w:rsidP="00FD74B2">
      <w:pPr>
        <w:spacing w:before="0" w:line="240" w:lineRule="auto"/>
        <w:jc w:val="both"/>
        <w:rPr>
          <w:rFonts w:cstheme="minorHAnsi"/>
          <w:sz w:val="24"/>
        </w:rPr>
      </w:pPr>
      <w:r w:rsidRPr="004420A3">
        <w:rPr>
          <w:rFonts w:cstheme="minorHAnsi"/>
          <w:sz w:val="24"/>
        </w:rPr>
        <w:t>The d</w:t>
      </w:r>
      <w:r w:rsidR="00FD74B2" w:rsidRPr="004420A3">
        <w:rPr>
          <w:rFonts w:cstheme="minorHAnsi"/>
          <w:sz w:val="24"/>
        </w:rPr>
        <w:t xml:space="preserve">epartment conducts Surveys of Employers’ Recruitment Experiences in regions across Australia. A survey of the Townsville PEA was conducted in February 2013 and collected responses from 379 employers across the region. </w:t>
      </w:r>
      <w:r w:rsidR="000E3524" w:rsidRPr="004420A3">
        <w:rPr>
          <w:rFonts w:cstheme="minorHAnsi"/>
          <w:sz w:val="24"/>
        </w:rPr>
        <w:t xml:space="preserve">Previous surveys were conducted in November 2011, August 2010 and November 2009. </w:t>
      </w:r>
    </w:p>
    <w:p w:rsidR="00FC3AB9" w:rsidRPr="004420A3" w:rsidRDefault="00A744E2" w:rsidP="00FD74B2">
      <w:pPr>
        <w:spacing w:before="0" w:line="240" w:lineRule="auto"/>
        <w:jc w:val="both"/>
        <w:rPr>
          <w:rFonts w:eastAsiaTheme="minorHAnsi" w:cstheme="minorHAnsi"/>
          <w:sz w:val="24"/>
          <w:lang w:eastAsia="en-US"/>
        </w:rPr>
      </w:pPr>
      <w:r w:rsidRPr="004420A3">
        <w:rPr>
          <w:rFonts w:eastAsiaTheme="minorHAnsi" w:cstheme="minorHAnsi"/>
          <w:sz w:val="24"/>
          <w:lang w:eastAsia="en-US"/>
        </w:rPr>
        <w:t>In the year</w:t>
      </w:r>
      <w:r w:rsidR="00FD74B2" w:rsidRPr="004420A3">
        <w:rPr>
          <w:rFonts w:eastAsiaTheme="minorHAnsi" w:cstheme="minorHAnsi"/>
          <w:sz w:val="24"/>
          <w:lang w:eastAsia="en-US"/>
        </w:rPr>
        <w:t xml:space="preserve"> prior to the survey, 58 per cent of employers surveyed in the </w:t>
      </w:r>
      <w:r w:rsidR="00FD74B2" w:rsidRPr="004420A3">
        <w:rPr>
          <w:rFonts w:cstheme="minorHAnsi"/>
          <w:sz w:val="24"/>
        </w:rPr>
        <w:t>Townsville</w:t>
      </w:r>
      <w:r w:rsidR="00135535">
        <w:rPr>
          <w:rFonts w:eastAsiaTheme="minorHAnsi" w:cstheme="minorHAnsi"/>
          <w:sz w:val="24"/>
          <w:lang w:eastAsia="en-US"/>
        </w:rPr>
        <w:t xml:space="preserve"> PEA had recruited. This </w:t>
      </w:r>
      <w:r w:rsidR="00FD74B2" w:rsidRPr="004420A3">
        <w:rPr>
          <w:rFonts w:eastAsiaTheme="minorHAnsi" w:cstheme="minorHAnsi"/>
          <w:sz w:val="24"/>
          <w:lang w:eastAsia="en-US"/>
        </w:rPr>
        <w:t xml:space="preserve">was </w:t>
      </w:r>
      <w:r w:rsidR="00135535">
        <w:rPr>
          <w:rFonts w:eastAsiaTheme="minorHAnsi" w:cstheme="minorHAnsi"/>
          <w:sz w:val="24"/>
          <w:lang w:eastAsia="en-US"/>
        </w:rPr>
        <w:t>considerably lower than w</w:t>
      </w:r>
      <w:r w:rsidR="00FD74B2" w:rsidRPr="004420A3">
        <w:rPr>
          <w:rFonts w:eastAsiaTheme="minorHAnsi" w:cstheme="minorHAnsi"/>
          <w:sz w:val="24"/>
          <w:lang w:eastAsia="en-US"/>
        </w:rPr>
        <w:t>hen the region was last surveyed in November 2011</w:t>
      </w:r>
      <w:r w:rsidR="00A6770B" w:rsidRPr="004420A3">
        <w:rPr>
          <w:rFonts w:eastAsiaTheme="minorHAnsi" w:cstheme="minorHAnsi"/>
          <w:sz w:val="24"/>
          <w:lang w:eastAsia="en-US"/>
        </w:rPr>
        <w:t xml:space="preserve"> (69 per cent), but still on a par with all regions surveyed</w:t>
      </w:r>
      <w:r w:rsidR="00135535">
        <w:rPr>
          <w:rFonts w:eastAsiaTheme="minorHAnsi" w:cstheme="minorHAnsi"/>
          <w:sz w:val="24"/>
          <w:lang w:eastAsia="en-US"/>
        </w:rPr>
        <w:t xml:space="preserve"> (58 per cent)</w:t>
      </w:r>
      <w:r w:rsidR="00A6770B" w:rsidRPr="004420A3">
        <w:rPr>
          <w:rFonts w:eastAsiaTheme="minorHAnsi" w:cstheme="minorHAnsi"/>
          <w:sz w:val="24"/>
          <w:lang w:eastAsia="en-US"/>
        </w:rPr>
        <w:t xml:space="preserve">. </w:t>
      </w:r>
    </w:p>
    <w:p w:rsidR="00FD74B2" w:rsidRPr="004420A3" w:rsidRDefault="000E3524" w:rsidP="00FD74B2">
      <w:pPr>
        <w:spacing w:before="0" w:line="240" w:lineRule="auto"/>
        <w:jc w:val="both"/>
        <w:rPr>
          <w:rFonts w:eastAsiaTheme="minorHAnsi" w:cstheme="minorHAnsi"/>
          <w:sz w:val="24"/>
          <w:lang w:eastAsia="en-US"/>
        </w:rPr>
      </w:pPr>
      <w:r w:rsidRPr="004420A3">
        <w:rPr>
          <w:rFonts w:eastAsiaTheme="minorHAnsi" w:cstheme="minorHAnsi"/>
          <w:sz w:val="24"/>
          <w:lang w:eastAsia="en-US"/>
        </w:rPr>
        <w:t>The annual recruitment rate (</w:t>
      </w:r>
      <w:r w:rsidR="00FD74B2" w:rsidRPr="004420A3">
        <w:rPr>
          <w:rFonts w:eastAsiaTheme="minorHAnsi" w:cstheme="minorHAnsi"/>
          <w:sz w:val="24"/>
          <w:lang w:eastAsia="en-US"/>
        </w:rPr>
        <w:t>22 vacancies per 100 staff</w:t>
      </w:r>
      <w:r w:rsidRPr="004420A3">
        <w:rPr>
          <w:rFonts w:eastAsiaTheme="minorHAnsi" w:cstheme="minorHAnsi"/>
          <w:sz w:val="24"/>
          <w:lang w:eastAsia="en-US"/>
        </w:rPr>
        <w:t>) had also fallen slightly since November 2011 (25 vacancies per 100 staff)</w:t>
      </w:r>
      <w:r w:rsidR="00FD74B2" w:rsidRPr="004420A3">
        <w:rPr>
          <w:rFonts w:eastAsiaTheme="minorHAnsi" w:cstheme="minorHAnsi"/>
          <w:sz w:val="24"/>
          <w:lang w:eastAsia="en-US"/>
        </w:rPr>
        <w:t xml:space="preserve">, </w:t>
      </w:r>
      <w:r w:rsidRPr="004420A3">
        <w:rPr>
          <w:rFonts w:eastAsiaTheme="minorHAnsi" w:cstheme="minorHAnsi"/>
          <w:sz w:val="24"/>
          <w:lang w:eastAsia="en-US"/>
        </w:rPr>
        <w:t xml:space="preserve">but </w:t>
      </w:r>
      <w:r w:rsidR="00FD74B2" w:rsidRPr="004420A3">
        <w:rPr>
          <w:rFonts w:eastAsiaTheme="minorHAnsi" w:cstheme="minorHAnsi"/>
          <w:sz w:val="24"/>
          <w:lang w:eastAsia="en-US"/>
        </w:rPr>
        <w:t xml:space="preserve">was still </w:t>
      </w:r>
      <w:r w:rsidR="00FC3AB9" w:rsidRPr="004420A3">
        <w:rPr>
          <w:rFonts w:eastAsiaTheme="minorHAnsi" w:cstheme="minorHAnsi"/>
          <w:sz w:val="24"/>
          <w:lang w:eastAsia="en-US"/>
        </w:rPr>
        <w:t xml:space="preserve">relatively </w:t>
      </w:r>
      <w:r w:rsidRPr="004420A3">
        <w:rPr>
          <w:rFonts w:eastAsiaTheme="minorHAnsi" w:cstheme="minorHAnsi"/>
          <w:sz w:val="24"/>
          <w:lang w:eastAsia="en-US"/>
        </w:rPr>
        <w:t>high when compared with</w:t>
      </w:r>
      <w:r w:rsidR="00FD74B2" w:rsidRPr="004420A3">
        <w:rPr>
          <w:rFonts w:eastAsiaTheme="minorHAnsi" w:cstheme="minorHAnsi"/>
          <w:sz w:val="24"/>
          <w:lang w:eastAsia="en-US"/>
        </w:rPr>
        <w:t xml:space="preserve"> all regions surveyed to March 2013 (17 vacancies per 100 staff). </w:t>
      </w:r>
    </w:p>
    <w:p w:rsidR="006726AE" w:rsidRPr="004420A3" w:rsidRDefault="006726AE" w:rsidP="006726AE">
      <w:pPr>
        <w:pStyle w:val="ListParagraph"/>
        <w:numPr>
          <w:ilvl w:val="0"/>
          <w:numId w:val="44"/>
        </w:numPr>
        <w:spacing w:after="0" w:line="240" w:lineRule="auto"/>
        <w:jc w:val="both"/>
        <w:rPr>
          <w:rFonts w:asciiTheme="minorHAnsi" w:eastAsiaTheme="minorHAnsi" w:hAnsiTheme="minorHAnsi" w:cstheme="minorHAnsi"/>
          <w:color w:val="auto"/>
          <w:szCs w:val="24"/>
          <w:lang w:val="en-AU" w:bidi="ar-SA"/>
        </w:rPr>
      </w:pPr>
      <w:r w:rsidRPr="004420A3">
        <w:rPr>
          <w:rFonts w:asciiTheme="minorHAnsi" w:eastAsiaTheme="minorHAnsi" w:hAnsiTheme="minorHAnsi" w:cstheme="minorHAnsi"/>
          <w:color w:val="auto"/>
          <w:szCs w:val="24"/>
          <w:lang w:val="en-AU" w:bidi="ar-SA"/>
        </w:rPr>
        <w:t>At the industry level, declines in the recruitment rate occurred in a range of major industries, including Manufacturing, Construction, Retail Trade</w:t>
      </w:r>
      <w:r w:rsidR="00323C20" w:rsidRPr="004420A3">
        <w:rPr>
          <w:rFonts w:asciiTheme="minorHAnsi" w:eastAsiaTheme="minorHAnsi" w:hAnsiTheme="minorHAnsi" w:cstheme="minorHAnsi"/>
          <w:color w:val="auto"/>
          <w:szCs w:val="24"/>
          <w:lang w:val="en-AU" w:bidi="ar-SA"/>
        </w:rPr>
        <w:t>,</w:t>
      </w:r>
      <w:r w:rsidRPr="004420A3">
        <w:rPr>
          <w:rFonts w:asciiTheme="minorHAnsi" w:eastAsiaTheme="minorHAnsi" w:hAnsiTheme="minorHAnsi" w:cstheme="minorHAnsi"/>
          <w:color w:val="auto"/>
          <w:szCs w:val="24"/>
          <w:lang w:val="en-AU" w:bidi="ar-SA"/>
        </w:rPr>
        <w:t xml:space="preserve"> and Health Care and Social Assistance. However, aside from Construction, recruitment activity for these industries was higher than the all-regions average. </w:t>
      </w:r>
    </w:p>
    <w:p w:rsidR="006726AE" w:rsidRPr="004420A3" w:rsidRDefault="006726AE" w:rsidP="006726AE">
      <w:pPr>
        <w:pStyle w:val="ListParagraph"/>
        <w:numPr>
          <w:ilvl w:val="0"/>
          <w:numId w:val="44"/>
        </w:numPr>
        <w:spacing w:after="0" w:line="240" w:lineRule="auto"/>
        <w:jc w:val="both"/>
        <w:rPr>
          <w:rFonts w:asciiTheme="minorHAnsi" w:eastAsiaTheme="minorHAnsi" w:hAnsiTheme="minorHAnsi" w:cstheme="minorHAnsi"/>
          <w:color w:val="auto"/>
          <w:szCs w:val="24"/>
          <w:lang w:val="en-AU" w:bidi="ar-SA"/>
        </w:rPr>
      </w:pPr>
      <w:r w:rsidRPr="004420A3">
        <w:rPr>
          <w:rFonts w:asciiTheme="minorHAnsi" w:eastAsiaTheme="minorHAnsi" w:hAnsiTheme="minorHAnsi" w:cstheme="minorHAnsi"/>
          <w:color w:val="auto"/>
          <w:szCs w:val="24"/>
          <w:lang w:val="en-AU" w:bidi="ar-SA"/>
        </w:rPr>
        <w:t>The recruitment rate remained notably high in the Accommodation and Food Services industry (48 vacancies per 100 staff), reflecting the high level of staff turnover in the industry.</w:t>
      </w:r>
    </w:p>
    <w:p w:rsidR="006726AE" w:rsidRPr="004420A3" w:rsidRDefault="006726AE" w:rsidP="00FD74B2">
      <w:pPr>
        <w:spacing w:before="0" w:line="240" w:lineRule="auto"/>
        <w:jc w:val="both"/>
        <w:rPr>
          <w:rFonts w:eastAsiaTheme="minorHAnsi" w:cstheme="minorHAnsi"/>
          <w:sz w:val="24"/>
          <w:lang w:eastAsia="en-US"/>
        </w:rPr>
      </w:pPr>
    </w:p>
    <w:p w:rsidR="00FD74B2" w:rsidRPr="004420A3" w:rsidRDefault="00FD74B2" w:rsidP="00FD74B2">
      <w:pPr>
        <w:spacing w:before="0" w:line="240" w:lineRule="auto"/>
        <w:jc w:val="both"/>
        <w:rPr>
          <w:rFonts w:eastAsiaTheme="minorHAnsi" w:cstheme="minorHAnsi"/>
          <w:sz w:val="24"/>
          <w:lang w:eastAsia="en-US"/>
        </w:rPr>
      </w:pPr>
      <w:r w:rsidRPr="004420A3">
        <w:rPr>
          <w:rFonts w:cstheme="minorHAnsi"/>
          <w:b/>
          <w:i/>
          <w:sz w:val="24"/>
        </w:rPr>
        <w:t>Table 1.  Recruitment experiences in the 12 months preceding the survey</w:t>
      </w:r>
    </w:p>
    <w:tbl>
      <w:tblPr>
        <w:tblW w:w="5173" w:type="pct"/>
        <w:jc w:val="center"/>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9"/>
        <w:gridCol w:w="1603"/>
        <w:gridCol w:w="1602"/>
        <w:gridCol w:w="1602"/>
        <w:gridCol w:w="1731"/>
      </w:tblGrid>
      <w:tr w:rsidR="00FD74B2" w:rsidRPr="004420A3" w:rsidTr="00213EDD">
        <w:trPr>
          <w:trHeight w:val="1481"/>
          <w:jc w:val="center"/>
        </w:trPr>
        <w:tc>
          <w:tcPr>
            <w:tcW w:w="1597" w:type="pct"/>
            <w:shd w:val="clear" w:color="auto" w:fill="F2F2F2" w:themeFill="background1" w:themeFillShade="F2"/>
            <w:noWrap/>
            <w:vAlign w:val="center"/>
          </w:tcPr>
          <w:p w:rsidR="00FD74B2" w:rsidRPr="004420A3" w:rsidRDefault="00FD74B2" w:rsidP="00CB4C8F">
            <w:pPr>
              <w:keepNext/>
              <w:spacing w:before="0" w:after="0" w:line="240" w:lineRule="auto"/>
              <w:contextualSpacing/>
              <w:rPr>
                <w:rFonts w:cstheme="minorHAnsi"/>
                <w:b/>
                <w:szCs w:val="22"/>
              </w:rPr>
            </w:pPr>
          </w:p>
        </w:tc>
        <w:tc>
          <w:tcPr>
            <w:tcW w:w="834" w:type="pct"/>
            <w:shd w:val="clear" w:color="auto" w:fill="B8CCE4" w:themeFill="accent1" w:themeFillTint="66"/>
            <w:vAlign w:val="center"/>
          </w:tcPr>
          <w:p w:rsidR="00FD74B2" w:rsidRPr="004420A3" w:rsidRDefault="00FD74B2" w:rsidP="00CB4C8F">
            <w:pPr>
              <w:keepNext/>
              <w:spacing w:before="0" w:after="0" w:line="240" w:lineRule="auto"/>
              <w:contextualSpacing/>
              <w:jc w:val="center"/>
              <w:rPr>
                <w:rFonts w:cstheme="minorHAnsi"/>
                <w:b/>
                <w:szCs w:val="22"/>
              </w:rPr>
            </w:pPr>
            <w:r w:rsidRPr="004420A3">
              <w:rPr>
                <w:rFonts w:eastAsiaTheme="minorHAnsi" w:cstheme="minorHAnsi"/>
                <w:b/>
                <w:szCs w:val="22"/>
                <w:lang w:eastAsia="en-US"/>
              </w:rPr>
              <w:t>Townsville PEA (Feb 2013)</w:t>
            </w:r>
          </w:p>
        </w:tc>
        <w:tc>
          <w:tcPr>
            <w:tcW w:w="834" w:type="pct"/>
            <w:shd w:val="clear" w:color="auto" w:fill="E5B8B7" w:themeFill="accent2" w:themeFillTint="66"/>
            <w:vAlign w:val="center"/>
          </w:tcPr>
          <w:p w:rsidR="00FD74B2" w:rsidRPr="004420A3" w:rsidRDefault="00FD74B2" w:rsidP="00CB4C8F">
            <w:pPr>
              <w:keepNext/>
              <w:spacing w:before="0" w:after="0" w:line="240" w:lineRule="auto"/>
              <w:contextualSpacing/>
              <w:jc w:val="center"/>
              <w:rPr>
                <w:rFonts w:cstheme="minorHAnsi"/>
                <w:b/>
                <w:szCs w:val="22"/>
              </w:rPr>
            </w:pPr>
            <w:r w:rsidRPr="004420A3">
              <w:rPr>
                <w:rFonts w:eastAsiaTheme="minorHAnsi" w:cstheme="minorHAnsi"/>
                <w:b/>
                <w:szCs w:val="22"/>
                <w:lang w:eastAsia="en-US"/>
              </w:rPr>
              <w:t>Townsville PEA (Nov 2011)</w:t>
            </w:r>
          </w:p>
        </w:tc>
        <w:tc>
          <w:tcPr>
            <w:tcW w:w="834" w:type="pct"/>
            <w:shd w:val="clear" w:color="auto" w:fill="E5B8B7" w:themeFill="accent2" w:themeFillTint="66"/>
            <w:vAlign w:val="center"/>
          </w:tcPr>
          <w:p w:rsidR="00FD74B2" w:rsidRPr="004420A3" w:rsidRDefault="00FD74B2" w:rsidP="00CB4C8F">
            <w:pPr>
              <w:keepNext/>
              <w:spacing w:before="0" w:after="0" w:line="240" w:lineRule="auto"/>
              <w:contextualSpacing/>
              <w:jc w:val="center"/>
              <w:rPr>
                <w:rFonts w:eastAsiaTheme="minorHAnsi" w:cstheme="minorHAnsi"/>
                <w:b/>
                <w:szCs w:val="22"/>
                <w:lang w:eastAsia="en-US"/>
              </w:rPr>
            </w:pPr>
            <w:r w:rsidRPr="004420A3">
              <w:rPr>
                <w:rFonts w:eastAsiaTheme="minorHAnsi" w:cstheme="minorHAnsi"/>
                <w:b/>
                <w:szCs w:val="22"/>
                <w:lang w:eastAsia="en-US"/>
              </w:rPr>
              <w:t xml:space="preserve">Townsville PEA </w:t>
            </w:r>
          </w:p>
          <w:p w:rsidR="00FD74B2" w:rsidRPr="004420A3" w:rsidRDefault="00FD74B2" w:rsidP="00CB4C8F">
            <w:pPr>
              <w:keepNext/>
              <w:spacing w:before="0" w:after="0" w:line="240" w:lineRule="auto"/>
              <w:contextualSpacing/>
              <w:jc w:val="center"/>
              <w:rPr>
                <w:rFonts w:eastAsiaTheme="minorHAnsi" w:cstheme="minorHAnsi"/>
                <w:b/>
                <w:szCs w:val="22"/>
                <w:lang w:eastAsia="en-US"/>
              </w:rPr>
            </w:pPr>
            <w:r w:rsidRPr="004420A3">
              <w:rPr>
                <w:rFonts w:eastAsiaTheme="minorHAnsi" w:cstheme="minorHAnsi"/>
                <w:b/>
                <w:szCs w:val="22"/>
                <w:lang w:eastAsia="en-US"/>
              </w:rPr>
              <w:t>(Aug 2010)</w:t>
            </w:r>
          </w:p>
        </w:tc>
        <w:tc>
          <w:tcPr>
            <w:tcW w:w="901" w:type="pct"/>
            <w:shd w:val="clear" w:color="auto" w:fill="E5B8B7" w:themeFill="accent2" w:themeFillTint="66"/>
            <w:vAlign w:val="center"/>
          </w:tcPr>
          <w:p w:rsidR="00FD74B2" w:rsidRPr="004420A3" w:rsidRDefault="00213EDD" w:rsidP="00CB4C8F">
            <w:pPr>
              <w:keepNext/>
              <w:spacing w:before="0" w:after="0" w:line="240" w:lineRule="auto"/>
              <w:contextualSpacing/>
              <w:jc w:val="center"/>
              <w:rPr>
                <w:rFonts w:cstheme="minorHAnsi"/>
                <w:b/>
                <w:szCs w:val="22"/>
              </w:rPr>
            </w:pPr>
            <w:r w:rsidRPr="004420A3">
              <w:rPr>
                <w:rFonts w:cstheme="minorHAnsi"/>
                <w:b/>
                <w:szCs w:val="22"/>
              </w:rPr>
              <w:t>A</w:t>
            </w:r>
            <w:r w:rsidR="00FD74B2" w:rsidRPr="004420A3">
              <w:rPr>
                <w:rFonts w:cstheme="minorHAnsi"/>
                <w:b/>
                <w:szCs w:val="22"/>
              </w:rPr>
              <w:t>ll regions surveyed</w:t>
            </w:r>
          </w:p>
          <w:p w:rsidR="00FD74B2" w:rsidRPr="004420A3" w:rsidRDefault="00FD74B2" w:rsidP="00CB4C8F">
            <w:pPr>
              <w:keepNext/>
              <w:spacing w:before="0" w:after="0" w:line="240" w:lineRule="auto"/>
              <w:contextualSpacing/>
              <w:jc w:val="center"/>
              <w:rPr>
                <w:rFonts w:cstheme="minorHAnsi"/>
                <w:b/>
                <w:szCs w:val="22"/>
              </w:rPr>
            </w:pPr>
            <w:r w:rsidRPr="004420A3">
              <w:rPr>
                <w:rFonts w:cstheme="minorHAnsi"/>
                <w:b/>
                <w:szCs w:val="22"/>
              </w:rPr>
              <w:t>(12 months to Mar 2012)</w:t>
            </w:r>
          </w:p>
        </w:tc>
      </w:tr>
      <w:tr w:rsidR="00FD74B2" w:rsidRPr="004420A3" w:rsidTr="00CB4C8F">
        <w:trPr>
          <w:trHeight w:val="584"/>
          <w:jc w:val="center"/>
        </w:trPr>
        <w:tc>
          <w:tcPr>
            <w:tcW w:w="1597" w:type="pct"/>
            <w:shd w:val="clear" w:color="auto" w:fill="auto"/>
            <w:noWrap/>
            <w:vAlign w:val="center"/>
          </w:tcPr>
          <w:p w:rsidR="00FD74B2" w:rsidRPr="004420A3" w:rsidRDefault="00FD74B2" w:rsidP="00CB4C8F">
            <w:pPr>
              <w:keepNext/>
              <w:spacing w:before="0" w:after="0" w:line="240" w:lineRule="auto"/>
              <w:contextualSpacing/>
              <w:rPr>
                <w:rFonts w:cstheme="minorHAnsi"/>
                <w:b/>
                <w:szCs w:val="22"/>
              </w:rPr>
            </w:pPr>
            <w:r w:rsidRPr="004420A3">
              <w:rPr>
                <w:rFonts w:cstheme="minorHAnsi"/>
                <w:b/>
                <w:szCs w:val="22"/>
              </w:rPr>
              <w:t>Proportion of employers who recruited</w:t>
            </w:r>
          </w:p>
        </w:tc>
        <w:tc>
          <w:tcPr>
            <w:tcW w:w="834" w:type="pct"/>
            <w:shd w:val="clear" w:color="auto" w:fill="B8CCE4" w:themeFill="accent1" w:themeFillTint="66"/>
            <w:vAlign w:val="center"/>
          </w:tcPr>
          <w:p w:rsidR="00FD74B2" w:rsidRPr="004420A3" w:rsidRDefault="00FD74B2" w:rsidP="00CB4C8F">
            <w:pPr>
              <w:keepNext/>
              <w:spacing w:before="0" w:after="0" w:line="240" w:lineRule="auto"/>
              <w:ind w:right="-81"/>
              <w:contextualSpacing/>
              <w:jc w:val="center"/>
              <w:rPr>
                <w:rFonts w:cstheme="minorHAnsi"/>
                <w:b/>
                <w:szCs w:val="22"/>
              </w:rPr>
            </w:pPr>
            <w:r w:rsidRPr="004420A3">
              <w:rPr>
                <w:rFonts w:cstheme="minorHAnsi"/>
                <w:b/>
                <w:szCs w:val="22"/>
              </w:rPr>
              <w:t>58%</w:t>
            </w:r>
          </w:p>
        </w:tc>
        <w:tc>
          <w:tcPr>
            <w:tcW w:w="834" w:type="pct"/>
            <w:vAlign w:val="center"/>
          </w:tcPr>
          <w:p w:rsidR="00FD74B2" w:rsidRPr="004420A3" w:rsidRDefault="00FD74B2" w:rsidP="00CB4C8F">
            <w:pPr>
              <w:keepNext/>
              <w:spacing w:before="0" w:after="0" w:line="240" w:lineRule="auto"/>
              <w:ind w:right="-81"/>
              <w:contextualSpacing/>
              <w:jc w:val="center"/>
              <w:rPr>
                <w:rFonts w:cstheme="minorHAnsi"/>
                <w:szCs w:val="22"/>
              </w:rPr>
            </w:pPr>
            <w:r w:rsidRPr="004420A3">
              <w:rPr>
                <w:rFonts w:cstheme="minorHAnsi"/>
                <w:szCs w:val="22"/>
              </w:rPr>
              <w:t>69%</w:t>
            </w:r>
          </w:p>
        </w:tc>
        <w:tc>
          <w:tcPr>
            <w:tcW w:w="834" w:type="pct"/>
            <w:vAlign w:val="center"/>
          </w:tcPr>
          <w:p w:rsidR="00FD74B2" w:rsidRPr="004420A3" w:rsidRDefault="00FD74B2" w:rsidP="00CB4C8F">
            <w:pPr>
              <w:keepNext/>
              <w:spacing w:before="0" w:after="0" w:line="240" w:lineRule="auto"/>
              <w:ind w:right="-81"/>
              <w:contextualSpacing/>
              <w:jc w:val="center"/>
              <w:rPr>
                <w:rFonts w:cstheme="minorHAnsi"/>
                <w:szCs w:val="22"/>
              </w:rPr>
            </w:pPr>
            <w:r w:rsidRPr="004420A3">
              <w:rPr>
                <w:rFonts w:cstheme="minorHAnsi"/>
                <w:szCs w:val="22"/>
              </w:rPr>
              <w:t>75%</w:t>
            </w:r>
          </w:p>
        </w:tc>
        <w:tc>
          <w:tcPr>
            <w:tcW w:w="901" w:type="pct"/>
            <w:shd w:val="clear" w:color="auto" w:fill="auto"/>
            <w:vAlign w:val="center"/>
          </w:tcPr>
          <w:p w:rsidR="00FD74B2" w:rsidRPr="004420A3" w:rsidRDefault="00FD74B2" w:rsidP="00CB4C8F">
            <w:pPr>
              <w:keepNext/>
              <w:spacing w:before="0" w:after="0" w:line="240" w:lineRule="auto"/>
              <w:ind w:right="-81"/>
              <w:contextualSpacing/>
              <w:jc w:val="center"/>
              <w:rPr>
                <w:rFonts w:cstheme="minorHAnsi"/>
                <w:szCs w:val="22"/>
              </w:rPr>
            </w:pPr>
            <w:r w:rsidRPr="004420A3">
              <w:rPr>
                <w:rFonts w:cstheme="minorHAnsi"/>
                <w:szCs w:val="22"/>
              </w:rPr>
              <w:t>58%</w:t>
            </w:r>
          </w:p>
        </w:tc>
      </w:tr>
      <w:tr w:rsidR="00FD74B2" w:rsidRPr="004420A3" w:rsidTr="00CB4C8F">
        <w:trPr>
          <w:trHeight w:val="562"/>
          <w:jc w:val="center"/>
        </w:trPr>
        <w:tc>
          <w:tcPr>
            <w:tcW w:w="1597" w:type="pct"/>
            <w:shd w:val="clear" w:color="auto" w:fill="auto"/>
            <w:noWrap/>
            <w:vAlign w:val="center"/>
          </w:tcPr>
          <w:p w:rsidR="00FD74B2" w:rsidRPr="004420A3" w:rsidRDefault="00FD74B2" w:rsidP="00CB4C8F">
            <w:pPr>
              <w:keepNext/>
              <w:spacing w:before="0" w:after="0" w:line="240" w:lineRule="auto"/>
              <w:contextualSpacing/>
              <w:rPr>
                <w:rFonts w:cstheme="minorHAnsi"/>
                <w:b/>
                <w:szCs w:val="22"/>
              </w:rPr>
            </w:pPr>
            <w:r w:rsidRPr="004420A3">
              <w:rPr>
                <w:rFonts w:cstheme="minorHAnsi"/>
                <w:b/>
                <w:szCs w:val="22"/>
              </w:rPr>
              <w:t>Annual vacancies per 100 staff (recruitment rate)</w:t>
            </w:r>
          </w:p>
        </w:tc>
        <w:tc>
          <w:tcPr>
            <w:tcW w:w="834" w:type="pct"/>
            <w:shd w:val="clear" w:color="auto" w:fill="B8CCE4" w:themeFill="accent1" w:themeFillTint="66"/>
            <w:vAlign w:val="center"/>
          </w:tcPr>
          <w:p w:rsidR="00FD74B2" w:rsidRPr="004420A3" w:rsidRDefault="00FD74B2" w:rsidP="00CB4C8F">
            <w:pPr>
              <w:keepNext/>
              <w:spacing w:before="0" w:after="0" w:line="240" w:lineRule="auto"/>
              <w:ind w:right="-81"/>
              <w:contextualSpacing/>
              <w:jc w:val="center"/>
              <w:rPr>
                <w:rFonts w:cstheme="minorHAnsi"/>
                <w:b/>
                <w:szCs w:val="22"/>
              </w:rPr>
            </w:pPr>
            <w:r w:rsidRPr="004420A3">
              <w:rPr>
                <w:rFonts w:cstheme="minorHAnsi"/>
                <w:b/>
                <w:szCs w:val="22"/>
              </w:rPr>
              <w:t>22</w:t>
            </w:r>
          </w:p>
        </w:tc>
        <w:tc>
          <w:tcPr>
            <w:tcW w:w="834" w:type="pct"/>
            <w:vAlign w:val="center"/>
          </w:tcPr>
          <w:p w:rsidR="00FD74B2" w:rsidRPr="004420A3" w:rsidRDefault="00FD74B2" w:rsidP="00CB4C8F">
            <w:pPr>
              <w:keepNext/>
              <w:spacing w:before="0" w:after="0" w:line="240" w:lineRule="auto"/>
              <w:ind w:right="-81"/>
              <w:contextualSpacing/>
              <w:jc w:val="center"/>
              <w:rPr>
                <w:rFonts w:cstheme="minorHAnsi"/>
                <w:szCs w:val="22"/>
              </w:rPr>
            </w:pPr>
            <w:r w:rsidRPr="004420A3">
              <w:rPr>
                <w:rFonts w:cstheme="minorHAnsi"/>
                <w:szCs w:val="22"/>
              </w:rPr>
              <w:t>25</w:t>
            </w:r>
          </w:p>
        </w:tc>
        <w:tc>
          <w:tcPr>
            <w:tcW w:w="834" w:type="pct"/>
            <w:vAlign w:val="center"/>
          </w:tcPr>
          <w:p w:rsidR="00FD74B2" w:rsidRPr="004420A3" w:rsidRDefault="00FD74B2" w:rsidP="00CB4C8F">
            <w:pPr>
              <w:keepNext/>
              <w:spacing w:before="0" w:after="0" w:line="240" w:lineRule="auto"/>
              <w:ind w:right="-81"/>
              <w:contextualSpacing/>
              <w:jc w:val="center"/>
              <w:rPr>
                <w:rFonts w:cstheme="minorHAnsi"/>
                <w:szCs w:val="22"/>
              </w:rPr>
            </w:pPr>
            <w:r w:rsidRPr="004420A3">
              <w:rPr>
                <w:rFonts w:cstheme="minorHAnsi"/>
                <w:szCs w:val="22"/>
              </w:rPr>
              <w:t>25</w:t>
            </w:r>
          </w:p>
        </w:tc>
        <w:tc>
          <w:tcPr>
            <w:tcW w:w="901" w:type="pct"/>
            <w:shd w:val="clear" w:color="auto" w:fill="auto"/>
            <w:vAlign w:val="center"/>
          </w:tcPr>
          <w:p w:rsidR="00FD74B2" w:rsidRPr="004420A3" w:rsidRDefault="00FD74B2" w:rsidP="00CB4C8F">
            <w:pPr>
              <w:keepNext/>
              <w:spacing w:before="0" w:after="0" w:line="240" w:lineRule="auto"/>
              <w:ind w:right="-81"/>
              <w:contextualSpacing/>
              <w:jc w:val="center"/>
              <w:rPr>
                <w:rFonts w:cstheme="minorHAnsi"/>
                <w:szCs w:val="22"/>
              </w:rPr>
            </w:pPr>
            <w:r w:rsidRPr="004420A3">
              <w:rPr>
                <w:rFonts w:cstheme="minorHAnsi"/>
                <w:szCs w:val="22"/>
              </w:rPr>
              <w:t>17</w:t>
            </w:r>
          </w:p>
        </w:tc>
      </w:tr>
      <w:tr w:rsidR="00FD74B2" w:rsidRPr="004420A3" w:rsidTr="00CB4C8F">
        <w:trPr>
          <w:trHeight w:val="532"/>
          <w:jc w:val="center"/>
        </w:trPr>
        <w:tc>
          <w:tcPr>
            <w:tcW w:w="1597" w:type="pct"/>
            <w:shd w:val="clear" w:color="auto" w:fill="auto"/>
            <w:noWrap/>
            <w:vAlign w:val="center"/>
          </w:tcPr>
          <w:p w:rsidR="00FD74B2" w:rsidRPr="004420A3" w:rsidRDefault="00FD74B2" w:rsidP="00CB4C8F">
            <w:pPr>
              <w:keepNext/>
              <w:spacing w:before="0" w:after="0" w:line="240" w:lineRule="auto"/>
              <w:contextualSpacing/>
              <w:rPr>
                <w:rFonts w:cstheme="minorHAnsi"/>
                <w:b/>
                <w:szCs w:val="22"/>
              </w:rPr>
            </w:pPr>
            <w:r w:rsidRPr="004420A3">
              <w:rPr>
                <w:rFonts w:cstheme="minorHAnsi"/>
                <w:b/>
                <w:szCs w:val="22"/>
              </w:rPr>
              <w:t xml:space="preserve">Proportion of </w:t>
            </w:r>
            <w:r w:rsidR="00305AEF" w:rsidRPr="004420A3">
              <w:rPr>
                <w:rFonts w:cstheme="minorHAnsi"/>
                <w:b/>
                <w:szCs w:val="22"/>
              </w:rPr>
              <w:t>employers who had recruitment difficulty</w:t>
            </w:r>
          </w:p>
        </w:tc>
        <w:tc>
          <w:tcPr>
            <w:tcW w:w="834" w:type="pct"/>
            <w:shd w:val="clear" w:color="auto" w:fill="B8CCE4" w:themeFill="accent1" w:themeFillTint="66"/>
            <w:vAlign w:val="center"/>
          </w:tcPr>
          <w:p w:rsidR="00FD74B2" w:rsidRPr="004420A3" w:rsidRDefault="00305AEF" w:rsidP="00CB4C8F">
            <w:pPr>
              <w:keepNext/>
              <w:spacing w:before="0" w:after="0" w:line="240" w:lineRule="auto"/>
              <w:ind w:right="-81"/>
              <w:contextualSpacing/>
              <w:jc w:val="center"/>
              <w:rPr>
                <w:rFonts w:cstheme="minorHAnsi"/>
                <w:b/>
                <w:szCs w:val="22"/>
              </w:rPr>
            </w:pPr>
            <w:r w:rsidRPr="004420A3">
              <w:rPr>
                <w:rFonts w:cstheme="minorHAnsi"/>
                <w:b/>
                <w:szCs w:val="22"/>
              </w:rPr>
              <w:t>55</w:t>
            </w:r>
            <w:r w:rsidR="00FD74B2" w:rsidRPr="004420A3">
              <w:rPr>
                <w:rFonts w:cstheme="minorHAnsi"/>
                <w:b/>
                <w:szCs w:val="22"/>
              </w:rPr>
              <w:t>%</w:t>
            </w:r>
          </w:p>
        </w:tc>
        <w:tc>
          <w:tcPr>
            <w:tcW w:w="834" w:type="pct"/>
            <w:vAlign w:val="center"/>
          </w:tcPr>
          <w:p w:rsidR="00FD74B2" w:rsidRPr="004420A3" w:rsidRDefault="00305AEF" w:rsidP="00CB4C8F">
            <w:pPr>
              <w:keepNext/>
              <w:spacing w:before="0" w:after="0" w:line="240" w:lineRule="auto"/>
              <w:ind w:right="-81"/>
              <w:contextualSpacing/>
              <w:jc w:val="center"/>
              <w:rPr>
                <w:rFonts w:cstheme="minorHAnsi"/>
                <w:szCs w:val="22"/>
              </w:rPr>
            </w:pPr>
            <w:r w:rsidRPr="004420A3">
              <w:rPr>
                <w:rFonts w:cstheme="minorHAnsi"/>
                <w:szCs w:val="22"/>
              </w:rPr>
              <w:t>6</w:t>
            </w:r>
            <w:r w:rsidR="00FD74B2" w:rsidRPr="004420A3">
              <w:rPr>
                <w:rFonts w:cstheme="minorHAnsi"/>
                <w:szCs w:val="22"/>
              </w:rPr>
              <w:t>6%</w:t>
            </w:r>
          </w:p>
        </w:tc>
        <w:tc>
          <w:tcPr>
            <w:tcW w:w="834" w:type="pct"/>
            <w:vAlign w:val="center"/>
          </w:tcPr>
          <w:p w:rsidR="00FD74B2" w:rsidRPr="004420A3" w:rsidRDefault="00305AEF" w:rsidP="00CB4C8F">
            <w:pPr>
              <w:keepNext/>
              <w:spacing w:before="0" w:after="0" w:line="240" w:lineRule="auto"/>
              <w:ind w:right="-81"/>
              <w:contextualSpacing/>
              <w:jc w:val="center"/>
              <w:rPr>
                <w:rFonts w:cstheme="minorHAnsi"/>
                <w:szCs w:val="22"/>
              </w:rPr>
            </w:pPr>
            <w:r w:rsidRPr="004420A3">
              <w:rPr>
                <w:rFonts w:cstheme="minorHAnsi"/>
                <w:szCs w:val="22"/>
              </w:rPr>
              <w:t>55</w:t>
            </w:r>
            <w:r w:rsidR="00FD74B2" w:rsidRPr="004420A3">
              <w:rPr>
                <w:rFonts w:cstheme="minorHAnsi"/>
                <w:szCs w:val="22"/>
              </w:rPr>
              <w:t>%</w:t>
            </w:r>
          </w:p>
        </w:tc>
        <w:tc>
          <w:tcPr>
            <w:tcW w:w="901" w:type="pct"/>
            <w:shd w:val="clear" w:color="auto" w:fill="auto"/>
            <w:vAlign w:val="center"/>
          </w:tcPr>
          <w:p w:rsidR="00FD74B2" w:rsidRPr="004420A3" w:rsidRDefault="00C135FB" w:rsidP="00CB4C8F">
            <w:pPr>
              <w:keepNext/>
              <w:spacing w:before="0" w:after="0" w:line="240" w:lineRule="auto"/>
              <w:ind w:right="-81"/>
              <w:contextualSpacing/>
              <w:jc w:val="center"/>
              <w:rPr>
                <w:rFonts w:cstheme="minorHAnsi"/>
                <w:szCs w:val="22"/>
              </w:rPr>
            </w:pPr>
            <w:r w:rsidRPr="004420A3">
              <w:rPr>
                <w:rFonts w:cstheme="minorHAnsi"/>
                <w:szCs w:val="22"/>
              </w:rPr>
              <w:t>49</w:t>
            </w:r>
            <w:r w:rsidR="00FD74B2" w:rsidRPr="004420A3">
              <w:rPr>
                <w:rFonts w:cstheme="minorHAnsi"/>
                <w:szCs w:val="22"/>
              </w:rPr>
              <w:t>%</w:t>
            </w:r>
          </w:p>
        </w:tc>
      </w:tr>
    </w:tbl>
    <w:p w:rsidR="00FD74B2" w:rsidRPr="004420A3" w:rsidRDefault="00FD74B2" w:rsidP="00FD74B2">
      <w:pPr>
        <w:spacing w:before="0" w:after="0" w:line="240" w:lineRule="auto"/>
        <w:jc w:val="both"/>
        <w:rPr>
          <w:rFonts w:eastAsiaTheme="minorHAnsi" w:cstheme="minorHAnsi"/>
          <w:sz w:val="24"/>
          <w:lang w:eastAsia="en-US"/>
        </w:rPr>
      </w:pPr>
      <w:bookmarkStart w:id="86" w:name="_Toc357424984"/>
    </w:p>
    <w:p w:rsidR="00213EDD" w:rsidRPr="004420A3" w:rsidRDefault="00213EDD" w:rsidP="00FD74B2">
      <w:pPr>
        <w:spacing w:before="0" w:after="0" w:line="240" w:lineRule="auto"/>
        <w:jc w:val="both"/>
        <w:rPr>
          <w:rFonts w:eastAsiaTheme="minorHAnsi" w:cstheme="minorHAnsi"/>
          <w:sz w:val="24"/>
          <w:lang w:eastAsia="en-US"/>
        </w:rPr>
      </w:pPr>
    </w:p>
    <w:p w:rsidR="00213EDD" w:rsidRPr="004420A3" w:rsidRDefault="00213EDD" w:rsidP="00FD74B2">
      <w:pPr>
        <w:spacing w:before="0" w:after="0" w:line="240" w:lineRule="auto"/>
        <w:jc w:val="both"/>
        <w:rPr>
          <w:rFonts w:eastAsiaTheme="minorHAnsi" w:cstheme="minorHAnsi"/>
          <w:sz w:val="24"/>
          <w:lang w:eastAsia="en-US"/>
        </w:rPr>
      </w:pPr>
    </w:p>
    <w:p w:rsidR="00FD74B2" w:rsidRPr="004420A3" w:rsidRDefault="00B915DE" w:rsidP="00800464">
      <w:pPr>
        <w:pStyle w:val="RIESbriefreports"/>
        <w:spacing w:before="120"/>
        <w:contextualSpacing/>
        <w:rPr>
          <w:szCs w:val="24"/>
        </w:rPr>
      </w:pPr>
      <w:bookmarkStart w:id="87" w:name="_Toc357424985"/>
      <w:bookmarkStart w:id="88" w:name="_Toc359505763"/>
      <w:bookmarkEnd w:id="86"/>
      <w:r w:rsidRPr="004420A3">
        <w:rPr>
          <w:szCs w:val="24"/>
        </w:rPr>
        <w:lastRenderedPageBreak/>
        <w:t>C</w:t>
      </w:r>
      <w:r w:rsidR="00FD74B2" w:rsidRPr="004420A3">
        <w:rPr>
          <w:szCs w:val="24"/>
        </w:rPr>
        <w:t xml:space="preserve">ompetition for Vacancies </w:t>
      </w:r>
      <w:bookmarkEnd w:id="87"/>
      <w:r w:rsidR="0073180F" w:rsidRPr="004420A3">
        <w:rPr>
          <w:szCs w:val="24"/>
        </w:rPr>
        <w:t>Increasing</w:t>
      </w:r>
      <w:bookmarkEnd w:id="88"/>
    </w:p>
    <w:p w:rsidR="00FD74B2" w:rsidRPr="004420A3" w:rsidRDefault="00FD74B2" w:rsidP="00FD74B2">
      <w:pPr>
        <w:spacing w:before="0" w:after="0" w:line="240" w:lineRule="auto"/>
        <w:contextualSpacing/>
        <w:jc w:val="both"/>
        <w:rPr>
          <w:rFonts w:eastAsiaTheme="minorHAnsi" w:cstheme="minorHAnsi"/>
          <w:sz w:val="24"/>
          <w:lang w:eastAsia="en-US"/>
        </w:rPr>
      </w:pPr>
      <w:r w:rsidRPr="004420A3">
        <w:rPr>
          <w:rFonts w:eastAsiaTheme="minorHAnsi" w:cstheme="minorHAnsi"/>
          <w:sz w:val="24"/>
          <w:lang w:eastAsia="en-US"/>
        </w:rPr>
        <w:t xml:space="preserve">Employers had, on average, 9.8 applicants per vacancy in their most recent recruitment round. </w:t>
      </w:r>
      <w:r w:rsidR="0088258B">
        <w:rPr>
          <w:rFonts w:eastAsiaTheme="minorHAnsi" w:cstheme="minorHAnsi"/>
          <w:sz w:val="24"/>
          <w:lang w:eastAsia="en-US"/>
        </w:rPr>
        <w:t>Competition for vacancies has</w:t>
      </w:r>
      <w:r w:rsidRPr="004420A3">
        <w:rPr>
          <w:rFonts w:eastAsiaTheme="minorHAnsi" w:cstheme="minorHAnsi"/>
          <w:sz w:val="24"/>
          <w:lang w:eastAsia="en-US"/>
        </w:rPr>
        <w:t xml:space="preserve"> steadily increased since August 2010 </w:t>
      </w:r>
      <w:r w:rsidR="00465B64" w:rsidRPr="004420A3">
        <w:rPr>
          <w:rFonts w:eastAsiaTheme="minorHAnsi" w:cstheme="minorHAnsi"/>
          <w:sz w:val="24"/>
          <w:lang w:eastAsia="en-US"/>
        </w:rPr>
        <w:t>(5.4 appli</w:t>
      </w:r>
      <w:r w:rsidR="00EF09A8" w:rsidRPr="004420A3">
        <w:rPr>
          <w:rFonts w:eastAsiaTheme="minorHAnsi" w:cstheme="minorHAnsi"/>
          <w:sz w:val="24"/>
          <w:lang w:eastAsia="en-US"/>
        </w:rPr>
        <w:t>cants per vacancy) and November</w:t>
      </w:r>
      <w:r w:rsidR="00465B64" w:rsidRPr="004420A3">
        <w:rPr>
          <w:rFonts w:eastAsiaTheme="minorHAnsi" w:cstheme="minorHAnsi"/>
          <w:sz w:val="24"/>
          <w:lang w:eastAsia="en-US"/>
        </w:rPr>
        <w:t xml:space="preserve"> 2011 (</w:t>
      </w:r>
      <w:r w:rsidR="00EF09A8" w:rsidRPr="004420A3">
        <w:rPr>
          <w:rFonts w:eastAsiaTheme="minorHAnsi" w:cstheme="minorHAnsi"/>
          <w:sz w:val="24"/>
          <w:lang w:eastAsia="en-US"/>
        </w:rPr>
        <w:t>6.7 applicants per vacancy)</w:t>
      </w:r>
      <w:r w:rsidRPr="004420A3">
        <w:rPr>
          <w:rFonts w:eastAsiaTheme="minorHAnsi" w:cstheme="minorHAnsi"/>
          <w:sz w:val="24"/>
          <w:lang w:eastAsia="en-US"/>
        </w:rPr>
        <w:t xml:space="preserve">. </w:t>
      </w:r>
    </w:p>
    <w:p w:rsidR="00EF09A8" w:rsidRPr="004420A3" w:rsidRDefault="00465B64" w:rsidP="00A579F0">
      <w:pPr>
        <w:pStyle w:val="ListParagraph"/>
        <w:numPr>
          <w:ilvl w:val="0"/>
          <w:numId w:val="47"/>
        </w:numPr>
        <w:spacing w:after="120" w:line="240" w:lineRule="auto"/>
        <w:ind w:left="714" w:hanging="357"/>
        <w:jc w:val="both"/>
        <w:rPr>
          <w:rFonts w:asciiTheme="minorHAnsi" w:eastAsiaTheme="minorHAnsi" w:hAnsiTheme="minorHAnsi" w:cstheme="minorHAnsi"/>
          <w:color w:val="auto"/>
          <w:szCs w:val="24"/>
          <w:lang w:val="en-AU" w:bidi="ar-SA"/>
        </w:rPr>
      </w:pPr>
      <w:r w:rsidRPr="004420A3">
        <w:rPr>
          <w:rFonts w:asciiTheme="minorHAnsi" w:eastAsiaTheme="minorHAnsi" w:hAnsiTheme="minorHAnsi" w:cstheme="minorHAnsi"/>
          <w:color w:val="auto"/>
          <w:szCs w:val="24"/>
          <w:lang w:val="en-AU" w:bidi="ar-SA"/>
        </w:rPr>
        <w:t xml:space="preserve">The average number of applicants </w:t>
      </w:r>
      <w:r w:rsidR="00EF09A8" w:rsidRPr="004420A3">
        <w:rPr>
          <w:rFonts w:asciiTheme="minorHAnsi" w:eastAsiaTheme="minorHAnsi" w:hAnsiTheme="minorHAnsi" w:cstheme="minorHAnsi"/>
          <w:color w:val="auto"/>
          <w:szCs w:val="24"/>
          <w:lang w:val="en-AU" w:bidi="ar-SA"/>
        </w:rPr>
        <w:t xml:space="preserve">and suitable applicants </w:t>
      </w:r>
      <w:r w:rsidRPr="004420A3">
        <w:rPr>
          <w:rFonts w:asciiTheme="minorHAnsi" w:eastAsiaTheme="minorHAnsi" w:hAnsiTheme="minorHAnsi" w:cstheme="minorHAnsi"/>
          <w:color w:val="auto"/>
          <w:szCs w:val="24"/>
          <w:lang w:val="en-AU" w:bidi="ar-SA"/>
        </w:rPr>
        <w:t>for Technicians and Trades Worker</w:t>
      </w:r>
      <w:r w:rsidR="00EF09A8" w:rsidRPr="004420A3">
        <w:rPr>
          <w:rFonts w:asciiTheme="minorHAnsi" w:eastAsiaTheme="minorHAnsi" w:hAnsiTheme="minorHAnsi" w:cstheme="minorHAnsi"/>
          <w:color w:val="auto"/>
          <w:szCs w:val="24"/>
          <w:lang w:val="en-AU" w:bidi="ar-SA"/>
        </w:rPr>
        <w:t xml:space="preserve"> vacancies</w:t>
      </w:r>
      <w:r w:rsidRPr="004420A3">
        <w:rPr>
          <w:rFonts w:asciiTheme="minorHAnsi" w:eastAsiaTheme="minorHAnsi" w:hAnsiTheme="minorHAnsi" w:cstheme="minorHAnsi"/>
          <w:color w:val="auto"/>
          <w:szCs w:val="24"/>
          <w:lang w:val="en-AU" w:bidi="ar-SA"/>
        </w:rPr>
        <w:t xml:space="preserve"> </w:t>
      </w:r>
      <w:r w:rsidR="009574F2" w:rsidRPr="004420A3">
        <w:rPr>
          <w:rFonts w:asciiTheme="minorHAnsi" w:eastAsiaTheme="minorHAnsi" w:hAnsiTheme="minorHAnsi" w:cstheme="minorHAnsi"/>
          <w:color w:val="auto"/>
          <w:szCs w:val="24"/>
          <w:lang w:val="en-AU" w:bidi="ar-SA"/>
        </w:rPr>
        <w:t xml:space="preserve">(9.8 applicants and 2.5 </w:t>
      </w:r>
      <w:r w:rsidR="00EF09A8" w:rsidRPr="004420A3">
        <w:rPr>
          <w:rFonts w:asciiTheme="minorHAnsi" w:eastAsiaTheme="minorHAnsi" w:hAnsiTheme="minorHAnsi" w:cstheme="minorHAnsi"/>
          <w:color w:val="auto"/>
          <w:szCs w:val="24"/>
          <w:lang w:val="en-AU" w:bidi="ar-SA"/>
        </w:rPr>
        <w:t>suitable</w:t>
      </w:r>
      <w:r w:rsidR="009574F2" w:rsidRPr="004420A3">
        <w:rPr>
          <w:rFonts w:asciiTheme="minorHAnsi" w:eastAsiaTheme="minorHAnsi" w:hAnsiTheme="minorHAnsi" w:cstheme="minorHAnsi"/>
          <w:color w:val="auto"/>
          <w:szCs w:val="24"/>
          <w:lang w:val="en-AU" w:bidi="ar-SA"/>
        </w:rPr>
        <w:t xml:space="preserve"> applicants</w:t>
      </w:r>
      <w:r w:rsidR="00EF09A8" w:rsidRPr="004420A3">
        <w:rPr>
          <w:rFonts w:asciiTheme="minorHAnsi" w:eastAsiaTheme="minorHAnsi" w:hAnsiTheme="minorHAnsi" w:cstheme="minorHAnsi"/>
          <w:color w:val="auto"/>
          <w:szCs w:val="24"/>
          <w:lang w:val="en-AU" w:bidi="ar-SA"/>
        </w:rPr>
        <w:t xml:space="preserve">) </w:t>
      </w:r>
      <w:r w:rsidR="00BD1CB5" w:rsidRPr="004420A3">
        <w:rPr>
          <w:rFonts w:asciiTheme="minorHAnsi" w:eastAsiaTheme="minorHAnsi" w:hAnsiTheme="minorHAnsi" w:cstheme="minorHAnsi"/>
          <w:color w:val="auto"/>
          <w:szCs w:val="24"/>
          <w:lang w:val="en-AU" w:bidi="ar-SA"/>
        </w:rPr>
        <w:t xml:space="preserve">had </w:t>
      </w:r>
      <w:r w:rsidR="00323C20" w:rsidRPr="004420A3">
        <w:rPr>
          <w:rFonts w:asciiTheme="minorHAnsi" w:eastAsiaTheme="minorHAnsi" w:hAnsiTheme="minorHAnsi" w:cstheme="minorHAnsi"/>
          <w:color w:val="auto"/>
          <w:szCs w:val="24"/>
          <w:lang w:val="en-AU" w:bidi="ar-SA"/>
        </w:rPr>
        <w:t>increased significantly since</w:t>
      </w:r>
      <w:r w:rsidR="00EF09A8" w:rsidRPr="004420A3">
        <w:rPr>
          <w:rFonts w:asciiTheme="minorHAnsi" w:eastAsiaTheme="minorHAnsi" w:hAnsiTheme="minorHAnsi" w:cstheme="minorHAnsi"/>
          <w:color w:val="auto"/>
          <w:szCs w:val="24"/>
          <w:lang w:val="en-AU" w:bidi="ar-SA"/>
        </w:rPr>
        <w:t xml:space="preserve"> the</w:t>
      </w:r>
      <w:r w:rsidR="009574F2" w:rsidRPr="004420A3">
        <w:rPr>
          <w:rFonts w:asciiTheme="minorHAnsi" w:eastAsiaTheme="minorHAnsi" w:hAnsiTheme="minorHAnsi" w:cstheme="minorHAnsi"/>
          <w:color w:val="auto"/>
          <w:szCs w:val="24"/>
          <w:lang w:val="en-AU" w:bidi="ar-SA"/>
        </w:rPr>
        <w:t xml:space="preserve"> last survey (3.5 applicants and 1.2 suitable applicants</w:t>
      </w:r>
      <w:r w:rsidR="006630EF" w:rsidRPr="004420A3">
        <w:rPr>
          <w:rFonts w:asciiTheme="minorHAnsi" w:eastAsiaTheme="minorHAnsi" w:hAnsiTheme="minorHAnsi" w:cstheme="minorHAnsi"/>
          <w:color w:val="auto"/>
          <w:szCs w:val="24"/>
          <w:lang w:val="en-AU" w:bidi="ar-SA"/>
        </w:rPr>
        <w:t>) indicating that past skill</w:t>
      </w:r>
      <w:r w:rsidR="00EF09A8" w:rsidRPr="004420A3">
        <w:rPr>
          <w:rFonts w:asciiTheme="minorHAnsi" w:eastAsiaTheme="minorHAnsi" w:hAnsiTheme="minorHAnsi" w:cstheme="minorHAnsi"/>
          <w:color w:val="auto"/>
          <w:szCs w:val="24"/>
          <w:lang w:val="en-AU" w:bidi="ar-SA"/>
        </w:rPr>
        <w:t xml:space="preserve"> shortages are easing. </w:t>
      </w:r>
    </w:p>
    <w:p w:rsidR="00465B64" w:rsidRPr="004420A3" w:rsidRDefault="00EF09A8" w:rsidP="00A579F0">
      <w:pPr>
        <w:pStyle w:val="ListParagraph"/>
        <w:numPr>
          <w:ilvl w:val="0"/>
          <w:numId w:val="47"/>
        </w:numPr>
        <w:spacing w:after="120" w:line="240" w:lineRule="auto"/>
        <w:ind w:left="714" w:hanging="357"/>
        <w:jc w:val="both"/>
        <w:rPr>
          <w:rFonts w:asciiTheme="minorHAnsi" w:eastAsiaTheme="minorHAnsi" w:hAnsiTheme="minorHAnsi" w:cstheme="minorHAnsi"/>
          <w:color w:val="auto"/>
          <w:szCs w:val="24"/>
          <w:lang w:val="en-AU" w:bidi="ar-SA"/>
        </w:rPr>
      </w:pPr>
      <w:r w:rsidRPr="004420A3">
        <w:rPr>
          <w:rFonts w:asciiTheme="minorHAnsi" w:eastAsiaTheme="minorHAnsi" w:hAnsiTheme="minorHAnsi" w:cstheme="minorHAnsi"/>
          <w:color w:val="auto"/>
          <w:szCs w:val="24"/>
          <w:lang w:val="en-AU" w:bidi="ar-SA"/>
        </w:rPr>
        <w:t>The result was the same for Machinery Operators</w:t>
      </w:r>
      <w:r w:rsidR="00465B64" w:rsidRPr="004420A3">
        <w:rPr>
          <w:rFonts w:asciiTheme="minorHAnsi" w:eastAsiaTheme="minorHAnsi" w:hAnsiTheme="minorHAnsi" w:cstheme="minorHAnsi"/>
          <w:color w:val="auto"/>
          <w:szCs w:val="24"/>
          <w:lang w:val="en-AU" w:bidi="ar-SA"/>
        </w:rPr>
        <w:t xml:space="preserve"> and Drivers </w:t>
      </w:r>
      <w:r w:rsidRPr="004420A3">
        <w:rPr>
          <w:rFonts w:asciiTheme="minorHAnsi" w:eastAsiaTheme="minorHAnsi" w:hAnsiTheme="minorHAnsi" w:cstheme="minorHAnsi"/>
          <w:color w:val="auto"/>
          <w:szCs w:val="24"/>
          <w:lang w:val="en-AU" w:bidi="ar-SA"/>
        </w:rPr>
        <w:t xml:space="preserve">vacancies with an </w:t>
      </w:r>
      <w:r w:rsidR="006F0666" w:rsidRPr="004420A3">
        <w:rPr>
          <w:rFonts w:asciiTheme="minorHAnsi" w:eastAsiaTheme="minorHAnsi" w:hAnsiTheme="minorHAnsi" w:cstheme="minorHAnsi"/>
          <w:color w:val="auto"/>
          <w:szCs w:val="24"/>
          <w:lang w:val="en-AU" w:bidi="ar-SA"/>
        </w:rPr>
        <w:t xml:space="preserve">average of 8.8 applicants </w:t>
      </w:r>
      <w:r w:rsidR="009574F2" w:rsidRPr="004420A3">
        <w:rPr>
          <w:rFonts w:asciiTheme="minorHAnsi" w:eastAsiaTheme="minorHAnsi" w:hAnsiTheme="minorHAnsi" w:cstheme="minorHAnsi"/>
          <w:color w:val="auto"/>
          <w:szCs w:val="24"/>
          <w:lang w:val="en-AU" w:bidi="ar-SA"/>
        </w:rPr>
        <w:t>and 4.3 suitable applicants</w:t>
      </w:r>
      <w:r w:rsidRPr="004420A3">
        <w:rPr>
          <w:rFonts w:asciiTheme="minorHAnsi" w:eastAsiaTheme="minorHAnsi" w:hAnsiTheme="minorHAnsi" w:cstheme="minorHAnsi"/>
          <w:color w:val="auto"/>
          <w:szCs w:val="24"/>
          <w:lang w:val="en-AU" w:bidi="ar-SA"/>
        </w:rPr>
        <w:t xml:space="preserve">, compared with </w:t>
      </w:r>
      <w:r w:rsidR="009574F2" w:rsidRPr="004420A3">
        <w:rPr>
          <w:rFonts w:asciiTheme="minorHAnsi" w:eastAsiaTheme="minorHAnsi" w:hAnsiTheme="minorHAnsi" w:cstheme="minorHAnsi"/>
          <w:color w:val="auto"/>
          <w:szCs w:val="24"/>
          <w:lang w:val="en-AU" w:bidi="ar-SA"/>
        </w:rPr>
        <w:t>an average of 3.8 applicants and 1.2 suitable</w:t>
      </w:r>
      <w:r w:rsidRPr="004420A3">
        <w:rPr>
          <w:rFonts w:asciiTheme="minorHAnsi" w:eastAsiaTheme="minorHAnsi" w:hAnsiTheme="minorHAnsi" w:cstheme="minorHAnsi"/>
          <w:color w:val="auto"/>
          <w:szCs w:val="24"/>
          <w:lang w:val="en-AU" w:bidi="ar-SA"/>
        </w:rPr>
        <w:t xml:space="preserve"> </w:t>
      </w:r>
      <w:r w:rsidR="009574F2" w:rsidRPr="004420A3">
        <w:rPr>
          <w:rFonts w:asciiTheme="minorHAnsi" w:eastAsiaTheme="minorHAnsi" w:hAnsiTheme="minorHAnsi" w:cstheme="minorHAnsi"/>
          <w:color w:val="auto"/>
          <w:szCs w:val="24"/>
          <w:lang w:val="en-AU" w:bidi="ar-SA"/>
        </w:rPr>
        <w:t xml:space="preserve">applicants </w:t>
      </w:r>
      <w:r w:rsidRPr="004420A3">
        <w:rPr>
          <w:rFonts w:asciiTheme="minorHAnsi" w:eastAsiaTheme="minorHAnsi" w:hAnsiTheme="minorHAnsi" w:cstheme="minorHAnsi"/>
          <w:color w:val="auto"/>
          <w:szCs w:val="24"/>
          <w:lang w:val="en-AU" w:bidi="ar-SA"/>
        </w:rPr>
        <w:t xml:space="preserve">in the previous survey.  </w:t>
      </w:r>
    </w:p>
    <w:p w:rsidR="00EF09A8" w:rsidRPr="004420A3" w:rsidRDefault="00EF09A8" w:rsidP="00EF09A8">
      <w:pPr>
        <w:spacing w:after="0" w:line="240" w:lineRule="auto"/>
        <w:jc w:val="both"/>
        <w:rPr>
          <w:rFonts w:eastAsiaTheme="minorHAnsi" w:cstheme="minorHAnsi"/>
        </w:rPr>
      </w:pPr>
    </w:p>
    <w:p w:rsidR="00FD74B2" w:rsidRPr="004420A3" w:rsidRDefault="00CC4331" w:rsidP="00FD74B2">
      <w:pPr>
        <w:spacing w:before="0" w:after="0" w:line="240" w:lineRule="auto"/>
        <w:contextualSpacing/>
        <w:jc w:val="both"/>
        <w:rPr>
          <w:rFonts w:eastAsiaTheme="minorHAnsi" w:cstheme="minorHAnsi"/>
          <w:sz w:val="24"/>
          <w:lang w:eastAsia="en-US"/>
        </w:rPr>
      </w:pPr>
      <w:r>
        <w:rPr>
          <w:rFonts w:cstheme="minorHAnsi"/>
          <w:b/>
          <w:i/>
          <w:sz w:val="24"/>
        </w:rPr>
        <w:t>Figure 1</w:t>
      </w:r>
      <w:r w:rsidR="00FD74B2" w:rsidRPr="004420A3">
        <w:rPr>
          <w:rFonts w:cstheme="minorHAnsi"/>
          <w:b/>
          <w:i/>
          <w:sz w:val="24"/>
        </w:rPr>
        <w:t>. Average number of applicants and suitable applicants per vacancy</w:t>
      </w:r>
    </w:p>
    <w:p w:rsidR="00FD74B2" w:rsidRPr="004420A3" w:rsidRDefault="00D07C99" w:rsidP="00FD74B2">
      <w:pPr>
        <w:spacing w:after="0" w:line="240" w:lineRule="auto"/>
        <w:jc w:val="both"/>
        <w:rPr>
          <w:rFonts w:cstheme="minorHAnsi"/>
          <w:b/>
          <w:sz w:val="24"/>
        </w:rPr>
      </w:pPr>
      <w:r w:rsidRPr="004420A3">
        <w:rPr>
          <w:noProof/>
        </w:rPr>
        <w:drawing>
          <wp:inline distT="0" distB="0" distL="0" distR="0" wp14:anchorId="5CFE0286" wp14:editId="17B3BEED">
            <wp:extent cx="5759450" cy="32130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9450" cy="3213061"/>
                    </a:xfrm>
                    <a:prstGeom prst="rect">
                      <a:avLst/>
                    </a:prstGeom>
                    <a:noFill/>
                    <a:ln>
                      <a:noFill/>
                    </a:ln>
                  </pic:spPr>
                </pic:pic>
              </a:graphicData>
            </a:graphic>
          </wp:inline>
        </w:drawing>
      </w:r>
    </w:p>
    <w:p w:rsidR="009574F2" w:rsidRPr="004420A3" w:rsidRDefault="009574F2" w:rsidP="00FD74B2">
      <w:pPr>
        <w:spacing w:before="0" w:line="240" w:lineRule="auto"/>
        <w:jc w:val="both"/>
        <w:rPr>
          <w:rFonts w:eastAsiaTheme="minorHAnsi" w:cstheme="minorHAnsi"/>
          <w:sz w:val="24"/>
          <w:lang w:eastAsia="en-US"/>
        </w:rPr>
      </w:pPr>
      <w:bookmarkStart w:id="89" w:name="_Toc329769411"/>
    </w:p>
    <w:p w:rsidR="00D072F4" w:rsidRPr="004420A3" w:rsidRDefault="00D072F4" w:rsidP="00FD74B2">
      <w:pPr>
        <w:spacing w:before="0" w:line="240" w:lineRule="auto"/>
        <w:jc w:val="both"/>
        <w:rPr>
          <w:rFonts w:eastAsiaTheme="minorHAnsi" w:cstheme="minorHAnsi"/>
          <w:sz w:val="24"/>
          <w:lang w:eastAsia="en-US"/>
        </w:rPr>
      </w:pPr>
      <w:r w:rsidRPr="004420A3">
        <w:rPr>
          <w:rFonts w:eastAsiaTheme="minorHAnsi" w:cstheme="minorHAnsi"/>
          <w:sz w:val="24"/>
          <w:lang w:eastAsia="en-US"/>
        </w:rPr>
        <w:t>The increase in compet</w:t>
      </w:r>
      <w:r w:rsidR="00C51D58" w:rsidRPr="004420A3">
        <w:rPr>
          <w:rFonts w:eastAsiaTheme="minorHAnsi" w:cstheme="minorHAnsi"/>
          <w:sz w:val="24"/>
          <w:lang w:eastAsia="en-US"/>
        </w:rPr>
        <w:t xml:space="preserve">ition for vacancies </w:t>
      </w:r>
      <w:r w:rsidRPr="004420A3">
        <w:rPr>
          <w:rFonts w:eastAsiaTheme="minorHAnsi" w:cstheme="minorHAnsi"/>
          <w:sz w:val="24"/>
          <w:lang w:eastAsia="en-US"/>
        </w:rPr>
        <w:t>led to a significant decrease in the unfilled vacancy rate in the February 2013 survey (3.9 </w:t>
      </w:r>
      <w:r w:rsidRPr="004420A3">
        <w:rPr>
          <w:rFonts w:eastAsiaTheme="minorHAnsi"/>
          <w:sz w:val="24"/>
        </w:rPr>
        <w:t>per cent</w:t>
      </w:r>
      <w:r w:rsidRPr="004420A3">
        <w:rPr>
          <w:rFonts w:eastAsiaTheme="minorHAnsi" w:cstheme="minorHAnsi"/>
          <w:sz w:val="24"/>
          <w:lang w:eastAsia="en-US"/>
        </w:rPr>
        <w:t>) compared with November 2011 (13.6</w:t>
      </w:r>
      <w:r w:rsidR="00C51D58" w:rsidRPr="004420A3">
        <w:rPr>
          <w:rFonts w:eastAsiaTheme="minorHAnsi" w:cstheme="minorHAnsi"/>
          <w:sz w:val="24"/>
          <w:lang w:eastAsia="en-US"/>
        </w:rPr>
        <w:t> </w:t>
      </w:r>
      <w:r w:rsidRPr="004420A3">
        <w:rPr>
          <w:rFonts w:eastAsiaTheme="minorHAnsi" w:cstheme="minorHAnsi"/>
          <w:sz w:val="24"/>
          <w:lang w:eastAsia="en-US"/>
        </w:rPr>
        <w:t>per</w:t>
      </w:r>
      <w:r w:rsidR="00C51D58" w:rsidRPr="004420A3">
        <w:rPr>
          <w:rFonts w:eastAsiaTheme="minorHAnsi" w:cstheme="minorHAnsi"/>
          <w:sz w:val="24"/>
          <w:lang w:eastAsia="en-US"/>
        </w:rPr>
        <w:t> </w:t>
      </w:r>
      <w:r w:rsidRPr="004420A3">
        <w:rPr>
          <w:rFonts w:eastAsiaTheme="minorHAnsi" w:cstheme="minorHAnsi"/>
          <w:sz w:val="24"/>
          <w:lang w:eastAsia="en-US"/>
        </w:rPr>
        <w:t xml:space="preserve">cent). </w:t>
      </w:r>
      <w:r w:rsidR="00FC3AB9" w:rsidRPr="004420A3">
        <w:rPr>
          <w:rFonts w:eastAsiaTheme="minorHAnsi" w:cstheme="minorHAnsi"/>
          <w:sz w:val="24"/>
          <w:lang w:eastAsia="en-US"/>
        </w:rPr>
        <w:t xml:space="preserve">The unfill rate for Technicians and Trades Workers also decreased </w:t>
      </w:r>
      <w:r w:rsidR="002814AF" w:rsidRPr="004420A3">
        <w:rPr>
          <w:rFonts w:eastAsiaTheme="minorHAnsi" w:cstheme="minorHAnsi"/>
          <w:sz w:val="24"/>
          <w:lang w:eastAsia="en-US"/>
        </w:rPr>
        <w:t xml:space="preserve">substantially </w:t>
      </w:r>
      <w:r w:rsidR="00FC3AB9" w:rsidRPr="004420A3">
        <w:rPr>
          <w:rFonts w:eastAsiaTheme="minorHAnsi" w:cstheme="minorHAnsi"/>
          <w:sz w:val="24"/>
          <w:lang w:eastAsia="en-US"/>
        </w:rPr>
        <w:t xml:space="preserve">from 21.7 per cent to 11.1 per cent. </w:t>
      </w:r>
    </w:p>
    <w:p w:rsidR="00FD74B2" w:rsidRPr="004420A3" w:rsidRDefault="00DE1E54" w:rsidP="00FD74B2">
      <w:pPr>
        <w:spacing w:before="0" w:line="240" w:lineRule="auto"/>
        <w:jc w:val="both"/>
        <w:rPr>
          <w:rFonts w:eastAsiaTheme="minorHAnsi" w:cstheme="minorHAnsi"/>
          <w:sz w:val="24"/>
          <w:lang w:eastAsia="en-US"/>
        </w:rPr>
      </w:pPr>
      <w:r w:rsidRPr="004420A3">
        <w:rPr>
          <w:rFonts w:eastAsiaTheme="minorHAnsi" w:cstheme="minorHAnsi"/>
          <w:sz w:val="24"/>
          <w:lang w:eastAsia="en-US"/>
        </w:rPr>
        <w:t xml:space="preserve">Despite the </w:t>
      </w:r>
      <w:r w:rsidR="002814AF" w:rsidRPr="004420A3">
        <w:rPr>
          <w:rFonts w:eastAsiaTheme="minorHAnsi" w:cstheme="minorHAnsi"/>
          <w:sz w:val="24"/>
          <w:lang w:eastAsia="en-US"/>
        </w:rPr>
        <w:t>decrease in the unfilled vacancy rate</w:t>
      </w:r>
      <w:r w:rsidR="00CD647C" w:rsidRPr="004420A3">
        <w:rPr>
          <w:rFonts w:eastAsiaTheme="minorHAnsi" w:cstheme="minorHAnsi"/>
          <w:sz w:val="24"/>
          <w:lang w:eastAsia="en-US"/>
        </w:rPr>
        <w:t xml:space="preserve">, </w:t>
      </w:r>
      <w:r w:rsidR="00073B89" w:rsidRPr="004420A3">
        <w:rPr>
          <w:rFonts w:eastAsiaTheme="minorHAnsi" w:cstheme="minorHAnsi"/>
          <w:sz w:val="24"/>
          <w:lang w:eastAsia="en-US"/>
        </w:rPr>
        <w:t xml:space="preserve">employers still considered </w:t>
      </w:r>
      <w:r w:rsidR="00CD647C" w:rsidRPr="004420A3">
        <w:rPr>
          <w:rFonts w:eastAsiaTheme="minorHAnsi" w:cstheme="minorHAnsi"/>
          <w:sz w:val="24"/>
          <w:lang w:eastAsia="en-US"/>
        </w:rPr>
        <w:t>t</w:t>
      </w:r>
      <w:r w:rsidR="00FD74B2" w:rsidRPr="004420A3">
        <w:rPr>
          <w:rFonts w:eastAsiaTheme="minorHAnsi" w:cstheme="minorHAnsi"/>
          <w:sz w:val="24"/>
          <w:lang w:eastAsia="en-US"/>
        </w:rPr>
        <w:t>hree quarters of</w:t>
      </w:r>
      <w:r w:rsidR="00073B89" w:rsidRPr="004420A3">
        <w:rPr>
          <w:rFonts w:eastAsiaTheme="minorHAnsi" w:cstheme="minorHAnsi"/>
          <w:sz w:val="24"/>
          <w:lang w:eastAsia="en-US"/>
        </w:rPr>
        <w:t xml:space="preserve"> job applicants unsuitable</w:t>
      </w:r>
      <w:r w:rsidR="00FD74B2" w:rsidRPr="004420A3">
        <w:rPr>
          <w:rFonts w:eastAsiaTheme="minorHAnsi" w:cstheme="minorHAnsi"/>
          <w:sz w:val="24"/>
          <w:lang w:eastAsia="en-US"/>
        </w:rPr>
        <w:t>. The most common reasons for unsuitability were that a</w:t>
      </w:r>
      <w:r w:rsidR="009574F2" w:rsidRPr="004420A3">
        <w:rPr>
          <w:rFonts w:eastAsiaTheme="minorHAnsi" w:cstheme="minorHAnsi"/>
          <w:sz w:val="24"/>
          <w:lang w:eastAsia="en-US"/>
        </w:rPr>
        <w:t>pplicants lacked experience</w:t>
      </w:r>
      <w:r w:rsidRPr="004420A3">
        <w:rPr>
          <w:rFonts w:eastAsiaTheme="minorHAnsi" w:cstheme="minorHAnsi"/>
          <w:sz w:val="24"/>
          <w:lang w:eastAsia="en-US"/>
        </w:rPr>
        <w:t>, qualifications</w:t>
      </w:r>
      <w:r w:rsidR="009574F2" w:rsidRPr="004420A3">
        <w:rPr>
          <w:rFonts w:eastAsiaTheme="minorHAnsi" w:cstheme="minorHAnsi"/>
          <w:sz w:val="24"/>
          <w:lang w:eastAsia="en-US"/>
        </w:rPr>
        <w:t xml:space="preserve"> and/or </w:t>
      </w:r>
      <w:r w:rsidR="00FD74B2" w:rsidRPr="004420A3">
        <w:rPr>
          <w:rFonts w:eastAsiaTheme="minorHAnsi" w:cstheme="minorHAnsi"/>
          <w:sz w:val="24"/>
          <w:lang w:eastAsia="en-US"/>
        </w:rPr>
        <w:t>soft skills. Almost half of employers (48</w:t>
      </w:r>
      <w:r w:rsidR="00FD5CC0" w:rsidRPr="004420A3">
        <w:rPr>
          <w:rFonts w:eastAsiaTheme="minorHAnsi" w:cstheme="minorHAnsi"/>
          <w:sz w:val="24"/>
          <w:lang w:eastAsia="en-US"/>
        </w:rPr>
        <w:t> </w:t>
      </w:r>
      <w:r w:rsidR="00FD74B2" w:rsidRPr="004420A3">
        <w:rPr>
          <w:rFonts w:eastAsiaTheme="minorHAnsi" w:cstheme="minorHAnsi"/>
          <w:sz w:val="24"/>
          <w:lang w:eastAsia="en-US"/>
        </w:rPr>
        <w:t xml:space="preserve">per cent) who had unsuitable applicants deemed </w:t>
      </w:r>
      <w:r w:rsidR="009574F2" w:rsidRPr="004420A3">
        <w:rPr>
          <w:rFonts w:eastAsiaTheme="minorHAnsi" w:cstheme="minorHAnsi"/>
          <w:sz w:val="24"/>
          <w:lang w:eastAsia="en-US"/>
        </w:rPr>
        <w:t xml:space="preserve">that </w:t>
      </w:r>
      <w:r w:rsidR="00A579F0" w:rsidRPr="004420A3">
        <w:rPr>
          <w:rFonts w:eastAsiaTheme="minorHAnsi" w:cstheme="minorHAnsi"/>
          <w:sz w:val="24"/>
          <w:lang w:eastAsia="en-US"/>
        </w:rPr>
        <w:t>they</w:t>
      </w:r>
      <w:r w:rsidR="009574F2" w:rsidRPr="004420A3">
        <w:rPr>
          <w:rFonts w:eastAsiaTheme="minorHAnsi" w:cstheme="minorHAnsi"/>
          <w:sz w:val="24"/>
          <w:lang w:eastAsia="en-US"/>
        </w:rPr>
        <w:t xml:space="preserve"> </w:t>
      </w:r>
      <w:r w:rsidR="00FD74B2" w:rsidRPr="004420A3">
        <w:rPr>
          <w:rFonts w:eastAsiaTheme="minorHAnsi" w:cstheme="minorHAnsi"/>
          <w:sz w:val="24"/>
          <w:lang w:eastAsia="en-US"/>
        </w:rPr>
        <w:t xml:space="preserve">lacked some general </w:t>
      </w:r>
      <w:r w:rsidR="00FD74B2" w:rsidRPr="004420A3">
        <w:rPr>
          <w:rFonts w:cstheme="minorHAnsi"/>
          <w:sz w:val="24"/>
        </w:rPr>
        <w:t>employability skill or personal attribute</w:t>
      </w:r>
      <w:r w:rsidR="00FD74B2" w:rsidRPr="004420A3">
        <w:rPr>
          <w:rFonts w:eastAsiaTheme="minorHAnsi" w:cstheme="minorHAnsi"/>
          <w:sz w:val="24"/>
          <w:lang w:eastAsia="en-US"/>
        </w:rPr>
        <w:t xml:space="preserve"> considered important for the job. </w:t>
      </w:r>
    </w:p>
    <w:p w:rsidR="00A6770B" w:rsidRPr="004420A3" w:rsidRDefault="00A6770B" w:rsidP="00DE1E54">
      <w:pPr>
        <w:spacing w:line="240" w:lineRule="auto"/>
        <w:contextualSpacing/>
        <w:jc w:val="both"/>
        <w:rPr>
          <w:rFonts w:eastAsiaTheme="minorHAnsi" w:cstheme="minorHAnsi"/>
          <w:sz w:val="24"/>
          <w:lang w:eastAsia="en-US"/>
        </w:rPr>
      </w:pPr>
    </w:p>
    <w:p w:rsidR="00A6770B" w:rsidRPr="004420A3" w:rsidRDefault="00A6770B" w:rsidP="00DE1E54">
      <w:pPr>
        <w:spacing w:line="240" w:lineRule="auto"/>
        <w:contextualSpacing/>
        <w:jc w:val="both"/>
        <w:rPr>
          <w:rFonts w:eastAsiaTheme="minorHAnsi" w:cstheme="minorHAnsi"/>
          <w:sz w:val="24"/>
          <w:lang w:eastAsia="en-US"/>
        </w:rPr>
      </w:pPr>
    </w:p>
    <w:p w:rsidR="00A6770B" w:rsidRPr="004420A3" w:rsidRDefault="00A6770B" w:rsidP="00DE1E54">
      <w:pPr>
        <w:spacing w:line="240" w:lineRule="auto"/>
        <w:contextualSpacing/>
        <w:jc w:val="both"/>
        <w:rPr>
          <w:rFonts w:eastAsiaTheme="minorHAnsi" w:cstheme="minorHAnsi"/>
          <w:sz w:val="24"/>
          <w:lang w:eastAsia="en-US"/>
        </w:rPr>
      </w:pPr>
    </w:p>
    <w:p w:rsidR="00A6770B" w:rsidRPr="004420A3" w:rsidRDefault="00A6770B" w:rsidP="00DE1E54">
      <w:pPr>
        <w:spacing w:line="240" w:lineRule="auto"/>
        <w:contextualSpacing/>
        <w:jc w:val="both"/>
        <w:rPr>
          <w:rFonts w:eastAsiaTheme="minorHAnsi" w:cstheme="minorHAnsi"/>
          <w:sz w:val="24"/>
          <w:lang w:eastAsia="en-US"/>
        </w:rPr>
      </w:pPr>
    </w:p>
    <w:p w:rsidR="00D6161A" w:rsidRPr="004420A3" w:rsidRDefault="002814AF" w:rsidP="00DE1E54">
      <w:pPr>
        <w:spacing w:line="240" w:lineRule="auto"/>
        <w:contextualSpacing/>
        <w:jc w:val="both"/>
        <w:rPr>
          <w:rFonts w:eastAsiaTheme="minorHAnsi" w:cstheme="minorHAnsi"/>
          <w:sz w:val="24"/>
          <w:lang w:eastAsia="en-US"/>
        </w:rPr>
      </w:pPr>
      <w:r w:rsidRPr="004420A3">
        <w:rPr>
          <w:rFonts w:eastAsiaTheme="minorHAnsi" w:cstheme="minorHAnsi"/>
          <w:sz w:val="24"/>
          <w:lang w:eastAsia="en-US"/>
        </w:rPr>
        <w:lastRenderedPageBreak/>
        <w:t xml:space="preserve">Recruitment difficulty was also still an issue in the region. </w:t>
      </w:r>
      <w:r w:rsidR="00DE1E54" w:rsidRPr="004420A3">
        <w:rPr>
          <w:rFonts w:eastAsiaTheme="minorHAnsi" w:cstheme="minorHAnsi"/>
          <w:sz w:val="24"/>
          <w:lang w:eastAsia="en-US"/>
        </w:rPr>
        <w:t>S</w:t>
      </w:r>
      <w:r w:rsidR="00C135FB" w:rsidRPr="004420A3">
        <w:rPr>
          <w:rFonts w:eastAsiaTheme="minorHAnsi" w:cstheme="minorHAnsi"/>
          <w:sz w:val="24"/>
          <w:lang w:eastAsia="en-US"/>
        </w:rPr>
        <w:t>ome 55</w:t>
      </w:r>
      <w:r w:rsidR="00D6161A" w:rsidRPr="004420A3">
        <w:rPr>
          <w:rFonts w:eastAsiaTheme="minorHAnsi" w:cstheme="minorHAnsi"/>
          <w:sz w:val="24"/>
          <w:lang w:eastAsia="en-US"/>
        </w:rPr>
        <w:t xml:space="preserve"> per cent of employers experienced difficulty recruiti</w:t>
      </w:r>
      <w:r w:rsidR="00C135FB" w:rsidRPr="004420A3">
        <w:rPr>
          <w:rFonts w:eastAsiaTheme="minorHAnsi" w:cstheme="minorHAnsi"/>
          <w:sz w:val="24"/>
          <w:lang w:eastAsia="en-US"/>
        </w:rPr>
        <w:t>ng in the year prior to the survey, which was higher than</w:t>
      </w:r>
      <w:r w:rsidR="00D6161A" w:rsidRPr="004420A3">
        <w:rPr>
          <w:rFonts w:eastAsiaTheme="minorHAnsi" w:cstheme="minorHAnsi"/>
          <w:sz w:val="24"/>
          <w:lang w:eastAsia="en-US"/>
        </w:rPr>
        <w:t xml:space="preserve"> for all regions surveyed to March 2013</w:t>
      </w:r>
      <w:r w:rsidR="00C135FB" w:rsidRPr="004420A3">
        <w:rPr>
          <w:rFonts w:eastAsiaTheme="minorHAnsi" w:cstheme="minorHAnsi"/>
          <w:sz w:val="24"/>
          <w:lang w:eastAsia="en-US"/>
        </w:rPr>
        <w:t xml:space="preserve"> (4</w:t>
      </w:r>
      <w:r w:rsidR="00D6161A" w:rsidRPr="004420A3">
        <w:rPr>
          <w:rFonts w:eastAsiaTheme="minorHAnsi" w:cstheme="minorHAnsi"/>
          <w:sz w:val="24"/>
          <w:lang w:eastAsia="en-US"/>
        </w:rPr>
        <w:t>9</w:t>
      </w:r>
      <w:r w:rsidR="00DE1E54" w:rsidRPr="004420A3">
        <w:rPr>
          <w:rFonts w:eastAsiaTheme="minorHAnsi" w:cstheme="minorHAnsi"/>
          <w:sz w:val="24"/>
          <w:lang w:eastAsia="en-US"/>
        </w:rPr>
        <w:t> </w:t>
      </w:r>
      <w:r w:rsidR="00D6161A" w:rsidRPr="004420A3">
        <w:rPr>
          <w:rFonts w:eastAsiaTheme="minorHAnsi" w:cstheme="minorHAnsi"/>
          <w:sz w:val="24"/>
          <w:lang w:eastAsia="en-US"/>
        </w:rPr>
        <w:t>per</w:t>
      </w:r>
      <w:r w:rsidR="00DE1E54" w:rsidRPr="004420A3">
        <w:rPr>
          <w:rFonts w:eastAsiaTheme="minorHAnsi" w:cstheme="minorHAnsi"/>
          <w:sz w:val="24"/>
          <w:lang w:eastAsia="en-US"/>
        </w:rPr>
        <w:t> </w:t>
      </w:r>
      <w:r w:rsidR="00D6161A" w:rsidRPr="004420A3">
        <w:rPr>
          <w:rFonts w:eastAsiaTheme="minorHAnsi" w:cstheme="minorHAnsi"/>
          <w:sz w:val="24"/>
          <w:lang w:eastAsia="en-US"/>
        </w:rPr>
        <w:t xml:space="preserve">cent). </w:t>
      </w:r>
      <w:r w:rsidR="00DE1E54" w:rsidRPr="004420A3">
        <w:rPr>
          <w:rFonts w:eastAsiaTheme="minorHAnsi" w:cstheme="minorHAnsi"/>
          <w:sz w:val="24"/>
          <w:lang w:eastAsia="en-US"/>
        </w:rPr>
        <w:t>Difficulty was reported for a range of occupations, including hi</w:t>
      </w:r>
      <w:r w:rsidR="00D6161A" w:rsidRPr="004420A3">
        <w:rPr>
          <w:rFonts w:eastAsiaTheme="minorHAnsi" w:cstheme="minorHAnsi"/>
          <w:sz w:val="24"/>
          <w:lang w:eastAsia="en-US"/>
        </w:rPr>
        <w:t>gher skilled occupations, such as Motor Mechanics, Child Carers, Chefs, Structural Steel and Welding Trades Workers, Early Childhood Teachers, Metal Fitters and Machinists, and Retail Managers; and lower skilled occupations, such as Truck Drivers, Bar Attendants and Baristas, and Sales Representatives.</w:t>
      </w:r>
    </w:p>
    <w:p w:rsidR="00FC3AB9" w:rsidRPr="004420A3" w:rsidRDefault="00FC3AB9" w:rsidP="00A6770B">
      <w:pPr>
        <w:spacing w:line="240" w:lineRule="auto"/>
        <w:rPr>
          <w:rFonts w:eastAsiaTheme="majorEastAsia" w:cstheme="minorHAnsi"/>
          <w:b/>
          <w:bCs/>
          <w:color w:val="365F91" w:themeColor="accent1" w:themeShade="BF"/>
          <w:sz w:val="24"/>
          <w:szCs w:val="28"/>
          <w:lang w:eastAsia="en-US"/>
        </w:rPr>
      </w:pPr>
      <w:bookmarkStart w:id="90" w:name="_Toc352917815"/>
      <w:bookmarkEnd w:id="89"/>
    </w:p>
    <w:p w:rsidR="00FD74B2" w:rsidRPr="004420A3" w:rsidRDefault="00FD74B2" w:rsidP="00FD74B2">
      <w:pPr>
        <w:pStyle w:val="RIESbriefreports"/>
        <w:spacing w:before="0"/>
      </w:pPr>
      <w:bookmarkStart w:id="91" w:name="_Toc357424987"/>
      <w:bookmarkStart w:id="92" w:name="_Toc359505764"/>
      <w:r w:rsidRPr="004420A3">
        <w:t>Recruitment Outlook</w:t>
      </w:r>
      <w:bookmarkEnd w:id="90"/>
      <w:bookmarkEnd w:id="91"/>
      <w:r w:rsidRPr="004420A3">
        <w:t xml:space="preserve"> </w:t>
      </w:r>
      <w:r w:rsidR="00BD1CB5" w:rsidRPr="004420A3">
        <w:t>Moderate</w:t>
      </w:r>
      <w:bookmarkEnd w:id="92"/>
    </w:p>
    <w:p w:rsidR="00FD74B2" w:rsidRPr="004420A3" w:rsidRDefault="00FD74B2" w:rsidP="00FD74B2">
      <w:pPr>
        <w:spacing w:before="0" w:line="240" w:lineRule="auto"/>
        <w:jc w:val="both"/>
        <w:rPr>
          <w:rFonts w:eastAsiaTheme="minorHAnsi" w:cstheme="minorHAnsi"/>
          <w:sz w:val="24"/>
          <w:lang w:eastAsia="en-US"/>
        </w:rPr>
      </w:pPr>
      <w:r w:rsidRPr="004420A3">
        <w:rPr>
          <w:rFonts w:eastAsiaTheme="minorHAnsi" w:cstheme="minorHAnsi"/>
          <w:sz w:val="24"/>
          <w:lang w:eastAsia="en-US"/>
        </w:rPr>
        <w:t xml:space="preserve">The overall recruitment outlook for employers in the </w:t>
      </w:r>
      <w:r w:rsidRPr="004420A3">
        <w:rPr>
          <w:rFonts w:cstheme="minorHAnsi"/>
          <w:sz w:val="24"/>
        </w:rPr>
        <w:t xml:space="preserve">Townsville PEA </w:t>
      </w:r>
      <w:r w:rsidR="00BD1CB5" w:rsidRPr="004420A3">
        <w:rPr>
          <w:rFonts w:eastAsiaTheme="minorHAnsi" w:cstheme="minorHAnsi"/>
          <w:sz w:val="24"/>
          <w:lang w:eastAsia="en-US"/>
        </w:rPr>
        <w:t>was moderate</w:t>
      </w:r>
      <w:r w:rsidRPr="004420A3">
        <w:rPr>
          <w:rFonts w:eastAsiaTheme="minorHAnsi" w:cstheme="minorHAnsi"/>
          <w:sz w:val="24"/>
          <w:lang w:eastAsia="en-US"/>
        </w:rPr>
        <w:t>. For the year following the survey, 41 per cent of employers anticipated recruiting staff, with 18</w:t>
      </w:r>
      <w:r w:rsidR="00800464" w:rsidRPr="004420A3">
        <w:rPr>
          <w:rFonts w:eastAsiaTheme="minorHAnsi" w:cstheme="minorHAnsi"/>
          <w:sz w:val="24"/>
          <w:lang w:eastAsia="en-US"/>
        </w:rPr>
        <w:t> </w:t>
      </w:r>
      <w:r w:rsidRPr="004420A3">
        <w:rPr>
          <w:rFonts w:eastAsiaTheme="minorHAnsi" w:cstheme="minorHAnsi"/>
          <w:sz w:val="24"/>
          <w:lang w:eastAsia="en-US"/>
        </w:rPr>
        <w:t>per</w:t>
      </w:r>
      <w:r w:rsidR="00800464" w:rsidRPr="004420A3">
        <w:rPr>
          <w:rFonts w:eastAsiaTheme="minorHAnsi" w:cstheme="minorHAnsi"/>
          <w:sz w:val="24"/>
          <w:lang w:eastAsia="en-US"/>
        </w:rPr>
        <w:t> </w:t>
      </w:r>
      <w:r w:rsidRPr="004420A3">
        <w:rPr>
          <w:rFonts w:eastAsiaTheme="minorHAnsi" w:cstheme="minorHAnsi"/>
          <w:sz w:val="24"/>
          <w:lang w:eastAsia="en-US"/>
        </w:rPr>
        <w:t xml:space="preserve">cent of these employers considering increasing staff numbers. </w:t>
      </w:r>
      <w:r w:rsidR="00BD1CB5" w:rsidRPr="004420A3">
        <w:rPr>
          <w:rFonts w:eastAsiaTheme="minorHAnsi" w:cstheme="minorHAnsi"/>
          <w:sz w:val="24"/>
          <w:lang w:eastAsia="en-US"/>
        </w:rPr>
        <w:t>This was in line with all regions surveyed in the 12 months to March 20</w:t>
      </w:r>
      <w:r w:rsidR="00684643">
        <w:rPr>
          <w:rFonts w:eastAsiaTheme="minorHAnsi" w:cstheme="minorHAnsi"/>
          <w:sz w:val="24"/>
          <w:lang w:eastAsia="en-US"/>
        </w:rPr>
        <w:t>13. However, it was substantially</w:t>
      </w:r>
      <w:r w:rsidR="00BD1CB5" w:rsidRPr="004420A3">
        <w:rPr>
          <w:rFonts w:eastAsiaTheme="minorHAnsi" w:cstheme="minorHAnsi"/>
          <w:sz w:val="24"/>
          <w:lang w:eastAsia="en-US"/>
        </w:rPr>
        <w:t xml:space="preserve"> lower than in the previous survey when </w:t>
      </w:r>
      <w:r w:rsidRPr="004420A3">
        <w:rPr>
          <w:rFonts w:eastAsiaTheme="minorHAnsi" w:cstheme="minorHAnsi"/>
          <w:sz w:val="24"/>
          <w:lang w:eastAsia="en-US"/>
        </w:rPr>
        <w:t xml:space="preserve">62 per cent of employers anticipated </w:t>
      </w:r>
      <w:r w:rsidR="00BD1CB5" w:rsidRPr="004420A3">
        <w:rPr>
          <w:rFonts w:eastAsiaTheme="minorHAnsi" w:cstheme="minorHAnsi"/>
          <w:sz w:val="24"/>
          <w:lang w:eastAsia="en-US"/>
        </w:rPr>
        <w:t xml:space="preserve">recruiting staff and </w:t>
      </w:r>
      <w:r w:rsidRPr="004420A3">
        <w:rPr>
          <w:rFonts w:eastAsiaTheme="minorHAnsi" w:cstheme="minorHAnsi"/>
          <w:sz w:val="24"/>
          <w:lang w:eastAsia="en-US"/>
        </w:rPr>
        <w:t>31</w:t>
      </w:r>
      <w:r w:rsidR="009B6598" w:rsidRPr="004420A3">
        <w:rPr>
          <w:rFonts w:eastAsiaTheme="minorHAnsi" w:cstheme="minorHAnsi"/>
          <w:sz w:val="24"/>
          <w:lang w:eastAsia="en-US"/>
        </w:rPr>
        <w:t> </w:t>
      </w:r>
      <w:r w:rsidRPr="004420A3">
        <w:rPr>
          <w:rFonts w:eastAsiaTheme="minorHAnsi" w:cstheme="minorHAnsi"/>
          <w:sz w:val="24"/>
          <w:lang w:eastAsia="en-US"/>
        </w:rPr>
        <w:t>per</w:t>
      </w:r>
      <w:r w:rsidR="009B6598" w:rsidRPr="004420A3">
        <w:rPr>
          <w:rFonts w:eastAsiaTheme="minorHAnsi" w:cstheme="minorHAnsi"/>
          <w:sz w:val="24"/>
          <w:lang w:eastAsia="en-US"/>
        </w:rPr>
        <w:t> </w:t>
      </w:r>
      <w:r w:rsidRPr="004420A3">
        <w:rPr>
          <w:rFonts w:eastAsiaTheme="minorHAnsi" w:cstheme="minorHAnsi"/>
          <w:sz w:val="24"/>
          <w:lang w:eastAsia="en-US"/>
        </w:rPr>
        <w:t xml:space="preserve">cent </w:t>
      </w:r>
      <w:r w:rsidR="00684643">
        <w:rPr>
          <w:rFonts w:eastAsiaTheme="minorHAnsi" w:cstheme="minorHAnsi"/>
          <w:sz w:val="24"/>
          <w:lang w:eastAsia="en-US"/>
        </w:rPr>
        <w:t xml:space="preserve">of these employers </w:t>
      </w:r>
      <w:r w:rsidR="00BD1CB5" w:rsidRPr="004420A3">
        <w:rPr>
          <w:rFonts w:eastAsiaTheme="minorHAnsi" w:cstheme="minorHAnsi"/>
          <w:sz w:val="24"/>
          <w:lang w:eastAsia="en-US"/>
        </w:rPr>
        <w:t>expected</w:t>
      </w:r>
      <w:r w:rsidRPr="004420A3">
        <w:rPr>
          <w:rFonts w:eastAsiaTheme="minorHAnsi" w:cstheme="minorHAnsi"/>
          <w:sz w:val="24"/>
          <w:lang w:eastAsia="en-US"/>
        </w:rPr>
        <w:t xml:space="preserve"> to increase staff numbers. </w:t>
      </w:r>
    </w:p>
    <w:p w:rsidR="00FD74B2" w:rsidRPr="004420A3" w:rsidRDefault="0088258B" w:rsidP="00FD74B2">
      <w:pPr>
        <w:spacing w:before="0" w:line="240" w:lineRule="auto"/>
        <w:jc w:val="both"/>
        <w:rPr>
          <w:rFonts w:eastAsiaTheme="minorHAnsi" w:cstheme="minorHAnsi"/>
          <w:sz w:val="24"/>
          <w:lang w:eastAsia="en-US"/>
        </w:rPr>
      </w:pPr>
      <w:r>
        <w:rPr>
          <w:rFonts w:eastAsiaTheme="minorHAnsi" w:cstheme="minorHAnsi"/>
          <w:sz w:val="24"/>
          <w:lang w:eastAsia="en-US"/>
        </w:rPr>
        <w:t xml:space="preserve">Employers </w:t>
      </w:r>
      <w:r w:rsidR="00FD74B2" w:rsidRPr="004420A3">
        <w:rPr>
          <w:rFonts w:eastAsiaTheme="minorHAnsi" w:cstheme="minorHAnsi"/>
          <w:sz w:val="24"/>
          <w:lang w:eastAsia="en-US"/>
        </w:rPr>
        <w:t>expec</w:t>
      </w:r>
      <w:r w:rsidR="00A91848" w:rsidRPr="004420A3">
        <w:rPr>
          <w:rFonts w:eastAsiaTheme="minorHAnsi" w:cstheme="minorHAnsi"/>
          <w:sz w:val="24"/>
          <w:lang w:eastAsia="en-US"/>
        </w:rPr>
        <w:t>ted</w:t>
      </w:r>
      <w:r w:rsidR="00A73402" w:rsidRPr="004420A3">
        <w:rPr>
          <w:rFonts w:eastAsiaTheme="minorHAnsi" w:cstheme="minorHAnsi"/>
          <w:sz w:val="24"/>
          <w:lang w:eastAsia="en-US"/>
        </w:rPr>
        <w:t xml:space="preserve"> to recruit </w:t>
      </w:r>
      <w:r>
        <w:rPr>
          <w:rFonts w:eastAsiaTheme="minorHAnsi" w:cstheme="minorHAnsi"/>
          <w:sz w:val="24"/>
          <w:lang w:eastAsia="en-US"/>
        </w:rPr>
        <w:t xml:space="preserve">for a range of occupations, across all skills levels, </w:t>
      </w:r>
      <w:r w:rsidR="00A73402" w:rsidRPr="004420A3">
        <w:rPr>
          <w:rFonts w:eastAsiaTheme="minorHAnsi" w:cstheme="minorHAnsi"/>
          <w:sz w:val="24"/>
          <w:lang w:eastAsia="en-US"/>
        </w:rPr>
        <w:t>in the year</w:t>
      </w:r>
      <w:r w:rsidR="00FD74B2" w:rsidRPr="004420A3">
        <w:rPr>
          <w:rFonts w:eastAsiaTheme="minorHAnsi" w:cstheme="minorHAnsi"/>
          <w:sz w:val="24"/>
          <w:lang w:eastAsia="en-US"/>
        </w:rPr>
        <w:t xml:space="preserve"> following the survey. The most commonly mentioned </w:t>
      </w:r>
      <w:r w:rsidR="009B6598" w:rsidRPr="004420A3">
        <w:rPr>
          <w:rFonts w:eastAsiaTheme="minorHAnsi" w:cstheme="minorHAnsi"/>
          <w:sz w:val="24"/>
          <w:lang w:eastAsia="en-US"/>
        </w:rPr>
        <w:t xml:space="preserve">occupations </w:t>
      </w:r>
      <w:r w:rsidR="00FD74B2" w:rsidRPr="004420A3">
        <w:rPr>
          <w:rFonts w:eastAsiaTheme="minorHAnsi" w:cstheme="minorHAnsi"/>
          <w:sz w:val="24"/>
          <w:lang w:eastAsia="en-US"/>
        </w:rPr>
        <w:t>were Sales Assistants, Bar Attendants and Baristas, Crop F</w:t>
      </w:r>
      <w:r w:rsidR="009B6598" w:rsidRPr="004420A3">
        <w:rPr>
          <w:rFonts w:eastAsiaTheme="minorHAnsi" w:cstheme="minorHAnsi"/>
          <w:sz w:val="24"/>
          <w:lang w:eastAsia="en-US"/>
        </w:rPr>
        <w:t xml:space="preserve">arm Workers, General Clerks, Storepersons, Motor Mechanics, and Structural Steel and Welding Trades Workers. </w:t>
      </w:r>
    </w:p>
    <w:p w:rsidR="00FD74B2" w:rsidRPr="004420A3" w:rsidRDefault="00FD74B2" w:rsidP="00FD74B2">
      <w:pPr>
        <w:spacing w:after="0" w:line="240" w:lineRule="auto"/>
        <w:jc w:val="both"/>
        <w:rPr>
          <w:rFonts w:cstheme="minorHAnsi"/>
          <w:b/>
          <w:sz w:val="24"/>
        </w:rPr>
      </w:pPr>
    </w:p>
    <w:p w:rsidR="00FD74B2" w:rsidRPr="004420A3" w:rsidRDefault="00FD74B2" w:rsidP="00FD74B2">
      <w:pPr>
        <w:pStyle w:val="RIESbriefreports"/>
        <w:spacing w:before="0"/>
        <w:rPr>
          <w:szCs w:val="24"/>
        </w:rPr>
      </w:pPr>
      <w:bookmarkStart w:id="93" w:name="_Toc357424988"/>
      <w:bookmarkStart w:id="94" w:name="_Toc359505765"/>
      <w:r w:rsidRPr="004420A3">
        <w:rPr>
          <w:szCs w:val="24"/>
        </w:rPr>
        <w:t>Opportunities for Job</w:t>
      </w:r>
      <w:r w:rsidR="0088258B">
        <w:rPr>
          <w:szCs w:val="24"/>
        </w:rPr>
        <w:t xml:space="preserve"> S</w:t>
      </w:r>
      <w:r w:rsidRPr="004420A3">
        <w:rPr>
          <w:szCs w:val="24"/>
        </w:rPr>
        <w:t>eekers</w:t>
      </w:r>
      <w:bookmarkEnd w:id="93"/>
      <w:bookmarkEnd w:id="94"/>
    </w:p>
    <w:p w:rsidR="00FD74B2" w:rsidRPr="004420A3" w:rsidRDefault="00FD74B2" w:rsidP="0073180F">
      <w:pPr>
        <w:spacing w:line="240" w:lineRule="auto"/>
        <w:jc w:val="both"/>
        <w:rPr>
          <w:rFonts w:cstheme="minorHAnsi"/>
          <w:sz w:val="24"/>
        </w:rPr>
      </w:pPr>
      <w:r w:rsidRPr="004420A3">
        <w:rPr>
          <w:rFonts w:cstheme="minorHAnsi"/>
          <w:sz w:val="24"/>
        </w:rPr>
        <w:t xml:space="preserve">The softening </w:t>
      </w:r>
      <w:r w:rsidR="00A73402" w:rsidRPr="004420A3">
        <w:rPr>
          <w:rFonts w:cstheme="minorHAnsi"/>
          <w:sz w:val="24"/>
        </w:rPr>
        <w:t xml:space="preserve">labour market </w:t>
      </w:r>
      <w:r w:rsidRPr="004420A3">
        <w:rPr>
          <w:rFonts w:cstheme="minorHAnsi"/>
          <w:sz w:val="24"/>
        </w:rPr>
        <w:t xml:space="preserve">conditions </w:t>
      </w:r>
      <w:r w:rsidR="006630EF" w:rsidRPr="004420A3">
        <w:rPr>
          <w:rFonts w:cstheme="minorHAnsi"/>
          <w:sz w:val="24"/>
        </w:rPr>
        <w:t xml:space="preserve">in the Townsville PEA </w:t>
      </w:r>
      <w:r w:rsidRPr="004420A3">
        <w:rPr>
          <w:rFonts w:cstheme="minorHAnsi"/>
          <w:sz w:val="24"/>
        </w:rPr>
        <w:t>may present challenges t</w:t>
      </w:r>
      <w:r w:rsidR="00A6770B" w:rsidRPr="004420A3">
        <w:rPr>
          <w:rFonts w:cstheme="minorHAnsi"/>
          <w:sz w:val="24"/>
        </w:rPr>
        <w:t xml:space="preserve">o </w:t>
      </w:r>
      <w:r w:rsidR="006630EF" w:rsidRPr="004420A3">
        <w:rPr>
          <w:rFonts w:cstheme="minorHAnsi"/>
          <w:sz w:val="24"/>
        </w:rPr>
        <w:t>job seekers</w:t>
      </w:r>
      <w:r w:rsidR="00C17191" w:rsidRPr="004420A3">
        <w:rPr>
          <w:rFonts w:cstheme="minorHAnsi"/>
          <w:sz w:val="24"/>
        </w:rPr>
        <w:t>. However</w:t>
      </w:r>
      <w:r w:rsidRPr="004420A3">
        <w:rPr>
          <w:rFonts w:cstheme="minorHAnsi"/>
          <w:sz w:val="24"/>
        </w:rPr>
        <w:t>, the survey</w:t>
      </w:r>
      <w:r w:rsidR="0088258B">
        <w:rPr>
          <w:rFonts w:cstheme="minorHAnsi"/>
          <w:sz w:val="24"/>
        </w:rPr>
        <w:t xml:space="preserve"> results indicate that there is</w:t>
      </w:r>
      <w:r w:rsidRPr="004420A3">
        <w:rPr>
          <w:rFonts w:cstheme="minorHAnsi"/>
          <w:sz w:val="24"/>
        </w:rPr>
        <w:t xml:space="preserve"> a range opportunities for job seekers in growth industries</w:t>
      </w:r>
      <w:r w:rsidR="00980362">
        <w:rPr>
          <w:rFonts w:cstheme="minorHAnsi"/>
          <w:sz w:val="24"/>
        </w:rPr>
        <w:t>, including</w:t>
      </w:r>
      <w:r w:rsidR="00031830" w:rsidRPr="004420A3">
        <w:rPr>
          <w:rFonts w:cstheme="minorHAnsi"/>
          <w:sz w:val="24"/>
        </w:rPr>
        <w:t xml:space="preserve"> </w:t>
      </w:r>
      <w:r w:rsidRPr="004420A3">
        <w:rPr>
          <w:rFonts w:eastAsiaTheme="minorHAnsi" w:cstheme="minorHAnsi"/>
          <w:sz w:val="24"/>
        </w:rPr>
        <w:t>Health Car</w:t>
      </w:r>
      <w:r w:rsidR="00031830" w:rsidRPr="004420A3">
        <w:rPr>
          <w:rFonts w:eastAsiaTheme="minorHAnsi" w:cstheme="minorHAnsi"/>
          <w:sz w:val="24"/>
        </w:rPr>
        <w:t>e and Social Assistance</w:t>
      </w:r>
      <w:r w:rsidRPr="004420A3">
        <w:rPr>
          <w:rFonts w:eastAsiaTheme="minorHAnsi" w:cstheme="minorHAnsi"/>
          <w:sz w:val="24"/>
        </w:rPr>
        <w:t xml:space="preserve">, and industries experiencing a high level of staff turnover, such as </w:t>
      </w:r>
      <w:r w:rsidRPr="004420A3">
        <w:rPr>
          <w:rFonts w:eastAsiaTheme="minorHAnsi" w:cstheme="minorHAnsi"/>
          <w:sz w:val="24"/>
          <w:lang w:eastAsia="en-US"/>
        </w:rPr>
        <w:t>Accommodation and Food Services, and Retail Trade</w:t>
      </w:r>
      <w:r w:rsidRPr="004420A3">
        <w:rPr>
          <w:rFonts w:cstheme="minorHAnsi"/>
          <w:sz w:val="24"/>
        </w:rPr>
        <w:t xml:space="preserve">. </w:t>
      </w:r>
    </w:p>
    <w:p w:rsidR="005252F4" w:rsidRPr="004420A3" w:rsidRDefault="00A220D5" w:rsidP="00AD68A5">
      <w:pPr>
        <w:spacing w:line="240" w:lineRule="auto"/>
        <w:jc w:val="both"/>
        <w:rPr>
          <w:rFonts w:cstheme="minorHAnsi"/>
          <w:color w:val="000000" w:themeColor="text1"/>
          <w:kern w:val="24"/>
          <w:sz w:val="24"/>
        </w:rPr>
      </w:pPr>
      <w:r w:rsidRPr="004420A3">
        <w:rPr>
          <w:rFonts w:cstheme="minorHAnsi"/>
          <w:color w:val="000000" w:themeColor="text1"/>
          <w:kern w:val="24"/>
          <w:sz w:val="24"/>
        </w:rPr>
        <w:t>Despi</w:t>
      </w:r>
      <w:r w:rsidR="006630EF" w:rsidRPr="004420A3">
        <w:rPr>
          <w:rFonts w:cstheme="minorHAnsi"/>
          <w:color w:val="000000" w:themeColor="text1"/>
          <w:kern w:val="24"/>
          <w:sz w:val="24"/>
        </w:rPr>
        <w:t>te the apparent easing of skill</w:t>
      </w:r>
      <w:r w:rsidRPr="004420A3">
        <w:rPr>
          <w:rFonts w:cstheme="minorHAnsi"/>
          <w:color w:val="000000" w:themeColor="text1"/>
          <w:kern w:val="24"/>
          <w:sz w:val="24"/>
        </w:rPr>
        <w:t xml:space="preserve"> shortages in the area, m</w:t>
      </w:r>
      <w:r w:rsidR="00F04F2A" w:rsidRPr="004420A3">
        <w:rPr>
          <w:rFonts w:cstheme="minorHAnsi"/>
          <w:color w:val="000000" w:themeColor="text1"/>
          <w:kern w:val="24"/>
          <w:sz w:val="24"/>
        </w:rPr>
        <w:t xml:space="preserve">any surveyed employers </w:t>
      </w:r>
      <w:r w:rsidRPr="004420A3">
        <w:rPr>
          <w:rFonts w:cstheme="minorHAnsi"/>
          <w:color w:val="000000" w:themeColor="text1"/>
          <w:kern w:val="24"/>
          <w:sz w:val="24"/>
        </w:rPr>
        <w:t xml:space="preserve">still </w:t>
      </w:r>
      <w:r w:rsidR="0073180F" w:rsidRPr="004420A3">
        <w:rPr>
          <w:rFonts w:cstheme="minorHAnsi"/>
          <w:color w:val="000000" w:themeColor="text1"/>
          <w:kern w:val="24"/>
          <w:sz w:val="24"/>
        </w:rPr>
        <w:t xml:space="preserve">reported recruitment difficulty </w:t>
      </w:r>
      <w:r w:rsidR="00031830" w:rsidRPr="004420A3">
        <w:rPr>
          <w:rFonts w:cstheme="minorHAnsi"/>
          <w:color w:val="000000" w:themeColor="text1"/>
          <w:kern w:val="24"/>
          <w:sz w:val="24"/>
        </w:rPr>
        <w:t>and that a majority of j</w:t>
      </w:r>
      <w:r w:rsidR="00233F31" w:rsidRPr="004420A3">
        <w:rPr>
          <w:rFonts w:cstheme="minorHAnsi"/>
          <w:color w:val="000000" w:themeColor="text1"/>
          <w:kern w:val="24"/>
          <w:sz w:val="24"/>
        </w:rPr>
        <w:t>ob applicants were unsuitable. A</w:t>
      </w:r>
      <w:r w:rsidR="0073180F" w:rsidRPr="004420A3">
        <w:rPr>
          <w:rFonts w:cstheme="minorHAnsi"/>
          <w:color w:val="000000" w:themeColor="text1"/>
          <w:kern w:val="24"/>
          <w:sz w:val="24"/>
        </w:rPr>
        <w:t xml:space="preserve">pplicants </w:t>
      </w:r>
      <w:r w:rsidR="00233F31" w:rsidRPr="004420A3">
        <w:rPr>
          <w:rFonts w:cstheme="minorHAnsi"/>
          <w:color w:val="000000" w:themeColor="text1"/>
          <w:kern w:val="24"/>
          <w:sz w:val="24"/>
        </w:rPr>
        <w:t>were mostly considered unsuitable due to a lack of qualifications and experience</w:t>
      </w:r>
      <w:r w:rsidR="0073180F" w:rsidRPr="004420A3">
        <w:rPr>
          <w:rFonts w:cstheme="minorHAnsi"/>
          <w:color w:val="000000" w:themeColor="text1"/>
          <w:kern w:val="24"/>
          <w:sz w:val="24"/>
        </w:rPr>
        <w:t>. Increasing opportunities for apprenticeships, traineeships and work experience in the region may help to address this concern and assist with future skilled labour supply.</w:t>
      </w:r>
    </w:p>
    <w:p w:rsidR="005252F4" w:rsidRPr="004420A3" w:rsidRDefault="00C45B45" w:rsidP="001104D7">
      <w:pPr>
        <w:spacing w:after="0" w:line="240" w:lineRule="auto"/>
        <w:jc w:val="both"/>
        <w:rPr>
          <w:rFonts w:cstheme="minorHAnsi"/>
          <w:sz w:val="24"/>
        </w:rPr>
      </w:pPr>
      <w:r w:rsidRPr="004420A3">
        <w:rPr>
          <w:rFonts w:eastAsiaTheme="minorHAnsi" w:cstheme="minorHAnsi"/>
          <w:sz w:val="24"/>
          <w:lang w:eastAsia="en-US"/>
        </w:rPr>
        <w:t xml:space="preserve">Almost half of </w:t>
      </w:r>
      <w:r w:rsidR="0088258B">
        <w:rPr>
          <w:rFonts w:eastAsiaTheme="minorHAnsi" w:cstheme="minorHAnsi"/>
          <w:sz w:val="24"/>
          <w:lang w:eastAsia="en-US"/>
        </w:rPr>
        <w:t xml:space="preserve">the </w:t>
      </w:r>
      <w:r w:rsidRPr="004420A3">
        <w:rPr>
          <w:rFonts w:eastAsiaTheme="minorHAnsi" w:cstheme="minorHAnsi"/>
          <w:sz w:val="24"/>
          <w:lang w:eastAsia="en-US"/>
        </w:rPr>
        <w:t xml:space="preserve">employers who had unsuitable applicants deemed that applicants lacked some general </w:t>
      </w:r>
      <w:r w:rsidRPr="004420A3">
        <w:rPr>
          <w:rFonts w:cstheme="minorHAnsi"/>
          <w:sz w:val="24"/>
        </w:rPr>
        <w:t>employability skill or personal attribute</w:t>
      </w:r>
      <w:r w:rsidRPr="004420A3">
        <w:rPr>
          <w:rFonts w:eastAsiaTheme="minorHAnsi" w:cstheme="minorHAnsi"/>
          <w:sz w:val="24"/>
          <w:lang w:eastAsia="en-US"/>
        </w:rPr>
        <w:t xml:space="preserve"> considered important for the job. Job seekers who util</w:t>
      </w:r>
      <w:r w:rsidR="00980362">
        <w:rPr>
          <w:rFonts w:eastAsiaTheme="minorHAnsi" w:cstheme="minorHAnsi"/>
          <w:sz w:val="24"/>
          <w:lang w:eastAsia="en-US"/>
        </w:rPr>
        <w:t>ise available resources, including</w:t>
      </w:r>
      <w:r w:rsidRPr="004420A3">
        <w:rPr>
          <w:rFonts w:eastAsiaTheme="minorHAnsi" w:cstheme="minorHAnsi"/>
          <w:sz w:val="24"/>
          <w:lang w:eastAsia="en-US"/>
        </w:rPr>
        <w:t xml:space="preserve"> Job Services Australia providers, to improve their employabil</w:t>
      </w:r>
      <w:r w:rsidR="00497CA8" w:rsidRPr="004420A3">
        <w:rPr>
          <w:rFonts w:eastAsiaTheme="minorHAnsi" w:cstheme="minorHAnsi"/>
          <w:sz w:val="24"/>
          <w:lang w:eastAsia="en-US"/>
        </w:rPr>
        <w:t>ity skills are likely to increase</w:t>
      </w:r>
      <w:r w:rsidRPr="004420A3">
        <w:rPr>
          <w:rFonts w:eastAsiaTheme="minorHAnsi" w:cstheme="minorHAnsi"/>
          <w:sz w:val="24"/>
          <w:lang w:eastAsia="en-US"/>
        </w:rPr>
        <w:t xml:space="preserve"> their chances of finding employment. </w:t>
      </w:r>
    </w:p>
    <w:p w:rsidR="00995C94" w:rsidRPr="004420A3" w:rsidRDefault="00FF69C9" w:rsidP="00DB15D0">
      <w:pPr>
        <w:pStyle w:val="RIESbriefreports"/>
        <w:spacing w:before="240"/>
        <w:rPr>
          <w:sz w:val="28"/>
        </w:rPr>
      </w:pPr>
      <w:r w:rsidRPr="004420A3">
        <w:rPr>
          <w:sz w:val="28"/>
        </w:rPr>
        <w:br w:type="page"/>
      </w:r>
    </w:p>
    <w:p w:rsidR="00995C94" w:rsidRPr="004420A3" w:rsidRDefault="00995C94" w:rsidP="00DB15D0">
      <w:pPr>
        <w:pStyle w:val="RIESbriefreports"/>
        <w:spacing w:before="240"/>
        <w:rPr>
          <w:sz w:val="28"/>
        </w:rPr>
      </w:pPr>
    </w:p>
    <w:p w:rsidR="00DB15D0" w:rsidRPr="004420A3" w:rsidRDefault="00DB15D0" w:rsidP="00DB15D0">
      <w:pPr>
        <w:pStyle w:val="RIESbriefreports"/>
        <w:spacing w:before="240"/>
        <w:rPr>
          <w:szCs w:val="24"/>
        </w:rPr>
      </w:pPr>
      <w:bookmarkStart w:id="95" w:name="_Toc359505766"/>
      <w:r w:rsidRPr="004420A3">
        <w:rPr>
          <w:szCs w:val="24"/>
        </w:rPr>
        <w:t>More Information</w:t>
      </w:r>
      <w:bookmarkEnd w:id="95"/>
    </w:p>
    <w:p w:rsidR="00DB15D0" w:rsidRPr="004420A3" w:rsidRDefault="00DB15D0" w:rsidP="00DB15D0">
      <w:pPr>
        <w:spacing w:before="0" w:line="240" w:lineRule="auto"/>
        <w:rPr>
          <w:rStyle w:val="Hyperlink"/>
          <w:rFonts w:cstheme="minorHAnsi"/>
          <w:b/>
          <w:color w:val="00529C"/>
          <w:sz w:val="24"/>
          <w:u w:val="none"/>
        </w:rPr>
      </w:pPr>
      <w:r w:rsidRPr="004420A3">
        <w:rPr>
          <w:rFonts w:cstheme="minorHAnsi"/>
          <w:color w:val="000000" w:themeColor="text1"/>
          <w:sz w:val="24"/>
        </w:rPr>
        <w:t>Survey of Employers’ Recruitment Experiences:</w:t>
      </w:r>
      <w:r w:rsidRPr="004420A3">
        <w:rPr>
          <w:rFonts w:cstheme="minorHAnsi"/>
          <w:b/>
          <w:color w:val="00529C"/>
          <w:sz w:val="24"/>
        </w:rPr>
        <w:t xml:space="preserve"> </w:t>
      </w:r>
      <w:hyperlink r:id="rId32" w:history="1">
        <w:r w:rsidRPr="004420A3">
          <w:rPr>
            <w:rStyle w:val="Hyperlink"/>
            <w:rFonts w:cstheme="minorHAnsi"/>
            <w:b/>
            <w:color w:val="00529C"/>
            <w:sz w:val="24"/>
          </w:rPr>
          <w:t>www.deewr.gov.au/regionalreports</w:t>
        </w:r>
      </w:hyperlink>
    </w:p>
    <w:p w:rsidR="00DB15D0" w:rsidRPr="004420A3" w:rsidRDefault="00DB15D0" w:rsidP="00DB15D0">
      <w:pPr>
        <w:spacing w:before="0" w:line="240" w:lineRule="auto"/>
        <w:rPr>
          <w:rFonts w:cstheme="minorHAnsi"/>
          <w:b/>
          <w:color w:val="00529C"/>
          <w:sz w:val="24"/>
        </w:rPr>
      </w:pPr>
      <w:r w:rsidRPr="004420A3">
        <w:rPr>
          <w:rFonts w:cstheme="minorHAnsi"/>
          <w:color w:val="000000" w:themeColor="text1"/>
          <w:sz w:val="24"/>
        </w:rPr>
        <w:t>Labour Market Information Portal:</w:t>
      </w:r>
      <w:r w:rsidRPr="004420A3">
        <w:rPr>
          <w:rFonts w:cstheme="minorHAnsi"/>
          <w:b/>
          <w:color w:val="00529C"/>
          <w:sz w:val="24"/>
        </w:rPr>
        <w:t xml:space="preserve"> </w:t>
      </w:r>
      <w:hyperlink r:id="rId33" w:history="1">
        <w:r w:rsidRPr="004420A3">
          <w:rPr>
            <w:rStyle w:val="Hyperlink"/>
            <w:rFonts w:cstheme="minorHAnsi"/>
            <w:b/>
            <w:color w:val="00529C"/>
            <w:sz w:val="24"/>
          </w:rPr>
          <w:t>www.deewr.gov.au/lmip</w:t>
        </w:r>
      </w:hyperlink>
    </w:p>
    <w:p w:rsidR="00DB15D0" w:rsidRPr="004420A3" w:rsidRDefault="00DB15D0" w:rsidP="00DB15D0">
      <w:pPr>
        <w:spacing w:before="0" w:line="240" w:lineRule="auto"/>
        <w:rPr>
          <w:rStyle w:val="Hyperlink"/>
          <w:rFonts w:cstheme="minorHAnsi"/>
          <w:b/>
          <w:color w:val="00529C"/>
          <w:sz w:val="24"/>
          <w:u w:val="none"/>
        </w:rPr>
      </w:pPr>
      <w:r w:rsidRPr="004420A3">
        <w:rPr>
          <w:rFonts w:cstheme="minorHAnsi"/>
          <w:color w:val="000000" w:themeColor="text1"/>
          <w:sz w:val="24"/>
        </w:rPr>
        <w:t>Skill Shortages:</w:t>
      </w:r>
      <w:r w:rsidRPr="004420A3">
        <w:rPr>
          <w:rFonts w:cstheme="minorHAnsi"/>
          <w:b/>
          <w:color w:val="00529C"/>
          <w:sz w:val="24"/>
        </w:rPr>
        <w:t xml:space="preserve"> </w:t>
      </w:r>
      <w:r w:rsidRPr="004420A3">
        <w:rPr>
          <w:rStyle w:val="Hyperlink"/>
          <w:rFonts w:cstheme="minorHAnsi"/>
          <w:b/>
          <w:color w:val="00529C"/>
          <w:sz w:val="24"/>
        </w:rPr>
        <w:t>www.deewr.gov.au/skillshortages</w:t>
      </w:r>
    </w:p>
    <w:p w:rsidR="00DB15D0" w:rsidRPr="004420A3" w:rsidRDefault="00DB15D0" w:rsidP="00DB15D0">
      <w:pPr>
        <w:spacing w:before="0" w:line="240" w:lineRule="auto"/>
        <w:rPr>
          <w:rStyle w:val="Hyperlink"/>
          <w:rFonts w:cstheme="minorHAnsi"/>
          <w:b/>
          <w:color w:val="00529C"/>
          <w:sz w:val="24"/>
          <w:u w:val="none"/>
        </w:rPr>
      </w:pPr>
      <w:r w:rsidRPr="004420A3">
        <w:rPr>
          <w:rFonts w:cstheme="minorHAnsi"/>
          <w:color w:val="000000" w:themeColor="text1"/>
          <w:sz w:val="24"/>
        </w:rPr>
        <w:t>Job Outlook:</w:t>
      </w:r>
      <w:r w:rsidRPr="004420A3">
        <w:rPr>
          <w:rFonts w:cstheme="minorHAnsi"/>
          <w:b/>
          <w:color w:val="00529C"/>
          <w:sz w:val="24"/>
        </w:rPr>
        <w:t xml:space="preserve"> </w:t>
      </w:r>
      <w:hyperlink r:id="rId34" w:history="1">
        <w:r w:rsidR="000D0FD2" w:rsidRPr="004420A3">
          <w:rPr>
            <w:rStyle w:val="Hyperlink"/>
            <w:rFonts w:cstheme="minorHAnsi"/>
            <w:b/>
            <w:color w:val="00529C"/>
            <w:sz w:val="24"/>
          </w:rPr>
          <w:t>www.joboutlook.gov.au</w:t>
        </w:r>
      </w:hyperlink>
    </w:p>
    <w:p w:rsidR="00DB15D0" w:rsidRPr="004420A3" w:rsidRDefault="00DB15D0" w:rsidP="00DB15D0">
      <w:pPr>
        <w:spacing w:before="0" w:line="240" w:lineRule="auto"/>
        <w:rPr>
          <w:rFonts w:cstheme="minorHAnsi"/>
          <w:b/>
          <w:color w:val="00529C"/>
          <w:sz w:val="24"/>
        </w:rPr>
      </w:pPr>
      <w:r w:rsidRPr="004420A3">
        <w:rPr>
          <w:rFonts w:cstheme="minorHAnsi"/>
          <w:color w:val="000000" w:themeColor="text1"/>
          <w:sz w:val="24"/>
        </w:rPr>
        <w:t>SkillsInfo:</w:t>
      </w:r>
      <w:r w:rsidRPr="004420A3">
        <w:rPr>
          <w:rFonts w:cstheme="minorHAnsi"/>
          <w:b/>
          <w:color w:val="00529C"/>
          <w:sz w:val="24"/>
        </w:rPr>
        <w:t xml:space="preserve"> </w:t>
      </w:r>
      <w:hyperlink r:id="rId35" w:history="1">
        <w:r w:rsidRPr="004420A3">
          <w:rPr>
            <w:rStyle w:val="Hyperlink"/>
            <w:rFonts w:cstheme="minorHAnsi"/>
            <w:b/>
            <w:color w:val="00529C"/>
            <w:sz w:val="24"/>
          </w:rPr>
          <w:t>www.skillsinfo.gov.au</w:t>
        </w:r>
      </w:hyperlink>
    </w:p>
    <w:p w:rsidR="00AF1D21" w:rsidRPr="00367670" w:rsidRDefault="00DB15D0" w:rsidP="00DB15D0">
      <w:pPr>
        <w:spacing w:before="0" w:line="240" w:lineRule="auto"/>
        <w:rPr>
          <w:rFonts w:cstheme="minorHAnsi"/>
          <w:sz w:val="28"/>
          <w:szCs w:val="28"/>
        </w:rPr>
      </w:pPr>
      <w:r w:rsidRPr="004420A3">
        <w:rPr>
          <w:rFonts w:cstheme="minorHAnsi"/>
          <w:color w:val="000000" w:themeColor="text1"/>
          <w:sz w:val="24"/>
        </w:rPr>
        <w:t>Australian Jobs:</w:t>
      </w:r>
      <w:r w:rsidRPr="004420A3">
        <w:rPr>
          <w:rFonts w:cstheme="minorHAnsi"/>
          <w:b/>
          <w:color w:val="00529C"/>
          <w:sz w:val="24"/>
        </w:rPr>
        <w:t xml:space="preserve"> </w:t>
      </w:r>
      <w:hyperlink r:id="rId36" w:history="1">
        <w:r w:rsidRPr="004420A3">
          <w:rPr>
            <w:rStyle w:val="Hyperlink"/>
            <w:rFonts w:cstheme="minorHAnsi"/>
            <w:b/>
            <w:color w:val="00529C"/>
            <w:sz w:val="24"/>
          </w:rPr>
          <w:t>www.deewr.gov.au/australianjobs</w:t>
        </w:r>
      </w:hyperlink>
      <w:r w:rsidR="00AF01BD" w:rsidRPr="004420A3">
        <w:rPr>
          <w:rFonts w:cstheme="minorHAnsi"/>
          <w:noProof/>
          <w:sz w:val="28"/>
          <w:szCs w:val="28"/>
        </w:rPr>
        <w:drawing>
          <wp:anchor distT="0" distB="0" distL="114300" distR="114300" simplePos="0" relativeHeight="251662336" behindDoc="1" locked="0" layoutInCell="1" allowOverlap="1" wp14:anchorId="65B04151" wp14:editId="35C6BB9C">
            <wp:simplePos x="0" y="0"/>
            <wp:positionH relativeFrom="column">
              <wp:posOffset>-1207077</wp:posOffset>
            </wp:positionH>
            <wp:positionV relativeFrom="paragraph">
              <wp:posOffset>4191866</wp:posOffset>
            </wp:positionV>
            <wp:extent cx="7735050" cy="3837709"/>
            <wp:effectExtent l="19050" t="0" r="0" b="0"/>
            <wp:wrapNone/>
            <wp:docPr id="1"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35050" cy="3837709"/>
                    </a:xfrm>
                    <a:prstGeom prst="rect">
                      <a:avLst/>
                    </a:prstGeom>
                    <a:noFill/>
                    <a:ln>
                      <a:noFill/>
                    </a:ln>
                  </pic:spPr>
                </pic:pic>
              </a:graphicData>
            </a:graphic>
          </wp:anchor>
        </w:drawing>
      </w:r>
      <w:r w:rsidR="001E1498" w:rsidRPr="004420A3">
        <w:rPr>
          <w:rFonts w:cstheme="minorHAnsi"/>
          <w:noProof/>
          <w:sz w:val="28"/>
          <w:szCs w:val="28"/>
        </w:rPr>
        <w:drawing>
          <wp:anchor distT="0" distB="0" distL="114300" distR="114300" simplePos="0" relativeHeight="251664384" behindDoc="1" locked="0" layoutInCell="1" allowOverlap="1" wp14:anchorId="24181AD4" wp14:editId="4BC9F19C">
            <wp:simplePos x="0" y="0"/>
            <wp:positionH relativeFrom="column">
              <wp:posOffset>-1220932</wp:posOffset>
            </wp:positionH>
            <wp:positionV relativeFrom="paragraph">
              <wp:posOffset>2487757</wp:posOffset>
            </wp:positionV>
            <wp:extent cx="7739496" cy="1870363"/>
            <wp:effectExtent l="19050" t="0" r="0" b="0"/>
            <wp:wrapNone/>
            <wp:docPr id="5"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739496" cy="1870363"/>
                    </a:xfrm>
                    <a:prstGeom prst="rect">
                      <a:avLst/>
                    </a:prstGeom>
                    <a:noFill/>
                    <a:ln>
                      <a:noFill/>
                    </a:ln>
                  </pic:spPr>
                </pic:pic>
              </a:graphicData>
            </a:graphic>
          </wp:anchor>
        </w:drawing>
      </w:r>
    </w:p>
    <w:sectPr w:rsidR="00AF1D21" w:rsidRPr="00367670" w:rsidSect="00213EDD">
      <w:type w:val="continuous"/>
      <w:pgSz w:w="11906" w:h="16838"/>
      <w:pgMar w:top="1276" w:right="1418"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627" w:rsidRDefault="00746627" w:rsidP="006D0101">
      <w:pPr>
        <w:spacing w:before="0" w:after="0" w:line="240" w:lineRule="auto"/>
      </w:pPr>
      <w:r>
        <w:separator/>
      </w:r>
    </w:p>
  </w:endnote>
  <w:endnote w:type="continuationSeparator" w:id="0">
    <w:p w:rsidR="00746627" w:rsidRDefault="00746627" w:rsidP="006D01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27" w:rsidRPr="00C571AA" w:rsidRDefault="00746627" w:rsidP="00C571AA">
    <w:pPr>
      <w:pStyle w:val="Footer"/>
      <w:jc w:val="right"/>
    </w:pPr>
    <w:r>
      <w:fldChar w:fldCharType="begin"/>
    </w:r>
    <w:r>
      <w:instrText xml:space="preserve"> PAGE   \* MERGEFORMAT </w:instrText>
    </w:r>
    <w:r>
      <w:fldChar w:fldCharType="separate"/>
    </w:r>
    <w:r>
      <w:rPr>
        <w:noProof/>
      </w:rPr>
      <w:t>10</w:t>
    </w:r>
    <w:r>
      <w:rPr>
        <w:noProof/>
      </w:rPr>
      <w:fldChar w:fldCharType="end"/>
    </w:r>
  </w:p>
  <w:p w:rsidR="00746627" w:rsidRDefault="007466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27" w:rsidRDefault="00572024" w:rsidP="00C571AA">
    <w:pPr>
      <w:pStyle w:val="Footer"/>
      <w:jc w:val="right"/>
    </w:pPr>
    <w:sdt>
      <w:sdtPr>
        <w:id w:val="74868468"/>
        <w:docPartObj>
          <w:docPartGallery w:val="Page Numbers (Bottom of Page)"/>
          <w:docPartUnique/>
        </w:docPartObj>
      </w:sdtPr>
      <w:sdtEndPr/>
      <w:sdtContent>
        <w:r w:rsidR="00746627">
          <w:fldChar w:fldCharType="begin"/>
        </w:r>
        <w:r w:rsidR="00746627">
          <w:instrText xml:space="preserve"> PAGE   \* MERGEFORMAT </w:instrText>
        </w:r>
        <w:r w:rsidR="00746627">
          <w:fldChar w:fldCharType="separate"/>
        </w:r>
        <w:r>
          <w:rPr>
            <w:noProof/>
          </w:rPr>
          <w:t>1</w:t>
        </w:r>
        <w:r w:rsidR="00746627">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27" w:rsidRDefault="00746627" w:rsidP="00BE70FC">
    <w:pPr>
      <w:pStyle w:val="Footer"/>
      <w:pBdr>
        <w:top w:val="single" w:sz="4" w:space="1" w:color="auto"/>
      </w:pBdr>
      <w:spacing w:before="0" w:after="0" w:line="240" w:lineRule="auto"/>
    </w:pPr>
    <w:r>
      <w:t>Labour Market Research and Analysis Branch</w:t>
    </w:r>
  </w:p>
  <w:p w:rsidR="00746627" w:rsidRPr="00B32455" w:rsidRDefault="00907004" w:rsidP="004157E2">
    <w:pPr>
      <w:pStyle w:val="Footer"/>
      <w:spacing w:before="0" w:after="0" w:line="240" w:lineRule="auto"/>
    </w:pPr>
    <w:r>
      <w:t>June</w:t>
    </w:r>
    <w:r w:rsidR="008E21EC">
      <w:t xml:space="preserve"> 2013</w:t>
    </w:r>
    <w:r w:rsidR="00746627">
      <w:ptab w:relativeTo="margin" w:alignment="right" w:leader="none"/>
    </w:r>
    <w:r w:rsidR="00746627">
      <w:t xml:space="preserve"> </w:t>
    </w:r>
    <w:r w:rsidR="00746627">
      <w:fldChar w:fldCharType="begin"/>
    </w:r>
    <w:r w:rsidR="00746627">
      <w:instrText xml:space="preserve"> PAGE </w:instrText>
    </w:r>
    <w:r w:rsidR="00746627">
      <w:fldChar w:fldCharType="separate"/>
    </w:r>
    <w:r w:rsidR="00572024">
      <w:rPr>
        <w:noProof/>
      </w:rPr>
      <w:t>ii</w:t>
    </w:r>
    <w:r w:rsidR="00746627">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24368"/>
      <w:docPartObj>
        <w:docPartGallery w:val="Page Numbers (Bottom of Page)"/>
        <w:docPartUnique/>
      </w:docPartObj>
    </w:sdtPr>
    <w:sdtEndPr/>
    <w:sdtContent>
      <w:p w:rsidR="00746627" w:rsidRDefault="00746627" w:rsidP="00972397">
        <w:pPr>
          <w:pStyle w:val="Footer"/>
          <w:pBdr>
            <w:top w:val="single" w:sz="4" w:space="1" w:color="auto"/>
          </w:pBdr>
          <w:spacing w:before="0" w:after="0" w:line="240" w:lineRule="auto"/>
        </w:pPr>
        <w:r>
          <w:t>Labour Market Research and Analysis Branch</w:t>
        </w:r>
      </w:p>
      <w:p w:rsidR="00746627" w:rsidRDefault="00907004" w:rsidP="00972397">
        <w:pPr>
          <w:pStyle w:val="Footer"/>
          <w:spacing w:before="0" w:after="0" w:line="240" w:lineRule="auto"/>
        </w:pPr>
        <w:r>
          <w:t>June</w:t>
        </w:r>
        <w:r w:rsidR="008E21EC">
          <w:t xml:space="preserve"> 2013</w:t>
        </w:r>
        <w:r w:rsidR="00746627">
          <w:ptab w:relativeTo="margin" w:alignment="right" w:leader="none"/>
        </w:r>
        <w:r w:rsidR="00746627">
          <w:t xml:space="preserve"> </w:t>
        </w:r>
        <w:r w:rsidR="00746627">
          <w:fldChar w:fldCharType="begin"/>
        </w:r>
        <w:r w:rsidR="00746627">
          <w:instrText xml:space="preserve"> PAGE </w:instrText>
        </w:r>
        <w:r w:rsidR="00746627">
          <w:fldChar w:fldCharType="separate"/>
        </w:r>
        <w:r w:rsidR="00572024">
          <w:rPr>
            <w:noProof/>
          </w:rPr>
          <w:t>1</w:t>
        </w:r>
        <w:r w:rsidR="0074662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627" w:rsidRDefault="00746627" w:rsidP="006D0101">
      <w:pPr>
        <w:spacing w:before="0" w:after="0" w:line="240" w:lineRule="auto"/>
      </w:pPr>
      <w:r>
        <w:separator/>
      </w:r>
    </w:p>
  </w:footnote>
  <w:footnote w:type="continuationSeparator" w:id="0">
    <w:p w:rsidR="00746627" w:rsidRDefault="00746627" w:rsidP="006D0101">
      <w:pPr>
        <w:spacing w:before="0" w:after="0" w:line="240" w:lineRule="auto"/>
      </w:pPr>
      <w:r>
        <w:continuationSeparator/>
      </w:r>
    </w:p>
  </w:footnote>
  <w:footnote w:id="1">
    <w:p w:rsidR="00FD74B2" w:rsidRPr="00A73402" w:rsidRDefault="00FD74B2" w:rsidP="00956B49">
      <w:pPr>
        <w:pStyle w:val="FootnoteText"/>
        <w:spacing w:after="0" w:line="240" w:lineRule="auto"/>
        <w:contextualSpacing/>
        <w:rPr>
          <w:rFonts w:asciiTheme="minorHAnsi" w:hAnsiTheme="minorHAnsi" w:cstheme="minorHAnsi"/>
          <w:lang w:val="en-AU"/>
        </w:rPr>
      </w:pPr>
      <w:r w:rsidRPr="00A73402">
        <w:rPr>
          <w:rStyle w:val="FootnoteReference"/>
          <w:rFonts w:asciiTheme="minorHAnsi" w:hAnsiTheme="minorHAnsi" w:cstheme="minorHAnsi"/>
        </w:rPr>
        <w:footnoteRef/>
      </w:r>
      <w:r w:rsidRPr="00A73402">
        <w:rPr>
          <w:rFonts w:asciiTheme="minorHAnsi" w:hAnsiTheme="minorHAnsi" w:cstheme="minorHAnsi"/>
        </w:rPr>
        <w:t xml:space="preserve"> ABS, </w:t>
      </w:r>
      <w:r w:rsidRPr="00A73402">
        <w:rPr>
          <w:rFonts w:asciiTheme="minorHAnsi" w:hAnsiTheme="minorHAnsi" w:cstheme="minorHAnsi"/>
          <w:i/>
        </w:rPr>
        <w:t>Estimated Resident Population,</w:t>
      </w:r>
      <w:r w:rsidRPr="00A73402">
        <w:rPr>
          <w:rFonts w:asciiTheme="minorHAnsi" w:hAnsiTheme="minorHAnsi" w:cstheme="minorHAnsi"/>
        </w:rPr>
        <w:t xml:space="preserve"> 2011.</w:t>
      </w:r>
    </w:p>
  </w:footnote>
  <w:footnote w:id="2">
    <w:p w:rsidR="00FD74B2" w:rsidRPr="00A73402" w:rsidRDefault="00FD74B2" w:rsidP="00956B49">
      <w:pPr>
        <w:pStyle w:val="FootnoteText"/>
        <w:spacing w:after="0" w:line="240" w:lineRule="auto"/>
        <w:contextualSpacing/>
        <w:rPr>
          <w:rFonts w:asciiTheme="minorHAnsi" w:hAnsiTheme="minorHAnsi" w:cstheme="minorHAnsi"/>
          <w:color w:val="595959" w:themeColor="text1" w:themeTint="A6"/>
        </w:rPr>
      </w:pPr>
      <w:r w:rsidRPr="00A73402">
        <w:rPr>
          <w:rStyle w:val="FootnoteReference"/>
          <w:rFonts w:asciiTheme="minorHAnsi" w:hAnsiTheme="minorHAnsi" w:cstheme="minorHAnsi"/>
          <w:color w:val="595959" w:themeColor="text1" w:themeTint="A6"/>
        </w:rPr>
        <w:footnoteRef/>
      </w:r>
      <w:r w:rsidRPr="00A73402">
        <w:rPr>
          <w:rFonts w:asciiTheme="minorHAnsi" w:hAnsiTheme="minorHAnsi" w:cstheme="minorHAnsi"/>
          <w:color w:val="595959" w:themeColor="text1" w:themeTint="A6"/>
        </w:rPr>
        <w:t xml:space="preserve"> DEEWR, </w:t>
      </w:r>
      <w:r w:rsidRPr="00A73402">
        <w:rPr>
          <w:rFonts w:asciiTheme="minorHAnsi" w:hAnsiTheme="minorHAnsi" w:cstheme="minorHAnsi"/>
          <w:i/>
          <w:color w:val="595959" w:themeColor="text1" w:themeTint="A6"/>
        </w:rPr>
        <w:t>Small Area Labour Markets</w:t>
      </w:r>
      <w:r w:rsidRPr="00A73402">
        <w:rPr>
          <w:rFonts w:asciiTheme="minorHAnsi" w:hAnsiTheme="minorHAnsi" w:cstheme="minorHAnsi"/>
          <w:color w:val="595959" w:themeColor="text1" w:themeTint="A6"/>
        </w:rPr>
        <w:t>,</w:t>
      </w:r>
      <w:r w:rsidRPr="00A73402">
        <w:rPr>
          <w:rFonts w:asciiTheme="minorHAnsi" w:hAnsiTheme="minorHAnsi" w:cstheme="minorHAnsi"/>
          <w:i/>
          <w:color w:val="595959" w:themeColor="text1" w:themeTint="A6"/>
        </w:rPr>
        <w:t xml:space="preserve"> </w:t>
      </w:r>
      <w:r w:rsidRPr="00A73402">
        <w:rPr>
          <w:rFonts w:asciiTheme="minorHAnsi" w:hAnsiTheme="minorHAnsi" w:cstheme="minorHAnsi"/>
          <w:color w:val="595959" w:themeColor="text1" w:themeTint="A6"/>
        </w:rPr>
        <w:t>December Quarter 2012.</w:t>
      </w:r>
    </w:p>
  </w:footnote>
  <w:footnote w:id="3">
    <w:p w:rsidR="00FD74B2" w:rsidRPr="00A73402" w:rsidRDefault="00FD74B2" w:rsidP="00956B49">
      <w:pPr>
        <w:pStyle w:val="FootnoteText"/>
        <w:spacing w:after="0" w:line="240" w:lineRule="auto"/>
        <w:rPr>
          <w:rFonts w:asciiTheme="minorHAnsi" w:hAnsiTheme="minorHAnsi" w:cstheme="minorHAnsi"/>
          <w:lang w:val="en-AU"/>
        </w:rPr>
      </w:pPr>
      <w:r w:rsidRPr="00A73402">
        <w:rPr>
          <w:rStyle w:val="FootnoteReference"/>
          <w:rFonts w:asciiTheme="minorHAnsi" w:hAnsiTheme="minorHAnsi" w:cstheme="minorHAnsi"/>
          <w:color w:val="595959" w:themeColor="text1" w:themeTint="A6"/>
        </w:rPr>
        <w:footnoteRef/>
      </w:r>
      <w:r w:rsidRPr="00A73402">
        <w:rPr>
          <w:rFonts w:asciiTheme="minorHAnsi" w:hAnsiTheme="minorHAnsi" w:cstheme="minorHAnsi"/>
          <w:color w:val="595959" w:themeColor="text1" w:themeTint="A6"/>
        </w:rPr>
        <w:t xml:space="preserve"> </w:t>
      </w:r>
      <w:r w:rsidRPr="00A73402">
        <w:rPr>
          <w:rFonts w:asciiTheme="minorHAnsi" w:hAnsiTheme="minorHAnsi" w:cstheme="minorHAnsi"/>
          <w:color w:val="595959" w:themeColor="text1" w:themeTint="A6"/>
          <w:lang w:val="en-AU"/>
        </w:rPr>
        <w:t xml:space="preserve">ABS, </w:t>
      </w:r>
      <w:r w:rsidRPr="00A73402">
        <w:rPr>
          <w:rFonts w:asciiTheme="minorHAnsi" w:hAnsiTheme="minorHAnsi" w:cstheme="minorHAnsi"/>
          <w:i/>
          <w:color w:val="595959" w:themeColor="text1" w:themeTint="A6"/>
          <w:lang w:val="en-AU"/>
        </w:rPr>
        <w:t>Labour Force</w:t>
      </w:r>
      <w:r w:rsidR="00A73402">
        <w:rPr>
          <w:rFonts w:asciiTheme="minorHAnsi" w:hAnsiTheme="minorHAnsi" w:cstheme="minorHAnsi"/>
          <w:color w:val="595959" w:themeColor="text1" w:themeTint="A6"/>
          <w:lang w:val="en-AU"/>
        </w:rPr>
        <w:t xml:space="preserve">, </w:t>
      </w:r>
      <w:r w:rsidRPr="00A73402">
        <w:rPr>
          <w:rFonts w:asciiTheme="minorHAnsi" w:hAnsiTheme="minorHAnsi" w:cstheme="minorHAnsi"/>
          <w:color w:val="595959" w:themeColor="text1" w:themeTint="A6"/>
          <w:lang w:val="en-AU"/>
        </w:rPr>
        <w:t>seasonally adjusted</w:t>
      </w:r>
      <w:r w:rsidR="00872BCF">
        <w:rPr>
          <w:rFonts w:asciiTheme="minorHAnsi" w:hAnsiTheme="minorHAnsi" w:cstheme="minorHAnsi"/>
          <w:color w:val="595959" w:themeColor="text1" w:themeTint="A6"/>
          <w:lang w:val="en-AU"/>
        </w:rPr>
        <w:t>, May</w:t>
      </w:r>
      <w:r w:rsidR="00A73402">
        <w:rPr>
          <w:rFonts w:asciiTheme="minorHAnsi" w:hAnsiTheme="minorHAnsi" w:cstheme="minorHAnsi"/>
          <w:color w:val="595959" w:themeColor="text1" w:themeTint="A6"/>
          <w:lang w:val="en-AU"/>
        </w:rPr>
        <w:t xml:space="preserve"> 2013.</w:t>
      </w:r>
    </w:p>
  </w:footnote>
  <w:footnote w:id="4">
    <w:p w:rsidR="00FD74B2" w:rsidRPr="00A73402" w:rsidRDefault="00FD74B2" w:rsidP="00956B49">
      <w:pPr>
        <w:pStyle w:val="FootnoteText"/>
        <w:spacing w:after="0" w:line="240" w:lineRule="auto"/>
        <w:rPr>
          <w:rFonts w:asciiTheme="minorHAnsi" w:hAnsiTheme="minorHAnsi" w:cstheme="minorHAnsi"/>
          <w:lang w:val="en-AU"/>
        </w:rPr>
      </w:pPr>
      <w:r w:rsidRPr="00A73402">
        <w:rPr>
          <w:rStyle w:val="FootnoteReference"/>
          <w:rFonts w:asciiTheme="minorHAnsi" w:hAnsiTheme="minorHAnsi" w:cstheme="minorHAnsi"/>
        </w:rPr>
        <w:footnoteRef/>
      </w:r>
      <w:r w:rsidRPr="00A73402">
        <w:rPr>
          <w:rFonts w:asciiTheme="minorHAnsi" w:hAnsiTheme="minorHAnsi" w:cstheme="minorHAnsi"/>
        </w:rPr>
        <w:t xml:space="preserve"> </w:t>
      </w:r>
      <w:r w:rsidRPr="00A73402">
        <w:rPr>
          <w:rFonts w:asciiTheme="minorHAnsi" w:hAnsiTheme="minorHAnsi" w:cstheme="minorHAnsi"/>
          <w:color w:val="595959" w:themeColor="text1" w:themeTint="A6"/>
        </w:rPr>
        <w:t xml:space="preserve">DEEWR, </w:t>
      </w:r>
      <w:r w:rsidRPr="00A73402">
        <w:rPr>
          <w:rFonts w:asciiTheme="minorHAnsi" w:hAnsiTheme="minorHAnsi" w:cstheme="minorHAnsi"/>
          <w:i/>
          <w:color w:val="595959" w:themeColor="text1" w:themeTint="A6"/>
        </w:rPr>
        <w:t>Small Area Labour Markets</w:t>
      </w:r>
      <w:r w:rsidRPr="00A73402">
        <w:rPr>
          <w:rFonts w:asciiTheme="minorHAnsi" w:hAnsiTheme="minorHAnsi" w:cstheme="minorHAnsi"/>
          <w:color w:val="595959" w:themeColor="text1" w:themeTint="A6"/>
        </w:rPr>
        <w:t>,</w:t>
      </w:r>
      <w:r w:rsidRPr="00A73402">
        <w:rPr>
          <w:rFonts w:asciiTheme="minorHAnsi" w:hAnsiTheme="minorHAnsi" w:cstheme="minorHAnsi"/>
          <w:i/>
          <w:color w:val="595959" w:themeColor="text1" w:themeTint="A6"/>
        </w:rPr>
        <w:t xml:space="preserve"> </w:t>
      </w:r>
      <w:r w:rsidRPr="00A73402">
        <w:rPr>
          <w:rFonts w:asciiTheme="minorHAnsi" w:hAnsiTheme="minorHAnsi" w:cstheme="minorHAnsi"/>
          <w:color w:val="595959" w:themeColor="text1" w:themeTint="A6"/>
        </w:rPr>
        <w:t>December Quarter 2012.</w:t>
      </w:r>
    </w:p>
  </w:footnote>
  <w:footnote w:id="5">
    <w:p w:rsidR="00956B49" w:rsidRPr="00A73402" w:rsidRDefault="00956B49" w:rsidP="00956B49">
      <w:pPr>
        <w:pStyle w:val="FootnoteText"/>
        <w:spacing w:after="0" w:line="240" w:lineRule="auto"/>
        <w:rPr>
          <w:rFonts w:asciiTheme="minorHAnsi" w:hAnsiTheme="minorHAnsi" w:cstheme="minorHAnsi"/>
          <w:lang w:val="en-AU"/>
        </w:rPr>
      </w:pPr>
      <w:r w:rsidRPr="00A73402">
        <w:rPr>
          <w:rStyle w:val="FootnoteReference"/>
          <w:rFonts w:asciiTheme="minorHAnsi" w:hAnsiTheme="minorHAnsi" w:cstheme="minorHAnsi"/>
        </w:rPr>
        <w:footnoteRef/>
      </w:r>
      <w:r w:rsidRPr="00A73402">
        <w:rPr>
          <w:rFonts w:asciiTheme="minorHAnsi" w:hAnsiTheme="minorHAnsi" w:cstheme="minorHAnsi"/>
        </w:rPr>
        <w:t xml:space="preserve"> </w:t>
      </w:r>
      <w:r w:rsidR="001F38A0" w:rsidRPr="00A73402">
        <w:rPr>
          <w:rFonts w:asciiTheme="minorHAnsi" w:hAnsiTheme="minorHAnsi" w:cstheme="minorHAnsi"/>
          <w:lang w:val="en-AU"/>
        </w:rPr>
        <w:t xml:space="preserve">ABS, </w:t>
      </w:r>
      <w:r w:rsidR="001F38A0" w:rsidRPr="00A73402">
        <w:rPr>
          <w:rFonts w:asciiTheme="minorHAnsi" w:hAnsiTheme="minorHAnsi" w:cstheme="minorHAnsi"/>
          <w:i/>
          <w:lang w:val="en-AU"/>
        </w:rPr>
        <w:t xml:space="preserve">Estimated Resident Population, </w:t>
      </w:r>
      <w:r w:rsidR="001F38A0" w:rsidRPr="00A73402">
        <w:rPr>
          <w:rFonts w:asciiTheme="minorHAnsi" w:hAnsiTheme="minorHAnsi" w:cstheme="minorHAnsi"/>
          <w:lang w:val="en-AU"/>
        </w:rPr>
        <w:t>2011.</w:t>
      </w:r>
      <w:r w:rsidR="001F38A0">
        <w:rPr>
          <w:rFonts w:asciiTheme="minorHAnsi" w:hAnsiTheme="minorHAnsi" w:cstheme="minorHAnsi"/>
          <w:lang w:val="en-AU"/>
        </w:rPr>
        <w:t xml:space="preserve"> </w:t>
      </w:r>
      <w:r w:rsidRPr="00A73402">
        <w:rPr>
          <w:rFonts w:asciiTheme="minorHAnsi" w:hAnsiTheme="minorHAnsi" w:cstheme="minorHAnsi"/>
          <w:lang w:val="en-AU"/>
        </w:rPr>
        <w:t xml:space="preserve">The </w:t>
      </w:r>
      <w:r w:rsidRPr="00A73402">
        <w:rPr>
          <w:rFonts w:asciiTheme="minorHAnsi" w:eastAsiaTheme="minorHAnsi" w:hAnsiTheme="minorHAnsi" w:cstheme="minorHAnsi"/>
        </w:rPr>
        <w:t>Townsville PEA accounts for 86 per cent of the Northern-North West LFR’s working age population.</w:t>
      </w:r>
    </w:p>
  </w:footnote>
  <w:footnote w:id="6">
    <w:p w:rsidR="00FD74B2" w:rsidRPr="00E14F05" w:rsidRDefault="00FD74B2" w:rsidP="00956B49">
      <w:pPr>
        <w:pStyle w:val="FootnoteText"/>
        <w:spacing w:after="0" w:line="240" w:lineRule="auto"/>
        <w:contextualSpacing/>
        <w:rPr>
          <w:rFonts w:asciiTheme="minorHAnsi" w:hAnsiTheme="minorHAnsi" w:cstheme="minorHAnsi"/>
          <w:lang w:val="en-AU"/>
        </w:rPr>
      </w:pPr>
      <w:r w:rsidRPr="00A73402">
        <w:rPr>
          <w:rStyle w:val="FootnoteReference"/>
          <w:rFonts w:asciiTheme="minorHAnsi" w:hAnsiTheme="minorHAnsi" w:cstheme="minorHAnsi"/>
        </w:rPr>
        <w:footnoteRef/>
      </w:r>
      <w:r w:rsidRPr="00A73402">
        <w:rPr>
          <w:rFonts w:asciiTheme="minorHAnsi" w:hAnsiTheme="minorHAnsi" w:cstheme="minorHAnsi"/>
        </w:rPr>
        <w:t xml:space="preserve"> </w:t>
      </w:r>
      <w:r w:rsidRPr="00A73402">
        <w:rPr>
          <w:rFonts w:asciiTheme="minorHAnsi" w:hAnsiTheme="minorHAnsi" w:cstheme="minorHAnsi"/>
          <w:lang w:val="en-AU"/>
        </w:rPr>
        <w:t xml:space="preserve">ABS, </w:t>
      </w:r>
      <w:r w:rsidRPr="00A73402">
        <w:rPr>
          <w:rFonts w:asciiTheme="minorHAnsi" w:hAnsiTheme="minorHAnsi" w:cstheme="minorHAnsi"/>
          <w:i/>
          <w:lang w:val="en-AU"/>
        </w:rPr>
        <w:t xml:space="preserve">Labour Force, </w:t>
      </w:r>
      <w:r w:rsidR="0082663C">
        <w:rPr>
          <w:rFonts w:asciiTheme="minorHAnsi" w:hAnsiTheme="minorHAnsi" w:cstheme="minorHAnsi"/>
          <w:lang w:val="en-AU"/>
        </w:rPr>
        <w:t>May</w:t>
      </w:r>
      <w:r w:rsidRPr="00A73402">
        <w:rPr>
          <w:rFonts w:asciiTheme="minorHAnsi" w:hAnsiTheme="minorHAnsi" w:cstheme="minorHAnsi"/>
          <w:lang w:val="en-AU"/>
        </w:rPr>
        <w:t xml:space="preserve"> 2013</w:t>
      </w:r>
      <w:r w:rsidR="00491781">
        <w:rPr>
          <w:rFonts w:asciiTheme="minorHAnsi" w:hAnsiTheme="minorHAnsi" w:cstheme="minorHAnsi"/>
          <w:lang w:val="en-AU"/>
        </w:rPr>
        <w:t xml:space="preserve"> (12 month averages of original data</w:t>
      </w:r>
      <w:r w:rsidR="00D876F2">
        <w:rPr>
          <w:rFonts w:asciiTheme="minorHAnsi" w:hAnsiTheme="minorHAnsi" w:cstheme="minorHAnsi"/>
          <w:lang w:val="en-AU"/>
        </w:rPr>
        <w:t>)</w:t>
      </w:r>
      <w:r w:rsidR="001F38A0">
        <w:rPr>
          <w:rFonts w:asciiTheme="minorHAnsi" w:hAnsiTheme="minorHAnsi" w:cstheme="minorHAnsi"/>
          <w:lang w:val="en-AU"/>
        </w:rPr>
        <w:t>.</w:t>
      </w:r>
    </w:p>
  </w:footnote>
  <w:footnote w:id="7">
    <w:p w:rsidR="008164DD" w:rsidRPr="00276B61" w:rsidRDefault="008164DD" w:rsidP="008164DD">
      <w:pPr>
        <w:pStyle w:val="FootnoteText"/>
        <w:spacing w:after="0" w:line="240" w:lineRule="auto"/>
        <w:contextualSpacing/>
        <w:rPr>
          <w:rFonts w:asciiTheme="minorHAnsi" w:hAnsiTheme="minorHAnsi" w:cstheme="minorHAnsi"/>
        </w:rPr>
      </w:pPr>
      <w:r w:rsidRPr="00276B61">
        <w:rPr>
          <w:rStyle w:val="FootnoteReference"/>
          <w:rFonts w:asciiTheme="minorHAnsi" w:hAnsiTheme="minorHAnsi" w:cstheme="minorHAnsi"/>
        </w:rPr>
        <w:footnoteRef/>
      </w:r>
      <w:r w:rsidRPr="00276B61">
        <w:rPr>
          <w:rFonts w:asciiTheme="minorHAnsi" w:hAnsiTheme="minorHAnsi" w:cstheme="minorHAnsi"/>
        </w:rPr>
        <w:t xml:space="preserve"> ABS, </w:t>
      </w:r>
      <w:r w:rsidRPr="00276B61">
        <w:rPr>
          <w:rFonts w:asciiTheme="minorHAnsi" w:hAnsiTheme="minorHAnsi" w:cstheme="minorHAnsi"/>
          <w:i/>
        </w:rPr>
        <w:t xml:space="preserve">Census of Population and </w:t>
      </w:r>
      <w:r w:rsidRPr="00276B61">
        <w:rPr>
          <w:rFonts w:asciiTheme="minorHAnsi" w:hAnsiTheme="minorHAnsi" w:cstheme="minorHAnsi"/>
          <w:i/>
          <w:color w:val="595959" w:themeColor="text1" w:themeTint="A6"/>
        </w:rPr>
        <w:t>Housing</w:t>
      </w:r>
      <w:r w:rsidRPr="00276B61">
        <w:rPr>
          <w:rFonts w:asciiTheme="minorHAnsi" w:hAnsiTheme="minorHAnsi" w:cstheme="minorHAnsi"/>
          <w:color w:val="595959" w:themeColor="text1" w:themeTint="A6"/>
        </w:rPr>
        <w:t>, 2011</w:t>
      </w:r>
      <w:r w:rsidRPr="00276B61">
        <w:rPr>
          <w:rFonts w:asciiTheme="minorHAnsi" w:hAnsiTheme="minorHAnsi" w:cstheme="minorHAnsi"/>
        </w:rPr>
        <w:t>.</w:t>
      </w:r>
    </w:p>
  </w:footnote>
  <w:footnote w:id="8">
    <w:p w:rsidR="00FD74B2" w:rsidRPr="003E1561" w:rsidRDefault="00FD74B2" w:rsidP="00FD74B2">
      <w:pPr>
        <w:pStyle w:val="FootnoteText"/>
        <w:spacing w:after="0" w:line="240" w:lineRule="auto"/>
        <w:contextualSpacing/>
        <w:rPr>
          <w:rFonts w:asciiTheme="minorHAnsi" w:hAnsiTheme="minorHAnsi" w:cstheme="minorHAnsi"/>
          <w:lang w:val="en-AU"/>
        </w:rPr>
      </w:pPr>
      <w:r w:rsidRPr="00276B61">
        <w:rPr>
          <w:rStyle w:val="FootnoteReference"/>
          <w:rFonts w:asciiTheme="minorHAnsi" w:hAnsiTheme="minorHAnsi" w:cstheme="minorHAnsi"/>
        </w:rPr>
        <w:footnoteRef/>
      </w:r>
      <w:r w:rsidR="006726AE">
        <w:rPr>
          <w:rFonts w:asciiTheme="minorHAnsi" w:hAnsiTheme="minorHAnsi" w:cstheme="minorHAnsi"/>
        </w:rPr>
        <w:t xml:space="preserve"> </w:t>
      </w:r>
      <w:r w:rsidRPr="00276B61">
        <w:rPr>
          <w:rFonts w:asciiTheme="minorHAnsi" w:hAnsiTheme="minorHAnsi" w:cstheme="minorHAnsi"/>
        </w:rPr>
        <w:t xml:space="preserve">ABS, </w:t>
      </w:r>
      <w:r w:rsidRPr="00276B61">
        <w:rPr>
          <w:rFonts w:asciiTheme="minorHAnsi" w:hAnsiTheme="minorHAnsi" w:cstheme="minorHAnsi"/>
          <w:i/>
        </w:rPr>
        <w:t>Census of Population and Housing</w:t>
      </w:r>
      <w:r w:rsidRPr="00276B61">
        <w:rPr>
          <w:rFonts w:asciiTheme="minorHAnsi" w:hAnsiTheme="minorHAnsi" w:cstheme="minorHAnsi"/>
        </w:rPr>
        <w:t>,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27" w:rsidRPr="00F1256C" w:rsidRDefault="00746627" w:rsidP="00F1256C">
    <w:pPr>
      <w:pStyle w:val="BodyText"/>
      <w:jc w:val="right"/>
      <w:rPr>
        <w:color w:val="808080" w:themeColor="background1" w:themeShade="80"/>
      </w:rPr>
    </w:pPr>
    <w:r>
      <w:rPr>
        <w:color w:val="808080" w:themeColor="background1" w:themeShade="80"/>
      </w:rPr>
      <w:t xml:space="preserve">xxx Report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27" w:rsidRDefault="00746627" w:rsidP="00793116">
    <w:pPr>
      <w:pStyle w:val="BodyText"/>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27" w:rsidRPr="00DD5593" w:rsidRDefault="00497CA8" w:rsidP="00DD5593">
    <w:pPr>
      <w:pStyle w:val="Header"/>
      <w:jc w:val="right"/>
      <w:rPr>
        <w:color w:val="A6A6A6" w:themeColor="background1" w:themeShade="A6"/>
      </w:rPr>
    </w:pPr>
    <w:r>
      <w:rPr>
        <w:color w:val="A6A6A6" w:themeColor="background1" w:themeShade="A6"/>
      </w:rPr>
      <w:t>Townsville</w:t>
    </w:r>
    <w:r w:rsidR="00746627">
      <w:rPr>
        <w:color w:val="A6A6A6" w:themeColor="background1" w:themeShade="A6"/>
      </w:rPr>
      <w:t xml:space="preserve"> Priority Employment Area</w:t>
    </w:r>
    <w:r w:rsidR="00746627" w:rsidRPr="00D23D2A">
      <w:rPr>
        <w:color w:val="A6A6A6" w:themeColor="background1" w:themeShade="A6"/>
      </w:rPr>
      <w:t xml:space="preserve"> Report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27" w:rsidRPr="00D23D2A" w:rsidRDefault="00573934" w:rsidP="00046925">
    <w:pPr>
      <w:pStyle w:val="Header"/>
      <w:jc w:val="right"/>
      <w:rPr>
        <w:color w:val="A6A6A6" w:themeColor="background1" w:themeShade="A6"/>
      </w:rPr>
    </w:pPr>
    <w:r>
      <w:rPr>
        <w:color w:val="A6A6A6" w:themeColor="background1" w:themeShade="A6"/>
      </w:rPr>
      <w:t>Townsville</w:t>
    </w:r>
    <w:r w:rsidR="00746627">
      <w:rPr>
        <w:color w:val="A6A6A6" w:themeColor="background1" w:themeShade="A6"/>
      </w:rPr>
      <w:t xml:space="preserve"> Priority Employment Area</w:t>
    </w:r>
    <w:r w:rsidR="00746627" w:rsidRPr="00D23D2A">
      <w:rPr>
        <w:color w:val="A6A6A6" w:themeColor="background1" w:themeShade="A6"/>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5D4F640"/>
    <w:lvl w:ilvl="0">
      <w:start w:val="1"/>
      <w:numFmt w:val="decimal"/>
      <w:pStyle w:val="ListNumber"/>
      <w:lvlText w:val="%1."/>
      <w:lvlJc w:val="left"/>
      <w:pPr>
        <w:tabs>
          <w:tab w:val="num" w:pos="360"/>
        </w:tabs>
        <w:ind w:left="360" w:hanging="360"/>
      </w:pPr>
    </w:lvl>
  </w:abstractNum>
  <w:abstractNum w:abstractNumId="1">
    <w:nsid w:val="FFFFFF89"/>
    <w:multiLevelType w:val="singleLevel"/>
    <w:tmpl w:val="D6DEAEC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BF4431"/>
    <w:multiLevelType w:val="hybridMultilevel"/>
    <w:tmpl w:val="AFAAA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6419DD"/>
    <w:multiLevelType w:val="hybridMultilevel"/>
    <w:tmpl w:val="B008D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570136"/>
    <w:multiLevelType w:val="multilevel"/>
    <w:tmpl w:val="CF50D33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134" w:hanging="414"/>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BEE5F0C"/>
    <w:multiLevelType w:val="hybridMultilevel"/>
    <w:tmpl w:val="54E08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501CFD"/>
    <w:multiLevelType w:val="hybridMultilevel"/>
    <w:tmpl w:val="8F6CC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C8157FA"/>
    <w:multiLevelType w:val="hybridMultilevel"/>
    <w:tmpl w:val="D8523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E13BEC"/>
    <w:multiLevelType w:val="hybridMultilevel"/>
    <w:tmpl w:val="379E2660"/>
    <w:lvl w:ilvl="0" w:tplc="783AD48C">
      <w:start w:val="1"/>
      <w:numFmt w:val="bullet"/>
      <w:pStyle w:val="Style1"/>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22546A1"/>
    <w:multiLevelType w:val="hybridMultilevel"/>
    <w:tmpl w:val="9B081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32D4D44"/>
    <w:multiLevelType w:val="hybridMultilevel"/>
    <w:tmpl w:val="C0C4C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D7473B"/>
    <w:multiLevelType w:val="hybridMultilevel"/>
    <w:tmpl w:val="9EFE2342"/>
    <w:lvl w:ilvl="0" w:tplc="0C090001">
      <w:start w:val="1"/>
      <w:numFmt w:val="bullet"/>
      <w:lvlText w:val=""/>
      <w:lvlJc w:val="left"/>
      <w:pPr>
        <w:ind w:left="714" w:hanging="360"/>
      </w:pPr>
      <w:rPr>
        <w:rFonts w:ascii="Symbol" w:hAnsi="Symbol" w:hint="default"/>
      </w:rPr>
    </w:lvl>
    <w:lvl w:ilvl="1" w:tplc="0C090003">
      <w:start w:val="1"/>
      <w:numFmt w:val="bullet"/>
      <w:lvlText w:val="o"/>
      <w:lvlJc w:val="left"/>
      <w:pPr>
        <w:ind w:left="1434" w:hanging="360"/>
      </w:pPr>
      <w:rPr>
        <w:rFonts w:ascii="Courier New" w:hAnsi="Courier New" w:cs="Courier New" w:hint="default"/>
      </w:rPr>
    </w:lvl>
    <w:lvl w:ilvl="2" w:tplc="0C090005" w:tentative="1">
      <w:start w:val="1"/>
      <w:numFmt w:val="bullet"/>
      <w:lvlText w:val=""/>
      <w:lvlJc w:val="left"/>
      <w:pPr>
        <w:ind w:left="2154" w:hanging="360"/>
      </w:pPr>
      <w:rPr>
        <w:rFonts w:ascii="Wingdings" w:hAnsi="Wingdings" w:hint="default"/>
      </w:rPr>
    </w:lvl>
    <w:lvl w:ilvl="3" w:tplc="0C090001" w:tentative="1">
      <w:start w:val="1"/>
      <w:numFmt w:val="bullet"/>
      <w:lvlText w:val=""/>
      <w:lvlJc w:val="left"/>
      <w:pPr>
        <w:ind w:left="2874" w:hanging="360"/>
      </w:pPr>
      <w:rPr>
        <w:rFonts w:ascii="Symbol" w:hAnsi="Symbol" w:hint="default"/>
      </w:rPr>
    </w:lvl>
    <w:lvl w:ilvl="4" w:tplc="0C090003" w:tentative="1">
      <w:start w:val="1"/>
      <w:numFmt w:val="bullet"/>
      <w:lvlText w:val="o"/>
      <w:lvlJc w:val="left"/>
      <w:pPr>
        <w:ind w:left="3594" w:hanging="360"/>
      </w:pPr>
      <w:rPr>
        <w:rFonts w:ascii="Courier New" w:hAnsi="Courier New" w:cs="Courier New" w:hint="default"/>
      </w:rPr>
    </w:lvl>
    <w:lvl w:ilvl="5" w:tplc="0C090005" w:tentative="1">
      <w:start w:val="1"/>
      <w:numFmt w:val="bullet"/>
      <w:lvlText w:val=""/>
      <w:lvlJc w:val="left"/>
      <w:pPr>
        <w:ind w:left="4314" w:hanging="360"/>
      </w:pPr>
      <w:rPr>
        <w:rFonts w:ascii="Wingdings" w:hAnsi="Wingdings" w:hint="default"/>
      </w:rPr>
    </w:lvl>
    <w:lvl w:ilvl="6" w:tplc="0C090001" w:tentative="1">
      <w:start w:val="1"/>
      <w:numFmt w:val="bullet"/>
      <w:lvlText w:val=""/>
      <w:lvlJc w:val="left"/>
      <w:pPr>
        <w:ind w:left="5034" w:hanging="360"/>
      </w:pPr>
      <w:rPr>
        <w:rFonts w:ascii="Symbol" w:hAnsi="Symbol" w:hint="default"/>
      </w:rPr>
    </w:lvl>
    <w:lvl w:ilvl="7" w:tplc="0C090003" w:tentative="1">
      <w:start w:val="1"/>
      <w:numFmt w:val="bullet"/>
      <w:lvlText w:val="o"/>
      <w:lvlJc w:val="left"/>
      <w:pPr>
        <w:ind w:left="5754" w:hanging="360"/>
      </w:pPr>
      <w:rPr>
        <w:rFonts w:ascii="Courier New" w:hAnsi="Courier New" w:cs="Courier New" w:hint="default"/>
      </w:rPr>
    </w:lvl>
    <w:lvl w:ilvl="8" w:tplc="0C090005" w:tentative="1">
      <w:start w:val="1"/>
      <w:numFmt w:val="bullet"/>
      <w:lvlText w:val=""/>
      <w:lvlJc w:val="left"/>
      <w:pPr>
        <w:ind w:left="6474" w:hanging="360"/>
      </w:pPr>
      <w:rPr>
        <w:rFonts w:ascii="Wingdings" w:hAnsi="Wingdings" w:hint="default"/>
      </w:rPr>
    </w:lvl>
  </w:abstractNum>
  <w:abstractNum w:abstractNumId="12">
    <w:nsid w:val="149E1D14"/>
    <w:multiLevelType w:val="hybridMultilevel"/>
    <w:tmpl w:val="66C2BC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19D06BAD"/>
    <w:multiLevelType w:val="hybridMultilevel"/>
    <w:tmpl w:val="5420E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B87538"/>
    <w:multiLevelType w:val="hybridMultilevel"/>
    <w:tmpl w:val="4DFEA3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C25B93"/>
    <w:multiLevelType w:val="multilevel"/>
    <w:tmpl w:val="072C9B8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D107D47"/>
    <w:multiLevelType w:val="hybridMultilevel"/>
    <w:tmpl w:val="9C6A08C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DDE58B7"/>
    <w:multiLevelType w:val="hybridMultilevel"/>
    <w:tmpl w:val="7870F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FED586F"/>
    <w:multiLevelType w:val="hybridMultilevel"/>
    <w:tmpl w:val="A53C76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4CF23C0"/>
    <w:multiLevelType w:val="hybridMultilevel"/>
    <w:tmpl w:val="32EE56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60462E7"/>
    <w:multiLevelType w:val="hybridMultilevel"/>
    <w:tmpl w:val="E51CEC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69E7D57"/>
    <w:multiLevelType w:val="hybridMultilevel"/>
    <w:tmpl w:val="7640DA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9E00102"/>
    <w:multiLevelType w:val="hybridMultilevel"/>
    <w:tmpl w:val="877AF656"/>
    <w:lvl w:ilvl="0" w:tplc="0C090001">
      <w:start w:val="1"/>
      <w:numFmt w:val="bullet"/>
      <w:lvlText w:val=""/>
      <w:lvlJc w:val="left"/>
      <w:pPr>
        <w:ind w:left="720" w:hanging="360"/>
      </w:pPr>
      <w:rPr>
        <w:rFonts w:ascii="Symbol" w:hAnsi="Symbol" w:hint="default"/>
      </w:rPr>
    </w:lvl>
    <w:lvl w:ilvl="1" w:tplc="9DC07EA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0A95B05"/>
    <w:multiLevelType w:val="hybridMultilevel"/>
    <w:tmpl w:val="AD82CA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419B1185"/>
    <w:multiLevelType w:val="hybridMultilevel"/>
    <w:tmpl w:val="7E5E8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2045901"/>
    <w:multiLevelType w:val="hybridMultilevel"/>
    <w:tmpl w:val="6B68E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C231E68"/>
    <w:multiLevelType w:val="hybridMultilevel"/>
    <w:tmpl w:val="0ED20EA6"/>
    <w:lvl w:ilvl="0" w:tplc="35B85938">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785"/>
        </w:tabs>
        <w:ind w:left="785"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E461AAA"/>
    <w:multiLevelType w:val="hybridMultilevel"/>
    <w:tmpl w:val="3170DB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0547DEB"/>
    <w:multiLevelType w:val="hybridMultilevel"/>
    <w:tmpl w:val="C3703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D3E6A10"/>
    <w:multiLevelType w:val="hybridMultilevel"/>
    <w:tmpl w:val="68E48252"/>
    <w:lvl w:ilvl="0" w:tplc="2230EBF8">
      <w:start w:val="1"/>
      <w:numFmt w:val="bullet"/>
      <w:pStyle w:val="Shaded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F115157"/>
    <w:multiLevelType w:val="multilevel"/>
    <w:tmpl w:val="CF50D33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134" w:hanging="414"/>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2E65E8E"/>
    <w:multiLevelType w:val="hybridMultilevel"/>
    <w:tmpl w:val="589E3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4777BA"/>
    <w:multiLevelType w:val="hybridMultilevel"/>
    <w:tmpl w:val="FF006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7B84975"/>
    <w:multiLevelType w:val="hybridMultilevel"/>
    <w:tmpl w:val="85406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96631C4"/>
    <w:multiLevelType w:val="hybridMultilevel"/>
    <w:tmpl w:val="D2B26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9B80984"/>
    <w:multiLevelType w:val="hybridMultilevel"/>
    <w:tmpl w:val="86364C5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6E283F33"/>
    <w:multiLevelType w:val="hybridMultilevel"/>
    <w:tmpl w:val="A5E615DE"/>
    <w:lvl w:ilvl="0" w:tplc="6AC8116A">
      <w:start w:val="1"/>
      <w:numFmt w:val="bullet"/>
      <w:lvlText w:val=""/>
      <w:lvlJc w:val="left"/>
      <w:pPr>
        <w:tabs>
          <w:tab w:val="num" w:pos="360"/>
        </w:tabs>
        <w:ind w:left="360" w:hanging="360"/>
      </w:pPr>
      <w:rPr>
        <w:rFonts w:ascii="Symbol" w:hAnsi="Symbol" w:hint="default"/>
        <w:color w:val="00529C"/>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F9A27EE"/>
    <w:multiLevelType w:val="hybridMultilevel"/>
    <w:tmpl w:val="37D43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4A1FB7"/>
    <w:multiLevelType w:val="hybridMultilevel"/>
    <w:tmpl w:val="C23E7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60625FB"/>
    <w:multiLevelType w:val="hybridMultilevel"/>
    <w:tmpl w:val="70DE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8D3119E"/>
    <w:multiLevelType w:val="hybridMultilevel"/>
    <w:tmpl w:val="391C2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B3619FA"/>
    <w:multiLevelType w:val="hybridMultilevel"/>
    <w:tmpl w:val="7DE078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0"/>
  </w:num>
  <w:num w:numId="4">
    <w:abstractNumId w:val="1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2"/>
  </w:num>
  <w:num w:numId="8">
    <w:abstractNumId w:val="18"/>
  </w:num>
  <w:num w:numId="9">
    <w:abstractNumId w:val="21"/>
  </w:num>
  <w:num w:numId="10">
    <w:abstractNumId w:val="25"/>
  </w:num>
  <w:num w:numId="11">
    <w:abstractNumId w:val="28"/>
  </w:num>
  <w:num w:numId="12">
    <w:abstractNumId w:val="19"/>
  </w:num>
  <w:num w:numId="13">
    <w:abstractNumId w:val="37"/>
  </w:num>
  <w:num w:numId="14">
    <w:abstractNumId w:val="13"/>
  </w:num>
  <w:num w:numId="15">
    <w:abstractNumId w:val="40"/>
  </w:num>
  <w:num w:numId="16">
    <w:abstractNumId w:val="29"/>
  </w:num>
  <w:num w:numId="17">
    <w:abstractNumId w:val="4"/>
  </w:num>
  <w:num w:numId="18">
    <w:abstractNumId w:val="12"/>
  </w:num>
  <w:num w:numId="19">
    <w:abstractNumId w:val="8"/>
  </w:num>
  <w:num w:numId="20">
    <w:abstractNumId w:val="14"/>
  </w:num>
  <w:num w:numId="21">
    <w:abstractNumId w:val="27"/>
  </w:num>
  <w:num w:numId="22">
    <w:abstractNumId w:val="34"/>
  </w:num>
  <w:num w:numId="23">
    <w:abstractNumId w:val="39"/>
  </w:num>
  <w:num w:numId="24">
    <w:abstractNumId w:val="8"/>
  </w:num>
  <w:num w:numId="25">
    <w:abstractNumId w:val="11"/>
  </w:num>
  <w:num w:numId="26">
    <w:abstractNumId w:val="32"/>
  </w:num>
  <w:num w:numId="27">
    <w:abstractNumId w:val="36"/>
  </w:num>
  <w:num w:numId="28">
    <w:abstractNumId w:val="8"/>
  </w:num>
  <w:num w:numId="29">
    <w:abstractNumId w:val="8"/>
  </w:num>
  <w:num w:numId="30">
    <w:abstractNumId w:val="38"/>
  </w:num>
  <w:num w:numId="31">
    <w:abstractNumId w:val="31"/>
  </w:num>
  <w:num w:numId="32">
    <w:abstractNumId w:val="17"/>
  </w:num>
  <w:num w:numId="33">
    <w:abstractNumId w:val="10"/>
  </w:num>
  <w:num w:numId="34">
    <w:abstractNumId w:val="33"/>
  </w:num>
  <w:num w:numId="35">
    <w:abstractNumId w:val="15"/>
  </w:num>
  <w:num w:numId="36">
    <w:abstractNumId w:val="9"/>
  </w:num>
  <w:num w:numId="37">
    <w:abstractNumId w:val="26"/>
  </w:num>
  <w:num w:numId="38">
    <w:abstractNumId w:val="42"/>
  </w:num>
  <w:num w:numId="39">
    <w:abstractNumId w:val="23"/>
  </w:num>
  <w:num w:numId="40">
    <w:abstractNumId w:val="3"/>
  </w:num>
  <w:num w:numId="41">
    <w:abstractNumId w:val="24"/>
  </w:num>
  <w:num w:numId="42">
    <w:abstractNumId w:val="2"/>
  </w:num>
  <w:num w:numId="43">
    <w:abstractNumId w:val="5"/>
  </w:num>
  <w:num w:numId="44">
    <w:abstractNumId w:val="7"/>
  </w:num>
  <w:num w:numId="45">
    <w:abstractNumId w:val="3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6"/>
  </w:num>
  <w:num w:numId="4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2268"/>
  <w:drawingGridHorizontalSpacing w:val="110"/>
  <w:displayHorizontalDrawingGridEvery w:val="2"/>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860A9"/>
    <w:rsid w:val="00001C0B"/>
    <w:rsid w:val="00002B74"/>
    <w:rsid w:val="00005921"/>
    <w:rsid w:val="000078B6"/>
    <w:rsid w:val="00015F3A"/>
    <w:rsid w:val="0002713E"/>
    <w:rsid w:val="00031830"/>
    <w:rsid w:val="000322AF"/>
    <w:rsid w:val="00032567"/>
    <w:rsid w:val="000423DD"/>
    <w:rsid w:val="0004492F"/>
    <w:rsid w:val="00046925"/>
    <w:rsid w:val="0005083D"/>
    <w:rsid w:val="00054DB5"/>
    <w:rsid w:val="00055FBE"/>
    <w:rsid w:val="000564A4"/>
    <w:rsid w:val="00061785"/>
    <w:rsid w:val="00067ED7"/>
    <w:rsid w:val="00073B89"/>
    <w:rsid w:val="00076AA6"/>
    <w:rsid w:val="00081559"/>
    <w:rsid w:val="00081C82"/>
    <w:rsid w:val="00091329"/>
    <w:rsid w:val="00092B66"/>
    <w:rsid w:val="00092F1C"/>
    <w:rsid w:val="000A0FB9"/>
    <w:rsid w:val="000A7946"/>
    <w:rsid w:val="000B0212"/>
    <w:rsid w:val="000B6943"/>
    <w:rsid w:val="000C0F12"/>
    <w:rsid w:val="000C3FD8"/>
    <w:rsid w:val="000D0FD2"/>
    <w:rsid w:val="000D647D"/>
    <w:rsid w:val="000D71F9"/>
    <w:rsid w:val="000D73FB"/>
    <w:rsid w:val="000D78C0"/>
    <w:rsid w:val="000E06DE"/>
    <w:rsid w:val="000E1F38"/>
    <w:rsid w:val="000E3524"/>
    <w:rsid w:val="000F064A"/>
    <w:rsid w:val="000F400E"/>
    <w:rsid w:val="000F7A58"/>
    <w:rsid w:val="001104D7"/>
    <w:rsid w:val="00111482"/>
    <w:rsid w:val="00111C3D"/>
    <w:rsid w:val="0011289D"/>
    <w:rsid w:val="0012532D"/>
    <w:rsid w:val="00126AE0"/>
    <w:rsid w:val="00132BB8"/>
    <w:rsid w:val="00135535"/>
    <w:rsid w:val="00136579"/>
    <w:rsid w:val="00143AA9"/>
    <w:rsid w:val="0014560E"/>
    <w:rsid w:val="00146B6E"/>
    <w:rsid w:val="001540BF"/>
    <w:rsid w:val="00162C91"/>
    <w:rsid w:val="001641A1"/>
    <w:rsid w:val="0016445B"/>
    <w:rsid w:val="00167E27"/>
    <w:rsid w:val="0017122A"/>
    <w:rsid w:val="001745BD"/>
    <w:rsid w:val="00174B8C"/>
    <w:rsid w:val="00175A74"/>
    <w:rsid w:val="001778DC"/>
    <w:rsid w:val="00184742"/>
    <w:rsid w:val="001906F0"/>
    <w:rsid w:val="0019736B"/>
    <w:rsid w:val="001A0F18"/>
    <w:rsid w:val="001A27ED"/>
    <w:rsid w:val="001A5FF2"/>
    <w:rsid w:val="001A672F"/>
    <w:rsid w:val="001B2E59"/>
    <w:rsid w:val="001B3A5A"/>
    <w:rsid w:val="001B58C1"/>
    <w:rsid w:val="001B6570"/>
    <w:rsid w:val="001B6F7C"/>
    <w:rsid w:val="001C08B6"/>
    <w:rsid w:val="001C5597"/>
    <w:rsid w:val="001D5B89"/>
    <w:rsid w:val="001D64C3"/>
    <w:rsid w:val="001E1498"/>
    <w:rsid w:val="001E34E6"/>
    <w:rsid w:val="001F38A0"/>
    <w:rsid w:val="00202110"/>
    <w:rsid w:val="00202A71"/>
    <w:rsid w:val="00203D7D"/>
    <w:rsid w:val="00206388"/>
    <w:rsid w:val="00212354"/>
    <w:rsid w:val="00213EDD"/>
    <w:rsid w:val="00214486"/>
    <w:rsid w:val="00220994"/>
    <w:rsid w:val="0022116C"/>
    <w:rsid w:val="002211D5"/>
    <w:rsid w:val="00225B62"/>
    <w:rsid w:val="00226068"/>
    <w:rsid w:val="00226F63"/>
    <w:rsid w:val="00233F31"/>
    <w:rsid w:val="002374D8"/>
    <w:rsid w:val="00241060"/>
    <w:rsid w:val="00242EBE"/>
    <w:rsid w:val="002433BB"/>
    <w:rsid w:val="00264AAD"/>
    <w:rsid w:val="00276B61"/>
    <w:rsid w:val="00276D23"/>
    <w:rsid w:val="0027702E"/>
    <w:rsid w:val="002814AF"/>
    <w:rsid w:val="0028276C"/>
    <w:rsid w:val="00284C50"/>
    <w:rsid w:val="002900B5"/>
    <w:rsid w:val="00290FF8"/>
    <w:rsid w:val="002923D5"/>
    <w:rsid w:val="00292A11"/>
    <w:rsid w:val="00294827"/>
    <w:rsid w:val="002966E7"/>
    <w:rsid w:val="002A37F3"/>
    <w:rsid w:val="002A7551"/>
    <w:rsid w:val="002B49FA"/>
    <w:rsid w:val="002C189F"/>
    <w:rsid w:val="002C3C91"/>
    <w:rsid w:val="002C4E60"/>
    <w:rsid w:val="002C52BD"/>
    <w:rsid w:val="002D0925"/>
    <w:rsid w:val="002D2D74"/>
    <w:rsid w:val="002D3B94"/>
    <w:rsid w:val="002D54E4"/>
    <w:rsid w:val="002E6E07"/>
    <w:rsid w:val="002F3F17"/>
    <w:rsid w:val="00304C2F"/>
    <w:rsid w:val="00305A17"/>
    <w:rsid w:val="00305AEF"/>
    <w:rsid w:val="0031381B"/>
    <w:rsid w:val="00313A1A"/>
    <w:rsid w:val="00315B36"/>
    <w:rsid w:val="003207FD"/>
    <w:rsid w:val="0032250B"/>
    <w:rsid w:val="00322D0A"/>
    <w:rsid w:val="0032332A"/>
    <w:rsid w:val="00323C20"/>
    <w:rsid w:val="003249FF"/>
    <w:rsid w:val="00336E5B"/>
    <w:rsid w:val="00351636"/>
    <w:rsid w:val="00354B89"/>
    <w:rsid w:val="003570FF"/>
    <w:rsid w:val="0036053A"/>
    <w:rsid w:val="003610FD"/>
    <w:rsid w:val="00367670"/>
    <w:rsid w:val="00383AC5"/>
    <w:rsid w:val="00393658"/>
    <w:rsid w:val="003A021F"/>
    <w:rsid w:val="003B35E9"/>
    <w:rsid w:val="003B43E9"/>
    <w:rsid w:val="003B742B"/>
    <w:rsid w:val="003C0392"/>
    <w:rsid w:val="003C2C63"/>
    <w:rsid w:val="003C30F8"/>
    <w:rsid w:val="003C608D"/>
    <w:rsid w:val="003D2E3A"/>
    <w:rsid w:val="003D4471"/>
    <w:rsid w:val="003D4520"/>
    <w:rsid w:val="003D728F"/>
    <w:rsid w:val="003D7349"/>
    <w:rsid w:val="003E07C9"/>
    <w:rsid w:val="003E17DD"/>
    <w:rsid w:val="003E47D5"/>
    <w:rsid w:val="003E7365"/>
    <w:rsid w:val="003F5B58"/>
    <w:rsid w:val="003F60A8"/>
    <w:rsid w:val="0040521A"/>
    <w:rsid w:val="004157E2"/>
    <w:rsid w:val="00417AD7"/>
    <w:rsid w:val="00421C94"/>
    <w:rsid w:val="004331A9"/>
    <w:rsid w:val="00436B5C"/>
    <w:rsid w:val="0043759F"/>
    <w:rsid w:val="004420A3"/>
    <w:rsid w:val="00445420"/>
    <w:rsid w:val="004607C3"/>
    <w:rsid w:val="00465B64"/>
    <w:rsid w:val="00467BA1"/>
    <w:rsid w:val="00472279"/>
    <w:rsid w:val="00473AE6"/>
    <w:rsid w:val="00485223"/>
    <w:rsid w:val="00485B64"/>
    <w:rsid w:val="00491781"/>
    <w:rsid w:val="004924D7"/>
    <w:rsid w:val="004928EB"/>
    <w:rsid w:val="00492D52"/>
    <w:rsid w:val="00497CA8"/>
    <w:rsid w:val="004A40E2"/>
    <w:rsid w:val="004A4BCA"/>
    <w:rsid w:val="004A64C1"/>
    <w:rsid w:val="004A67FA"/>
    <w:rsid w:val="004B032A"/>
    <w:rsid w:val="004B1A2D"/>
    <w:rsid w:val="004C105C"/>
    <w:rsid w:val="004C28A1"/>
    <w:rsid w:val="004C578F"/>
    <w:rsid w:val="004C5797"/>
    <w:rsid w:val="004C78F9"/>
    <w:rsid w:val="004D0B3D"/>
    <w:rsid w:val="004D601B"/>
    <w:rsid w:val="004E2913"/>
    <w:rsid w:val="004E4E95"/>
    <w:rsid w:val="004E64FE"/>
    <w:rsid w:val="004F1D29"/>
    <w:rsid w:val="004F62FF"/>
    <w:rsid w:val="004F7581"/>
    <w:rsid w:val="005009B6"/>
    <w:rsid w:val="0050100C"/>
    <w:rsid w:val="00501FB2"/>
    <w:rsid w:val="00514D35"/>
    <w:rsid w:val="00515E5C"/>
    <w:rsid w:val="00521A4E"/>
    <w:rsid w:val="00522877"/>
    <w:rsid w:val="005252F4"/>
    <w:rsid w:val="00531E4D"/>
    <w:rsid w:val="00544A2E"/>
    <w:rsid w:val="00546211"/>
    <w:rsid w:val="0055121C"/>
    <w:rsid w:val="0055609C"/>
    <w:rsid w:val="0055673F"/>
    <w:rsid w:val="00556EC8"/>
    <w:rsid w:val="00560967"/>
    <w:rsid w:val="00561AA2"/>
    <w:rsid w:val="0056385F"/>
    <w:rsid w:val="00572024"/>
    <w:rsid w:val="00572825"/>
    <w:rsid w:val="00573934"/>
    <w:rsid w:val="00574DED"/>
    <w:rsid w:val="00587116"/>
    <w:rsid w:val="0058716B"/>
    <w:rsid w:val="00590F85"/>
    <w:rsid w:val="00591D39"/>
    <w:rsid w:val="00597E69"/>
    <w:rsid w:val="005A3E3C"/>
    <w:rsid w:val="005B0245"/>
    <w:rsid w:val="005B0E55"/>
    <w:rsid w:val="005B0FE4"/>
    <w:rsid w:val="005B4457"/>
    <w:rsid w:val="005B73D1"/>
    <w:rsid w:val="005D6995"/>
    <w:rsid w:val="005E0922"/>
    <w:rsid w:val="005E0B99"/>
    <w:rsid w:val="005E4D62"/>
    <w:rsid w:val="005E6246"/>
    <w:rsid w:val="005F0BD5"/>
    <w:rsid w:val="005F19A4"/>
    <w:rsid w:val="005F59C8"/>
    <w:rsid w:val="005F61DE"/>
    <w:rsid w:val="0060157A"/>
    <w:rsid w:val="006062E5"/>
    <w:rsid w:val="0061071D"/>
    <w:rsid w:val="006144EF"/>
    <w:rsid w:val="00616293"/>
    <w:rsid w:val="00623058"/>
    <w:rsid w:val="006261C2"/>
    <w:rsid w:val="00631832"/>
    <w:rsid w:val="00634820"/>
    <w:rsid w:val="00637895"/>
    <w:rsid w:val="00643AC5"/>
    <w:rsid w:val="006447CF"/>
    <w:rsid w:val="006503D7"/>
    <w:rsid w:val="00650AB3"/>
    <w:rsid w:val="00652139"/>
    <w:rsid w:val="00653409"/>
    <w:rsid w:val="0065668D"/>
    <w:rsid w:val="006630EF"/>
    <w:rsid w:val="00665E2B"/>
    <w:rsid w:val="00667592"/>
    <w:rsid w:val="006710E9"/>
    <w:rsid w:val="006726AE"/>
    <w:rsid w:val="00676E3A"/>
    <w:rsid w:val="00683B54"/>
    <w:rsid w:val="00683D9D"/>
    <w:rsid w:val="00684643"/>
    <w:rsid w:val="00695AC2"/>
    <w:rsid w:val="006A67B3"/>
    <w:rsid w:val="006A7A35"/>
    <w:rsid w:val="006B43DF"/>
    <w:rsid w:val="006B6EAB"/>
    <w:rsid w:val="006C7EFD"/>
    <w:rsid w:val="006D0101"/>
    <w:rsid w:val="006D146E"/>
    <w:rsid w:val="006D24B7"/>
    <w:rsid w:val="006D39CC"/>
    <w:rsid w:val="006D44B5"/>
    <w:rsid w:val="006E5A81"/>
    <w:rsid w:val="006E71DB"/>
    <w:rsid w:val="006F0666"/>
    <w:rsid w:val="006F138D"/>
    <w:rsid w:val="006F2676"/>
    <w:rsid w:val="0070186F"/>
    <w:rsid w:val="007021A3"/>
    <w:rsid w:val="00710E5E"/>
    <w:rsid w:val="007309AE"/>
    <w:rsid w:val="0073180F"/>
    <w:rsid w:val="00734B0C"/>
    <w:rsid w:val="00746627"/>
    <w:rsid w:val="00746D25"/>
    <w:rsid w:val="00750146"/>
    <w:rsid w:val="00750BEF"/>
    <w:rsid w:val="007514EE"/>
    <w:rsid w:val="007519A5"/>
    <w:rsid w:val="00752CDE"/>
    <w:rsid w:val="007532E0"/>
    <w:rsid w:val="00756CD1"/>
    <w:rsid w:val="00772EF2"/>
    <w:rsid w:val="00776714"/>
    <w:rsid w:val="00777DC9"/>
    <w:rsid w:val="007872BF"/>
    <w:rsid w:val="00790B92"/>
    <w:rsid w:val="00793116"/>
    <w:rsid w:val="007A2A21"/>
    <w:rsid w:val="007A6A58"/>
    <w:rsid w:val="007A6A6C"/>
    <w:rsid w:val="007A73EB"/>
    <w:rsid w:val="007B468C"/>
    <w:rsid w:val="007B6B42"/>
    <w:rsid w:val="007C073B"/>
    <w:rsid w:val="007C4A7B"/>
    <w:rsid w:val="007C6864"/>
    <w:rsid w:val="007D0848"/>
    <w:rsid w:val="007D327A"/>
    <w:rsid w:val="007D372A"/>
    <w:rsid w:val="007D4434"/>
    <w:rsid w:val="007D5265"/>
    <w:rsid w:val="007D5D41"/>
    <w:rsid w:val="007E25A2"/>
    <w:rsid w:val="007F2A2A"/>
    <w:rsid w:val="007F3156"/>
    <w:rsid w:val="007F4E0A"/>
    <w:rsid w:val="007F6500"/>
    <w:rsid w:val="007F6A60"/>
    <w:rsid w:val="00800464"/>
    <w:rsid w:val="00804429"/>
    <w:rsid w:val="008113B1"/>
    <w:rsid w:val="00811983"/>
    <w:rsid w:val="00814DB9"/>
    <w:rsid w:val="008164DD"/>
    <w:rsid w:val="00821E12"/>
    <w:rsid w:val="00822942"/>
    <w:rsid w:val="0082566E"/>
    <w:rsid w:val="0082663C"/>
    <w:rsid w:val="00834551"/>
    <w:rsid w:val="00834AFE"/>
    <w:rsid w:val="0084067F"/>
    <w:rsid w:val="00844941"/>
    <w:rsid w:val="008502DB"/>
    <w:rsid w:val="00850D76"/>
    <w:rsid w:val="00853FD6"/>
    <w:rsid w:val="008631A9"/>
    <w:rsid w:val="00865C72"/>
    <w:rsid w:val="00867491"/>
    <w:rsid w:val="00870053"/>
    <w:rsid w:val="00871FA2"/>
    <w:rsid w:val="00872BCF"/>
    <w:rsid w:val="00872D6E"/>
    <w:rsid w:val="00873563"/>
    <w:rsid w:val="008765FF"/>
    <w:rsid w:val="0088258B"/>
    <w:rsid w:val="008843F9"/>
    <w:rsid w:val="008939B0"/>
    <w:rsid w:val="008A1B59"/>
    <w:rsid w:val="008A2546"/>
    <w:rsid w:val="008A6E76"/>
    <w:rsid w:val="008B316E"/>
    <w:rsid w:val="008C12AA"/>
    <w:rsid w:val="008C1C09"/>
    <w:rsid w:val="008D00C6"/>
    <w:rsid w:val="008D2757"/>
    <w:rsid w:val="008D30C5"/>
    <w:rsid w:val="008D6194"/>
    <w:rsid w:val="008E0D01"/>
    <w:rsid w:val="008E1CE7"/>
    <w:rsid w:val="008E21EC"/>
    <w:rsid w:val="008E4DA0"/>
    <w:rsid w:val="008E612A"/>
    <w:rsid w:val="00907004"/>
    <w:rsid w:val="009152EC"/>
    <w:rsid w:val="0091533D"/>
    <w:rsid w:val="009168DC"/>
    <w:rsid w:val="00924595"/>
    <w:rsid w:val="009253C2"/>
    <w:rsid w:val="00933B39"/>
    <w:rsid w:val="00936382"/>
    <w:rsid w:val="00937620"/>
    <w:rsid w:val="009424D7"/>
    <w:rsid w:val="0095097D"/>
    <w:rsid w:val="009528B9"/>
    <w:rsid w:val="00954670"/>
    <w:rsid w:val="0095557A"/>
    <w:rsid w:val="00955C03"/>
    <w:rsid w:val="00956B49"/>
    <w:rsid w:val="009574F2"/>
    <w:rsid w:val="00962A02"/>
    <w:rsid w:val="009658D1"/>
    <w:rsid w:val="00966EB0"/>
    <w:rsid w:val="00967B7A"/>
    <w:rsid w:val="009709B2"/>
    <w:rsid w:val="00972397"/>
    <w:rsid w:val="0097493D"/>
    <w:rsid w:val="00980362"/>
    <w:rsid w:val="00980658"/>
    <w:rsid w:val="00986538"/>
    <w:rsid w:val="00990E43"/>
    <w:rsid w:val="00995C94"/>
    <w:rsid w:val="009A10F1"/>
    <w:rsid w:val="009A37F6"/>
    <w:rsid w:val="009A52B1"/>
    <w:rsid w:val="009A5A1D"/>
    <w:rsid w:val="009A741D"/>
    <w:rsid w:val="009B316C"/>
    <w:rsid w:val="009B6598"/>
    <w:rsid w:val="009C332A"/>
    <w:rsid w:val="009C4DA9"/>
    <w:rsid w:val="009C4E05"/>
    <w:rsid w:val="009C5E66"/>
    <w:rsid w:val="009D1163"/>
    <w:rsid w:val="009D5AE8"/>
    <w:rsid w:val="009E56E1"/>
    <w:rsid w:val="009F1AE2"/>
    <w:rsid w:val="009F1D0F"/>
    <w:rsid w:val="009F47BD"/>
    <w:rsid w:val="00A021CC"/>
    <w:rsid w:val="00A04D33"/>
    <w:rsid w:val="00A05D1E"/>
    <w:rsid w:val="00A1139B"/>
    <w:rsid w:val="00A113D9"/>
    <w:rsid w:val="00A12BE8"/>
    <w:rsid w:val="00A13D3E"/>
    <w:rsid w:val="00A16CBA"/>
    <w:rsid w:val="00A220D5"/>
    <w:rsid w:val="00A25ED3"/>
    <w:rsid w:val="00A355FD"/>
    <w:rsid w:val="00A366BD"/>
    <w:rsid w:val="00A370B7"/>
    <w:rsid w:val="00A41716"/>
    <w:rsid w:val="00A51CF3"/>
    <w:rsid w:val="00A52BC8"/>
    <w:rsid w:val="00A53C45"/>
    <w:rsid w:val="00A54BF3"/>
    <w:rsid w:val="00A579F0"/>
    <w:rsid w:val="00A61616"/>
    <w:rsid w:val="00A63B27"/>
    <w:rsid w:val="00A6579D"/>
    <w:rsid w:val="00A6770B"/>
    <w:rsid w:val="00A7079F"/>
    <w:rsid w:val="00A70886"/>
    <w:rsid w:val="00A72180"/>
    <w:rsid w:val="00A73402"/>
    <w:rsid w:val="00A744E2"/>
    <w:rsid w:val="00A81141"/>
    <w:rsid w:val="00A814FD"/>
    <w:rsid w:val="00A91848"/>
    <w:rsid w:val="00A93930"/>
    <w:rsid w:val="00AB07D9"/>
    <w:rsid w:val="00AB2FE2"/>
    <w:rsid w:val="00AB4311"/>
    <w:rsid w:val="00AB49D3"/>
    <w:rsid w:val="00AB7E1C"/>
    <w:rsid w:val="00AC0613"/>
    <w:rsid w:val="00AC4042"/>
    <w:rsid w:val="00AC4F38"/>
    <w:rsid w:val="00AC7DE9"/>
    <w:rsid w:val="00AD6796"/>
    <w:rsid w:val="00AD68A5"/>
    <w:rsid w:val="00AE22B8"/>
    <w:rsid w:val="00AE3F93"/>
    <w:rsid w:val="00AE66D5"/>
    <w:rsid w:val="00AE787C"/>
    <w:rsid w:val="00AF01BD"/>
    <w:rsid w:val="00AF0672"/>
    <w:rsid w:val="00AF1D21"/>
    <w:rsid w:val="00AF24B8"/>
    <w:rsid w:val="00B02FD3"/>
    <w:rsid w:val="00B06045"/>
    <w:rsid w:val="00B061E2"/>
    <w:rsid w:val="00B075D1"/>
    <w:rsid w:val="00B12EA6"/>
    <w:rsid w:val="00B162F1"/>
    <w:rsid w:val="00B17D9B"/>
    <w:rsid w:val="00B27463"/>
    <w:rsid w:val="00B3202E"/>
    <w:rsid w:val="00B32455"/>
    <w:rsid w:val="00B32505"/>
    <w:rsid w:val="00B35A29"/>
    <w:rsid w:val="00B46D25"/>
    <w:rsid w:val="00B50114"/>
    <w:rsid w:val="00B50470"/>
    <w:rsid w:val="00B52422"/>
    <w:rsid w:val="00B553F3"/>
    <w:rsid w:val="00B562C2"/>
    <w:rsid w:val="00B71C39"/>
    <w:rsid w:val="00B72DA8"/>
    <w:rsid w:val="00B74C7A"/>
    <w:rsid w:val="00B77E56"/>
    <w:rsid w:val="00B823D0"/>
    <w:rsid w:val="00B838C5"/>
    <w:rsid w:val="00B90A58"/>
    <w:rsid w:val="00B915DE"/>
    <w:rsid w:val="00B93EC3"/>
    <w:rsid w:val="00B956AD"/>
    <w:rsid w:val="00BA27F0"/>
    <w:rsid w:val="00BA2891"/>
    <w:rsid w:val="00BA70C2"/>
    <w:rsid w:val="00BA7342"/>
    <w:rsid w:val="00BB0E53"/>
    <w:rsid w:val="00BB4BF7"/>
    <w:rsid w:val="00BC1962"/>
    <w:rsid w:val="00BC2DAD"/>
    <w:rsid w:val="00BC456C"/>
    <w:rsid w:val="00BC6289"/>
    <w:rsid w:val="00BC722D"/>
    <w:rsid w:val="00BC7FB7"/>
    <w:rsid w:val="00BD002B"/>
    <w:rsid w:val="00BD1CB5"/>
    <w:rsid w:val="00BD4B1D"/>
    <w:rsid w:val="00BD69AE"/>
    <w:rsid w:val="00BE0483"/>
    <w:rsid w:val="00BE70FC"/>
    <w:rsid w:val="00BF110A"/>
    <w:rsid w:val="00BF2639"/>
    <w:rsid w:val="00BF27F7"/>
    <w:rsid w:val="00BF5BBA"/>
    <w:rsid w:val="00C0115D"/>
    <w:rsid w:val="00C01E64"/>
    <w:rsid w:val="00C05B89"/>
    <w:rsid w:val="00C135FB"/>
    <w:rsid w:val="00C15DAE"/>
    <w:rsid w:val="00C17191"/>
    <w:rsid w:val="00C22381"/>
    <w:rsid w:val="00C24B9E"/>
    <w:rsid w:val="00C32B7D"/>
    <w:rsid w:val="00C34DD1"/>
    <w:rsid w:val="00C36CD5"/>
    <w:rsid w:val="00C431F9"/>
    <w:rsid w:val="00C43DEB"/>
    <w:rsid w:val="00C45B45"/>
    <w:rsid w:val="00C462FB"/>
    <w:rsid w:val="00C50990"/>
    <w:rsid w:val="00C51D58"/>
    <w:rsid w:val="00C53102"/>
    <w:rsid w:val="00C571AA"/>
    <w:rsid w:val="00C60C25"/>
    <w:rsid w:val="00C6227E"/>
    <w:rsid w:val="00C629CA"/>
    <w:rsid w:val="00C63075"/>
    <w:rsid w:val="00C71760"/>
    <w:rsid w:val="00C77118"/>
    <w:rsid w:val="00C85739"/>
    <w:rsid w:val="00C92722"/>
    <w:rsid w:val="00C962BE"/>
    <w:rsid w:val="00CA277E"/>
    <w:rsid w:val="00CB12E7"/>
    <w:rsid w:val="00CB3A09"/>
    <w:rsid w:val="00CB7818"/>
    <w:rsid w:val="00CC1DEC"/>
    <w:rsid w:val="00CC2CD0"/>
    <w:rsid w:val="00CC4331"/>
    <w:rsid w:val="00CC59CA"/>
    <w:rsid w:val="00CC7471"/>
    <w:rsid w:val="00CC76E7"/>
    <w:rsid w:val="00CD647C"/>
    <w:rsid w:val="00CD6E50"/>
    <w:rsid w:val="00CE339A"/>
    <w:rsid w:val="00CE7764"/>
    <w:rsid w:val="00CE7D8A"/>
    <w:rsid w:val="00CF032A"/>
    <w:rsid w:val="00D050A8"/>
    <w:rsid w:val="00D05827"/>
    <w:rsid w:val="00D072F4"/>
    <w:rsid w:val="00D07C99"/>
    <w:rsid w:val="00D116A6"/>
    <w:rsid w:val="00D1426C"/>
    <w:rsid w:val="00D16212"/>
    <w:rsid w:val="00D23D2A"/>
    <w:rsid w:val="00D252F4"/>
    <w:rsid w:val="00D3539F"/>
    <w:rsid w:val="00D415F7"/>
    <w:rsid w:val="00D4534C"/>
    <w:rsid w:val="00D4794C"/>
    <w:rsid w:val="00D566F9"/>
    <w:rsid w:val="00D6161A"/>
    <w:rsid w:val="00D70208"/>
    <w:rsid w:val="00D729C9"/>
    <w:rsid w:val="00D74045"/>
    <w:rsid w:val="00D76B72"/>
    <w:rsid w:val="00D771E2"/>
    <w:rsid w:val="00D860A9"/>
    <w:rsid w:val="00D876F2"/>
    <w:rsid w:val="00D91210"/>
    <w:rsid w:val="00D93349"/>
    <w:rsid w:val="00D94F7B"/>
    <w:rsid w:val="00DA2981"/>
    <w:rsid w:val="00DB0902"/>
    <w:rsid w:val="00DB15D0"/>
    <w:rsid w:val="00DB4942"/>
    <w:rsid w:val="00DB5845"/>
    <w:rsid w:val="00DC2549"/>
    <w:rsid w:val="00DD5593"/>
    <w:rsid w:val="00DD64D2"/>
    <w:rsid w:val="00DD78E7"/>
    <w:rsid w:val="00DE1E54"/>
    <w:rsid w:val="00DE1F11"/>
    <w:rsid w:val="00DE4088"/>
    <w:rsid w:val="00DE6A0F"/>
    <w:rsid w:val="00DF7134"/>
    <w:rsid w:val="00DF754D"/>
    <w:rsid w:val="00DF7AA3"/>
    <w:rsid w:val="00E01C59"/>
    <w:rsid w:val="00E07757"/>
    <w:rsid w:val="00E14972"/>
    <w:rsid w:val="00E153CA"/>
    <w:rsid w:val="00E202B8"/>
    <w:rsid w:val="00E3155D"/>
    <w:rsid w:val="00E37317"/>
    <w:rsid w:val="00E42431"/>
    <w:rsid w:val="00E549D7"/>
    <w:rsid w:val="00E61038"/>
    <w:rsid w:val="00E707CF"/>
    <w:rsid w:val="00E73BEC"/>
    <w:rsid w:val="00E77664"/>
    <w:rsid w:val="00E824DD"/>
    <w:rsid w:val="00E84D99"/>
    <w:rsid w:val="00E901CA"/>
    <w:rsid w:val="00E90710"/>
    <w:rsid w:val="00E97202"/>
    <w:rsid w:val="00EA06EE"/>
    <w:rsid w:val="00EA43A8"/>
    <w:rsid w:val="00EA4B48"/>
    <w:rsid w:val="00EA7D4A"/>
    <w:rsid w:val="00EB0178"/>
    <w:rsid w:val="00EB4831"/>
    <w:rsid w:val="00EB4AFE"/>
    <w:rsid w:val="00EC2E94"/>
    <w:rsid w:val="00EC514F"/>
    <w:rsid w:val="00ED00AF"/>
    <w:rsid w:val="00ED143A"/>
    <w:rsid w:val="00ED48E4"/>
    <w:rsid w:val="00ED4E55"/>
    <w:rsid w:val="00ED516B"/>
    <w:rsid w:val="00ED58D3"/>
    <w:rsid w:val="00EE04A0"/>
    <w:rsid w:val="00EF06A9"/>
    <w:rsid w:val="00EF09A8"/>
    <w:rsid w:val="00EF1033"/>
    <w:rsid w:val="00EF2C79"/>
    <w:rsid w:val="00EF35A0"/>
    <w:rsid w:val="00F01FCA"/>
    <w:rsid w:val="00F04F2A"/>
    <w:rsid w:val="00F07C00"/>
    <w:rsid w:val="00F1256C"/>
    <w:rsid w:val="00F147FC"/>
    <w:rsid w:val="00F25AC2"/>
    <w:rsid w:val="00F2774A"/>
    <w:rsid w:val="00F41CCF"/>
    <w:rsid w:val="00F42451"/>
    <w:rsid w:val="00F42DAD"/>
    <w:rsid w:val="00F440E7"/>
    <w:rsid w:val="00F46B90"/>
    <w:rsid w:val="00F509FA"/>
    <w:rsid w:val="00F63357"/>
    <w:rsid w:val="00F6374D"/>
    <w:rsid w:val="00F75AF8"/>
    <w:rsid w:val="00F85D7B"/>
    <w:rsid w:val="00F968AD"/>
    <w:rsid w:val="00F97992"/>
    <w:rsid w:val="00FA280E"/>
    <w:rsid w:val="00FA2E27"/>
    <w:rsid w:val="00FA374A"/>
    <w:rsid w:val="00FB3BF4"/>
    <w:rsid w:val="00FB40AE"/>
    <w:rsid w:val="00FB7922"/>
    <w:rsid w:val="00FC011C"/>
    <w:rsid w:val="00FC3AB9"/>
    <w:rsid w:val="00FD0C25"/>
    <w:rsid w:val="00FD558C"/>
    <w:rsid w:val="00FD5CC0"/>
    <w:rsid w:val="00FD74B2"/>
    <w:rsid w:val="00FE0302"/>
    <w:rsid w:val="00FE20AD"/>
    <w:rsid w:val="00FF054E"/>
    <w:rsid w:val="00FF3BAE"/>
    <w:rsid w:val="00FF3D92"/>
    <w:rsid w:val="00FF518E"/>
    <w:rsid w:val="00FF69C9"/>
    <w:rsid w:val="00FF7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qFormat="1"/>
    <w:lsdException w:name="List Number"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EC3"/>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8B316E"/>
    <w:pPr>
      <w:keepNext/>
      <w:keepLines/>
      <w:pBdr>
        <w:bottom w:val="single" w:sz="8" w:space="1" w:color="165788"/>
      </w:pBdr>
      <w:spacing w:before="480"/>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
    <w:unhideWhenUsed/>
    <w:qFormat/>
    <w:rsid w:val="006503D7"/>
    <w:pPr>
      <w:keepNext/>
      <w:keepLines/>
      <w:tabs>
        <w:tab w:val="left" w:pos="567"/>
      </w:tabs>
      <w:spacing w:before="240" w:line="240" w:lineRule="auto"/>
      <w:outlineLvl w:val="1"/>
    </w:pPr>
    <w:rPr>
      <w:rFonts w:ascii="Calibri" w:eastAsiaTheme="majorEastAsia" w:hAnsi="Calibri" w:cstheme="majorBidi"/>
      <w:b/>
      <w:bCs/>
      <w:color w:val="165788"/>
      <w:sz w:val="32"/>
      <w:szCs w:val="26"/>
    </w:rPr>
  </w:style>
  <w:style w:type="paragraph" w:styleId="Heading3">
    <w:name w:val="heading 3"/>
    <w:basedOn w:val="Normal"/>
    <w:next w:val="Normal"/>
    <w:link w:val="Heading3Char"/>
    <w:uiPriority w:val="9"/>
    <w:unhideWhenUsed/>
    <w:qFormat/>
    <w:rsid w:val="006D24B7"/>
    <w:pPr>
      <w:keepNext/>
      <w:keepLines/>
      <w:spacing w:before="0"/>
      <w:outlineLvl w:val="2"/>
    </w:pPr>
    <w:rPr>
      <w:rFonts w:ascii="Calibri" w:eastAsiaTheme="majorEastAsia" w:hAnsi="Calibri" w:cstheme="majorBidi"/>
      <w:bCs/>
      <w:color w:val="165788"/>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uiPriority w:val="10"/>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uiPriority w:val="11"/>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uiPriority w:val="11"/>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uiPriority w:val="9"/>
    <w:rsid w:val="008B316E"/>
    <w:rPr>
      <w:rFonts w:ascii="Calibri" w:eastAsiaTheme="majorEastAsia" w:hAnsi="Calibri" w:cstheme="majorBidi"/>
      <w:b/>
      <w:bCs/>
      <w:color w:val="165788"/>
      <w:sz w:val="40"/>
      <w:szCs w:val="28"/>
    </w:rPr>
  </w:style>
  <w:style w:type="character" w:customStyle="1" w:styleId="Heading2Char">
    <w:name w:val="Heading 2 Char"/>
    <w:basedOn w:val="DefaultParagraphFont"/>
    <w:link w:val="Heading2"/>
    <w:uiPriority w:val="9"/>
    <w:rsid w:val="006503D7"/>
    <w:rPr>
      <w:rFonts w:ascii="Calibri" w:eastAsiaTheme="majorEastAsia" w:hAnsi="Calibri" w:cstheme="majorBidi"/>
      <w:b/>
      <w:bCs/>
      <w:color w:val="165788"/>
      <w:sz w:val="32"/>
      <w:szCs w:val="26"/>
    </w:rPr>
  </w:style>
  <w:style w:type="character" w:customStyle="1" w:styleId="Heading3Char">
    <w:name w:val="Heading 3 Char"/>
    <w:basedOn w:val="DefaultParagraphFont"/>
    <w:link w:val="Heading3"/>
    <w:uiPriority w:val="9"/>
    <w:rsid w:val="006D24B7"/>
    <w:rPr>
      <w:rFonts w:ascii="Calibri" w:eastAsiaTheme="majorEastAsia" w:hAnsi="Calibri" w:cstheme="majorBidi"/>
      <w:bCs/>
      <w:color w:val="165788"/>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uiPriority w:val="22"/>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2"/>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546211"/>
    <w:pPr>
      <w:numPr>
        <w:numId w:val="1"/>
      </w:numPr>
      <w:contextualSpacing/>
    </w:p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E25A2"/>
    <w:pPr>
      <w:tabs>
        <w:tab w:val="left" w:pos="8675"/>
      </w:tabs>
      <w:spacing w:after="100"/>
      <w:ind w:left="567"/>
    </w:pPr>
    <w:rPr>
      <w:rFonts w:ascii="Calibri" w:hAnsi="Calibri"/>
      <w:b/>
      <w:color w:val="165788"/>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D771E2"/>
    <w:pPr>
      <w:pBdr>
        <w:left w:val="single" w:sz="12" w:space="4" w:color="165788"/>
        <w:bottom w:val="single" w:sz="12" w:space="1" w:color="165788"/>
        <w:right w:val="single" w:sz="12" w:space="4" w:color="165788"/>
      </w:pBdr>
      <w:shd w:val="clear" w:color="auto" w:fill="E2EAF0"/>
      <w:tabs>
        <w:tab w:val="left" w:pos="567"/>
      </w:tabs>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D771E2"/>
    <w:rPr>
      <w:rFonts w:asciiTheme="minorHAnsi" w:hAnsiTheme="minorHAnsi"/>
      <w:b/>
      <w:color w:val="165788"/>
      <w:sz w:val="22"/>
      <w:szCs w:val="24"/>
      <w:shd w:val="clear" w:color="auto" w:fill="FFFFFF"/>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4B1A2D"/>
    <w:pPr>
      <w:keepNext w:val="0"/>
      <w:keepLines w:val="0"/>
      <w:pBdr>
        <w:bottom w:val="none" w:sz="0" w:space="0" w:color="auto"/>
      </w:pBdr>
      <w:spacing w:before="400" w:after="240" w:line="240" w:lineRule="auto"/>
      <w:contextualSpacing/>
      <w:outlineLvl w:val="9"/>
    </w:pPr>
    <w:rPr>
      <w:rFonts w:ascii="Corbel" w:eastAsia="Times New Roman" w:hAnsi="Corbel" w:cs="Times New Roman"/>
      <w:b w:val="0"/>
      <w:bCs w:val="0"/>
      <w:smallCaps/>
      <w:color w:val="2C313B"/>
      <w:spacing w:val="20"/>
      <w:sz w:val="32"/>
      <w:szCs w:val="32"/>
      <w:lang w:val="en-US" w:eastAsia="en-US"/>
    </w:rPr>
  </w:style>
  <w:style w:type="paragraph" w:customStyle="1" w:styleId="Default">
    <w:name w:val="Default"/>
    <w:rsid w:val="004B1A2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4"/>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4"/>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4"/>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4B1A2D"/>
  </w:style>
  <w:style w:type="character" w:customStyle="1" w:styleId="BodyTextChar">
    <w:name w:val="Body Text Char"/>
    <w:basedOn w:val="DefaultParagraphFont"/>
    <w:link w:val="BodyText"/>
    <w:rsid w:val="004B1A2D"/>
    <w:rPr>
      <w:rFonts w:asciiTheme="minorHAnsi" w:hAnsiTheme="minorHAnsi"/>
      <w:sz w:val="22"/>
      <w:szCs w:val="24"/>
    </w:rPr>
  </w:style>
  <w:style w:type="paragraph" w:customStyle="1" w:styleId="ShadedListBullet">
    <w:name w:val="Shaded List Bullet"/>
    <w:basedOn w:val="ListBullet"/>
    <w:qFormat/>
    <w:rsid w:val="00AE66D5"/>
    <w:pPr>
      <w:keepNext/>
      <w:numPr>
        <w:numId w:val="3"/>
      </w:numPr>
      <w:pBdr>
        <w:left w:val="single" w:sz="12" w:space="4" w:color="165788"/>
        <w:bottom w:val="single" w:sz="12" w:space="1" w:color="165788"/>
        <w:right w:val="single" w:sz="12" w:space="4" w:color="165788"/>
      </w:pBdr>
      <w:shd w:val="clear" w:color="auto" w:fill="E2EAF0"/>
      <w:spacing w:before="0" w:line="288" w:lineRule="auto"/>
      <w:ind w:left="357" w:hanging="357"/>
    </w:pPr>
    <w:rPr>
      <w:szCs w:val="22"/>
    </w:rPr>
  </w:style>
  <w:style w:type="paragraph" w:customStyle="1" w:styleId="ShadedNumberedList">
    <w:name w:val="Shaded Numbered List"/>
    <w:basedOn w:val="ListNumber"/>
    <w:qFormat/>
    <w:rsid w:val="00E202B8"/>
    <w:pPr>
      <w:pBdr>
        <w:left w:val="single" w:sz="12" w:space="4" w:color="165788"/>
        <w:bottom w:val="single" w:sz="12" w:space="1" w:color="165788"/>
        <w:right w:val="single" w:sz="12" w:space="4" w:color="165788"/>
      </w:pBdr>
      <w:shd w:val="clear" w:color="auto" w:fill="E2EAF0"/>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5"/>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 w:type="paragraph" w:customStyle="1" w:styleId="RIESbriefreports">
    <w:name w:val="RIES brief/reports"/>
    <w:basedOn w:val="Heading1"/>
    <w:next w:val="Normal"/>
    <w:link w:val="RIESbriefreportsChar"/>
    <w:qFormat/>
    <w:rsid w:val="007B6B42"/>
    <w:pPr>
      <w:pBdr>
        <w:bottom w:val="single" w:sz="4" w:space="1" w:color="auto"/>
      </w:pBdr>
      <w:spacing w:line="276" w:lineRule="auto"/>
    </w:pPr>
    <w:rPr>
      <w:rFonts w:asciiTheme="minorHAnsi" w:hAnsiTheme="minorHAnsi" w:cstheme="minorHAnsi"/>
      <w:color w:val="365F91" w:themeColor="accent1" w:themeShade="BF"/>
      <w:sz w:val="24"/>
      <w:lang w:eastAsia="en-US"/>
    </w:rPr>
  </w:style>
  <w:style w:type="character" w:customStyle="1" w:styleId="RIESbriefreportsChar">
    <w:name w:val="RIES brief/reports Char"/>
    <w:basedOn w:val="DefaultParagraphFont"/>
    <w:link w:val="RIESbriefreports"/>
    <w:rsid w:val="007B6B42"/>
    <w:rPr>
      <w:rFonts w:asciiTheme="minorHAnsi" w:eastAsiaTheme="majorEastAsia" w:hAnsiTheme="minorHAnsi" w:cstheme="minorHAnsi"/>
      <w:b/>
      <w:bCs/>
      <w:color w:val="365F91" w:themeColor="accent1" w:themeShade="BF"/>
      <w:sz w:val="24"/>
      <w:szCs w:val="28"/>
      <w:lang w:eastAsia="en-US"/>
    </w:rPr>
  </w:style>
  <w:style w:type="paragraph" w:customStyle="1" w:styleId="Figure">
    <w:name w:val="Figure"/>
    <w:basedOn w:val="Normal"/>
    <w:rsid w:val="00DB4942"/>
    <w:pPr>
      <w:widowControl w:val="0"/>
      <w:spacing w:before="60" w:after="0" w:line="240" w:lineRule="auto"/>
      <w:jc w:val="center"/>
    </w:pPr>
    <w:rPr>
      <w:rFonts w:ascii="Calibri" w:hAnsi="Calibri"/>
      <w:sz w:val="24"/>
    </w:rPr>
  </w:style>
  <w:style w:type="paragraph" w:customStyle="1" w:styleId="Style1">
    <w:name w:val="Style1"/>
    <w:basedOn w:val="Normal"/>
    <w:rsid w:val="00091329"/>
    <w:pPr>
      <w:numPr>
        <w:numId w:val="19"/>
      </w:numPr>
      <w:spacing w:before="60" w:after="60" w:line="240" w:lineRule="auto"/>
      <w:jc w:val="both"/>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qFormat="1"/>
    <w:lsdException w:name="List Number"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EC3"/>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8B316E"/>
    <w:pPr>
      <w:keepNext/>
      <w:keepLines/>
      <w:pBdr>
        <w:bottom w:val="single" w:sz="8" w:space="1" w:color="165788"/>
      </w:pBdr>
      <w:spacing w:before="480"/>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
    <w:unhideWhenUsed/>
    <w:qFormat/>
    <w:rsid w:val="006503D7"/>
    <w:pPr>
      <w:keepNext/>
      <w:keepLines/>
      <w:tabs>
        <w:tab w:val="left" w:pos="567"/>
      </w:tabs>
      <w:spacing w:before="240" w:line="240" w:lineRule="auto"/>
      <w:outlineLvl w:val="1"/>
    </w:pPr>
    <w:rPr>
      <w:rFonts w:ascii="Calibri" w:eastAsiaTheme="majorEastAsia" w:hAnsi="Calibri" w:cstheme="majorBidi"/>
      <w:b/>
      <w:bCs/>
      <w:color w:val="165788"/>
      <w:sz w:val="32"/>
      <w:szCs w:val="26"/>
    </w:rPr>
  </w:style>
  <w:style w:type="paragraph" w:styleId="Heading3">
    <w:name w:val="heading 3"/>
    <w:basedOn w:val="Normal"/>
    <w:next w:val="Normal"/>
    <w:link w:val="Heading3Char"/>
    <w:uiPriority w:val="9"/>
    <w:unhideWhenUsed/>
    <w:qFormat/>
    <w:rsid w:val="006D24B7"/>
    <w:pPr>
      <w:keepNext/>
      <w:keepLines/>
      <w:spacing w:before="0"/>
      <w:outlineLvl w:val="2"/>
    </w:pPr>
    <w:rPr>
      <w:rFonts w:ascii="Calibri" w:eastAsiaTheme="majorEastAsia" w:hAnsi="Calibri" w:cstheme="majorBidi"/>
      <w:bCs/>
      <w:color w:val="165788"/>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uiPriority w:val="10"/>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uiPriority w:val="11"/>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uiPriority w:val="11"/>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uiPriority w:val="9"/>
    <w:rsid w:val="008B316E"/>
    <w:rPr>
      <w:rFonts w:ascii="Calibri" w:eastAsiaTheme="majorEastAsia" w:hAnsi="Calibri" w:cstheme="majorBidi"/>
      <w:b/>
      <w:bCs/>
      <w:color w:val="165788"/>
      <w:sz w:val="40"/>
      <w:szCs w:val="28"/>
    </w:rPr>
  </w:style>
  <w:style w:type="character" w:customStyle="1" w:styleId="Heading2Char">
    <w:name w:val="Heading 2 Char"/>
    <w:basedOn w:val="DefaultParagraphFont"/>
    <w:link w:val="Heading2"/>
    <w:uiPriority w:val="9"/>
    <w:rsid w:val="006503D7"/>
    <w:rPr>
      <w:rFonts w:ascii="Calibri" w:eastAsiaTheme="majorEastAsia" w:hAnsi="Calibri" w:cstheme="majorBidi"/>
      <w:b/>
      <w:bCs/>
      <w:color w:val="165788"/>
      <w:sz w:val="32"/>
      <w:szCs w:val="26"/>
    </w:rPr>
  </w:style>
  <w:style w:type="character" w:customStyle="1" w:styleId="Heading3Char">
    <w:name w:val="Heading 3 Char"/>
    <w:basedOn w:val="DefaultParagraphFont"/>
    <w:link w:val="Heading3"/>
    <w:uiPriority w:val="9"/>
    <w:rsid w:val="006D24B7"/>
    <w:rPr>
      <w:rFonts w:ascii="Calibri" w:eastAsiaTheme="majorEastAsia" w:hAnsi="Calibri" w:cstheme="majorBidi"/>
      <w:bCs/>
      <w:color w:val="165788"/>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uiPriority w:val="22"/>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2"/>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546211"/>
    <w:pPr>
      <w:numPr>
        <w:numId w:val="1"/>
      </w:numPr>
      <w:contextualSpacing/>
    </w:p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E25A2"/>
    <w:pPr>
      <w:tabs>
        <w:tab w:val="left" w:pos="8675"/>
      </w:tabs>
      <w:spacing w:after="100"/>
      <w:ind w:left="567"/>
    </w:pPr>
    <w:rPr>
      <w:rFonts w:ascii="Calibri" w:hAnsi="Calibri"/>
      <w:b/>
      <w:color w:val="165788"/>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D771E2"/>
    <w:pPr>
      <w:pBdr>
        <w:left w:val="single" w:sz="12" w:space="4" w:color="165788"/>
        <w:bottom w:val="single" w:sz="12" w:space="1" w:color="165788"/>
        <w:right w:val="single" w:sz="12" w:space="4" w:color="165788"/>
      </w:pBdr>
      <w:shd w:val="clear" w:color="auto" w:fill="E2EAF0"/>
      <w:tabs>
        <w:tab w:val="left" w:pos="567"/>
      </w:tabs>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D771E2"/>
    <w:rPr>
      <w:rFonts w:asciiTheme="minorHAnsi" w:hAnsiTheme="minorHAnsi"/>
      <w:b/>
      <w:color w:val="165788"/>
      <w:sz w:val="22"/>
      <w:szCs w:val="24"/>
      <w:shd w:val="clear" w:color="auto" w:fill="FFFFFF"/>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4B1A2D"/>
    <w:pPr>
      <w:keepNext w:val="0"/>
      <w:keepLines w:val="0"/>
      <w:pBdr>
        <w:bottom w:val="none" w:sz="0" w:space="0" w:color="auto"/>
      </w:pBdr>
      <w:spacing w:before="400" w:after="240" w:line="240" w:lineRule="auto"/>
      <w:contextualSpacing/>
      <w:outlineLvl w:val="9"/>
    </w:pPr>
    <w:rPr>
      <w:rFonts w:ascii="Corbel" w:eastAsia="Times New Roman" w:hAnsi="Corbel" w:cs="Times New Roman"/>
      <w:b w:val="0"/>
      <w:bCs w:val="0"/>
      <w:smallCaps/>
      <w:color w:val="2C313B"/>
      <w:spacing w:val="20"/>
      <w:sz w:val="32"/>
      <w:szCs w:val="32"/>
      <w:lang w:val="en-US" w:eastAsia="en-US"/>
    </w:rPr>
  </w:style>
  <w:style w:type="paragraph" w:customStyle="1" w:styleId="Default">
    <w:name w:val="Default"/>
    <w:rsid w:val="004B1A2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4"/>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4"/>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4"/>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4B1A2D"/>
  </w:style>
  <w:style w:type="character" w:customStyle="1" w:styleId="BodyTextChar">
    <w:name w:val="Body Text Char"/>
    <w:basedOn w:val="DefaultParagraphFont"/>
    <w:link w:val="BodyText"/>
    <w:rsid w:val="004B1A2D"/>
    <w:rPr>
      <w:rFonts w:asciiTheme="minorHAnsi" w:hAnsiTheme="minorHAnsi"/>
      <w:sz w:val="22"/>
      <w:szCs w:val="24"/>
    </w:rPr>
  </w:style>
  <w:style w:type="paragraph" w:customStyle="1" w:styleId="ShadedListBullet">
    <w:name w:val="Shaded List Bullet"/>
    <w:basedOn w:val="ListBullet"/>
    <w:qFormat/>
    <w:rsid w:val="00AE66D5"/>
    <w:pPr>
      <w:keepNext/>
      <w:numPr>
        <w:numId w:val="3"/>
      </w:numPr>
      <w:pBdr>
        <w:left w:val="single" w:sz="12" w:space="4" w:color="165788"/>
        <w:bottom w:val="single" w:sz="12" w:space="1" w:color="165788"/>
        <w:right w:val="single" w:sz="12" w:space="4" w:color="165788"/>
      </w:pBdr>
      <w:shd w:val="clear" w:color="auto" w:fill="E2EAF0"/>
      <w:spacing w:before="0" w:line="288" w:lineRule="auto"/>
      <w:ind w:left="357" w:hanging="357"/>
    </w:pPr>
    <w:rPr>
      <w:szCs w:val="22"/>
    </w:rPr>
  </w:style>
  <w:style w:type="paragraph" w:customStyle="1" w:styleId="ShadedNumberedList">
    <w:name w:val="Shaded Numbered List"/>
    <w:basedOn w:val="ListNumber"/>
    <w:qFormat/>
    <w:rsid w:val="00E202B8"/>
    <w:pPr>
      <w:pBdr>
        <w:left w:val="single" w:sz="12" w:space="4" w:color="165788"/>
        <w:bottom w:val="single" w:sz="12" w:space="1" w:color="165788"/>
        <w:right w:val="single" w:sz="12" w:space="4" w:color="165788"/>
      </w:pBdr>
      <w:shd w:val="clear" w:color="auto" w:fill="E2EAF0"/>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5"/>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 w:type="paragraph" w:customStyle="1" w:styleId="RIESbriefreports">
    <w:name w:val="RIES brief/reports"/>
    <w:basedOn w:val="Heading1"/>
    <w:next w:val="Normal"/>
    <w:link w:val="RIESbriefreportsChar"/>
    <w:qFormat/>
    <w:rsid w:val="007B6B42"/>
    <w:pPr>
      <w:pBdr>
        <w:bottom w:val="single" w:sz="4" w:space="1" w:color="auto"/>
      </w:pBdr>
      <w:spacing w:line="276" w:lineRule="auto"/>
    </w:pPr>
    <w:rPr>
      <w:rFonts w:asciiTheme="minorHAnsi" w:hAnsiTheme="minorHAnsi" w:cstheme="minorHAnsi"/>
      <w:color w:val="365F91" w:themeColor="accent1" w:themeShade="BF"/>
      <w:sz w:val="24"/>
      <w:lang w:eastAsia="en-US"/>
    </w:rPr>
  </w:style>
  <w:style w:type="character" w:customStyle="1" w:styleId="RIESbriefreportsChar">
    <w:name w:val="RIES brief/reports Char"/>
    <w:basedOn w:val="DefaultParagraphFont"/>
    <w:link w:val="RIESbriefreports"/>
    <w:rsid w:val="007B6B42"/>
    <w:rPr>
      <w:rFonts w:asciiTheme="minorHAnsi" w:eastAsiaTheme="majorEastAsia" w:hAnsiTheme="minorHAnsi" w:cstheme="minorHAnsi"/>
      <w:b/>
      <w:bCs/>
      <w:color w:val="365F91" w:themeColor="accent1" w:themeShade="BF"/>
      <w:sz w:val="24"/>
      <w:szCs w:val="28"/>
      <w:lang w:eastAsia="en-US"/>
    </w:rPr>
  </w:style>
  <w:style w:type="paragraph" w:customStyle="1" w:styleId="Figure">
    <w:name w:val="Figure"/>
    <w:basedOn w:val="Normal"/>
    <w:rsid w:val="00DB4942"/>
    <w:pPr>
      <w:widowControl w:val="0"/>
      <w:spacing w:before="60" w:after="0" w:line="240" w:lineRule="auto"/>
      <w:jc w:val="center"/>
    </w:pPr>
    <w:rPr>
      <w:rFonts w:ascii="Calibri" w:hAnsi="Calibri"/>
      <w:sz w:val="24"/>
    </w:rPr>
  </w:style>
  <w:style w:type="paragraph" w:customStyle="1" w:styleId="Style1">
    <w:name w:val="Style1"/>
    <w:basedOn w:val="Normal"/>
    <w:rsid w:val="00091329"/>
    <w:pPr>
      <w:numPr>
        <w:numId w:val="19"/>
      </w:numPr>
      <w:spacing w:before="60" w:after="60" w:line="240" w:lineRule="auto"/>
      <w:jc w:val="both"/>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3697">
      <w:bodyDiv w:val="1"/>
      <w:marLeft w:val="0"/>
      <w:marRight w:val="0"/>
      <w:marTop w:val="0"/>
      <w:marBottom w:val="0"/>
      <w:divBdr>
        <w:top w:val="none" w:sz="0" w:space="0" w:color="auto"/>
        <w:left w:val="none" w:sz="0" w:space="0" w:color="auto"/>
        <w:bottom w:val="none" w:sz="0" w:space="0" w:color="auto"/>
        <w:right w:val="none" w:sz="0" w:space="0" w:color="auto"/>
      </w:divBdr>
    </w:div>
    <w:div w:id="202980440">
      <w:bodyDiv w:val="1"/>
      <w:marLeft w:val="0"/>
      <w:marRight w:val="0"/>
      <w:marTop w:val="0"/>
      <w:marBottom w:val="0"/>
      <w:divBdr>
        <w:top w:val="none" w:sz="0" w:space="0" w:color="auto"/>
        <w:left w:val="none" w:sz="0" w:space="0" w:color="auto"/>
        <w:bottom w:val="none" w:sz="0" w:space="0" w:color="auto"/>
        <w:right w:val="none" w:sz="0" w:space="0" w:color="auto"/>
      </w:divBdr>
    </w:div>
    <w:div w:id="306205497">
      <w:bodyDiv w:val="1"/>
      <w:marLeft w:val="0"/>
      <w:marRight w:val="0"/>
      <w:marTop w:val="0"/>
      <w:marBottom w:val="0"/>
      <w:divBdr>
        <w:top w:val="none" w:sz="0" w:space="0" w:color="auto"/>
        <w:left w:val="none" w:sz="0" w:space="0" w:color="auto"/>
        <w:bottom w:val="none" w:sz="0" w:space="0" w:color="auto"/>
        <w:right w:val="none" w:sz="0" w:space="0" w:color="auto"/>
      </w:divBdr>
    </w:div>
    <w:div w:id="306860184">
      <w:bodyDiv w:val="1"/>
      <w:marLeft w:val="0"/>
      <w:marRight w:val="0"/>
      <w:marTop w:val="0"/>
      <w:marBottom w:val="0"/>
      <w:divBdr>
        <w:top w:val="none" w:sz="0" w:space="0" w:color="auto"/>
        <w:left w:val="none" w:sz="0" w:space="0" w:color="auto"/>
        <w:bottom w:val="none" w:sz="0" w:space="0" w:color="auto"/>
        <w:right w:val="none" w:sz="0" w:space="0" w:color="auto"/>
      </w:divBdr>
    </w:div>
    <w:div w:id="355809625">
      <w:bodyDiv w:val="1"/>
      <w:marLeft w:val="0"/>
      <w:marRight w:val="0"/>
      <w:marTop w:val="0"/>
      <w:marBottom w:val="0"/>
      <w:divBdr>
        <w:top w:val="none" w:sz="0" w:space="0" w:color="auto"/>
        <w:left w:val="none" w:sz="0" w:space="0" w:color="auto"/>
        <w:bottom w:val="none" w:sz="0" w:space="0" w:color="auto"/>
        <w:right w:val="none" w:sz="0" w:space="0" w:color="auto"/>
      </w:divBdr>
    </w:div>
    <w:div w:id="669455574">
      <w:bodyDiv w:val="1"/>
      <w:marLeft w:val="0"/>
      <w:marRight w:val="0"/>
      <w:marTop w:val="0"/>
      <w:marBottom w:val="0"/>
      <w:divBdr>
        <w:top w:val="none" w:sz="0" w:space="0" w:color="auto"/>
        <w:left w:val="none" w:sz="0" w:space="0" w:color="auto"/>
        <w:bottom w:val="none" w:sz="0" w:space="0" w:color="auto"/>
        <w:right w:val="none" w:sz="0" w:space="0" w:color="auto"/>
      </w:divBdr>
    </w:div>
    <w:div w:id="698967941">
      <w:bodyDiv w:val="1"/>
      <w:marLeft w:val="0"/>
      <w:marRight w:val="0"/>
      <w:marTop w:val="0"/>
      <w:marBottom w:val="0"/>
      <w:divBdr>
        <w:top w:val="none" w:sz="0" w:space="0" w:color="auto"/>
        <w:left w:val="none" w:sz="0" w:space="0" w:color="auto"/>
        <w:bottom w:val="none" w:sz="0" w:space="0" w:color="auto"/>
        <w:right w:val="none" w:sz="0" w:space="0" w:color="auto"/>
      </w:divBdr>
    </w:div>
    <w:div w:id="810288954">
      <w:bodyDiv w:val="1"/>
      <w:marLeft w:val="0"/>
      <w:marRight w:val="0"/>
      <w:marTop w:val="0"/>
      <w:marBottom w:val="0"/>
      <w:divBdr>
        <w:top w:val="none" w:sz="0" w:space="0" w:color="auto"/>
        <w:left w:val="none" w:sz="0" w:space="0" w:color="auto"/>
        <w:bottom w:val="none" w:sz="0" w:space="0" w:color="auto"/>
        <w:right w:val="none" w:sz="0" w:space="0" w:color="auto"/>
      </w:divBdr>
    </w:div>
    <w:div w:id="894899441">
      <w:bodyDiv w:val="1"/>
      <w:marLeft w:val="0"/>
      <w:marRight w:val="0"/>
      <w:marTop w:val="0"/>
      <w:marBottom w:val="0"/>
      <w:divBdr>
        <w:top w:val="none" w:sz="0" w:space="0" w:color="auto"/>
        <w:left w:val="none" w:sz="0" w:space="0" w:color="auto"/>
        <w:bottom w:val="none" w:sz="0" w:space="0" w:color="auto"/>
        <w:right w:val="none" w:sz="0" w:space="0" w:color="auto"/>
      </w:divBdr>
    </w:div>
    <w:div w:id="965888025">
      <w:bodyDiv w:val="1"/>
      <w:marLeft w:val="0"/>
      <w:marRight w:val="0"/>
      <w:marTop w:val="0"/>
      <w:marBottom w:val="0"/>
      <w:divBdr>
        <w:top w:val="none" w:sz="0" w:space="0" w:color="auto"/>
        <w:left w:val="none" w:sz="0" w:space="0" w:color="auto"/>
        <w:bottom w:val="none" w:sz="0" w:space="0" w:color="auto"/>
        <w:right w:val="none" w:sz="0" w:space="0" w:color="auto"/>
      </w:divBdr>
    </w:div>
    <w:div w:id="1032000266">
      <w:bodyDiv w:val="1"/>
      <w:marLeft w:val="0"/>
      <w:marRight w:val="0"/>
      <w:marTop w:val="0"/>
      <w:marBottom w:val="0"/>
      <w:divBdr>
        <w:top w:val="none" w:sz="0" w:space="0" w:color="auto"/>
        <w:left w:val="none" w:sz="0" w:space="0" w:color="auto"/>
        <w:bottom w:val="none" w:sz="0" w:space="0" w:color="auto"/>
        <w:right w:val="none" w:sz="0" w:space="0" w:color="auto"/>
      </w:divBdr>
    </w:div>
    <w:div w:id="1232470313">
      <w:bodyDiv w:val="1"/>
      <w:marLeft w:val="0"/>
      <w:marRight w:val="0"/>
      <w:marTop w:val="0"/>
      <w:marBottom w:val="0"/>
      <w:divBdr>
        <w:top w:val="none" w:sz="0" w:space="0" w:color="auto"/>
        <w:left w:val="none" w:sz="0" w:space="0" w:color="auto"/>
        <w:bottom w:val="none" w:sz="0" w:space="0" w:color="auto"/>
        <w:right w:val="none" w:sz="0" w:space="0" w:color="auto"/>
      </w:divBdr>
    </w:div>
    <w:div w:id="1284924251">
      <w:bodyDiv w:val="1"/>
      <w:marLeft w:val="0"/>
      <w:marRight w:val="0"/>
      <w:marTop w:val="0"/>
      <w:marBottom w:val="0"/>
      <w:divBdr>
        <w:top w:val="none" w:sz="0" w:space="0" w:color="auto"/>
        <w:left w:val="none" w:sz="0" w:space="0" w:color="auto"/>
        <w:bottom w:val="none" w:sz="0" w:space="0" w:color="auto"/>
        <w:right w:val="none" w:sz="0" w:space="0" w:color="auto"/>
      </w:divBdr>
    </w:div>
    <w:div w:id="1291208677">
      <w:bodyDiv w:val="1"/>
      <w:marLeft w:val="0"/>
      <w:marRight w:val="0"/>
      <w:marTop w:val="0"/>
      <w:marBottom w:val="0"/>
      <w:divBdr>
        <w:top w:val="none" w:sz="0" w:space="0" w:color="auto"/>
        <w:left w:val="none" w:sz="0" w:space="0" w:color="auto"/>
        <w:bottom w:val="none" w:sz="0" w:space="0" w:color="auto"/>
        <w:right w:val="none" w:sz="0" w:space="0" w:color="auto"/>
      </w:divBdr>
    </w:div>
    <w:div w:id="1345547852">
      <w:bodyDiv w:val="1"/>
      <w:marLeft w:val="0"/>
      <w:marRight w:val="0"/>
      <w:marTop w:val="0"/>
      <w:marBottom w:val="0"/>
      <w:divBdr>
        <w:top w:val="none" w:sz="0" w:space="0" w:color="auto"/>
        <w:left w:val="none" w:sz="0" w:space="0" w:color="auto"/>
        <w:bottom w:val="none" w:sz="0" w:space="0" w:color="auto"/>
        <w:right w:val="none" w:sz="0" w:space="0" w:color="auto"/>
      </w:divBdr>
    </w:div>
    <w:div w:id="1393624388">
      <w:bodyDiv w:val="1"/>
      <w:marLeft w:val="0"/>
      <w:marRight w:val="0"/>
      <w:marTop w:val="0"/>
      <w:marBottom w:val="0"/>
      <w:divBdr>
        <w:top w:val="none" w:sz="0" w:space="0" w:color="auto"/>
        <w:left w:val="none" w:sz="0" w:space="0" w:color="auto"/>
        <w:bottom w:val="none" w:sz="0" w:space="0" w:color="auto"/>
        <w:right w:val="none" w:sz="0" w:space="0" w:color="auto"/>
      </w:divBdr>
    </w:div>
    <w:div w:id="1461455377">
      <w:bodyDiv w:val="1"/>
      <w:marLeft w:val="0"/>
      <w:marRight w:val="0"/>
      <w:marTop w:val="0"/>
      <w:marBottom w:val="0"/>
      <w:divBdr>
        <w:top w:val="none" w:sz="0" w:space="0" w:color="auto"/>
        <w:left w:val="none" w:sz="0" w:space="0" w:color="auto"/>
        <w:bottom w:val="none" w:sz="0" w:space="0" w:color="auto"/>
        <w:right w:val="none" w:sz="0" w:space="0" w:color="auto"/>
      </w:divBdr>
    </w:div>
    <w:div w:id="1471023164">
      <w:bodyDiv w:val="1"/>
      <w:marLeft w:val="0"/>
      <w:marRight w:val="0"/>
      <w:marTop w:val="0"/>
      <w:marBottom w:val="0"/>
      <w:divBdr>
        <w:top w:val="none" w:sz="0" w:space="0" w:color="auto"/>
        <w:left w:val="none" w:sz="0" w:space="0" w:color="auto"/>
        <w:bottom w:val="none" w:sz="0" w:space="0" w:color="auto"/>
        <w:right w:val="none" w:sz="0" w:space="0" w:color="auto"/>
      </w:divBdr>
    </w:div>
    <w:div w:id="1613392272">
      <w:bodyDiv w:val="1"/>
      <w:marLeft w:val="0"/>
      <w:marRight w:val="0"/>
      <w:marTop w:val="0"/>
      <w:marBottom w:val="0"/>
      <w:divBdr>
        <w:top w:val="none" w:sz="0" w:space="0" w:color="auto"/>
        <w:left w:val="none" w:sz="0" w:space="0" w:color="auto"/>
        <w:bottom w:val="none" w:sz="0" w:space="0" w:color="auto"/>
        <w:right w:val="none" w:sz="0" w:space="0" w:color="auto"/>
      </w:divBdr>
    </w:div>
    <w:div w:id="1617250426">
      <w:bodyDiv w:val="1"/>
      <w:marLeft w:val="0"/>
      <w:marRight w:val="0"/>
      <w:marTop w:val="0"/>
      <w:marBottom w:val="0"/>
      <w:divBdr>
        <w:top w:val="none" w:sz="0" w:space="0" w:color="auto"/>
        <w:left w:val="none" w:sz="0" w:space="0" w:color="auto"/>
        <w:bottom w:val="none" w:sz="0" w:space="0" w:color="auto"/>
        <w:right w:val="none" w:sz="0" w:space="0" w:color="auto"/>
      </w:divBdr>
    </w:div>
    <w:div w:id="1699358489">
      <w:bodyDiv w:val="1"/>
      <w:marLeft w:val="0"/>
      <w:marRight w:val="0"/>
      <w:marTop w:val="0"/>
      <w:marBottom w:val="0"/>
      <w:divBdr>
        <w:top w:val="none" w:sz="0" w:space="0" w:color="auto"/>
        <w:left w:val="none" w:sz="0" w:space="0" w:color="auto"/>
        <w:bottom w:val="none" w:sz="0" w:space="0" w:color="auto"/>
        <w:right w:val="none" w:sz="0" w:space="0" w:color="auto"/>
      </w:divBdr>
    </w:div>
    <w:div w:id="1713188555">
      <w:bodyDiv w:val="1"/>
      <w:marLeft w:val="0"/>
      <w:marRight w:val="0"/>
      <w:marTop w:val="0"/>
      <w:marBottom w:val="0"/>
      <w:divBdr>
        <w:top w:val="none" w:sz="0" w:space="0" w:color="auto"/>
        <w:left w:val="none" w:sz="0" w:space="0" w:color="auto"/>
        <w:bottom w:val="none" w:sz="0" w:space="0" w:color="auto"/>
        <w:right w:val="none" w:sz="0" w:space="0" w:color="auto"/>
      </w:divBdr>
    </w:div>
    <w:div w:id="1713575788">
      <w:bodyDiv w:val="1"/>
      <w:marLeft w:val="0"/>
      <w:marRight w:val="0"/>
      <w:marTop w:val="0"/>
      <w:marBottom w:val="0"/>
      <w:divBdr>
        <w:top w:val="none" w:sz="0" w:space="0" w:color="auto"/>
        <w:left w:val="none" w:sz="0" w:space="0" w:color="auto"/>
        <w:bottom w:val="none" w:sz="0" w:space="0" w:color="auto"/>
        <w:right w:val="none" w:sz="0" w:space="0" w:color="auto"/>
      </w:divBdr>
    </w:div>
    <w:div w:id="1725180519">
      <w:bodyDiv w:val="1"/>
      <w:marLeft w:val="0"/>
      <w:marRight w:val="0"/>
      <w:marTop w:val="0"/>
      <w:marBottom w:val="0"/>
      <w:divBdr>
        <w:top w:val="none" w:sz="0" w:space="0" w:color="auto"/>
        <w:left w:val="none" w:sz="0" w:space="0" w:color="auto"/>
        <w:bottom w:val="none" w:sz="0" w:space="0" w:color="auto"/>
        <w:right w:val="none" w:sz="0" w:space="0" w:color="auto"/>
      </w:divBdr>
    </w:div>
    <w:div w:id="1827286619">
      <w:bodyDiv w:val="1"/>
      <w:marLeft w:val="0"/>
      <w:marRight w:val="0"/>
      <w:marTop w:val="0"/>
      <w:marBottom w:val="0"/>
      <w:divBdr>
        <w:top w:val="none" w:sz="0" w:space="0" w:color="auto"/>
        <w:left w:val="none" w:sz="0" w:space="0" w:color="auto"/>
        <w:bottom w:val="none" w:sz="0" w:space="0" w:color="auto"/>
        <w:right w:val="none" w:sz="0" w:space="0" w:color="auto"/>
      </w:divBdr>
    </w:div>
    <w:div w:id="20140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mailto:recruitmentsurveys@deewr.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joboutlook.gov.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hyperlink" Target="http://creativecommons.org/licenses/by/3.0/au/legalcode" TargetMode="External"/><Relationship Id="rId33" Type="http://schemas.openxmlformats.org/officeDocument/2006/relationships/hyperlink" Target="http://www.deewr.gov.au/lm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creativecommons.org/licenses/by/3.0/au/" TargetMode="External"/><Relationship Id="rId32" Type="http://schemas.openxmlformats.org/officeDocument/2006/relationships/hyperlink" Target="http://www.deewr.gov.au/regionalreports" TargetMode="External"/><Relationship Id="rId37" Type="http://schemas.openxmlformats.org/officeDocument/2006/relationships/image" Target="media/image6.jpeg"/><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cid:image001.png@01CC5B5E.C6C84990" TargetMode="External"/><Relationship Id="rId28" Type="http://schemas.openxmlformats.org/officeDocument/2006/relationships/footer" Target="footer3.xml"/><Relationship Id="rId36" Type="http://schemas.openxmlformats.org/officeDocument/2006/relationships/hyperlink" Target="http://www.deewr.gov.au/australianjobs" TargetMode="External"/><Relationship Id="rId10" Type="http://schemas.microsoft.com/office/2007/relationships/stylesWithEffects" Target="stylesWithEffect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yperlink" Target="http://www.skillsinfo.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Insert the document abstract here. The abstract should describe the purpose of the policy/guide, and is a document metadata field that is used to help establish relevance for search engines, etc. The abstract is also used to populate library cards for any documents publishable under the Information Publication Scheme. You cannot use paragraphs in the abstract so keep it brief.</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26B08DF205FC2F479E17486463F9ACA8" ma:contentTypeVersion="11" ma:contentTypeDescription="Ddocs' Word Content Type" ma:contentTypeScope="" ma:versionID="59e736296bbe3d93632163566f51bc98">
  <xsd:schema xmlns:xsd="http://www.w3.org/2001/XMLSchema" xmlns:p="http://schemas.microsoft.com/office/2006/metadata/properties" xmlns:ns2="http://schemas.microsoft.com/sharepoint/v3/fields" xmlns:ns3="4ff5bc6b-1238-418a-b0ee-f48830a30d62" targetNamespace="http://schemas.microsoft.com/office/2006/metadata/properties" ma:root="true" ma:fieldsID="dc64026ba537ae81b4e4f7ba51bda4c7" ns2:_="" ns3:_="">
    <xsd:import namespace="http://schemas.microsoft.com/sharepoint/v3/fields"/>
    <xsd:import namespace="4ff5bc6b-1238-418a-b0ee-f48830a30d62"/>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ternalName="DNetUniqueId" ma:readOnly="true">
      <xsd:simpleType>
        <xsd:restriction base="dms:Text"/>
      </xsd:simpleType>
    </xsd:element>
  </xsd:schema>
  <xsd:schema xmlns:xsd="http://www.w3.org/2001/XMLSchema" xmlns:dms="http://schemas.microsoft.com/office/2006/documentManagement/types" targetNamespace="4ff5bc6b-1238-418a-b0ee-f48830a30d62" elementFormDefault="qualified">
    <xsd:import namespace="http://schemas.microsoft.com/office/2006/documentManagement/types"/>
    <xsd:element name="_dlc_Exempt" ma:index="9" nillable="true" ma:displayName="Exempt from Policy" ma:description="" ma:hidden="true" ma:internalName="_dlc_Exempt" ma:readOnly="true">
      <xsd:simpleType>
        <xsd:restriction base="dms:Unknow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4.xml><?xml version="1.0" encoding="utf-8"?>
<p:properties xmlns:p="http://schemas.microsoft.com/office/2006/metadata/properties" xmlns:xsi="http://www.w3.org/2001/XMLSchema-instance">
  <documentManagement>
    <DdocsSearchTerms xmlns="http://schemas.microsoft.com/sharepoint/v3/fields" xsi:nil="true"/>
    <_dlc_ExpireDateSaved xmlns="4ff5bc6b-1238-418a-b0ee-f48830a30d62" xsi:nil="true"/>
    <_dlc_ExpireDate xmlns="4ff5bc6b-1238-418a-b0ee-f48830a30d62" xsi:nil="true"/>
  </documentManagement>
</p:properties>
</file>

<file path=customXml/item5.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8C9F18-AFFC-4553-9323-FC66C3EA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5C0D125-9778-4CCD-859F-AD89FBA8A7F8}">
  <ds:schemaRefs>
    <ds:schemaRef ds:uri="http://schemas.microsoft.com/sharepoint/events"/>
  </ds:schemaRefs>
</ds:datastoreItem>
</file>

<file path=customXml/itemProps4.xml><?xml version="1.0" encoding="utf-8"?>
<ds:datastoreItem xmlns:ds="http://schemas.openxmlformats.org/officeDocument/2006/customXml" ds:itemID="{6CE93746-C7CB-47C7-9427-5E12F449EAC1}">
  <ds:schemaRefs>
    <ds:schemaRef ds:uri="http://purl.org/dc/dcmitype/"/>
    <ds:schemaRef ds:uri="4ff5bc6b-1238-418a-b0ee-f48830a30d62"/>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terms/"/>
  </ds:schemaRefs>
</ds:datastoreItem>
</file>

<file path=customXml/itemProps5.xml><?xml version="1.0" encoding="utf-8"?>
<ds:datastoreItem xmlns:ds="http://schemas.openxmlformats.org/officeDocument/2006/customXml" ds:itemID="{53794BD5-7DF6-498B-A624-D85A92467193}">
  <ds:schemaRefs>
    <ds:schemaRef ds:uri="office.server.policy"/>
  </ds:schemaRefs>
</ds:datastoreItem>
</file>

<file path=customXml/itemProps6.xml><?xml version="1.0" encoding="utf-8"?>
<ds:datastoreItem xmlns:ds="http://schemas.openxmlformats.org/officeDocument/2006/customXml" ds:itemID="{2D577C87-AC79-43AA-83FF-53E6331FF2D6}">
  <ds:schemaRefs>
    <ds:schemaRef ds:uri="http://schemas.openxmlformats.org/officeDocument/2006/bibliography"/>
  </ds:schemaRefs>
</ds:datastoreItem>
</file>

<file path=customXml/itemProps7.xml><?xml version="1.0" encoding="utf-8"?>
<ds:datastoreItem xmlns:ds="http://schemas.openxmlformats.org/officeDocument/2006/customXml" ds:itemID="{FC971DC1-857F-4185-B81C-9391F4A2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12F9A151.dotm</Template>
  <TotalTime>99</TotalTime>
  <Pages>8</Pages>
  <Words>1527</Words>
  <Characters>9857</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Townsville                            Priority Employment Area</vt:lpstr>
    </vt:vector>
  </TitlesOfParts>
  <Company>Australian Government</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Townsville                            Priority Employment Area</dc:title>
  <dc:creator>Robert Pacey</dc:creator>
  <cp:lastModifiedBy>Scott Lee</cp:lastModifiedBy>
  <cp:revision>21</cp:revision>
  <cp:lastPrinted>2013-06-25T02:39:00Z</cp:lastPrinted>
  <dcterms:created xsi:type="dcterms:W3CDTF">2013-06-18T07:16:00Z</dcterms:created>
  <dcterms:modified xsi:type="dcterms:W3CDTF">2013-06-25T02:39:00Z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0x0101009EDC4876AF524A70BD125A9D2C0D191E0C0026B08DF205FC2F479E17486463F9ACA8</vt:lpwstr>
  </property>
  <property fmtid="{D5CDD505-2E9C-101B-9397-08002B2CF9AE}" pid="3" name="_dlc_ExpireDate">
    <vt:lpwstr>2016-09-15T00:04:33+00:00</vt:lpwstr>
  </property>
  <property fmtid="{D5CDD505-2E9C-101B-9397-08002B2CF9AE}" pid="4" name="_dlc_policyId">
    <vt:lpwstr/>
  </property>
  <property fmtid="{D5CDD505-2E9C-101B-9397-08002B2CF9AE}" pid="5" name="ItemRetentionFormula">
    <vt:lpwstr/>
  </property>
</Properties>
</file>