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2486423" w:displacedByCustomXml="next"/>
    <w:sdt>
      <w:sdtPr>
        <w:id w:val="685869552"/>
        <w:docPartObj>
          <w:docPartGallery w:val="Cover Pages"/>
          <w:docPartUnique/>
        </w:docPartObj>
      </w:sdtPr>
      <w:sdtEndPr/>
      <w:sdtContent>
        <w:p w:rsidR="00B17D9B" w:rsidRDefault="00B17D9B" w:rsidP="00F440E7">
          <w:pPr>
            <w:ind w:hanging="284"/>
            <w:rPr>
              <w:noProof/>
            </w:rPr>
          </w:pPr>
        </w:p>
        <w:p w:rsidR="008B316E" w:rsidRDefault="008B316E" w:rsidP="00F440E7">
          <w:pPr>
            <w:ind w:hanging="284"/>
          </w:pPr>
          <w:r>
            <w:rPr>
              <w:noProof/>
            </w:rPr>
            <w:drawing>
              <wp:inline distT="0" distB="0" distL="0" distR="0" wp14:anchorId="45A853A7" wp14:editId="659DF513">
                <wp:extent cx="4336415" cy="561340"/>
                <wp:effectExtent l="0" t="0" r="6985" b="0"/>
                <wp:docPr id="3" name="Picture 3" descr="Australian Government Department of Education,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Employment and Workplace Rel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36415" cy="561340"/>
                        </a:xfrm>
                        <a:prstGeom prst="rect">
                          <a:avLst/>
                        </a:prstGeom>
                        <a:noFill/>
                        <a:ln>
                          <a:noFill/>
                        </a:ln>
                      </pic:spPr>
                    </pic:pic>
                  </a:graphicData>
                </a:graphic>
              </wp:inline>
            </w:drawing>
          </w:r>
        </w:p>
        <w:p w:rsidR="008B316E" w:rsidRDefault="008B316E" w:rsidP="008B316E">
          <w:pPr>
            <w:rPr>
              <w:sz w:val="48"/>
              <w:szCs w:val="48"/>
              <w:lang w:bidi="en-US"/>
            </w:rPr>
          </w:pPr>
        </w:p>
        <w:sdt>
          <w:sdtPr>
            <w:rPr>
              <w:color w:val="auto"/>
              <w:sz w:val="40"/>
              <w:szCs w:val="40"/>
            </w:rPr>
            <w:alias w:val="Title"/>
            <w:tag w:val=""/>
            <w:id w:val="-1218355058"/>
            <w:showingPlcHdr/>
            <w:dataBinding w:prefixMappings="xmlns:ns0='http://purl.org/dc/elements/1.1/' xmlns:ns1='http://schemas.openxmlformats.org/package/2006/metadata/core-properties' " w:xpath="/ns1:coreProperties[1]/ns0:title[1]" w:storeItemID="{6C3C8BC8-F283-45AE-878A-BAB7291924A1}"/>
            <w:text/>
          </w:sdtPr>
          <w:sdtEndPr/>
          <w:sdtContent>
            <w:p w:rsidR="008B316E" w:rsidRDefault="004E7D6E" w:rsidP="00F440E7">
              <w:pPr>
                <w:pStyle w:val="Title"/>
                <w:spacing w:before="480" w:after="120"/>
                <w:ind w:left="992"/>
                <w:jc w:val="left"/>
              </w:pPr>
              <w:r>
                <w:rPr>
                  <w:color w:val="auto"/>
                  <w:sz w:val="40"/>
                  <w:szCs w:val="40"/>
                </w:rPr>
                <w:t xml:space="preserve">     </w:t>
              </w:r>
            </w:p>
          </w:sdtContent>
        </w:sdt>
        <w:p w:rsidR="004E7D6E" w:rsidRPr="00793E26" w:rsidRDefault="004E7D6E" w:rsidP="00F440E7">
          <w:pPr>
            <w:pStyle w:val="Heading1"/>
            <w:ind w:left="993"/>
            <w:rPr>
              <w:szCs w:val="40"/>
            </w:rPr>
          </w:pPr>
          <w:bookmarkStart w:id="1" w:name="_Toc339462192"/>
          <w:bookmarkStart w:id="2" w:name="_Toc340825521"/>
          <w:bookmarkStart w:id="3" w:name="_Toc335822985"/>
          <w:bookmarkStart w:id="4" w:name="_Toc338139775"/>
          <w:r w:rsidRPr="00793E26">
            <w:rPr>
              <w:szCs w:val="40"/>
            </w:rPr>
            <w:t>Survey of Employers’ Recruitment Experiences</w:t>
          </w:r>
          <w:bookmarkEnd w:id="1"/>
          <w:bookmarkEnd w:id="2"/>
        </w:p>
        <w:p w:rsidR="004B1A2D" w:rsidRDefault="00B840C6" w:rsidP="00F440E7">
          <w:pPr>
            <w:pStyle w:val="Heading1"/>
            <w:ind w:left="993"/>
          </w:pPr>
          <w:bookmarkStart w:id="5" w:name="_Toc339462193"/>
          <w:bookmarkStart w:id="6" w:name="_Toc340825522"/>
          <w:r>
            <w:t>Sturt</w:t>
          </w:r>
          <w:r w:rsidR="004E7D6E">
            <w:t xml:space="preserve"> </w:t>
          </w:r>
          <w:r>
            <w:t xml:space="preserve">Employment Service </w:t>
          </w:r>
          <w:r w:rsidR="004E7D6E">
            <w:t>Area</w:t>
          </w:r>
          <w:bookmarkEnd w:id="3"/>
          <w:bookmarkEnd w:id="4"/>
          <w:bookmarkEnd w:id="5"/>
          <w:bookmarkEnd w:id="6"/>
          <w:r w:rsidR="004B1A2D">
            <w:t xml:space="preserve"> </w:t>
          </w:r>
        </w:p>
        <w:p w:rsidR="00F440E7" w:rsidRDefault="00B840C6" w:rsidP="00F440E7">
          <w:pPr>
            <w:pStyle w:val="Heading2"/>
            <w:ind w:left="993"/>
            <w:rPr>
              <w:rStyle w:val="Heading2Char"/>
            </w:rPr>
          </w:pPr>
          <w:bookmarkStart w:id="7" w:name="_Toc338139776"/>
          <w:bookmarkStart w:id="8" w:name="_Toc339462194"/>
          <w:bookmarkStart w:id="9" w:name="_Toc340824719"/>
          <w:bookmarkStart w:id="10" w:name="_Toc340825498"/>
          <w:bookmarkStart w:id="11" w:name="_Toc340825523"/>
          <w:r>
            <w:t>August</w:t>
          </w:r>
          <w:r w:rsidR="004E7D6E">
            <w:t xml:space="preserve"> 2012</w:t>
          </w:r>
          <w:bookmarkEnd w:id="7"/>
          <w:bookmarkEnd w:id="8"/>
          <w:bookmarkEnd w:id="9"/>
          <w:bookmarkEnd w:id="10"/>
          <w:bookmarkEnd w:id="11"/>
        </w:p>
        <w:p w:rsidR="004B1A2D" w:rsidRDefault="004B1A2D" w:rsidP="00F440E7">
          <w:pPr>
            <w:spacing w:before="0" w:after="0" w:line="240" w:lineRule="auto"/>
            <w:ind w:left="993"/>
            <w:rPr>
              <w:rStyle w:val="Heading2Char"/>
            </w:rPr>
          </w:pPr>
          <w:r>
            <w:rPr>
              <w:rFonts w:ascii="Calibri" w:eastAsiaTheme="majorEastAsia" w:hAnsi="Calibri" w:cstheme="majorBidi"/>
              <w:b/>
              <w:bCs/>
              <w:noProof/>
              <w:color w:val="165788"/>
              <w:sz w:val="32"/>
              <w:szCs w:val="26"/>
            </w:rPr>
            <w:drawing>
              <wp:anchor distT="0" distB="0" distL="114300" distR="114300" simplePos="0" relativeHeight="251659264" behindDoc="1" locked="0" layoutInCell="1" allowOverlap="1" wp14:anchorId="77CFB7B6" wp14:editId="76C7AAD7">
                <wp:simplePos x="0" y="0"/>
                <wp:positionH relativeFrom="column">
                  <wp:posOffset>-1019175</wp:posOffset>
                </wp:positionH>
                <wp:positionV relativeFrom="paragraph">
                  <wp:posOffset>2087880</wp:posOffset>
                </wp:positionV>
                <wp:extent cx="7724775" cy="3838575"/>
                <wp:effectExtent l="19050" t="0" r="952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24775" cy="3838575"/>
                        </a:xfrm>
                        <a:prstGeom prst="rect">
                          <a:avLst/>
                        </a:prstGeom>
                        <a:noFill/>
                        <a:ln>
                          <a:noFill/>
                        </a:ln>
                      </pic:spPr>
                    </pic:pic>
                  </a:graphicData>
                </a:graphic>
              </wp:anchor>
            </w:drawing>
          </w:r>
          <w:r>
            <w:rPr>
              <w:rFonts w:ascii="Calibri" w:eastAsiaTheme="majorEastAsia" w:hAnsi="Calibri" w:cstheme="majorBidi"/>
              <w:b/>
              <w:bCs/>
              <w:noProof/>
              <w:color w:val="165788"/>
              <w:sz w:val="32"/>
              <w:szCs w:val="26"/>
            </w:rPr>
            <w:drawing>
              <wp:anchor distT="0" distB="0" distL="114300" distR="114300" simplePos="0" relativeHeight="251660288" behindDoc="1" locked="0" layoutInCell="1" allowOverlap="1" wp14:anchorId="64F1DF55" wp14:editId="2E11A901">
                <wp:simplePos x="0" y="0"/>
                <wp:positionH relativeFrom="column">
                  <wp:posOffset>-1002030</wp:posOffset>
                </wp:positionH>
                <wp:positionV relativeFrom="paragraph">
                  <wp:posOffset>585470</wp:posOffset>
                </wp:positionV>
                <wp:extent cx="7738110" cy="1874520"/>
                <wp:effectExtent l="19050" t="0" r="0"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38110" cy="1874520"/>
                        </a:xfrm>
                        <a:prstGeom prst="rect">
                          <a:avLst/>
                        </a:prstGeom>
                        <a:noFill/>
                        <a:ln>
                          <a:noFill/>
                        </a:ln>
                      </pic:spPr>
                    </pic:pic>
                  </a:graphicData>
                </a:graphic>
              </wp:anchor>
            </w:drawing>
          </w:r>
          <w:r>
            <w:rPr>
              <w:rStyle w:val="Heading2Char"/>
            </w:rPr>
            <w:br w:type="page"/>
          </w:r>
        </w:p>
        <w:p w:rsidR="00BD69AE" w:rsidRDefault="00BD69AE" w:rsidP="004B1A2D">
          <w:pPr>
            <w:spacing w:before="0" w:after="0" w:line="240" w:lineRule="auto"/>
            <w:rPr>
              <w:rFonts w:asciiTheme="majorHAnsi" w:eastAsiaTheme="majorEastAsia" w:hAnsiTheme="majorHAnsi" w:cstheme="majorBidi"/>
              <w:b/>
              <w:bCs/>
              <w:color w:val="165788"/>
              <w:sz w:val="40"/>
              <w:szCs w:val="28"/>
            </w:rPr>
            <w:sectPr w:rsidR="00BD69AE" w:rsidSect="00DB0902">
              <w:headerReference w:type="default" r:id="rId18"/>
              <w:footerReference w:type="default" r:id="rId19"/>
              <w:headerReference w:type="first" r:id="rId20"/>
              <w:footerReference w:type="first" r:id="rId21"/>
              <w:type w:val="continuous"/>
              <w:pgSz w:w="11907" w:h="16839" w:code="9"/>
              <w:pgMar w:top="1440" w:right="1559" w:bottom="1440" w:left="1440" w:header="709" w:footer="709" w:gutter="0"/>
              <w:cols w:space="708"/>
              <w:titlePg/>
              <w:docGrid w:linePitch="360"/>
            </w:sectPr>
          </w:pPr>
        </w:p>
        <w:p w:rsidR="004B1A2D" w:rsidRPr="004B1A2D" w:rsidRDefault="00B97C44" w:rsidP="004B1A2D">
          <w:pPr>
            <w:spacing w:before="0" w:after="0" w:line="240" w:lineRule="auto"/>
            <w:rPr>
              <w:rFonts w:asciiTheme="majorHAnsi" w:eastAsiaTheme="majorEastAsia" w:hAnsiTheme="majorHAnsi" w:cstheme="majorBidi"/>
              <w:b/>
              <w:bCs/>
              <w:color w:val="165788"/>
              <w:sz w:val="40"/>
              <w:szCs w:val="28"/>
            </w:rPr>
          </w:pPr>
        </w:p>
      </w:sdtContent>
    </w:sdt>
    <w:bookmarkEnd w:id="0" w:displacedByCustomXml="prev"/>
    <w:p w:rsidR="009F1AE2" w:rsidRPr="009F1AE2" w:rsidRDefault="009F1AE2" w:rsidP="0019736B">
      <w:pPr>
        <w:pStyle w:val="numberedpara"/>
        <w:numPr>
          <w:ilvl w:val="0"/>
          <w:numId w:val="0"/>
        </w:numPr>
        <w:tabs>
          <w:tab w:val="left" w:pos="720"/>
        </w:tabs>
        <w:ind w:left="142"/>
        <w:rPr>
          <w:sz w:val="560"/>
          <w:szCs w:val="560"/>
        </w:rPr>
      </w:pPr>
    </w:p>
    <w:p w:rsidR="002C57CD" w:rsidRPr="009F1AE2" w:rsidRDefault="002C57CD" w:rsidP="009F1AE2">
      <w:pPr>
        <w:pStyle w:val="BodyText"/>
      </w:pPr>
    </w:p>
    <w:p w:rsidR="0019736B" w:rsidRDefault="0019736B" w:rsidP="0019736B">
      <w:pPr>
        <w:pStyle w:val="numberedpara"/>
        <w:numPr>
          <w:ilvl w:val="0"/>
          <w:numId w:val="0"/>
        </w:numPr>
        <w:tabs>
          <w:tab w:val="left" w:pos="720"/>
        </w:tabs>
        <w:rPr>
          <w:sz w:val="20"/>
          <w:szCs w:val="20"/>
        </w:rPr>
      </w:pPr>
      <w:r>
        <w:rPr>
          <w:noProof/>
          <w:sz w:val="20"/>
          <w:szCs w:val="20"/>
        </w:rPr>
        <w:drawing>
          <wp:inline distT="0" distB="0" distL="0" distR="0" wp14:anchorId="768D5F21" wp14:editId="2887780A">
            <wp:extent cx="847725" cy="285750"/>
            <wp:effectExtent l="19050" t="0" r="9525" b="0"/>
            <wp:docPr id="4" name="Picture 1" descr="cid:image001.png@01CC5B5E.C6C8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2" r:link="rId2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19736B" w:rsidRPr="000462F1" w:rsidRDefault="0019736B" w:rsidP="0019736B">
      <w:pPr>
        <w:pStyle w:val="Default"/>
        <w:spacing w:before="120" w:after="120"/>
        <w:rPr>
          <w:sz w:val="20"/>
          <w:szCs w:val="20"/>
        </w:rPr>
      </w:pPr>
      <w:r w:rsidRPr="000462F1">
        <w:rPr>
          <w:sz w:val="20"/>
          <w:szCs w:val="20"/>
        </w:rPr>
        <w:t xml:space="preserve">With the exception of the Commonwealth Coat of Arms, the Department’s logo, any material protected by a trade mark and where otherwise noted all material presented in this document is provided under a Creative Commons Attribution 3.0 Australia </w:t>
      </w:r>
      <w:r w:rsidRPr="00B10A70">
        <w:rPr>
          <w:sz w:val="20"/>
          <w:szCs w:val="20"/>
        </w:rPr>
        <w:t>(</w:t>
      </w:r>
      <w:hyperlink r:id="rId24" w:history="1">
        <w:r w:rsidRPr="00B10A70">
          <w:rPr>
            <w:rStyle w:val="Hyperlink"/>
            <w:sz w:val="20"/>
            <w:szCs w:val="20"/>
          </w:rPr>
          <w:t>http://creativecommons.org/licenses/by/3.0/au/</w:t>
        </w:r>
      </w:hyperlink>
      <w:r w:rsidRPr="00B10A70">
        <w:rPr>
          <w:sz w:val="20"/>
          <w:szCs w:val="20"/>
        </w:rPr>
        <w:t>)</w:t>
      </w:r>
      <w:r w:rsidRPr="000462F1">
        <w:rPr>
          <w:sz w:val="20"/>
          <w:szCs w:val="20"/>
        </w:rPr>
        <w:t xml:space="preserve"> licence. </w:t>
      </w:r>
    </w:p>
    <w:p w:rsidR="003E387D" w:rsidRDefault="0019736B" w:rsidP="003E387D">
      <w:pPr>
        <w:pStyle w:val="Default"/>
        <w:spacing w:before="120" w:after="120"/>
        <w:rPr>
          <w:sz w:val="20"/>
          <w:szCs w:val="20"/>
        </w:rPr>
      </w:pPr>
      <w:r w:rsidRPr="000462F1">
        <w:rPr>
          <w:sz w:val="20"/>
          <w:szCs w:val="20"/>
        </w:rPr>
        <w:t xml:space="preserve">The details of the relevant licence conditions are available on the Creative Commons website (accessible using the links provided) as is the full legal code for the CC BY 3.0 AU licence </w:t>
      </w:r>
      <w:r w:rsidRPr="00B10A70">
        <w:rPr>
          <w:sz w:val="20"/>
          <w:szCs w:val="20"/>
        </w:rPr>
        <w:t>(</w:t>
      </w:r>
      <w:hyperlink r:id="rId25" w:history="1">
        <w:r w:rsidRPr="00B10A70">
          <w:rPr>
            <w:rStyle w:val="Hyperlink"/>
            <w:sz w:val="20"/>
            <w:szCs w:val="20"/>
          </w:rPr>
          <w:t>http://creativecommons.org/licenses/by/3.0/au/legalcode</w:t>
        </w:r>
      </w:hyperlink>
      <w:r w:rsidRPr="00B10A70">
        <w:rPr>
          <w:sz w:val="20"/>
          <w:szCs w:val="20"/>
        </w:rPr>
        <w:t>).</w:t>
      </w:r>
      <w:r w:rsidRPr="000462F1">
        <w:rPr>
          <w:sz w:val="20"/>
          <w:szCs w:val="20"/>
        </w:rPr>
        <w:t xml:space="preserve"> The document must be attributed as </w:t>
      </w:r>
      <w:r w:rsidR="003E387D">
        <w:rPr>
          <w:sz w:val="20"/>
          <w:szCs w:val="20"/>
        </w:rPr>
        <w:t xml:space="preserve">the ‘DEEWR - Survey of Employers’ Recruitment Experiences – Sturt Employment Service Area – August 2012’. </w:t>
      </w:r>
    </w:p>
    <w:p w:rsidR="00D571C0" w:rsidRDefault="00D571C0" w:rsidP="00D571C0">
      <w:pPr>
        <w:spacing w:after="180"/>
        <w:ind w:right="2514"/>
        <w:rPr>
          <w:rFonts w:cs="Arial"/>
          <w:szCs w:val="22"/>
        </w:rPr>
      </w:pPr>
    </w:p>
    <w:p w:rsidR="00D571C0" w:rsidRPr="00093D16" w:rsidRDefault="00D571C0" w:rsidP="00D571C0">
      <w:pPr>
        <w:spacing w:after="180"/>
        <w:ind w:right="2514"/>
        <w:rPr>
          <w:rFonts w:cs="Arial"/>
          <w:sz w:val="20"/>
          <w:szCs w:val="20"/>
        </w:rPr>
      </w:pPr>
      <w:r w:rsidRPr="00093D16">
        <w:rPr>
          <w:rFonts w:cs="Arial"/>
          <w:sz w:val="20"/>
          <w:szCs w:val="20"/>
        </w:rPr>
        <w:t>This report was prepared by the Labour Market Research and Analysis Branch and is based on research conducted by the Branch.</w:t>
      </w:r>
    </w:p>
    <w:p w:rsidR="00D571C0" w:rsidRPr="00093D16" w:rsidRDefault="00C621C9" w:rsidP="00D571C0">
      <w:pPr>
        <w:pStyle w:val="Default"/>
        <w:spacing w:before="120" w:after="120"/>
        <w:rPr>
          <w:sz w:val="20"/>
          <w:szCs w:val="20"/>
        </w:rPr>
      </w:pPr>
      <w:r w:rsidRPr="00093D16">
        <w:rPr>
          <w:rFonts w:cs="Arial"/>
          <w:noProof/>
          <w:sz w:val="20"/>
          <w:szCs w:val="20"/>
        </w:rPr>
        <mc:AlternateContent>
          <mc:Choice Requires="wps">
            <w:drawing>
              <wp:anchor distT="0" distB="0" distL="114300" distR="114300" simplePos="0" relativeHeight="251666432" behindDoc="0" locked="0" layoutInCell="1" allowOverlap="1" wp14:anchorId="7014E5A1" wp14:editId="6CBA550F">
                <wp:simplePos x="0" y="0"/>
                <wp:positionH relativeFrom="column">
                  <wp:posOffset>2138045</wp:posOffset>
                </wp:positionH>
                <wp:positionV relativeFrom="paragraph">
                  <wp:posOffset>757555</wp:posOffset>
                </wp:positionV>
                <wp:extent cx="4665345" cy="457200"/>
                <wp:effectExtent l="4445" t="5080" r="6985" b="25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457200"/>
                        </a:xfrm>
                        <a:prstGeom prst="rect">
                          <a:avLst/>
                        </a:prstGeom>
                        <a:solidFill>
                          <a:schemeClr val="bg2">
                            <a:lumMod val="75000"/>
                            <a:lumOff val="0"/>
                            <a:alpha val="0"/>
                          </a:schemeClr>
                        </a:solidFill>
                        <a:ln>
                          <a:noFill/>
                        </a:ln>
                        <a:extLst>
                          <a:ext uri="{91240B29-F687-4F45-9708-019B960494DF}">
                            <a14:hiddenLine xmlns:a14="http://schemas.microsoft.com/office/drawing/2010/main" w="0">
                              <a:solidFill>
                                <a:schemeClr val="bg2">
                                  <a:lumMod val="90000"/>
                                  <a:lumOff val="0"/>
                                </a:schemeClr>
                              </a:solidFill>
                              <a:miter lim="800000"/>
                              <a:headEnd/>
                              <a:tailEnd/>
                            </a14:hiddenLine>
                          </a:ext>
                        </a:extLst>
                      </wps:spPr>
                      <wps:txbx>
                        <w:txbxContent>
                          <w:p w:rsidR="00FA23ED" w:rsidRDefault="00FA23ED" w:rsidP="00D571C0">
                            <w:r>
                              <w:rPr>
                                <w:sz w:val="20"/>
                              </w:rPr>
                              <w:tab/>
                            </w:r>
                            <w:r>
                              <w:rPr>
                                <w:sz w:val="20"/>
                              </w:rPr>
                              <w:tab/>
                            </w:r>
                            <w:r>
                              <w:rPr>
                                <w:sz w:val="20"/>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8.35pt;margin-top:59.65pt;width:367.35pt;height:36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" fillcolor="#c4bc96 [2414]" stroked="f" strokecolor="#ddd8c2 [2894]" strokeweight="0">
                <v:fill opacity="0"/>
                <v:textbox style="mso-fit-shape-to-text:t">
                  <w:txbxContent>
                    <w:p w:rsidR="00FA23ED" w:rsidRDefault="00FA23ED" w:rsidP="00D571C0">
                      <w:r>
                        <w:rPr>
                          <w:sz w:val="20"/>
                        </w:rPr>
                        <w:tab/>
                      </w:r>
                      <w:r>
                        <w:rPr>
                          <w:sz w:val="20"/>
                        </w:rPr>
                        <w:tab/>
                      </w:r>
                      <w:r>
                        <w:rPr>
                          <w:sz w:val="20"/>
                        </w:rPr>
                        <w:tab/>
                      </w:r>
                    </w:p>
                  </w:txbxContent>
                </v:textbox>
              </v:shape>
            </w:pict>
          </mc:Fallback>
        </mc:AlternateContent>
      </w:r>
      <w:r w:rsidR="00D571C0" w:rsidRPr="00093D16">
        <w:rPr>
          <w:rFonts w:cs="Arial"/>
          <w:sz w:val="20"/>
          <w:szCs w:val="20"/>
        </w:rPr>
        <w:t>For further information: www.deewr.gov.au</w:t>
      </w:r>
      <w:r w:rsidR="00D571C0" w:rsidRPr="00093D16">
        <w:rPr>
          <w:rFonts w:cs="Arial"/>
          <w:sz w:val="20"/>
          <w:szCs w:val="20"/>
        </w:rPr>
        <w:br/>
      </w:r>
      <w:proofErr w:type="spellStart"/>
      <w:r w:rsidR="00D571C0" w:rsidRPr="00093D16">
        <w:rPr>
          <w:rFonts w:cs="Arial"/>
          <w:sz w:val="20"/>
          <w:szCs w:val="20"/>
        </w:rPr>
        <w:t>Ph</w:t>
      </w:r>
      <w:proofErr w:type="spellEnd"/>
      <w:r w:rsidR="00D571C0" w:rsidRPr="00093D16">
        <w:rPr>
          <w:rFonts w:cs="Arial"/>
          <w:sz w:val="20"/>
          <w:szCs w:val="20"/>
        </w:rPr>
        <w:t xml:space="preserve">: 1800 059 439 | </w:t>
      </w:r>
      <w:hyperlink r:id="rId26" w:history="1">
        <w:r w:rsidR="00D571C0" w:rsidRPr="00093D16">
          <w:rPr>
            <w:rFonts w:cs="Arial"/>
            <w:sz w:val="20"/>
            <w:szCs w:val="20"/>
          </w:rPr>
          <w:t>recruitmentsurveys@deewr.gov.au</w:t>
        </w:r>
      </w:hyperlink>
      <w:r w:rsidR="00D571C0" w:rsidRPr="00093D16">
        <w:rPr>
          <w:sz w:val="20"/>
          <w:szCs w:val="20"/>
        </w:rPr>
        <w:tab/>
        <w:t xml:space="preserve">                      </w:t>
      </w:r>
      <w:r w:rsidR="00D571C0" w:rsidRPr="00093D16">
        <w:rPr>
          <w:sz w:val="20"/>
          <w:szCs w:val="20"/>
        </w:rPr>
        <w:br/>
      </w:r>
      <w:r w:rsidR="00D571C0" w:rsidRPr="00093D16">
        <w:rPr>
          <w:rFonts w:cs="Arial"/>
          <w:sz w:val="20"/>
          <w:szCs w:val="20"/>
        </w:rPr>
        <w:t>ABN: 63 578 775 294</w:t>
      </w:r>
    </w:p>
    <w:bookmarkStart w:id="12" w:name="_Toc340825524" w:displacedByCustomXml="next"/>
    <w:sdt>
      <w:sdtPr>
        <w:rPr>
          <w:rFonts w:asciiTheme="minorHAnsi" w:eastAsia="Times New Roman" w:hAnsiTheme="minorHAnsi" w:cs="Times New Roman"/>
          <w:b w:val="0"/>
          <w:bCs w:val="0"/>
          <w:smallCaps/>
          <w:color w:val="auto"/>
          <w:sz w:val="22"/>
          <w:szCs w:val="24"/>
        </w:rPr>
        <w:id w:val="86572131"/>
        <w:docPartObj>
          <w:docPartGallery w:val="Table of Contents"/>
          <w:docPartUnique/>
        </w:docPartObj>
      </w:sdtPr>
      <w:sdtEndPr>
        <w:rPr>
          <w:smallCaps w:val="0"/>
        </w:rPr>
      </w:sdtEndPr>
      <w:sdtContent>
        <w:p w:rsidR="003F4D49" w:rsidRPr="000617B0" w:rsidRDefault="0097493D" w:rsidP="000617B0">
          <w:pPr>
            <w:pStyle w:val="Heading1"/>
            <w:rPr>
              <w:noProof/>
            </w:rPr>
          </w:pPr>
          <w:r w:rsidRPr="00093D16">
            <w:rPr>
              <w:sz w:val="36"/>
              <w:szCs w:val="36"/>
            </w:rPr>
            <w:t>Contents</w:t>
          </w:r>
          <w:bookmarkEnd w:id="12"/>
          <w:r w:rsidR="00D76419">
            <w:fldChar w:fldCharType="begin"/>
          </w:r>
          <w:r>
            <w:instrText xml:space="preserve"> TOC \o "1-3" \h \z \u </w:instrText>
          </w:r>
          <w:r w:rsidR="00D76419">
            <w:fldChar w:fldCharType="separate"/>
          </w:r>
        </w:p>
        <w:p w:rsidR="003F4D49" w:rsidRDefault="00B97C44">
          <w:pPr>
            <w:pStyle w:val="TOC1"/>
            <w:rPr>
              <w:rFonts w:asciiTheme="minorHAnsi" w:eastAsiaTheme="minorEastAsia" w:hAnsiTheme="minorHAnsi" w:cstheme="minorBidi"/>
              <w:b w:val="0"/>
              <w:noProof/>
              <w:color w:val="auto"/>
              <w:szCs w:val="22"/>
            </w:rPr>
          </w:pPr>
          <w:hyperlink w:anchor="_Toc340825525" w:history="1">
            <w:r w:rsidR="003F4D49" w:rsidRPr="00D32FE4">
              <w:rPr>
                <w:rStyle w:val="Hyperlink"/>
                <w:rFonts w:eastAsiaTheme="majorEastAsia"/>
                <w:noProof/>
              </w:rPr>
              <w:t>The Sturt Employment Service Area</w:t>
            </w:r>
            <w:r w:rsidR="003F4D49">
              <w:rPr>
                <w:noProof/>
                <w:webHidden/>
              </w:rPr>
              <w:tab/>
            </w:r>
            <w:r w:rsidR="003F4D49">
              <w:rPr>
                <w:noProof/>
                <w:webHidden/>
              </w:rPr>
              <w:fldChar w:fldCharType="begin"/>
            </w:r>
            <w:r w:rsidR="003F4D49">
              <w:rPr>
                <w:noProof/>
                <w:webHidden/>
              </w:rPr>
              <w:instrText xml:space="preserve"> PAGEREF _Toc340825525 \h </w:instrText>
            </w:r>
            <w:r w:rsidR="003F4D49">
              <w:rPr>
                <w:noProof/>
                <w:webHidden/>
              </w:rPr>
            </w:r>
            <w:r w:rsidR="003F4D49">
              <w:rPr>
                <w:noProof/>
                <w:webHidden/>
              </w:rPr>
              <w:fldChar w:fldCharType="separate"/>
            </w:r>
            <w:r w:rsidR="003F4D49">
              <w:rPr>
                <w:noProof/>
                <w:webHidden/>
              </w:rPr>
              <w:t>4</w:t>
            </w:r>
            <w:r w:rsidR="003F4D49">
              <w:rPr>
                <w:noProof/>
                <w:webHidden/>
              </w:rPr>
              <w:fldChar w:fldCharType="end"/>
            </w:r>
          </w:hyperlink>
        </w:p>
        <w:p w:rsidR="003F4D49" w:rsidRDefault="00B97C44">
          <w:pPr>
            <w:pStyle w:val="TOC1"/>
            <w:rPr>
              <w:rFonts w:asciiTheme="minorHAnsi" w:eastAsiaTheme="minorEastAsia" w:hAnsiTheme="minorHAnsi" w:cstheme="minorBidi"/>
              <w:b w:val="0"/>
              <w:noProof/>
              <w:color w:val="auto"/>
              <w:szCs w:val="22"/>
            </w:rPr>
          </w:pPr>
          <w:hyperlink w:anchor="_Toc340825526" w:history="1">
            <w:r w:rsidR="003F4D49" w:rsidRPr="00D32FE4">
              <w:rPr>
                <w:rStyle w:val="Hyperlink"/>
                <w:rFonts w:eastAsiaTheme="majorEastAsia"/>
                <w:noProof/>
              </w:rPr>
              <w:t>Survey of Employers’ Recruitment Experiences</w:t>
            </w:r>
            <w:r w:rsidR="003F4D49">
              <w:rPr>
                <w:noProof/>
                <w:webHidden/>
              </w:rPr>
              <w:tab/>
            </w:r>
            <w:r w:rsidR="003F4D49">
              <w:rPr>
                <w:noProof/>
                <w:webHidden/>
              </w:rPr>
              <w:fldChar w:fldCharType="begin"/>
            </w:r>
            <w:r w:rsidR="003F4D49">
              <w:rPr>
                <w:noProof/>
                <w:webHidden/>
              </w:rPr>
              <w:instrText xml:space="preserve"> PAGEREF _Toc340825526 \h </w:instrText>
            </w:r>
            <w:r w:rsidR="003F4D49">
              <w:rPr>
                <w:noProof/>
                <w:webHidden/>
              </w:rPr>
            </w:r>
            <w:r w:rsidR="003F4D49">
              <w:rPr>
                <w:noProof/>
                <w:webHidden/>
              </w:rPr>
              <w:fldChar w:fldCharType="separate"/>
            </w:r>
            <w:r w:rsidR="003F4D49">
              <w:rPr>
                <w:noProof/>
                <w:webHidden/>
              </w:rPr>
              <w:t>4</w:t>
            </w:r>
            <w:r w:rsidR="003F4D49">
              <w:rPr>
                <w:noProof/>
                <w:webHidden/>
              </w:rPr>
              <w:fldChar w:fldCharType="end"/>
            </w:r>
          </w:hyperlink>
        </w:p>
        <w:p w:rsidR="003F4D49" w:rsidRDefault="00B97C44">
          <w:pPr>
            <w:pStyle w:val="TOC1"/>
            <w:rPr>
              <w:rFonts w:asciiTheme="minorHAnsi" w:eastAsiaTheme="minorEastAsia" w:hAnsiTheme="minorHAnsi" w:cstheme="minorBidi"/>
              <w:b w:val="0"/>
              <w:noProof/>
              <w:color w:val="auto"/>
              <w:szCs w:val="22"/>
            </w:rPr>
          </w:pPr>
          <w:hyperlink w:anchor="_Toc340825527" w:history="1">
            <w:r w:rsidR="003F4D49" w:rsidRPr="00D32FE4">
              <w:rPr>
                <w:rStyle w:val="Hyperlink"/>
                <w:rFonts w:eastAsiaTheme="majorEastAsia"/>
                <w:noProof/>
              </w:rPr>
              <w:t>Report Summary</w:t>
            </w:r>
            <w:r w:rsidR="003F4D49">
              <w:rPr>
                <w:noProof/>
                <w:webHidden/>
              </w:rPr>
              <w:tab/>
            </w:r>
            <w:r w:rsidR="003F4D49">
              <w:rPr>
                <w:noProof/>
                <w:webHidden/>
              </w:rPr>
              <w:fldChar w:fldCharType="begin"/>
            </w:r>
            <w:r w:rsidR="003F4D49">
              <w:rPr>
                <w:noProof/>
                <w:webHidden/>
              </w:rPr>
              <w:instrText xml:space="preserve"> PAGEREF _Toc340825527 \h </w:instrText>
            </w:r>
            <w:r w:rsidR="003F4D49">
              <w:rPr>
                <w:noProof/>
                <w:webHidden/>
              </w:rPr>
            </w:r>
            <w:r w:rsidR="003F4D49">
              <w:rPr>
                <w:noProof/>
                <w:webHidden/>
              </w:rPr>
              <w:fldChar w:fldCharType="separate"/>
            </w:r>
            <w:r w:rsidR="003F4D49">
              <w:rPr>
                <w:noProof/>
                <w:webHidden/>
              </w:rPr>
              <w:t>4</w:t>
            </w:r>
            <w:r w:rsidR="003F4D49">
              <w:rPr>
                <w:noProof/>
                <w:webHidden/>
              </w:rPr>
              <w:fldChar w:fldCharType="end"/>
            </w:r>
          </w:hyperlink>
        </w:p>
        <w:p w:rsidR="003F4D49" w:rsidRDefault="00B97C44">
          <w:pPr>
            <w:pStyle w:val="TOC1"/>
            <w:rPr>
              <w:rFonts w:asciiTheme="minorHAnsi" w:eastAsiaTheme="minorEastAsia" w:hAnsiTheme="minorHAnsi" w:cstheme="minorBidi"/>
              <w:b w:val="0"/>
              <w:noProof/>
              <w:color w:val="auto"/>
              <w:szCs w:val="22"/>
            </w:rPr>
          </w:pPr>
          <w:hyperlink w:anchor="_Toc340825528" w:history="1">
            <w:r w:rsidR="003F4D49" w:rsidRPr="00D32FE4">
              <w:rPr>
                <w:rStyle w:val="Hyperlink"/>
                <w:rFonts w:eastAsiaTheme="majorEastAsia"/>
                <w:noProof/>
              </w:rPr>
              <w:t>Recruitment Experiences</w:t>
            </w:r>
            <w:r w:rsidR="003F4D49">
              <w:rPr>
                <w:noProof/>
                <w:webHidden/>
              </w:rPr>
              <w:tab/>
            </w:r>
            <w:r w:rsidR="003F4D49">
              <w:rPr>
                <w:noProof/>
                <w:webHidden/>
              </w:rPr>
              <w:fldChar w:fldCharType="begin"/>
            </w:r>
            <w:r w:rsidR="003F4D49">
              <w:rPr>
                <w:noProof/>
                <w:webHidden/>
              </w:rPr>
              <w:instrText xml:space="preserve"> PAGEREF _Toc340825528 \h </w:instrText>
            </w:r>
            <w:r w:rsidR="003F4D49">
              <w:rPr>
                <w:noProof/>
                <w:webHidden/>
              </w:rPr>
            </w:r>
            <w:r w:rsidR="003F4D49">
              <w:rPr>
                <w:noProof/>
                <w:webHidden/>
              </w:rPr>
              <w:fldChar w:fldCharType="separate"/>
            </w:r>
            <w:r w:rsidR="003F4D49">
              <w:rPr>
                <w:noProof/>
                <w:webHidden/>
              </w:rPr>
              <w:t>5</w:t>
            </w:r>
            <w:r w:rsidR="003F4D49">
              <w:rPr>
                <w:noProof/>
                <w:webHidden/>
              </w:rPr>
              <w:fldChar w:fldCharType="end"/>
            </w:r>
          </w:hyperlink>
        </w:p>
        <w:p w:rsidR="003F4D49" w:rsidRDefault="00B97C44">
          <w:pPr>
            <w:pStyle w:val="TOC1"/>
            <w:rPr>
              <w:rFonts w:asciiTheme="minorHAnsi" w:eastAsiaTheme="minorEastAsia" w:hAnsiTheme="minorHAnsi" w:cstheme="minorBidi"/>
              <w:b w:val="0"/>
              <w:noProof/>
              <w:color w:val="auto"/>
              <w:szCs w:val="22"/>
            </w:rPr>
          </w:pPr>
          <w:hyperlink w:anchor="_Toc340825532" w:history="1">
            <w:r w:rsidR="003F4D49" w:rsidRPr="00D32FE4">
              <w:rPr>
                <w:rStyle w:val="Hyperlink"/>
                <w:rFonts w:eastAsiaTheme="majorEastAsia"/>
                <w:noProof/>
              </w:rPr>
              <w:t>Applicants and Suitability</w:t>
            </w:r>
            <w:r w:rsidR="003F4D49">
              <w:rPr>
                <w:noProof/>
                <w:webHidden/>
              </w:rPr>
              <w:tab/>
            </w:r>
            <w:r w:rsidR="003F4D49">
              <w:rPr>
                <w:noProof/>
                <w:webHidden/>
              </w:rPr>
              <w:fldChar w:fldCharType="begin"/>
            </w:r>
            <w:r w:rsidR="003F4D49">
              <w:rPr>
                <w:noProof/>
                <w:webHidden/>
              </w:rPr>
              <w:instrText xml:space="preserve"> PAGEREF _Toc340825532 \h </w:instrText>
            </w:r>
            <w:r w:rsidR="003F4D49">
              <w:rPr>
                <w:noProof/>
                <w:webHidden/>
              </w:rPr>
            </w:r>
            <w:r w:rsidR="003F4D49">
              <w:rPr>
                <w:noProof/>
                <w:webHidden/>
              </w:rPr>
              <w:fldChar w:fldCharType="separate"/>
            </w:r>
            <w:r w:rsidR="003F4D49">
              <w:rPr>
                <w:noProof/>
                <w:webHidden/>
              </w:rPr>
              <w:t>7</w:t>
            </w:r>
            <w:r w:rsidR="003F4D49">
              <w:rPr>
                <w:noProof/>
                <w:webHidden/>
              </w:rPr>
              <w:fldChar w:fldCharType="end"/>
            </w:r>
          </w:hyperlink>
        </w:p>
        <w:p w:rsidR="003F4D49" w:rsidRDefault="00B97C44">
          <w:pPr>
            <w:pStyle w:val="TOC1"/>
            <w:rPr>
              <w:rFonts w:asciiTheme="minorHAnsi" w:eastAsiaTheme="minorEastAsia" w:hAnsiTheme="minorHAnsi" w:cstheme="minorBidi"/>
              <w:b w:val="0"/>
              <w:noProof/>
              <w:color w:val="auto"/>
              <w:szCs w:val="22"/>
            </w:rPr>
          </w:pPr>
          <w:hyperlink w:anchor="_Toc340825534" w:history="1">
            <w:r w:rsidR="003F4D49" w:rsidRPr="00D32FE4">
              <w:rPr>
                <w:rStyle w:val="Hyperlink"/>
                <w:rFonts w:eastAsiaTheme="majorEastAsia"/>
                <w:noProof/>
              </w:rPr>
              <w:t>Future Recruitment Expectations</w:t>
            </w:r>
            <w:r w:rsidR="003F4D49">
              <w:rPr>
                <w:noProof/>
                <w:webHidden/>
              </w:rPr>
              <w:tab/>
            </w:r>
            <w:r w:rsidR="003F4D49">
              <w:rPr>
                <w:noProof/>
                <w:webHidden/>
              </w:rPr>
              <w:fldChar w:fldCharType="begin"/>
            </w:r>
            <w:r w:rsidR="003F4D49">
              <w:rPr>
                <w:noProof/>
                <w:webHidden/>
              </w:rPr>
              <w:instrText xml:space="preserve"> PAGEREF _Toc340825534 \h </w:instrText>
            </w:r>
            <w:r w:rsidR="003F4D49">
              <w:rPr>
                <w:noProof/>
                <w:webHidden/>
              </w:rPr>
            </w:r>
            <w:r w:rsidR="003F4D49">
              <w:rPr>
                <w:noProof/>
                <w:webHidden/>
              </w:rPr>
              <w:fldChar w:fldCharType="separate"/>
            </w:r>
            <w:r w:rsidR="003F4D49">
              <w:rPr>
                <w:noProof/>
                <w:webHidden/>
              </w:rPr>
              <w:t>7</w:t>
            </w:r>
            <w:r w:rsidR="003F4D49">
              <w:rPr>
                <w:noProof/>
                <w:webHidden/>
              </w:rPr>
              <w:fldChar w:fldCharType="end"/>
            </w:r>
          </w:hyperlink>
        </w:p>
        <w:p w:rsidR="003F4D49" w:rsidRDefault="00B97C44">
          <w:pPr>
            <w:pStyle w:val="TOC1"/>
            <w:rPr>
              <w:rFonts w:asciiTheme="minorHAnsi" w:eastAsiaTheme="minorEastAsia" w:hAnsiTheme="minorHAnsi" w:cstheme="minorBidi"/>
              <w:b w:val="0"/>
              <w:noProof/>
              <w:color w:val="auto"/>
              <w:szCs w:val="22"/>
            </w:rPr>
          </w:pPr>
          <w:hyperlink w:anchor="_Toc340825536" w:history="1">
            <w:r w:rsidR="003F4D49" w:rsidRPr="00D32FE4">
              <w:rPr>
                <w:rStyle w:val="Hyperlink"/>
                <w:rFonts w:eastAsiaTheme="majorEastAsia"/>
                <w:noProof/>
              </w:rPr>
              <w:t>Opportunities for Job Seekers</w:t>
            </w:r>
            <w:r w:rsidR="003F4D49">
              <w:rPr>
                <w:noProof/>
                <w:webHidden/>
              </w:rPr>
              <w:tab/>
            </w:r>
            <w:r w:rsidR="003F4D49">
              <w:rPr>
                <w:noProof/>
                <w:webHidden/>
              </w:rPr>
              <w:fldChar w:fldCharType="begin"/>
            </w:r>
            <w:r w:rsidR="003F4D49">
              <w:rPr>
                <w:noProof/>
                <w:webHidden/>
              </w:rPr>
              <w:instrText xml:space="preserve"> PAGEREF _Toc340825536 \h </w:instrText>
            </w:r>
            <w:r w:rsidR="003F4D49">
              <w:rPr>
                <w:noProof/>
                <w:webHidden/>
              </w:rPr>
            </w:r>
            <w:r w:rsidR="003F4D49">
              <w:rPr>
                <w:noProof/>
                <w:webHidden/>
              </w:rPr>
              <w:fldChar w:fldCharType="separate"/>
            </w:r>
            <w:r w:rsidR="003F4D49">
              <w:rPr>
                <w:noProof/>
                <w:webHidden/>
              </w:rPr>
              <w:t>8</w:t>
            </w:r>
            <w:r w:rsidR="003F4D49">
              <w:rPr>
                <w:noProof/>
                <w:webHidden/>
              </w:rPr>
              <w:fldChar w:fldCharType="end"/>
            </w:r>
          </w:hyperlink>
        </w:p>
        <w:p w:rsidR="003F4D49" w:rsidRDefault="00B97C44">
          <w:pPr>
            <w:pStyle w:val="TOC1"/>
            <w:rPr>
              <w:rFonts w:asciiTheme="minorHAnsi" w:eastAsiaTheme="minorEastAsia" w:hAnsiTheme="minorHAnsi" w:cstheme="minorBidi"/>
              <w:b w:val="0"/>
              <w:noProof/>
              <w:color w:val="auto"/>
              <w:szCs w:val="22"/>
            </w:rPr>
          </w:pPr>
          <w:hyperlink w:anchor="_Toc340825537" w:history="1">
            <w:r w:rsidR="003F4D49" w:rsidRPr="00D32FE4">
              <w:rPr>
                <w:rStyle w:val="Hyperlink"/>
                <w:rFonts w:eastAsiaTheme="majorEastAsia"/>
                <w:noProof/>
              </w:rPr>
              <w:t>More Information</w:t>
            </w:r>
            <w:r w:rsidR="003F4D49">
              <w:rPr>
                <w:noProof/>
                <w:webHidden/>
              </w:rPr>
              <w:tab/>
            </w:r>
            <w:r w:rsidR="003F4D49">
              <w:rPr>
                <w:noProof/>
                <w:webHidden/>
              </w:rPr>
              <w:fldChar w:fldCharType="begin"/>
            </w:r>
            <w:r w:rsidR="003F4D49">
              <w:rPr>
                <w:noProof/>
                <w:webHidden/>
              </w:rPr>
              <w:instrText xml:space="preserve"> PAGEREF _Toc340825537 \h </w:instrText>
            </w:r>
            <w:r w:rsidR="003F4D49">
              <w:rPr>
                <w:noProof/>
                <w:webHidden/>
              </w:rPr>
            </w:r>
            <w:r w:rsidR="003F4D49">
              <w:rPr>
                <w:noProof/>
                <w:webHidden/>
              </w:rPr>
              <w:fldChar w:fldCharType="separate"/>
            </w:r>
            <w:r w:rsidR="003F4D49">
              <w:rPr>
                <w:noProof/>
                <w:webHidden/>
              </w:rPr>
              <w:t>8</w:t>
            </w:r>
            <w:r w:rsidR="003F4D49">
              <w:rPr>
                <w:noProof/>
                <w:webHidden/>
              </w:rPr>
              <w:fldChar w:fldCharType="end"/>
            </w:r>
          </w:hyperlink>
        </w:p>
        <w:p w:rsidR="0097493D" w:rsidRDefault="00D76419">
          <w:r>
            <w:fldChar w:fldCharType="end"/>
          </w:r>
        </w:p>
      </w:sdtContent>
    </w:sdt>
    <w:p w:rsidR="004B1A2D" w:rsidRPr="00EF6DA1" w:rsidRDefault="004B1A2D" w:rsidP="004B1A2D">
      <w:pPr>
        <w:rPr>
          <w:rFonts w:ascii="Book Antiqua" w:hAnsi="Book Antiqua"/>
        </w:rPr>
      </w:pPr>
    </w:p>
    <w:p w:rsidR="007D372A" w:rsidRPr="00B840C6" w:rsidRDefault="004B1A2D" w:rsidP="00B840C6">
      <w:pPr>
        <w:pStyle w:val="Heading1"/>
        <w:rPr>
          <w:rFonts w:ascii="Book Antiqua" w:hAnsi="Book Antiqua"/>
          <w:b w:val="0"/>
        </w:rPr>
      </w:pPr>
      <w:r w:rsidRPr="00EF6DA1">
        <w:br w:type="page"/>
      </w:r>
    </w:p>
    <w:p w:rsidR="00217603" w:rsidRPr="005C2712" w:rsidRDefault="00217603" w:rsidP="00217603">
      <w:pPr>
        <w:pStyle w:val="Heading1"/>
        <w:rPr>
          <w:sz w:val="36"/>
          <w:szCs w:val="36"/>
        </w:rPr>
      </w:pPr>
      <w:bookmarkStart w:id="13" w:name="_Toc340825527"/>
      <w:bookmarkStart w:id="14" w:name="_Toc340825525"/>
      <w:r w:rsidRPr="005C2712">
        <w:rPr>
          <w:sz w:val="36"/>
          <w:szCs w:val="36"/>
        </w:rPr>
        <w:lastRenderedPageBreak/>
        <w:t>Report Summary</w:t>
      </w:r>
      <w:bookmarkEnd w:id="13"/>
    </w:p>
    <w:p w:rsidR="00217603" w:rsidRDefault="00217603" w:rsidP="00217603">
      <w:pPr>
        <w:pStyle w:val="NormalWeb"/>
        <w:spacing w:before="0" w:beforeAutospacing="0" w:after="200" w:afterAutospacing="0" w:line="240" w:lineRule="auto"/>
        <w:jc w:val="both"/>
        <w:rPr>
          <w:rFonts w:cs="Helvetica"/>
          <w:color w:val="000000" w:themeColor="text1"/>
          <w:szCs w:val="22"/>
        </w:rPr>
      </w:pPr>
      <w:r w:rsidRPr="00BF4B61">
        <w:rPr>
          <w:rFonts w:cs="Helvetica"/>
          <w:color w:val="000000" w:themeColor="text1"/>
          <w:szCs w:val="22"/>
        </w:rPr>
        <w:t xml:space="preserve">Recruitment activity </w:t>
      </w:r>
      <w:r>
        <w:rPr>
          <w:rFonts w:cs="Helvetica"/>
          <w:color w:val="000000" w:themeColor="text1"/>
          <w:szCs w:val="22"/>
        </w:rPr>
        <w:t xml:space="preserve">in the Sturt </w:t>
      </w:r>
      <w:r w:rsidRPr="005640B6">
        <w:rPr>
          <w:rFonts w:cs="Helvetica"/>
          <w:color w:val="000000" w:themeColor="text1"/>
          <w:szCs w:val="22"/>
        </w:rPr>
        <w:t xml:space="preserve">Employment Service Area (ESA) </w:t>
      </w:r>
      <w:r w:rsidRPr="00BF4B61">
        <w:rPr>
          <w:rFonts w:cs="Helvetica"/>
          <w:color w:val="000000" w:themeColor="text1"/>
          <w:szCs w:val="22"/>
        </w:rPr>
        <w:t xml:space="preserve">was subdued, with a lower proportion of employers recruiting in the </w:t>
      </w:r>
      <w:r>
        <w:rPr>
          <w:rFonts w:cs="Helvetica"/>
          <w:color w:val="000000" w:themeColor="text1"/>
          <w:szCs w:val="22"/>
        </w:rPr>
        <w:t>year before</w:t>
      </w:r>
      <w:r w:rsidRPr="00BF4B61">
        <w:rPr>
          <w:rFonts w:cs="Helvetica"/>
          <w:color w:val="000000" w:themeColor="text1"/>
          <w:szCs w:val="22"/>
        </w:rPr>
        <w:t xml:space="preserve"> the survey compared with all regions surveyed </w:t>
      </w:r>
      <w:r>
        <w:rPr>
          <w:rFonts w:cs="Helvetica"/>
          <w:color w:val="000000" w:themeColor="text1"/>
          <w:szCs w:val="22"/>
        </w:rPr>
        <w:t>in the 12 months to September 2012.</w:t>
      </w:r>
    </w:p>
    <w:p w:rsidR="00217603" w:rsidRPr="000A674D" w:rsidRDefault="00217603" w:rsidP="00217603">
      <w:pPr>
        <w:spacing w:after="200" w:line="240" w:lineRule="auto"/>
        <w:jc w:val="both"/>
        <w:rPr>
          <w:rFonts w:cs="Helvetica"/>
          <w:color w:val="000000" w:themeColor="text1"/>
          <w:szCs w:val="22"/>
        </w:rPr>
      </w:pPr>
      <w:r w:rsidRPr="00BF4B61">
        <w:rPr>
          <w:rFonts w:cs="Helvetica"/>
          <w:color w:val="000000" w:themeColor="text1"/>
          <w:szCs w:val="22"/>
        </w:rPr>
        <w:t>Demand for labour had weakened since the region was last surveyed</w:t>
      </w:r>
      <w:r>
        <w:rPr>
          <w:rFonts w:cs="Helvetica"/>
          <w:color w:val="000000" w:themeColor="text1"/>
          <w:szCs w:val="22"/>
        </w:rPr>
        <w:t xml:space="preserve"> in April 2011</w:t>
      </w:r>
      <w:r w:rsidRPr="00BF4B61">
        <w:rPr>
          <w:rFonts w:cs="Helvetica"/>
          <w:color w:val="000000" w:themeColor="text1"/>
          <w:szCs w:val="22"/>
        </w:rPr>
        <w:t>, with a low</w:t>
      </w:r>
      <w:r>
        <w:rPr>
          <w:rFonts w:cs="Helvetica"/>
          <w:color w:val="000000" w:themeColor="text1"/>
          <w:szCs w:val="22"/>
        </w:rPr>
        <w:t>er</w:t>
      </w:r>
      <w:r w:rsidRPr="00BF4B61">
        <w:rPr>
          <w:rFonts w:cs="Helvetica"/>
          <w:color w:val="000000" w:themeColor="text1"/>
          <w:szCs w:val="22"/>
        </w:rPr>
        <w:t xml:space="preserve"> proportion </w:t>
      </w:r>
      <w:r>
        <w:rPr>
          <w:rFonts w:cs="Helvetica"/>
          <w:color w:val="000000" w:themeColor="text1"/>
          <w:szCs w:val="22"/>
        </w:rPr>
        <w:t>of vacancies remaining unfilled</w:t>
      </w:r>
      <w:r w:rsidRPr="00BF4B61">
        <w:rPr>
          <w:rFonts w:cs="Helvetica"/>
          <w:color w:val="000000" w:themeColor="text1"/>
          <w:szCs w:val="22"/>
        </w:rPr>
        <w:t>.</w:t>
      </w:r>
      <w:r>
        <w:rPr>
          <w:rFonts w:cs="Helvetica"/>
          <w:color w:val="000000" w:themeColor="text1"/>
          <w:szCs w:val="22"/>
        </w:rPr>
        <w:t xml:space="preserve"> The supply of labour had also decreased, with fewer applicants per vacancy compared with the previous survey. </w:t>
      </w:r>
      <w:r>
        <w:rPr>
          <w:rFonts w:cstheme="minorHAnsi"/>
          <w:szCs w:val="22"/>
        </w:rPr>
        <w:t>E</w:t>
      </w:r>
      <w:r>
        <w:rPr>
          <w:rFonts w:cs="Helvetica"/>
          <w:color w:val="000000" w:themeColor="text1"/>
          <w:szCs w:val="22"/>
        </w:rPr>
        <w:t>mployers’ outlook was cautious with a low proportion expecting to recruit and a high proportion expecting challenges</w:t>
      </w:r>
      <w:r w:rsidR="00306342" w:rsidRPr="00306342">
        <w:rPr>
          <w:rFonts w:cs="Helvetica"/>
          <w:color w:val="000000" w:themeColor="text1"/>
          <w:szCs w:val="22"/>
        </w:rPr>
        <w:t xml:space="preserve"> </w:t>
      </w:r>
      <w:r w:rsidR="00306342">
        <w:rPr>
          <w:rFonts w:cs="Helvetica"/>
          <w:color w:val="000000" w:themeColor="text1"/>
          <w:szCs w:val="22"/>
        </w:rPr>
        <w:t>following the survey</w:t>
      </w:r>
      <w:r>
        <w:rPr>
          <w:rFonts w:cs="Helvetica"/>
          <w:color w:val="000000" w:themeColor="text1"/>
          <w:szCs w:val="22"/>
        </w:rPr>
        <w:t>.</w:t>
      </w:r>
    </w:p>
    <w:p w:rsidR="00EB4AFE" w:rsidRPr="00093D16" w:rsidRDefault="00887E9C" w:rsidP="00887E9C">
      <w:pPr>
        <w:pStyle w:val="Heading1"/>
        <w:rPr>
          <w:sz w:val="36"/>
          <w:szCs w:val="36"/>
        </w:rPr>
      </w:pPr>
      <w:r w:rsidRPr="00093D16">
        <w:rPr>
          <w:sz w:val="36"/>
          <w:szCs w:val="36"/>
        </w:rPr>
        <w:t>The Sturt Employment Service Area</w:t>
      </w:r>
      <w:bookmarkEnd w:id="14"/>
    </w:p>
    <w:p w:rsidR="00222483" w:rsidRDefault="00887E9C" w:rsidP="003F134A">
      <w:pPr>
        <w:pStyle w:val="NormalWeb"/>
        <w:numPr>
          <w:ilvl w:val="0"/>
          <w:numId w:val="6"/>
        </w:numPr>
        <w:spacing w:before="0" w:beforeAutospacing="0" w:after="200" w:afterAutospacing="0" w:line="240" w:lineRule="auto"/>
        <w:ind w:left="714" w:hanging="357"/>
        <w:jc w:val="both"/>
        <w:rPr>
          <w:rFonts w:cs="Helvetica"/>
          <w:color w:val="000000" w:themeColor="text1"/>
          <w:szCs w:val="22"/>
        </w:rPr>
      </w:pPr>
      <w:r w:rsidRPr="005640B6">
        <w:rPr>
          <w:rFonts w:cs="Helvetica"/>
          <w:color w:val="000000" w:themeColor="text1"/>
          <w:szCs w:val="22"/>
        </w:rPr>
        <w:t>The Sturt Employment Service Area (ESA) is located in Southern New South Wales and forms part of the Riverina agricultural region. It includes the Local Government Areas (</w:t>
      </w:r>
      <w:proofErr w:type="spellStart"/>
      <w:r w:rsidRPr="005640B6">
        <w:rPr>
          <w:rFonts w:cs="Helvetica"/>
          <w:color w:val="000000" w:themeColor="text1"/>
          <w:szCs w:val="22"/>
        </w:rPr>
        <w:t>LGAs</w:t>
      </w:r>
      <w:proofErr w:type="spellEnd"/>
      <w:r w:rsidRPr="005640B6">
        <w:rPr>
          <w:rFonts w:cs="Helvetica"/>
          <w:color w:val="000000" w:themeColor="text1"/>
          <w:szCs w:val="22"/>
        </w:rPr>
        <w:t xml:space="preserve">) of Berrigan, Carrathool, Conargo, Deniliquin, Griffith, Hay, Jerilderie, Leeton, Murrumbidgee, and Wakool. </w:t>
      </w:r>
    </w:p>
    <w:p w:rsidR="00887E9C" w:rsidRPr="00A771FF" w:rsidRDefault="00887E9C" w:rsidP="003F134A">
      <w:pPr>
        <w:pStyle w:val="NormalWeb"/>
        <w:numPr>
          <w:ilvl w:val="0"/>
          <w:numId w:val="6"/>
        </w:numPr>
        <w:spacing w:before="0" w:beforeAutospacing="0" w:after="200" w:afterAutospacing="0" w:line="240" w:lineRule="auto"/>
        <w:ind w:left="714" w:hanging="357"/>
        <w:jc w:val="both"/>
        <w:rPr>
          <w:rFonts w:cs="Helvetica"/>
          <w:color w:val="000000" w:themeColor="text1"/>
          <w:szCs w:val="22"/>
        </w:rPr>
      </w:pPr>
      <w:r w:rsidRPr="00A771FF">
        <w:rPr>
          <w:rFonts w:cs="Helvetica"/>
          <w:color w:val="000000" w:themeColor="text1"/>
          <w:szCs w:val="22"/>
        </w:rPr>
        <w:t xml:space="preserve">There are </w:t>
      </w:r>
      <w:r w:rsidR="00F27E42" w:rsidRPr="00A771FF">
        <w:rPr>
          <w:rFonts w:cs="Helvetica"/>
          <w:color w:val="000000" w:themeColor="text1"/>
          <w:szCs w:val="22"/>
        </w:rPr>
        <w:t>53,</w:t>
      </w:r>
      <w:r w:rsidRPr="00A771FF">
        <w:rPr>
          <w:rFonts w:cs="Helvetica"/>
          <w:color w:val="000000" w:themeColor="text1"/>
          <w:szCs w:val="22"/>
        </w:rPr>
        <w:t>436 people aged 15 or over in the region</w:t>
      </w:r>
      <w:r w:rsidR="005C2712">
        <w:rPr>
          <w:rFonts w:cs="Helvetica"/>
          <w:color w:val="000000" w:themeColor="text1"/>
          <w:szCs w:val="22"/>
        </w:rPr>
        <w:t xml:space="preserve"> the majority </w:t>
      </w:r>
      <w:r w:rsidRPr="00A771FF">
        <w:rPr>
          <w:rFonts w:cs="Helvetica"/>
          <w:color w:val="000000" w:themeColor="text1"/>
          <w:szCs w:val="22"/>
        </w:rPr>
        <w:t xml:space="preserve">of whom reside in the Griffith </w:t>
      </w:r>
      <w:proofErr w:type="spellStart"/>
      <w:r w:rsidRPr="00A771FF">
        <w:rPr>
          <w:rFonts w:cs="Helvetica"/>
          <w:color w:val="000000" w:themeColor="text1"/>
          <w:szCs w:val="22"/>
        </w:rPr>
        <w:t>LGA</w:t>
      </w:r>
      <w:proofErr w:type="spellEnd"/>
      <w:r w:rsidRPr="00A771FF">
        <w:rPr>
          <w:rFonts w:cs="Helvetica"/>
          <w:color w:val="000000" w:themeColor="text1"/>
          <w:szCs w:val="22"/>
        </w:rPr>
        <w:t>.</w:t>
      </w:r>
      <w:r w:rsidRPr="00C353F1">
        <w:rPr>
          <w:rFonts w:cs="Helvetica"/>
          <w:color w:val="000000" w:themeColor="text1"/>
          <w:sz w:val="20"/>
          <w:szCs w:val="20"/>
          <w:vertAlign w:val="superscript"/>
        </w:rPr>
        <w:footnoteReference w:id="1"/>
      </w:r>
      <w:r w:rsidR="00A771FF">
        <w:rPr>
          <w:rFonts w:cs="Helvetica"/>
          <w:color w:val="000000" w:themeColor="text1"/>
          <w:sz w:val="20"/>
          <w:szCs w:val="20"/>
          <w:vertAlign w:val="superscript"/>
        </w:rPr>
        <w:t xml:space="preserve"> </w:t>
      </w:r>
    </w:p>
    <w:p w:rsidR="00A771FF" w:rsidRPr="003A5750" w:rsidRDefault="00A771FF" w:rsidP="003F134A">
      <w:pPr>
        <w:pStyle w:val="NormalWeb"/>
        <w:numPr>
          <w:ilvl w:val="0"/>
          <w:numId w:val="6"/>
        </w:numPr>
        <w:spacing w:before="0" w:beforeAutospacing="0" w:after="200" w:afterAutospacing="0" w:line="240" w:lineRule="auto"/>
        <w:ind w:left="714" w:hanging="357"/>
        <w:jc w:val="both"/>
        <w:rPr>
          <w:rFonts w:cs="Helvetica"/>
          <w:color w:val="000000" w:themeColor="text1"/>
          <w:szCs w:val="22"/>
        </w:rPr>
      </w:pPr>
      <w:r w:rsidRPr="003A5750">
        <w:rPr>
          <w:rFonts w:cs="Helvetica"/>
          <w:color w:val="000000" w:themeColor="text1"/>
          <w:szCs w:val="22"/>
        </w:rPr>
        <w:t>T</w:t>
      </w:r>
      <w:r w:rsidR="00887E9C" w:rsidRPr="003A5750">
        <w:rPr>
          <w:rFonts w:cs="Helvetica"/>
          <w:color w:val="000000" w:themeColor="text1"/>
          <w:szCs w:val="22"/>
        </w:rPr>
        <w:t>he unemployment rate in the Sturt ESA was 5.8 per cent</w:t>
      </w:r>
      <w:r w:rsidRPr="003A5750">
        <w:rPr>
          <w:rFonts w:cs="Helvetica"/>
          <w:color w:val="000000" w:themeColor="text1"/>
          <w:szCs w:val="22"/>
        </w:rPr>
        <w:t xml:space="preserve"> in June 2012</w:t>
      </w:r>
      <w:r w:rsidR="00887E9C" w:rsidRPr="003A5750">
        <w:rPr>
          <w:rFonts w:cs="Helvetica"/>
          <w:color w:val="000000" w:themeColor="text1"/>
          <w:szCs w:val="22"/>
        </w:rPr>
        <w:t xml:space="preserve">, higher compared with </w:t>
      </w:r>
      <w:r w:rsidR="00217603">
        <w:rPr>
          <w:rFonts w:cs="Helvetica"/>
          <w:color w:val="000000" w:themeColor="text1"/>
          <w:szCs w:val="22"/>
        </w:rPr>
        <w:t xml:space="preserve">5.2 per cent for both </w:t>
      </w:r>
      <w:r w:rsidR="00887E9C" w:rsidRPr="003A5750">
        <w:rPr>
          <w:rFonts w:cs="Helvetica"/>
          <w:color w:val="000000" w:themeColor="text1"/>
          <w:szCs w:val="22"/>
        </w:rPr>
        <w:t>NSW and Australia.</w:t>
      </w:r>
      <w:r w:rsidR="003A5750">
        <w:rPr>
          <w:rFonts w:cs="Helvetica"/>
          <w:color w:val="000000" w:themeColor="text1"/>
          <w:szCs w:val="22"/>
        </w:rPr>
        <w:t xml:space="preserve"> </w:t>
      </w:r>
      <w:r w:rsidR="00A73F0B">
        <w:rPr>
          <w:rFonts w:cs="Helvetica"/>
          <w:color w:val="000000" w:themeColor="text1"/>
          <w:szCs w:val="22"/>
        </w:rPr>
        <w:t>T</w:t>
      </w:r>
      <w:r w:rsidR="00887E9C" w:rsidRPr="003A5750">
        <w:rPr>
          <w:rFonts w:cs="Helvetica"/>
          <w:color w:val="000000" w:themeColor="text1"/>
          <w:szCs w:val="22"/>
        </w:rPr>
        <w:t xml:space="preserve">he Leeton </w:t>
      </w:r>
      <w:r w:rsidR="00A73F0B">
        <w:rPr>
          <w:rFonts w:cs="Helvetica"/>
          <w:color w:val="000000" w:themeColor="text1"/>
          <w:szCs w:val="22"/>
        </w:rPr>
        <w:t xml:space="preserve">and </w:t>
      </w:r>
      <w:r w:rsidR="00887E9C" w:rsidRPr="003A5750">
        <w:rPr>
          <w:rFonts w:cs="Helvetica"/>
          <w:color w:val="000000" w:themeColor="text1"/>
          <w:szCs w:val="22"/>
        </w:rPr>
        <w:t xml:space="preserve">Berrigan </w:t>
      </w:r>
      <w:proofErr w:type="spellStart"/>
      <w:r w:rsidR="00887E9C" w:rsidRPr="003A5750">
        <w:rPr>
          <w:rFonts w:cs="Helvetica"/>
          <w:color w:val="000000" w:themeColor="text1"/>
          <w:szCs w:val="22"/>
        </w:rPr>
        <w:t>LGA</w:t>
      </w:r>
      <w:r w:rsidR="00A73F0B">
        <w:rPr>
          <w:rFonts w:cs="Helvetica"/>
          <w:color w:val="000000" w:themeColor="text1"/>
          <w:szCs w:val="22"/>
        </w:rPr>
        <w:t>s</w:t>
      </w:r>
      <w:proofErr w:type="spellEnd"/>
      <w:r w:rsidR="00A73F0B">
        <w:rPr>
          <w:rFonts w:cs="Helvetica"/>
          <w:color w:val="000000" w:themeColor="text1"/>
          <w:szCs w:val="22"/>
        </w:rPr>
        <w:t xml:space="preserve"> had </w:t>
      </w:r>
      <w:r w:rsidR="00DA28F4">
        <w:rPr>
          <w:rFonts w:cs="Helvetica"/>
          <w:color w:val="000000" w:themeColor="text1"/>
          <w:szCs w:val="22"/>
        </w:rPr>
        <w:t xml:space="preserve">the </w:t>
      </w:r>
      <w:r w:rsidR="00A73F0B">
        <w:rPr>
          <w:rFonts w:cs="Helvetica"/>
          <w:color w:val="000000" w:themeColor="text1"/>
          <w:szCs w:val="22"/>
        </w:rPr>
        <w:t>highe</w:t>
      </w:r>
      <w:r w:rsidR="00DA28F4">
        <w:rPr>
          <w:rFonts w:cs="Helvetica"/>
          <w:color w:val="000000" w:themeColor="text1"/>
          <w:szCs w:val="22"/>
        </w:rPr>
        <w:t>st unemployment</w:t>
      </w:r>
      <w:r w:rsidR="00A73F0B">
        <w:rPr>
          <w:rFonts w:cs="Helvetica"/>
          <w:color w:val="000000" w:themeColor="text1"/>
          <w:szCs w:val="22"/>
        </w:rPr>
        <w:t xml:space="preserve"> rates (7.0 per cent and 6.8 per cent</w:t>
      </w:r>
      <w:r w:rsidR="00217603">
        <w:rPr>
          <w:rFonts w:cs="Helvetica"/>
          <w:color w:val="000000" w:themeColor="text1"/>
          <w:szCs w:val="22"/>
        </w:rPr>
        <w:t xml:space="preserve"> respectively</w:t>
      </w:r>
      <w:r w:rsidR="00A73F0B">
        <w:rPr>
          <w:rFonts w:cs="Helvetica"/>
          <w:color w:val="000000" w:themeColor="text1"/>
          <w:szCs w:val="22"/>
        </w:rPr>
        <w:t>).</w:t>
      </w:r>
      <w:r w:rsidR="00CE28DF" w:rsidRPr="00CE28DF">
        <w:rPr>
          <w:rStyle w:val="FootnoteReference"/>
          <w:rFonts w:cs="Helvetica"/>
          <w:color w:val="000000" w:themeColor="text1"/>
          <w:szCs w:val="22"/>
        </w:rPr>
        <w:t xml:space="preserve"> </w:t>
      </w:r>
      <w:r w:rsidR="00CE28DF">
        <w:rPr>
          <w:rStyle w:val="FootnoteReference"/>
          <w:rFonts w:cs="Helvetica"/>
          <w:color w:val="000000" w:themeColor="text1"/>
          <w:szCs w:val="22"/>
        </w:rPr>
        <w:footnoteReference w:id="2"/>
      </w:r>
    </w:p>
    <w:p w:rsidR="00217603" w:rsidRPr="009F15D5" w:rsidRDefault="00217603" w:rsidP="00217603">
      <w:pPr>
        <w:pStyle w:val="NormalWeb"/>
        <w:numPr>
          <w:ilvl w:val="0"/>
          <w:numId w:val="6"/>
        </w:numPr>
        <w:spacing w:before="0" w:beforeAutospacing="0" w:after="200" w:afterAutospacing="0" w:line="240" w:lineRule="auto"/>
        <w:ind w:left="714" w:hanging="357"/>
        <w:jc w:val="both"/>
        <w:rPr>
          <w:rFonts w:cs="Helvetica"/>
          <w:color w:val="000000" w:themeColor="text1"/>
          <w:szCs w:val="22"/>
        </w:rPr>
      </w:pPr>
      <w:r w:rsidRPr="005640B6">
        <w:rPr>
          <w:rFonts w:cs="Helvetica"/>
          <w:color w:val="000000" w:themeColor="text1"/>
          <w:szCs w:val="22"/>
        </w:rPr>
        <w:t xml:space="preserve">The major employing industries in the Sturt ESA are Agriculture, Forestry and Fishing </w:t>
      </w:r>
      <w:r>
        <w:rPr>
          <w:rFonts w:cs="Helvetica"/>
          <w:color w:val="000000" w:themeColor="text1"/>
          <w:szCs w:val="22"/>
        </w:rPr>
        <w:br/>
        <w:t>(</w:t>
      </w:r>
      <w:r w:rsidRPr="005640B6">
        <w:rPr>
          <w:rFonts w:cs="Helvetica"/>
          <w:color w:val="000000" w:themeColor="text1"/>
          <w:szCs w:val="22"/>
        </w:rPr>
        <w:t>19 per cent of workers</w:t>
      </w:r>
      <w:r>
        <w:rPr>
          <w:rFonts w:cs="Helvetica"/>
          <w:color w:val="000000" w:themeColor="text1"/>
          <w:szCs w:val="22"/>
        </w:rPr>
        <w:t>) and</w:t>
      </w:r>
      <w:r w:rsidRPr="005640B6">
        <w:rPr>
          <w:rFonts w:cs="Helvetica"/>
          <w:color w:val="000000" w:themeColor="text1"/>
          <w:szCs w:val="22"/>
        </w:rPr>
        <w:t xml:space="preserve"> Manufacturing</w:t>
      </w:r>
      <w:r>
        <w:rPr>
          <w:rFonts w:cs="Helvetica"/>
          <w:color w:val="000000" w:themeColor="text1"/>
          <w:szCs w:val="22"/>
        </w:rPr>
        <w:t xml:space="preserve"> (13</w:t>
      </w:r>
      <w:r w:rsidRPr="005640B6">
        <w:rPr>
          <w:rFonts w:cs="Helvetica"/>
          <w:color w:val="000000" w:themeColor="text1"/>
          <w:szCs w:val="22"/>
        </w:rPr>
        <w:t xml:space="preserve"> per cent of workers</w:t>
      </w:r>
      <w:r>
        <w:rPr>
          <w:rFonts w:cs="Helvetica"/>
          <w:color w:val="000000" w:themeColor="text1"/>
          <w:szCs w:val="22"/>
        </w:rPr>
        <w:t>)</w:t>
      </w:r>
      <w:r w:rsidRPr="005640B6">
        <w:rPr>
          <w:rFonts w:cs="Helvetica"/>
          <w:color w:val="000000" w:themeColor="text1"/>
          <w:szCs w:val="22"/>
        </w:rPr>
        <w:t>.</w:t>
      </w:r>
      <w:r w:rsidRPr="00C353F1">
        <w:rPr>
          <w:rFonts w:cs="Helvetica"/>
          <w:color w:val="000000" w:themeColor="text1"/>
          <w:sz w:val="20"/>
          <w:szCs w:val="20"/>
          <w:vertAlign w:val="superscript"/>
        </w:rPr>
        <w:footnoteReference w:id="3"/>
      </w:r>
      <w:r w:rsidRPr="00C353F1">
        <w:rPr>
          <w:rFonts w:cs="Helvetica"/>
          <w:color w:val="000000" w:themeColor="text1"/>
          <w:sz w:val="20"/>
          <w:szCs w:val="20"/>
          <w:vertAlign w:val="superscript"/>
        </w:rPr>
        <w:t xml:space="preserve"> </w:t>
      </w:r>
    </w:p>
    <w:p w:rsidR="00887E9C" w:rsidRPr="00A771FF" w:rsidRDefault="00A73F0B" w:rsidP="003F134A">
      <w:pPr>
        <w:pStyle w:val="NormalWeb"/>
        <w:numPr>
          <w:ilvl w:val="0"/>
          <w:numId w:val="6"/>
        </w:numPr>
        <w:spacing w:before="0" w:beforeAutospacing="0" w:after="200" w:afterAutospacing="0" w:line="240" w:lineRule="auto"/>
        <w:ind w:left="714" w:hanging="357"/>
        <w:jc w:val="both"/>
        <w:rPr>
          <w:rFonts w:cs="Helvetica"/>
          <w:color w:val="000000" w:themeColor="text1"/>
          <w:szCs w:val="22"/>
        </w:rPr>
      </w:pPr>
      <w:r>
        <w:rPr>
          <w:rFonts w:cs="Helvetica"/>
          <w:color w:val="000000" w:themeColor="text1"/>
          <w:szCs w:val="22"/>
        </w:rPr>
        <w:t>T</w:t>
      </w:r>
      <w:r w:rsidR="00887E9C" w:rsidRPr="00A771FF">
        <w:rPr>
          <w:rFonts w:cs="Helvetica"/>
          <w:color w:val="000000" w:themeColor="text1"/>
          <w:szCs w:val="22"/>
        </w:rPr>
        <w:t>he proportion of 25 to 34 year olds who had completed Year 12 in the Sturt ESA</w:t>
      </w:r>
      <w:r>
        <w:rPr>
          <w:rFonts w:cs="Helvetica"/>
          <w:color w:val="000000" w:themeColor="text1"/>
          <w:szCs w:val="22"/>
        </w:rPr>
        <w:t xml:space="preserve">             </w:t>
      </w:r>
      <w:r w:rsidR="00887E9C" w:rsidRPr="00A771FF">
        <w:rPr>
          <w:rFonts w:cs="Helvetica"/>
          <w:color w:val="000000" w:themeColor="text1"/>
          <w:szCs w:val="22"/>
        </w:rPr>
        <w:t xml:space="preserve"> (56 per cent) </w:t>
      </w:r>
      <w:r>
        <w:rPr>
          <w:rFonts w:cs="Helvetica"/>
          <w:color w:val="000000" w:themeColor="text1"/>
          <w:szCs w:val="22"/>
        </w:rPr>
        <w:t>is</w:t>
      </w:r>
      <w:r w:rsidR="00887E9C" w:rsidRPr="00A771FF">
        <w:rPr>
          <w:rFonts w:cs="Helvetica"/>
          <w:color w:val="000000" w:themeColor="text1"/>
          <w:szCs w:val="22"/>
        </w:rPr>
        <w:t xml:space="preserve"> substantially lower</w:t>
      </w:r>
      <w:r w:rsidR="00472951" w:rsidRPr="00A771FF">
        <w:rPr>
          <w:rFonts w:cs="Helvetica"/>
          <w:color w:val="000000" w:themeColor="text1"/>
          <w:szCs w:val="22"/>
        </w:rPr>
        <w:t xml:space="preserve"> compared with New South Wales</w:t>
      </w:r>
      <w:r w:rsidR="00887E9C" w:rsidRPr="00A771FF">
        <w:rPr>
          <w:rFonts w:cs="Helvetica"/>
          <w:color w:val="000000" w:themeColor="text1"/>
          <w:szCs w:val="22"/>
        </w:rPr>
        <w:t xml:space="preserve"> and Australia (</w:t>
      </w:r>
      <w:r w:rsidR="00472951" w:rsidRPr="00A771FF">
        <w:rPr>
          <w:rFonts w:cs="Helvetica"/>
          <w:color w:val="000000" w:themeColor="text1"/>
          <w:szCs w:val="22"/>
        </w:rPr>
        <w:t xml:space="preserve">both </w:t>
      </w:r>
      <w:r w:rsidR="00887E9C" w:rsidRPr="00A771FF">
        <w:rPr>
          <w:rFonts w:cs="Helvetica"/>
          <w:color w:val="000000" w:themeColor="text1"/>
          <w:szCs w:val="22"/>
        </w:rPr>
        <w:t>75 per cent).</w:t>
      </w:r>
      <w:r w:rsidR="00887E9C" w:rsidRPr="00C353F1">
        <w:rPr>
          <w:rFonts w:cs="Helvetica"/>
          <w:color w:val="000000" w:themeColor="text1"/>
          <w:sz w:val="20"/>
          <w:szCs w:val="20"/>
          <w:vertAlign w:val="superscript"/>
        </w:rPr>
        <w:footnoteReference w:id="4"/>
      </w:r>
      <w:r w:rsidR="00887E9C" w:rsidRPr="00A771FF">
        <w:rPr>
          <w:rFonts w:cs="Helvetica"/>
          <w:color w:val="000000" w:themeColor="text1"/>
          <w:sz w:val="20"/>
          <w:szCs w:val="20"/>
          <w:vertAlign w:val="superscript"/>
        </w:rPr>
        <w:t xml:space="preserve"> </w:t>
      </w:r>
      <w:r w:rsidR="00887E9C" w:rsidRPr="00A771FF">
        <w:rPr>
          <w:rFonts w:cs="Helvetica"/>
          <w:color w:val="000000" w:themeColor="text1"/>
          <w:szCs w:val="22"/>
        </w:rPr>
        <w:t xml:space="preserve"> </w:t>
      </w:r>
    </w:p>
    <w:p w:rsidR="00B76D59" w:rsidRDefault="00B76D59" w:rsidP="00B76D59">
      <w:pPr>
        <w:pStyle w:val="ListParagraph"/>
        <w:numPr>
          <w:ilvl w:val="0"/>
          <w:numId w:val="6"/>
        </w:numPr>
        <w:spacing w:after="0" w:line="240" w:lineRule="auto"/>
        <w:jc w:val="both"/>
        <w:rPr>
          <w:rFonts w:ascii="Calibri" w:hAnsi="Calibri" w:cs="Calibri"/>
          <w:color w:val="auto"/>
          <w:sz w:val="22"/>
          <w:szCs w:val="22"/>
        </w:rPr>
      </w:pPr>
      <w:r>
        <w:rPr>
          <w:rFonts w:ascii="Calibri" w:hAnsi="Calibri" w:cs="Calibri"/>
          <w:color w:val="auto"/>
          <w:sz w:val="22"/>
          <w:szCs w:val="22"/>
        </w:rPr>
        <w:t>The average number of employees in businesses in the</w:t>
      </w:r>
      <w:r>
        <w:rPr>
          <w:rFonts w:ascii="Calibri" w:hAnsi="Calibri" w:cs="Calibri"/>
          <w:color w:val="000000"/>
          <w:sz w:val="22"/>
          <w:szCs w:val="22"/>
        </w:rPr>
        <w:t xml:space="preserve"> </w:t>
      </w:r>
      <w:proofErr w:type="spellStart"/>
      <w:r>
        <w:rPr>
          <w:rFonts w:ascii="Calibri" w:hAnsi="Calibri" w:cs="Calibri"/>
          <w:color w:val="000000"/>
          <w:sz w:val="22"/>
          <w:szCs w:val="22"/>
        </w:rPr>
        <w:t>ESA</w:t>
      </w:r>
      <w:proofErr w:type="spellEnd"/>
      <w:r>
        <w:rPr>
          <w:rFonts w:ascii="Calibri" w:hAnsi="Calibri" w:cs="Calibri"/>
          <w:color w:val="auto"/>
          <w:sz w:val="22"/>
          <w:szCs w:val="22"/>
        </w:rPr>
        <w:t xml:space="preserve"> (12) was low compared with all regions surveyed to September 2012 (24).</w:t>
      </w:r>
    </w:p>
    <w:p w:rsidR="004B1A2D" w:rsidRPr="00093D16" w:rsidRDefault="00887E9C" w:rsidP="00887E9C">
      <w:pPr>
        <w:pStyle w:val="Heading1"/>
        <w:rPr>
          <w:sz w:val="36"/>
          <w:szCs w:val="36"/>
        </w:rPr>
      </w:pPr>
      <w:bookmarkStart w:id="15" w:name="_Toc340825526"/>
      <w:r w:rsidRPr="00093D16">
        <w:rPr>
          <w:sz w:val="36"/>
          <w:szCs w:val="36"/>
        </w:rPr>
        <w:t>Survey of Employers’ Recruitment Experiences</w:t>
      </w:r>
      <w:bookmarkEnd w:id="15"/>
    </w:p>
    <w:p w:rsidR="00887E9C" w:rsidRPr="00A7651B" w:rsidRDefault="00BF4B61" w:rsidP="003F134A">
      <w:pPr>
        <w:spacing w:before="0" w:after="0" w:line="240" w:lineRule="auto"/>
        <w:jc w:val="both"/>
      </w:pPr>
      <w:r>
        <w:rPr>
          <w:rFonts w:cstheme="minorHAnsi"/>
        </w:rPr>
        <w:t>The d</w:t>
      </w:r>
      <w:r w:rsidR="00887E9C" w:rsidRPr="00A7651B">
        <w:rPr>
          <w:rFonts w:cstheme="minorHAnsi"/>
        </w:rPr>
        <w:t xml:space="preserve">epartment conducted a </w:t>
      </w:r>
      <w:r w:rsidR="00887E9C" w:rsidRPr="00A7651B">
        <w:rPr>
          <w:rFonts w:cstheme="minorHAnsi"/>
          <w:i/>
        </w:rPr>
        <w:t>Survey of Employers’ Recruitment Experiences</w:t>
      </w:r>
      <w:r w:rsidR="00887E9C" w:rsidRPr="00A7651B">
        <w:rPr>
          <w:rFonts w:cstheme="minorHAnsi"/>
        </w:rPr>
        <w:t xml:space="preserve"> in the Sturt </w:t>
      </w:r>
      <w:r w:rsidRPr="005640B6">
        <w:rPr>
          <w:rFonts w:cs="Helvetica"/>
          <w:color w:val="000000" w:themeColor="text1"/>
          <w:szCs w:val="22"/>
        </w:rPr>
        <w:t>Employment Service Area (ESA)</w:t>
      </w:r>
      <w:r>
        <w:rPr>
          <w:rFonts w:cs="Helvetica"/>
          <w:color w:val="000000" w:themeColor="text1"/>
          <w:szCs w:val="22"/>
        </w:rPr>
        <w:t>, New South Wales</w:t>
      </w:r>
      <w:r w:rsidR="00927C00">
        <w:rPr>
          <w:rFonts w:cs="Helvetica"/>
          <w:color w:val="000000" w:themeColor="text1"/>
          <w:szCs w:val="22"/>
        </w:rPr>
        <w:t>,</w:t>
      </w:r>
      <w:r w:rsidRPr="005640B6">
        <w:rPr>
          <w:rFonts w:cs="Helvetica"/>
          <w:color w:val="000000" w:themeColor="text1"/>
          <w:szCs w:val="22"/>
        </w:rPr>
        <w:t xml:space="preserve"> </w:t>
      </w:r>
      <w:r w:rsidR="00887E9C" w:rsidRPr="00A7651B">
        <w:rPr>
          <w:rFonts w:cstheme="minorHAnsi"/>
        </w:rPr>
        <w:t xml:space="preserve">in August 2012. In total, 326 employers were surveyed, of whom 170 had recruited in the previous 12 months. </w:t>
      </w:r>
      <w:r w:rsidR="00887E9C" w:rsidRPr="00A7651B">
        <w:t>The Sturt ESA was pr</w:t>
      </w:r>
      <w:r w:rsidR="00887E9C">
        <w:t>eviously surveyed in April 2011.</w:t>
      </w:r>
    </w:p>
    <w:p w:rsidR="00887E9C" w:rsidRPr="00A73F0B" w:rsidRDefault="00887E9C" w:rsidP="00887E9C">
      <w:pPr>
        <w:pStyle w:val="Heading1"/>
        <w:rPr>
          <w:sz w:val="36"/>
          <w:szCs w:val="36"/>
        </w:rPr>
      </w:pPr>
      <w:bookmarkStart w:id="16" w:name="_Toc340825528"/>
      <w:r w:rsidRPr="00A73F0B">
        <w:rPr>
          <w:sz w:val="36"/>
          <w:szCs w:val="36"/>
        </w:rPr>
        <w:lastRenderedPageBreak/>
        <w:t>Recruitment Experiences</w:t>
      </w:r>
      <w:bookmarkEnd w:id="16"/>
      <w:r w:rsidRPr="00A73F0B">
        <w:rPr>
          <w:sz w:val="36"/>
          <w:szCs w:val="36"/>
        </w:rPr>
        <w:t xml:space="preserve"> </w:t>
      </w:r>
    </w:p>
    <w:p w:rsidR="00971F92" w:rsidRPr="00971F92" w:rsidRDefault="00C51346" w:rsidP="003F134A">
      <w:pPr>
        <w:pStyle w:val="NormalWeb"/>
        <w:numPr>
          <w:ilvl w:val="0"/>
          <w:numId w:val="6"/>
        </w:numPr>
        <w:spacing w:before="0" w:beforeAutospacing="0" w:after="200" w:afterAutospacing="0" w:line="240" w:lineRule="auto"/>
        <w:ind w:left="714" w:hanging="357"/>
        <w:jc w:val="both"/>
        <w:rPr>
          <w:rFonts w:cs="Helvetica"/>
          <w:color w:val="000000" w:themeColor="text1"/>
          <w:szCs w:val="22"/>
        </w:rPr>
      </w:pPr>
      <w:r>
        <w:rPr>
          <w:rFonts w:cs="Helvetica"/>
          <w:color w:val="000000" w:themeColor="text1"/>
          <w:szCs w:val="22"/>
        </w:rPr>
        <w:t xml:space="preserve">Around half of the employers surveyed </w:t>
      </w:r>
      <w:r w:rsidR="00887E9C" w:rsidRPr="00971F92">
        <w:rPr>
          <w:rFonts w:cs="Helvetica"/>
          <w:color w:val="000000" w:themeColor="text1"/>
          <w:szCs w:val="22"/>
        </w:rPr>
        <w:t xml:space="preserve">had recruited in the </w:t>
      </w:r>
      <w:r>
        <w:rPr>
          <w:rFonts w:cs="Helvetica"/>
          <w:color w:val="000000" w:themeColor="text1"/>
          <w:szCs w:val="22"/>
        </w:rPr>
        <w:t>year before</w:t>
      </w:r>
      <w:r w:rsidR="00887E9C" w:rsidRPr="00971F92">
        <w:rPr>
          <w:rFonts w:cs="Helvetica"/>
          <w:color w:val="000000" w:themeColor="text1"/>
          <w:szCs w:val="22"/>
        </w:rPr>
        <w:t xml:space="preserve"> the survey</w:t>
      </w:r>
      <w:r w:rsidR="00A75B74">
        <w:rPr>
          <w:rFonts w:cs="Helvetica"/>
          <w:color w:val="000000" w:themeColor="text1"/>
          <w:szCs w:val="22"/>
        </w:rPr>
        <w:t>,</w:t>
      </w:r>
      <w:r w:rsidR="00A75B74" w:rsidRPr="00971F92">
        <w:rPr>
          <w:rFonts w:cs="Helvetica"/>
          <w:color w:val="000000" w:themeColor="text1"/>
          <w:szCs w:val="22"/>
        </w:rPr>
        <w:t xml:space="preserve"> substantially</w:t>
      </w:r>
      <w:r w:rsidR="00887E9C" w:rsidRPr="00971F92">
        <w:rPr>
          <w:rFonts w:cs="Helvetica"/>
          <w:color w:val="000000" w:themeColor="text1"/>
          <w:szCs w:val="22"/>
        </w:rPr>
        <w:t xml:space="preserve"> lower compared with all regions surveyed in the 12 months to September 2012 (63 per cent).</w:t>
      </w:r>
    </w:p>
    <w:p w:rsidR="00971F92" w:rsidRPr="00971F92" w:rsidRDefault="00887E9C" w:rsidP="003F134A">
      <w:pPr>
        <w:pStyle w:val="NormalWeb"/>
        <w:numPr>
          <w:ilvl w:val="0"/>
          <w:numId w:val="6"/>
        </w:numPr>
        <w:spacing w:before="0" w:beforeAutospacing="0" w:after="200" w:afterAutospacing="0" w:line="240" w:lineRule="auto"/>
        <w:ind w:left="714" w:hanging="357"/>
        <w:jc w:val="both"/>
        <w:rPr>
          <w:rFonts w:cs="Helvetica"/>
          <w:color w:val="000000" w:themeColor="text1"/>
          <w:szCs w:val="22"/>
        </w:rPr>
      </w:pPr>
      <w:r w:rsidRPr="00971F92">
        <w:rPr>
          <w:rFonts w:cs="Helvetica"/>
          <w:color w:val="000000" w:themeColor="text1"/>
          <w:szCs w:val="22"/>
        </w:rPr>
        <w:t>The proportion of vacancies remain</w:t>
      </w:r>
      <w:r w:rsidR="00E378AE" w:rsidRPr="00971F92">
        <w:rPr>
          <w:rFonts w:cs="Helvetica"/>
          <w:color w:val="000000" w:themeColor="text1"/>
          <w:szCs w:val="22"/>
        </w:rPr>
        <w:t>ing unfilled (5.3 per cent) was</w:t>
      </w:r>
      <w:r w:rsidRPr="00971F92">
        <w:rPr>
          <w:rFonts w:cs="Helvetica"/>
          <w:color w:val="000000" w:themeColor="text1"/>
          <w:szCs w:val="22"/>
        </w:rPr>
        <w:t xml:space="preserve"> lower compared with </w:t>
      </w:r>
      <w:r w:rsidR="00157494">
        <w:rPr>
          <w:rFonts w:cs="Helvetica"/>
          <w:color w:val="000000" w:themeColor="text1"/>
          <w:szCs w:val="22"/>
        </w:rPr>
        <w:t>7.1 per cent</w:t>
      </w:r>
      <w:r w:rsidR="00157494" w:rsidRPr="00971F92">
        <w:rPr>
          <w:rFonts w:cs="Helvetica"/>
          <w:color w:val="000000" w:themeColor="text1"/>
          <w:szCs w:val="22"/>
        </w:rPr>
        <w:t xml:space="preserve"> </w:t>
      </w:r>
      <w:r w:rsidR="00157494">
        <w:rPr>
          <w:rFonts w:cs="Helvetica"/>
          <w:color w:val="000000" w:themeColor="text1"/>
          <w:szCs w:val="22"/>
        </w:rPr>
        <w:t xml:space="preserve">in </w:t>
      </w:r>
      <w:r w:rsidRPr="00971F92">
        <w:rPr>
          <w:rFonts w:cs="Helvetica"/>
          <w:color w:val="000000" w:themeColor="text1"/>
          <w:szCs w:val="22"/>
        </w:rPr>
        <w:t>the pre</w:t>
      </w:r>
      <w:r w:rsidR="00396004">
        <w:rPr>
          <w:rFonts w:cs="Helvetica"/>
          <w:color w:val="000000" w:themeColor="text1"/>
          <w:szCs w:val="22"/>
        </w:rPr>
        <w:t>vious survey</w:t>
      </w:r>
      <w:r w:rsidR="00157494">
        <w:rPr>
          <w:rFonts w:cs="Helvetica"/>
          <w:color w:val="000000" w:themeColor="text1"/>
          <w:szCs w:val="22"/>
        </w:rPr>
        <w:t>.</w:t>
      </w:r>
    </w:p>
    <w:p w:rsidR="00D347DF" w:rsidRPr="00714603" w:rsidRDefault="00D347DF" w:rsidP="00D347DF">
      <w:pPr>
        <w:pStyle w:val="Heading2"/>
        <w:rPr>
          <w:b w:val="0"/>
          <w:sz w:val="28"/>
          <w:szCs w:val="28"/>
        </w:rPr>
      </w:pPr>
      <w:bookmarkStart w:id="17" w:name="_Toc339462200"/>
      <w:bookmarkStart w:id="18" w:name="_Toc340824725"/>
      <w:bookmarkStart w:id="19" w:name="_Toc340825529"/>
      <w:r w:rsidRPr="00714603">
        <w:rPr>
          <w:b w:val="0"/>
          <w:sz w:val="28"/>
          <w:szCs w:val="28"/>
        </w:rPr>
        <w:t xml:space="preserve">Table 1: </w:t>
      </w:r>
      <w:r w:rsidRPr="00714603">
        <w:rPr>
          <w:rFonts w:cstheme="minorHAnsi"/>
          <w:b w:val="0"/>
          <w:sz w:val="28"/>
          <w:szCs w:val="28"/>
        </w:rPr>
        <w:t>Recruitment experiences in the 12 months preceding the survey</w:t>
      </w:r>
      <w:bookmarkEnd w:id="17"/>
      <w:bookmarkEnd w:id="18"/>
      <w:bookmarkEnd w:id="19"/>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261"/>
        <w:gridCol w:w="1604"/>
        <w:gridCol w:w="1420"/>
        <w:gridCol w:w="2237"/>
      </w:tblGrid>
      <w:tr w:rsidR="00D347DF" w:rsidRPr="00EF6DA1" w:rsidTr="00CF7673">
        <w:trPr>
          <w:cantSplit/>
          <w:trHeight w:val="875"/>
          <w:tblHeader/>
        </w:trPr>
        <w:tc>
          <w:tcPr>
            <w:tcW w:w="3510" w:type="dxa"/>
            <w:tcBorders>
              <w:bottom w:val="single" w:sz="4" w:space="0" w:color="A6A6A6"/>
            </w:tcBorders>
            <w:shd w:val="clear" w:color="auto" w:fill="165788"/>
          </w:tcPr>
          <w:p w:rsidR="00D347DF" w:rsidRPr="00EF6DA1" w:rsidRDefault="00D347DF" w:rsidP="00D347DF">
            <w:pPr>
              <w:pStyle w:val="TableHeading"/>
              <w:jc w:val="center"/>
            </w:pPr>
            <w:r>
              <w:t>Key Indicators</w:t>
            </w:r>
          </w:p>
        </w:tc>
        <w:tc>
          <w:tcPr>
            <w:tcW w:w="1709" w:type="dxa"/>
            <w:tcBorders>
              <w:bottom w:val="single" w:sz="4" w:space="0" w:color="A6A6A6"/>
            </w:tcBorders>
            <w:shd w:val="clear" w:color="auto" w:fill="165788"/>
          </w:tcPr>
          <w:p w:rsidR="00D347DF" w:rsidRPr="00EF6DA1" w:rsidRDefault="00D347DF" w:rsidP="00D347DF">
            <w:pPr>
              <w:pStyle w:val="TableHeading"/>
              <w:jc w:val="center"/>
            </w:pPr>
            <w:r>
              <w:t>Sturt ESA August 2012</w:t>
            </w:r>
          </w:p>
        </w:tc>
        <w:tc>
          <w:tcPr>
            <w:tcW w:w="1525" w:type="dxa"/>
            <w:shd w:val="clear" w:color="auto" w:fill="165788"/>
          </w:tcPr>
          <w:p w:rsidR="00D347DF" w:rsidRPr="00EF6DA1" w:rsidRDefault="00D347DF" w:rsidP="00D347DF">
            <w:pPr>
              <w:pStyle w:val="TableHeading"/>
              <w:jc w:val="center"/>
            </w:pPr>
            <w:r w:rsidRPr="00D347DF">
              <w:rPr>
                <w:lang w:bidi="en-US"/>
              </w:rPr>
              <w:t>Sturt ESA</w:t>
            </w:r>
            <w:r>
              <w:rPr>
                <w:lang w:bidi="en-US"/>
              </w:rPr>
              <w:t xml:space="preserve"> </w:t>
            </w:r>
            <w:r w:rsidRPr="00D347DF">
              <w:rPr>
                <w:lang w:bidi="en-US"/>
              </w:rPr>
              <w:t>April 2011</w:t>
            </w:r>
          </w:p>
        </w:tc>
        <w:tc>
          <w:tcPr>
            <w:tcW w:w="2380" w:type="dxa"/>
            <w:shd w:val="clear" w:color="auto" w:fill="165788"/>
          </w:tcPr>
          <w:p w:rsidR="00D347DF" w:rsidRDefault="00D347DF" w:rsidP="00D347DF">
            <w:pPr>
              <w:pStyle w:val="TableHeading"/>
              <w:spacing w:after="0" w:afterAutospacing="0"/>
              <w:jc w:val="center"/>
              <w:rPr>
                <w:lang w:bidi="en-US"/>
              </w:rPr>
            </w:pPr>
            <w:r w:rsidRPr="00D347DF">
              <w:rPr>
                <w:lang w:bidi="en-US"/>
              </w:rPr>
              <w:t>All Regions Surveyed</w:t>
            </w:r>
          </w:p>
          <w:p w:rsidR="00D347DF" w:rsidRPr="00EF6DA1" w:rsidRDefault="00D347DF" w:rsidP="00D347DF">
            <w:pPr>
              <w:pStyle w:val="TableHeading"/>
              <w:spacing w:before="0" w:beforeAutospacing="0" w:after="0" w:afterAutospacing="0"/>
              <w:jc w:val="center"/>
              <w:rPr>
                <w:lang w:bidi="en-US"/>
              </w:rPr>
            </w:pPr>
            <w:r w:rsidRPr="00D347DF">
              <w:rPr>
                <w:lang w:bidi="en-US"/>
              </w:rPr>
              <w:t>12 Months to September 2012</w:t>
            </w:r>
          </w:p>
        </w:tc>
      </w:tr>
      <w:tr w:rsidR="00D347DF" w:rsidRPr="00EF6DA1" w:rsidTr="00CF7673">
        <w:trPr>
          <w:trHeight w:val="536"/>
        </w:trPr>
        <w:tc>
          <w:tcPr>
            <w:tcW w:w="3510" w:type="dxa"/>
            <w:tcBorders>
              <w:bottom w:val="single" w:sz="4" w:space="0" w:color="A6A6A6"/>
            </w:tcBorders>
            <w:shd w:val="clear" w:color="auto" w:fill="auto"/>
            <w:vAlign w:val="center"/>
          </w:tcPr>
          <w:p w:rsidR="00D347DF" w:rsidRPr="007100AF" w:rsidRDefault="00D07122" w:rsidP="00D07122">
            <w:pPr>
              <w:keepNext/>
              <w:spacing w:before="0" w:after="0" w:line="276" w:lineRule="auto"/>
              <w:contextualSpacing/>
              <w:rPr>
                <w:rFonts w:cstheme="minorHAnsi"/>
                <w:b/>
              </w:rPr>
            </w:pPr>
            <w:r>
              <w:rPr>
                <w:rFonts w:cstheme="minorHAnsi"/>
                <w:b/>
              </w:rPr>
              <w:t>E</w:t>
            </w:r>
            <w:r w:rsidR="00D347DF" w:rsidRPr="007100AF">
              <w:rPr>
                <w:rFonts w:cstheme="minorHAnsi"/>
                <w:b/>
              </w:rPr>
              <w:t>mployers who recruited</w:t>
            </w:r>
          </w:p>
        </w:tc>
        <w:tc>
          <w:tcPr>
            <w:tcW w:w="1709" w:type="dxa"/>
            <w:tcBorders>
              <w:bottom w:val="single" w:sz="4" w:space="0" w:color="A6A6A6"/>
            </w:tcBorders>
            <w:shd w:val="clear" w:color="auto" w:fill="auto"/>
            <w:vAlign w:val="center"/>
          </w:tcPr>
          <w:p w:rsidR="00D347DF" w:rsidRPr="007100AF" w:rsidRDefault="00D347DF" w:rsidP="00C353F1">
            <w:pPr>
              <w:keepNext/>
              <w:spacing w:before="0" w:after="0" w:line="276" w:lineRule="auto"/>
              <w:contextualSpacing/>
              <w:jc w:val="center"/>
              <w:rPr>
                <w:rFonts w:cstheme="minorHAnsi"/>
              </w:rPr>
            </w:pPr>
            <w:r>
              <w:rPr>
                <w:rFonts w:cstheme="minorHAnsi"/>
              </w:rPr>
              <w:t>52%</w:t>
            </w:r>
          </w:p>
        </w:tc>
        <w:tc>
          <w:tcPr>
            <w:tcW w:w="1525" w:type="dxa"/>
            <w:shd w:val="clear" w:color="auto" w:fill="auto"/>
            <w:vAlign w:val="center"/>
          </w:tcPr>
          <w:p w:rsidR="00D347DF" w:rsidRPr="007100AF" w:rsidRDefault="00D347DF" w:rsidP="00C353F1">
            <w:pPr>
              <w:keepNext/>
              <w:spacing w:before="0" w:after="0" w:line="276" w:lineRule="auto"/>
              <w:contextualSpacing/>
              <w:jc w:val="center"/>
              <w:rPr>
                <w:rFonts w:cstheme="minorHAnsi"/>
              </w:rPr>
            </w:pPr>
            <w:r>
              <w:rPr>
                <w:rFonts w:cstheme="minorHAnsi"/>
              </w:rPr>
              <w:t>61%</w:t>
            </w:r>
          </w:p>
        </w:tc>
        <w:tc>
          <w:tcPr>
            <w:tcW w:w="2380" w:type="dxa"/>
            <w:vAlign w:val="center"/>
          </w:tcPr>
          <w:p w:rsidR="00D347DF" w:rsidRPr="007100AF" w:rsidRDefault="00D347DF" w:rsidP="00C353F1">
            <w:pPr>
              <w:keepNext/>
              <w:spacing w:before="0" w:after="0" w:line="276" w:lineRule="auto"/>
              <w:contextualSpacing/>
              <w:jc w:val="center"/>
              <w:rPr>
                <w:rFonts w:cstheme="minorHAnsi"/>
              </w:rPr>
            </w:pPr>
            <w:r>
              <w:rPr>
                <w:rFonts w:cstheme="minorHAnsi"/>
              </w:rPr>
              <w:t>63%</w:t>
            </w:r>
          </w:p>
        </w:tc>
      </w:tr>
      <w:tr w:rsidR="00D347DF" w:rsidRPr="00EF6DA1" w:rsidTr="00CF7673">
        <w:trPr>
          <w:trHeight w:val="475"/>
        </w:trPr>
        <w:tc>
          <w:tcPr>
            <w:tcW w:w="3510" w:type="dxa"/>
            <w:tcBorders>
              <w:top w:val="single" w:sz="4" w:space="0" w:color="A6A6A6"/>
            </w:tcBorders>
            <w:shd w:val="clear" w:color="auto" w:fill="auto"/>
            <w:vAlign w:val="center"/>
          </w:tcPr>
          <w:p w:rsidR="00D347DF" w:rsidRPr="00D347DF" w:rsidRDefault="00D347DF" w:rsidP="00C353F1">
            <w:pPr>
              <w:pStyle w:val="ListParagraph"/>
              <w:keepNext/>
              <w:numPr>
                <w:ilvl w:val="0"/>
                <w:numId w:val="7"/>
              </w:numPr>
              <w:spacing w:after="0" w:line="276" w:lineRule="auto"/>
              <w:jc w:val="both"/>
              <w:rPr>
                <w:rFonts w:asciiTheme="minorHAnsi" w:hAnsiTheme="minorHAnsi" w:cstheme="minorHAnsi"/>
                <w:b/>
                <w:sz w:val="22"/>
                <w:szCs w:val="22"/>
              </w:rPr>
            </w:pPr>
            <w:r w:rsidRPr="00D347DF">
              <w:rPr>
                <w:rFonts w:asciiTheme="minorHAnsi" w:hAnsiTheme="minorHAnsi" w:cstheme="minorHAnsi"/>
                <w:b/>
                <w:sz w:val="22"/>
                <w:szCs w:val="22"/>
              </w:rPr>
              <w:t>to increase staff</w:t>
            </w:r>
          </w:p>
        </w:tc>
        <w:tc>
          <w:tcPr>
            <w:tcW w:w="1709" w:type="dxa"/>
            <w:tcBorders>
              <w:top w:val="single" w:sz="4" w:space="0" w:color="A6A6A6"/>
            </w:tcBorders>
            <w:shd w:val="clear" w:color="auto" w:fill="auto"/>
            <w:vAlign w:val="center"/>
          </w:tcPr>
          <w:p w:rsidR="00D347DF" w:rsidRPr="007100AF" w:rsidRDefault="00D347DF" w:rsidP="00C353F1">
            <w:pPr>
              <w:keepNext/>
              <w:spacing w:before="0" w:after="0" w:line="276" w:lineRule="auto"/>
              <w:contextualSpacing/>
              <w:jc w:val="center"/>
              <w:rPr>
                <w:rFonts w:cstheme="minorHAnsi"/>
              </w:rPr>
            </w:pPr>
            <w:r>
              <w:rPr>
                <w:rFonts w:cstheme="minorHAnsi"/>
              </w:rPr>
              <w:t>48%</w:t>
            </w:r>
          </w:p>
        </w:tc>
        <w:tc>
          <w:tcPr>
            <w:tcW w:w="1525" w:type="dxa"/>
            <w:shd w:val="clear" w:color="auto" w:fill="auto"/>
            <w:vAlign w:val="center"/>
          </w:tcPr>
          <w:p w:rsidR="00D347DF" w:rsidRPr="007100AF" w:rsidRDefault="00D347DF" w:rsidP="00C353F1">
            <w:pPr>
              <w:keepNext/>
              <w:spacing w:before="0" w:after="0" w:line="276" w:lineRule="auto"/>
              <w:contextualSpacing/>
              <w:jc w:val="center"/>
              <w:rPr>
                <w:rFonts w:cstheme="minorHAnsi"/>
              </w:rPr>
            </w:pPr>
            <w:r>
              <w:rPr>
                <w:rFonts w:cstheme="minorHAnsi"/>
              </w:rPr>
              <w:t>47%</w:t>
            </w:r>
          </w:p>
        </w:tc>
        <w:tc>
          <w:tcPr>
            <w:tcW w:w="2380" w:type="dxa"/>
            <w:vAlign w:val="center"/>
          </w:tcPr>
          <w:p w:rsidR="00D347DF" w:rsidRPr="007100AF" w:rsidRDefault="00D347DF" w:rsidP="00C353F1">
            <w:pPr>
              <w:keepNext/>
              <w:spacing w:before="0" w:after="0" w:line="276" w:lineRule="auto"/>
              <w:contextualSpacing/>
              <w:jc w:val="center"/>
              <w:rPr>
                <w:rFonts w:cstheme="minorHAnsi"/>
              </w:rPr>
            </w:pPr>
            <w:r>
              <w:rPr>
                <w:rFonts w:cstheme="minorHAnsi"/>
              </w:rPr>
              <w:t>46%</w:t>
            </w:r>
          </w:p>
        </w:tc>
      </w:tr>
      <w:tr w:rsidR="00D347DF" w:rsidRPr="00EF6DA1" w:rsidTr="00CF7673">
        <w:trPr>
          <w:trHeight w:val="482"/>
        </w:trPr>
        <w:tc>
          <w:tcPr>
            <w:tcW w:w="3510" w:type="dxa"/>
            <w:shd w:val="clear" w:color="auto" w:fill="auto"/>
            <w:vAlign w:val="center"/>
          </w:tcPr>
          <w:p w:rsidR="00D347DF" w:rsidRPr="00D347DF" w:rsidRDefault="00D347DF" w:rsidP="00C353F1">
            <w:pPr>
              <w:pStyle w:val="ListParagraph"/>
              <w:keepNext/>
              <w:numPr>
                <w:ilvl w:val="0"/>
                <w:numId w:val="7"/>
              </w:numPr>
              <w:spacing w:after="0" w:line="276" w:lineRule="auto"/>
              <w:jc w:val="both"/>
              <w:rPr>
                <w:rFonts w:asciiTheme="minorHAnsi" w:hAnsiTheme="minorHAnsi" w:cstheme="minorHAnsi"/>
                <w:b/>
                <w:sz w:val="22"/>
                <w:szCs w:val="22"/>
              </w:rPr>
            </w:pPr>
            <w:r w:rsidRPr="00D347DF">
              <w:rPr>
                <w:rFonts w:asciiTheme="minorHAnsi" w:hAnsiTheme="minorHAnsi" w:cstheme="minorHAnsi"/>
                <w:b/>
                <w:sz w:val="22"/>
                <w:szCs w:val="22"/>
              </w:rPr>
              <w:t>to replace staff</w:t>
            </w:r>
          </w:p>
        </w:tc>
        <w:tc>
          <w:tcPr>
            <w:tcW w:w="1709" w:type="dxa"/>
            <w:shd w:val="clear" w:color="auto" w:fill="auto"/>
            <w:vAlign w:val="center"/>
          </w:tcPr>
          <w:p w:rsidR="00C353F1" w:rsidRPr="007100AF" w:rsidRDefault="00D347DF" w:rsidP="00C353F1">
            <w:pPr>
              <w:keepNext/>
              <w:spacing w:before="0" w:after="0" w:line="276" w:lineRule="auto"/>
              <w:contextualSpacing/>
              <w:jc w:val="center"/>
              <w:rPr>
                <w:rFonts w:cstheme="minorHAnsi"/>
              </w:rPr>
            </w:pPr>
            <w:r>
              <w:rPr>
                <w:rFonts w:cstheme="minorHAnsi"/>
              </w:rPr>
              <w:t>81%</w:t>
            </w:r>
          </w:p>
        </w:tc>
        <w:tc>
          <w:tcPr>
            <w:tcW w:w="1525" w:type="dxa"/>
            <w:shd w:val="clear" w:color="auto" w:fill="auto"/>
            <w:vAlign w:val="center"/>
          </w:tcPr>
          <w:p w:rsidR="00D347DF" w:rsidRPr="007100AF" w:rsidRDefault="00D347DF" w:rsidP="00C353F1">
            <w:pPr>
              <w:keepNext/>
              <w:spacing w:before="0" w:after="0" w:line="276" w:lineRule="auto"/>
              <w:contextualSpacing/>
              <w:jc w:val="center"/>
              <w:rPr>
                <w:rFonts w:cstheme="minorHAnsi"/>
              </w:rPr>
            </w:pPr>
            <w:r>
              <w:rPr>
                <w:rFonts w:cstheme="minorHAnsi"/>
              </w:rPr>
              <w:t>83%</w:t>
            </w:r>
          </w:p>
        </w:tc>
        <w:tc>
          <w:tcPr>
            <w:tcW w:w="2380" w:type="dxa"/>
            <w:vAlign w:val="center"/>
          </w:tcPr>
          <w:p w:rsidR="00D347DF" w:rsidRPr="007100AF" w:rsidRDefault="00D347DF" w:rsidP="00C353F1">
            <w:pPr>
              <w:keepNext/>
              <w:spacing w:before="0" w:after="0" w:line="276" w:lineRule="auto"/>
              <w:contextualSpacing/>
              <w:jc w:val="center"/>
              <w:rPr>
                <w:rFonts w:cstheme="minorHAnsi"/>
              </w:rPr>
            </w:pPr>
            <w:r>
              <w:rPr>
                <w:rFonts w:cstheme="minorHAnsi"/>
              </w:rPr>
              <w:t>85%</w:t>
            </w:r>
          </w:p>
        </w:tc>
      </w:tr>
      <w:tr w:rsidR="00D347DF" w:rsidRPr="00EF6DA1" w:rsidTr="00CF7673">
        <w:trPr>
          <w:cantSplit/>
          <w:trHeight w:val="476"/>
        </w:trPr>
        <w:tc>
          <w:tcPr>
            <w:tcW w:w="3510" w:type="dxa"/>
            <w:shd w:val="clear" w:color="auto" w:fill="auto"/>
            <w:vAlign w:val="center"/>
          </w:tcPr>
          <w:p w:rsidR="00D347DF" w:rsidRPr="007100AF" w:rsidRDefault="00D347DF" w:rsidP="00C353F1">
            <w:pPr>
              <w:keepNext/>
              <w:spacing w:before="0" w:after="0" w:line="276" w:lineRule="auto"/>
              <w:contextualSpacing/>
              <w:rPr>
                <w:rFonts w:cstheme="minorHAnsi"/>
                <w:b/>
              </w:rPr>
            </w:pPr>
            <w:r w:rsidRPr="007100AF">
              <w:rPr>
                <w:rFonts w:cstheme="minorHAnsi"/>
                <w:b/>
              </w:rPr>
              <w:t>Vacancies per 100 staff</w:t>
            </w:r>
            <w:r>
              <w:rPr>
                <w:rFonts w:cstheme="minorHAnsi"/>
                <w:b/>
              </w:rPr>
              <w:t xml:space="preserve"> </w:t>
            </w:r>
          </w:p>
        </w:tc>
        <w:tc>
          <w:tcPr>
            <w:tcW w:w="1709" w:type="dxa"/>
            <w:shd w:val="clear" w:color="auto" w:fill="auto"/>
            <w:vAlign w:val="center"/>
          </w:tcPr>
          <w:p w:rsidR="00D347DF" w:rsidRPr="007100AF" w:rsidRDefault="00D347DF" w:rsidP="00C353F1">
            <w:pPr>
              <w:keepNext/>
              <w:spacing w:before="0" w:after="0" w:line="276" w:lineRule="auto"/>
              <w:contextualSpacing/>
              <w:jc w:val="center"/>
              <w:rPr>
                <w:rFonts w:cstheme="minorHAnsi"/>
              </w:rPr>
            </w:pPr>
            <w:r>
              <w:rPr>
                <w:rFonts w:cstheme="minorHAnsi"/>
              </w:rPr>
              <w:t>16</w:t>
            </w:r>
          </w:p>
        </w:tc>
        <w:tc>
          <w:tcPr>
            <w:tcW w:w="1525" w:type="dxa"/>
            <w:shd w:val="clear" w:color="auto" w:fill="auto"/>
            <w:vAlign w:val="center"/>
          </w:tcPr>
          <w:p w:rsidR="00D347DF" w:rsidRPr="007100AF" w:rsidRDefault="00D347DF" w:rsidP="00C353F1">
            <w:pPr>
              <w:keepNext/>
              <w:spacing w:before="0" w:after="0" w:line="276" w:lineRule="auto"/>
              <w:contextualSpacing/>
              <w:jc w:val="center"/>
              <w:rPr>
                <w:rFonts w:cstheme="minorHAnsi"/>
              </w:rPr>
            </w:pPr>
            <w:r>
              <w:rPr>
                <w:rFonts w:cstheme="minorHAnsi"/>
              </w:rPr>
              <w:t>17</w:t>
            </w:r>
          </w:p>
        </w:tc>
        <w:tc>
          <w:tcPr>
            <w:tcW w:w="2380" w:type="dxa"/>
            <w:vAlign w:val="center"/>
          </w:tcPr>
          <w:p w:rsidR="00D347DF" w:rsidRPr="007100AF" w:rsidRDefault="00D347DF" w:rsidP="00C353F1">
            <w:pPr>
              <w:keepNext/>
              <w:spacing w:before="0" w:after="0" w:line="276" w:lineRule="auto"/>
              <w:contextualSpacing/>
              <w:jc w:val="center"/>
              <w:rPr>
                <w:rFonts w:cstheme="minorHAnsi"/>
              </w:rPr>
            </w:pPr>
            <w:r>
              <w:rPr>
                <w:rFonts w:cstheme="minorHAnsi"/>
              </w:rPr>
              <w:t>18</w:t>
            </w:r>
          </w:p>
        </w:tc>
      </w:tr>
      <w:tr w:rsidR="00D347DF" w:rsidRPr="00EF6DA1" w:rsidTr="00CF7673">
        <w:trPr>
          <w:cantSplit/>
          <w:trHeight w:val="483"/>
        </w:trPr>
        <w:tc>
          <w:tcPr>
            <w:tcW w:w="3510" w:type="dxa"/>
            <w:shd w:val="clear" w:color="auto" w:fill="auto"/>
            <w:vAlign w:val="center"/>
          </w:tcPr>
          <w:p w:rsidR="00D347DF" w:rsidRPr="007100AF" w:rsidRDefault="00D347DF" w:rsidP="00C353F1">
            <w:pPr>
              <w:keepNext/>
              <w:spacing w:before="0" w:after="0" w:line="276" w:lineRule="auto"/>
              <w:contextualSpacing/>
              <w:rPr>
                <w:rFonts w:cstheme="minorHAnsi"/>
                <w:b/>
              </w:rPr>
            </w:pPr>
            <w:r w:rsidRPr="007100AF">
              <w:rPr>
                <w:rFonts w:cstheme="minorHAnsi"/>
                <w:b/>
              </w:rPr>
              <w:t>Proportion of vacancies unfilled</w:t>
            </w:r>
          </w:p>
        </w:tc>
        <w:tc>
          <w:tcPr>
            <w:tcW w:w="1709" w:type="dxa"/>
            <w:shd w:val="clear" w:color="auto" w:fill="auto"/>
            <w:vAlign w:val="center"/>
          </w:tcPr>
          <w:p w:rsidR="00D347DF" w:rsidRPr="007100AF" w:rsidRDefault="00D347DF" w:rsidP="00C353F1">
            <w:pPr>
              <w:keepNext/>
              <w:spacing w:before="0" w:after="0" w:line="276" w:lineRule="auto"/>
              <w:contextualSpacing/>
              <w:jc w:val="center"/>
              <w:rPr>
                <w:rFonts w:cstheme="minorHAnsi"/>
              </w:rPr>
            </w:pPr>
            <w:r>
              <w:rPr>
                <w:rFonts w:cstheme="minorHAnsi"/>
              </w:rPr>
              <w:t>5.3%</w:t>
            </w:r>
          </w:p>
        </w:tc>
        <w:tc>
          <w:tcPr>
            <w:tcW w:w="1525" w:type="dxa"/>
            <w:shd w:val="clear" w:color="auto" w:fill="auto"/>
            <w:vAlign w:val="center"/>
          </w:tcPr>
          <w:p w:rsidR="00D347DF" w:rsidRPr="007100AF" w:rsidRDefault="00D347DF" w:rsidP="00C353F1">
            <w:pPr>
              <w:keepNext/>
              <w:spacing w:before="0" w:after="0" w:line="276" w:lineRule="auto"/>
              <w:contextualSpacing/>
              <w:jc w:val="center"/>
              <w:rPr>
                <w:rFonts w:cstheme="minorHAnsi"/>
              </w:rPr>
            </w:pPr>
            <w:r>
              <w:rPr>
                <w:rFonts w:cstheme="minorHAnsi"/>
              </w:rPr>
              <w:t>7.1%</w:t>
            </w:r>
          </w:p>
        </w:tc>
        <w:tc>
          <w:tcPr>
            <w:tcW w:w="2380" w:type="dxa"/>
            <w:vAlign w:val="center"/>
          </w:tcPr>
          <w:p w:rsidR="00D347DF" w:rsidRPr="007100AF" w:rsidRDefault="00D347DF" w:rsidP="00C353F1">
            <w:pPr>
              <w:keepNext/>
              <w:spacing w:before="0" w:after="0" w:line="276" w:lineRule="auto"/>
              <w:contextualSpacing/>
              <w:jc w:val="center"/>
              <w:rPr>
                <w:rFonts w:cstheme="minorHAnsi"/>
              </w:rPr>
            </w:pPr>
            <w:r>
              <w:rPr>
                <w:rFonts w:cstheme="minorHAnsi"/>
              </w:rPr>
              <w:t>5.5%</w:t>
            </w:r>
          </w:p>
        </w:tc>
      </w:tr>
      <w:tr w:rsidR="00D347DF" w:rsidRPr="00EF6DA1" w:rsidTr="00CF7673">
        <w:trPr>
          <w:cantSplit/>
          <w:trHeight w:val="549"/>
        </w:trPr>
        <w:tc>
          <w:tcPr>
            <w:tcW w:w="3510" w:type="dxa"/>
            <w:shd w:val="clear" w:color="auto" w:fill="auto"/>
            <w:vAlign w:val="center"/>
          </w:tcPr>
          <w:p w:rsidR="00D347DF" w:rsidRPr="007100AF" w:rsidRDefault="00D07122" w:rsidP="00D07122">
            <w:pPr>
              <w:keepNext/>
              <w:spacing w:before="0" w:after="0" w:line="276" w:lineRule="auto"/>
              <w:contextualSpacing/>
              <w:rPr>
                <w:rFonts w:cstheme="minorHAnsi"/>
                <w:b/>
              </w:rPr>
            </w:pPr>
            <w:r>
              <w:rPr>
                <w:rFonts w:cstheme="minorHAnsi"/>
                <w:b/>
              </w:rPr>
              <w:t>E</w:t>
            </w:r>
            <w:r w:rsidR="00D347DF" w:rsidRPr="007100AF">
              <w:rPr>
                <w:rFonts w:cstheme="minorHAnsi"/>
                <w:b/>
              </w:rPr>
              <w:t>mployers who experienced difficulty</w:t>
            </w:r>
          </w:p>
        </w:tc>
        <w:tc>
          <w:tcPr>
            <w:tcW w:w="1709" w:type="dxa"/>
            <w:shd w:val="clear" w:color="auto" w:fill="auto"/>
            <w:vAlign w:val="center"/>
          </w:tcPr>
          <w:p w:rsidR="00D347DF" w:rsidRPr="007100AF" w:rsidRDefault="00D347DF" w:rsidP="00C353F1">
            <w:pPr>
              <w:keepNext/>
              <w:spacing w:before="0" w:after="0" w:line="276" w:lineRule="auto"/>
              <w:contextualSpacing/>
              <w:jc w:val="center"/>
              <w:rPr>
                <w:rFonts w:cstheme="minorHAnsi"/>
              </w:rPr>
            </w:pPr>
            <w:r>
              <w:rPr>
                <w:rFonts w:cstheme="minorHAnsi"/>
              </w:rPr>
              <w:t>55%</w:t>
            </w:r>
          </w:p>
        </w:tc>
        <w:tc>
          <w:tcPr>
            <w:tcW w:w="1525" w:type="dxa"/>
            <w:shd w:val="clear" w:color="auto" w:fill="auto"/>
            <w:vAlign w:val="center"/>
          </w:tcPr>
          <w:p w:rsidR="00D347DF" w:rsidRPr="007100AF" w:rsidRDefault="00D347DF" w:rsidP="00C353F1">
            <w:pPr>
              <w:keepNext/>
              <w:spacing w:before="0" w:after="0" w:line="276" w:lineRule="auto"/>
              <w:contextualSpacing/>
              <w:jc w:val="center"/>
              <w:rPr>
                <w:rFonts w:cstheme="minorHAnsi"/>
              </w:rPr>
            </w:pPr>
            <w:r>
              <w:rPr>
                <w:rFonts w:cstheme="minorHAnsi"/>
              </w:rPr>
              <w:t>58%</w:t>
            </w:r>
          </w:p>
        </w:tc>
        <w:tc>
          <w:tcPr>
            <w:tcW w:w="2380" w:type="dxa"/>
            <w:vAlign w:val="center"/>
          </w:tcPr>
          <w:p w:rsidR="00D347DF" w:rsidRPr="007100AF" w:rsidRDefault="00D347DF" w:rsidP="00C353F1">
            <w:pPr>
              <w:keepNext/>
              <w:spacing w:before="0" w:after="0" w:line="276" w:lineRule="auto"/>
              <w:contextualSpacing/>
              <w:jc w:val="center"/>
              <w:rPr>
                <w:rFonts w:cstheme="minorHAnsi"/>
              </w:rPr>
            </w:pPr>
            <w:r>
              <w:rPr>
                <w:rFonts w:cstheme="minorHAnsi"/>
              </w:rPr>
              <w:t>53%</w:t>
            </w:r>
          </w:p>
        </w:tc>
      </w:tr>
    </w:tbl>
    <w:p w:rsidR="00D347DF" w:rsidRDefault="00D347DF" w:rsidP="00C353F1">
      <w:pPr>
        <w:spacing w:before="0" w:after="0"/>
        <w:rPr>
          <w:rFonts w:ascii="Book Antiqua" w:hAnsi="Book Antiqua"/>
          <w:szCs w:val="22"/>
        </w:rPr>
      </w:pPr>
    </w:p>
    <w:p w:rsidR="00D347DF" w:rsidRPr="001F5C9E" w:rsidRDefault="00D347DF" w:rsidP="003F134A">
      <w:pPr>
        <w:pStyle w:val="ListParagraph"/>
        <w:numPr>
          <w:ilvl w:val="0"/>
          <w:numId w:val="8"/>
        </w:numPr>
        <w:spacing w:after="200" w:line="240" w:lineRule="auto"/>
        <w:jc w:val="both"/>
        <w:rPr>
          <w:rFonts w:asciiTheme="minorHAnsi" w:hAnsiTheme="minorHAnsi" w:cstheme="minorHAnsi"/>
          <w:color w:val="auto"/>
          <w:sz w:val="22"/>
          <w:szCs w:val="22"/>
        </w:rPr>
      </w:pPr>
      <w:r w:rsidRPr="001F5C9E">
        <w:rPr>
          <w:rFonts w:asciiTheme="minorHAnsi" w:hAnsiTheme="minorHAnsi" w:cstheme="minorHAnsi"/>
          <w:color w:val="auto"/>
          <w:sz w:val="22"/>
          <w:szCs w:val="22"/>
        </w:rPr>
        <w:t>The proportion of unfilled vacancies</w:t>
      </w:r>
      <w:r w:rsidR="009953D0">
        <w:rPr>
          <w:rFonts w:asciiTheme="minorHAnsi" w:hAnsiTheme="minorHAnsi" w:cstheme="minorHAnsi"/>
          <w:color w:val="auto"/>
          <w:sz w:val="22"/>
          <w:szCs w:val="22"/>
        </w:rPr>
        <w:t xml:space="preserve"> in employers most recent recruitment rounds</w:t>
      </w:r>
      <w:r w:rsidRPr="001F5C9E">
        <w:rPr>
          <w:rFonts w:asciiTheme="minorHAnsi" w:hAnsiTheme="minorHAnsi" w:cstheme="minorHAnsi"/>
          <w:color w:val="auto"/>
          <w:sz w:val="22"/>
          <w:szCs w:val="22"/>
        </w:rPr>
        <w:t xml:space="preserve"> </w:t>
      </w:r>
      <w:r w:rsidR="00A75B74" w:rsidRPr="001F5C9E">
        <w:rPr>
          <w:rFonts w:asciiTheme="minorHAnsi" w:hAnsiTheme="minorHAnsi" w:cstheme="minorHAnsi"/>
          <w:color w:val="auto"/>
          <w:sz w:val="22"/>
          <w:szCs w:val="22"/>
        </w:rPr>
        <w:t xml:space="preserve">was largest for Machinery Operators and Drivers </w:t>
      </w:r>
      <w:r w:rsidRPr="001F5C9E">
        <w:rPr>
          <w:rFonts w:asciiTheme="minorHAnsi" w:hAnsiTheme="minorHAnsi" w:cstheme="minorHAnsi"/>
          <w:color w:val="auto"/>
          <w:sz w:val="22"/>
          <w:szCs w:val="22"/>
        </w:rPr>
        <w:t>(</w:t>
      </w:r>
      <w:r w:rsidR="00A75B74" w:rsidRPr="001F5C9E">
        <w:rPr>
          <w:rFonts w:asciiTheme="minorHAnsi" w:hAnsiTheme="minorHAnsi" w:cstheme="minorHAnsi"/>
          <w:color w:val="auto"/>
          <w:sz w:val="22"/>
          <w:szCs w:val="22"/>
        </w:rPr>
        <w:t xml:space="preserve">21.4 </w:t>
      </w:r>
      <w:r w:rsidRPr="001F5C9E">
        <w:rPr>
          <w:rFonts w:asciiTheme="minorHAnsi" w:hAnsiTheme="minorHAnsi" w:cstheme="minorHAnsi"/>
          <w:color w:val="auto"/>
          <w:sz w:val="22"/>
          <w:szCs w:val="22"/>
        </w:rPr>
        <w:t>per cent)</w:t>
      </w:r>
      <w:r w:rsidR="00A75B74" w:rsidRPr="001F5C9E">
        <w:rPr>
          <w:rFonts w:asciiTheme="minorHAnsi" w:hAnsiTheme="minorHAnsi" w:cstheme="minorHAnsi"/>
          <w:color w:val="auto"/>
          <w:sz w:val="22"/>
          <w:szCs w:val="22"/>
        </w:rPr>
        <w:t xml:space="preserve"> and Technicians and Trades Workers (20.0 per cent</w:t>
      </w:r>
      <w:proofErr w:type="gramStart"/>
      <w:r w:rsidR="00A75B74" w:rsidRPr="001F5C9E">
        <w:rPr>
          <w:rFonts w:asciiTheme="minorHAnsi" w:hAnsiTheme="minorHAnsi" w:cstheme="minorHAnsi"/>
          <w:color w:val="auto"/>
          <w:sz w:val="22"/>
          <w:szCs w:val="22"/>
        </w:rPr>
        <w:t>)</w:t>
      </w:r>
      <w:r w:rsidRPr="001F5C9E">
        <w:rPr>
          <w:rFonts w:asciiTheme="minorHAnsi" w:hAnsiTheme="minorHAnsi" w:cstheme="minorHAnsi"/>
          <w:color w:val="auto"/>
          <w:sz w:val="22"/>
          <w:szCs w:val="22"/>
        </w:rPr>
        <w:t>(</w:t>
      </w:r>
      <w:proofErr w:type="gramEnd"/>
      <w:r w:rsidR="00157494">
        <w:rPr>
          <w:rFonts w:asciiTheme="minorHAnsi" w:hAnsiTheme="minorHAnsi" w:cstheme="minorHAnsi"/>
          <w:color w:val="auto"/>
          <w:sz w:val="22"/>
          <w:szCs w:val="22"/>
        </w:rPr>
        <w:t xml:space="preserve">see </w:t>
      </w:r>
      <w:r w:rsidRPr="001F5C9E">
        <w:rPr>
          <w:rFonts w:asciiTheme="minorHAnsi" w:hAnsiTheme="minorHAnsi" w:cstheme="minorHAnsi"/>
          <w:color w:val="auto"/>
          <w:sz w:val="22"/>
          <w:szCs w:val="22"/>
        </w:rPr>
        <w:t>Figure 1).</w:t>
      </w:r>
    </w:p>
    <w:p w:rsidR="001E4011" w:rsidRDefault="001E4011" w:rsidP="001E4011">
      <w:pPr>
        <w:pStyle w:val="ListParagraph"/>
        <w:spacing w:after="200" w:line="240" w:lineRule="auto"/>
        <w:ind w:left="360"/>
        <w:rPr>
          <w:rFonts w:asciiTheme="minorHAnsi" w:hAnsiTheme="minorHAnsi" w:cstheme="minorHAnsi"/>
          <w:sz w:val="22"/>
          <w:szCs w:val="22"/>
        </w:rPr>
      </w:pPr>
    </w:p>
    <w:p w:rsidR="001E4011" w:rsidRPr="00C51346" w:rsidRDefault="001E4011" w:rsidP="001E4011">
      <w:pPr>
        <w:pStyle w:val="ListParagraph"/>
        <w:numPr>
          <w:ilvl w:val="0"/>
          <w:numId w:val="8"/>
        </w:numPr>
        <w:spacing w:after="20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While the proportion of </w:t>
      </w:r>
      <w:r w:rsidRPr="00C85BD1">
        <w:rPr>
          <w:rFonts w:asciiTheme="minorHAnsi" w:hAnsiTheme="minorHAnsi" w:cstheme="minorHAnsi"/>
          <w:color w:val="auto"/>
          <w:sz w:val="22"/>
          <w:szCs w:val="22"/>
        </w:rPr>
        <w:t xml:space="preserve">employers </w:t>
      </w:r>
      <w:r>
        <w:rPr>
          <w:rFonts w:asciiTheme="minorHAnsi" w:hAnsiTheme="minorHAnsi" w:cstheme="minorHAnsi"/>
          <w:color w:val="auto"/>
          <w:sz w:val="22"/>
          <w:szCs w:val="22"/>
        </w:rPr>
        <w:t xml:space="preserve">who </w:t>
      </w:r>
      <w:r w:rsidRPr="009953D0">
        <w:rPr>
          <w:rFonts w:asciiTheme="minorHAnsi" w:hAnsiTheme="minorHAnsi" w:cstheme="minorHAnsi"/>
          <w:color w:val="auto"/>
          <w:sz w:val="22"/>
          <w:szCs w:val="22"/>
        </w:rPr>
        <w:t>experienced</w:t>
      </w:r>
      <w:r w:rsidRPr="00C85BD1">
        <w:rPr>
          <w:rFonts w:asciiTheme="minorHAnsi" w:hAnsiTheme="minorHAnsi" w:cstheme="minorHAnsi"/>
          <w:color w:val="auto"/>
          <w:sz w:val="22"/>
          <w:szCs w:val="22"/>
        </w:rPr>
        <w:t xml:space="preserve"> difficulty recruiting for their most recent vacancy</w:t>
      </w:r>
      <w:r>
        <w:rPr>
          <w:rFonts w:asciiTheme="minorHAnsi" w:hAnsiTheme="minorHAnsi" w:cstheme="minorHAnsi"/>
          <w:color w:val="auto"/>
          <w:sz w:val="22"/>
          <w:szCs w:val="22"/>
        </w:rPr>
        <w:t xml:space="preserve"> was only slightly higher than all regions surveyed (46 per cent compared with 41 per cent), a</w:t>
      </w:r>
      <w:r w:rsidRPr="00C51346">
        <w:rPr>
          <w:rFonts w:asciiTheme="minorHAnsi" w:hAnsiTheme="minorHAnsi" w:cstheme="minorHAnsi"/>
          <w:color w:val="auto"/>
          <w:sz w:val="22"/>
          <w:szCs w:val="22"/>
        </w:rPr>
        <w:t xml:space="preserve"> high proportion had difficulty recruiting </w:t>
      </w:r>
      <w:r>
        <w:rPr>
          <w:rFonts w:asciiTheme="minorHAnsi" w:hAnsiTheme="minorHAnsi" w:cstheme="minorHAnsi"/>
          <w:color w:val="auto"/>
          <w:sz w:val="22"/>
          <w:szCs w:val="22"/>
        </w:rPr>
        <w:t xml:space="preserve">for </w:t>
      </w:r>
      <w:r w:rsidRPr="00C51346">
        <w:rPr>
          <w:rFonts w:asciiTheme="minorHAnsi" w:hAnsiTheme="minorHAnsi" w:cstheme="minorHAnsi"/>
          <w:color w:val="auto"/>
          <w:sz w:val="22"/>
          <w:szCs w:val="22"/>
        </w:rPr>
        <w:t>Machinery Operators and Drivers (82 per cent) and Technicians and Trades Workers (63 per cent).</w:t>
      </w:r>
    </w:p>
    <w:p w:rsidR="001E4011" w:rsidRDefault="001E4011" w:rsidP="001E4011">
      <w:pPr>
        <w:pStyle w:val="ListParagraph"/>
        <w:numPr>
          <w:ilvl w:val="1"/>
          <w:numId w:val="8"/>
        </w:numPr>
        <w:spacing w:after="200" w:line="240" w:lineRule="auto"/>
        <w:jc w:val="both"/>
        <w:rPr>
          <w:rFonts w:asciiTheme="minorHAnsi" w:hAnsiTheme="minorHAnsi" w:cstheme="minorHAnsi"/>
          <w:color w:val="auto"/>
          <w:sz w:val="22"/>
          <w:szCs w:val="22"/>
        </w:rPr>
      </w:pPr>
      <w:r w:rsidRPr="00C85BD1">
        <w:rPr>
          <w:rFonts w:asciiTheme="minorHAnsi" w:hAnsiTheme="minorHAnsi" w:cstheme="minorHAnsi"/>
          <w:color w:val="auto"/>
          <w:sz w:val="22"/>
          <w:szCs w:val="22"/>
        </w:rPr>
        <w:t xml:space="preserve">The most common reasons for recruitment difficulty were location (29 per cent), the tight </w:t>
      </w:r>
      <w:proofErr w:type="spellStart"/>
      <w:r w:rsidRPr="00C85BD1">
        <w:rPr>
          <w:rFonts w:asciiTheme="minorHAnsi" w:hAnsiTheme="minorHAnsi" w:cstheme="minorHAnsi"/>
          <w:color w:val="auto"/>
          <w:sz w:val="22"/>
          <w:szCs w:val="22"/>
        </w:rPr>
        <w:t>labour</w:t>
      </w:r>
      <w:proofErr w:type="spellEnd"/>
      <w:r w:rsidRPr="00C85BD1">
        <w:rPr>
          <w:rFonts w:asciiTheme="minorHAnsi" w:hAnsiTheme="minorHAnsi" w:cstheme="minorHAnsi"/>
          <w:color w:val="auto"/>
          <w:sz w:val="22"/>
          <w:szCs w:val="22"/>
        </w:rPr>
        <w:t xml:space="preserve"> market (29 per cent) and finding staff who met the </w:t>
      </w:r>
      <w:r>
        <w:rPr>
          <w:rFonts w:asciiTheme="minorHAnsi" w:hAnsiTheme="minorHAnsi" w:cstheme="minorHAnsi"/>
          <w:color w:val="auto"/>
          <w:sz w:val="22"/>
          <w:szCs w:val="22"/>
        </w:rPr>
        <w:t>technical skill requirements of</w:t>
      </w:r>
      <w:r w:rsidRPr="00C85BD1">
        <w:rPr>
          <w:rFonts w:asciiTheme="minorHAnsi" w:hAnsiTheme="minorHAnsi" w:cstheme="minorHAnsi"/>
          <w:color w:val="auto"/>
          <w:sz w:val="22"/>
          <w:szCs w:val="22"/>
        </w:rPr>
        <w:t xml:space="preserve"> the job (27 per cent).</w:t>
      </w:r>
    </w:p>
    <w:p w:rsidR="001E4011" w:rsidRPr="00C85BD1" w:rsidRDefault="001E4011" w:rsidP="001E4011">
      <w:pPr>
        <w:pStyle w:val="ListParagraph"/>
        <w:spacing w:after="200" w:line="240" w:lineRule="auto"/>
        <w:ind w:left="360"/>
        <w:jc w:val="both"/>
        <w:rPr>
          <w:rFonts w:asciiTheme="minorHAnsi" w:hAnsiTheme="minorHAnsi" w:cstheme="minorHAnsi"/>
          <w:color w:val="auto"/>
          <w:sz w:val="22"/>
          <w:szCs w:val="22"/>
        </w:rPr>
      </w:pPr>
    </w:p>
    <w:p w:rsidR="00D347DF" w:rsidRPr="00714603" w:rsidRDefault="00D347DF" w:rsidP="00D347DF">
      <w:pPr>
        <w:pStyle w:val="Heading2"/>
        <w:rPr>
          <w:b w:val="0"/>
          <w:sz w:val="28"/>
          <w:szCs w:val="28"/>
        </w:rPr>
      </w:pPr>
      <w:bookmarkStart w:id="20" w:name="_Toc339462202"/>
      <w:bookmarkStart w:id="21" w:name="_Toc340824726"/>
      <w:bookmarkStart w:id="22" w:name="_Toc340825530"/>
      <w:r w:rsidRPr="00714603">
        <w:rPr>
          <w:b w:val="0"/>
          <w:sz w:val="28"/>
          <w:szCs w:val="28"/>
        </w:rPr>
        <w:lastRenderedPageBreak/>
        <w:t>Figure 1: Unfilled vacancies by occupation</w:t>
      </w:r>
      <w:bookmarkEnd w:id="20"/>
      <w:r w:rsidR="00B13806">
        <w:rPr>
          <w:b w:val="0"/>
          <w:sz w:val="28"/>
          <w:szCs w:val="28"/>
        </w:rPr>
        <w:t xml:space="preserve"> – most recent recruitment</w:t>
      </w:r>
      <w:bookmarkEnd w:id="21"/>
      <w:bookmarkEnd w:id="22"/>
    </w:p>
    <w:p w:rsidR="00D347DF" w:rsidRPr="00E0195C" w:rsidRDefault="00D347DF" w:rsidP="00D347DF">
      <w:pPr>
        <w:spacing w:line="240" w:lineRule="auto"/>
        <w:contextualSpacing/>
        <w:rPr>
          <w:rFonts w:cstheme="minorHAnsi"/>
          <w:i/>
        </w:rPr>
      </w:pPr>
      <w:r w:rsidRPr="006D521D">
        <w:rPr>
          <w:rFonts w:cstheme="minorHAnsi"/>
          <w:i/>
          <w:noProof/>
          <w:color w:val="002060"/>
        </w:rPr>
        <w:drawing>
          <wp:inline distT="0" distB="0" distL="0" distR="0" wp14:anchorId="435E1F27" wp14:editId="0CDDFB01">
            <wp:extent cx="5648325" cy="25908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11B61" w:rsidRPr="00711B61" w:rsidRDefault="00711B61" w:rsidP="003F134A">
      <w:pPr>
        <w:pStyle w:val="ListParagraph"/>
        <w:spacing w:after="200" w:line="240" w:lineRule="auto"/>
        <w:ind w:left="1080"/>
        <w:jc w:val="both"/>
        <w:rPr>
          <w:rFonts w:asciiTheme="minorHAnsi" w:hAnsiTheme="minorHAnsi" w:cstheme="minorHAnsi"/>
          <w:color w:val="auto"/>
          <w:sz w:val="12"/>
          <w:szCs w:val="12"/>
        </w:rPr>
      </w:pPr>
    </w:p>
    <w:p w:rsidR="00D347DF" w:rsidRPr="00DC264F" w:rsidRDefault="00D347DF" w:rsidP="003F134A">
      <w:pPr>
        <w:pStyle w:val="ListParagraph"/>
        <w:numPr>
          <w:ilvl w:val="0"/>
          <w:numId w:val="8"/>
        </w:numPr>
        <w:spacing w:after="200" w:line="240" w:lineRule="auto"/>
        <w:jc w:val="both"/>
        <w:rPr>
          <w:rFonts w:cstheme="minorHAnsi"/>
          <w:szCs w:val="22"/>
        </w:rPr>
      </w:pPr>
      <w:r w:rsidRPr="00DC264F">
        <w:rPr>
          <w:rFonts w:asciiTheme="minorHAnsi" w:hAnsiTheme="minorHAnsi" w:cstheme="minorHAnsi"/>
          <w:color w:val="auto"/>
          <w:sz w:val="22"/>
          <w:szCs w:val="22"/>
        </w:rPr>
        <w:t>Employers reported recruitment difficulty for a range of occupations (Table 2).</w:t>
      </w:r>
    </w:p>
    <w:p w:rsidR="00D347DF" w:rsidRPr="00714603" w:rsidRDefault="00D347DF" w:rsidP="00CF7673">
      <w:pPr>
        <w:pStyle w:val="Heading2"/>
        <w:spacing w:before="120"/>
        <w:rPr>
          <w:b w:val="0"/>
          <w:sz w:val="28"/>
          <w:szCs w:val="28"/>
        </w:rPr>
      </w:pPr>
      <w:bookmarkStart w:id="23" w:name="_Toc339462203"/>
      <w:bookmarkStart w:id="24" w:name="_Toc340824727"/>
      <w:bookmarkStart w:id="25" w:name="_Toc340825531"/>
      <w:r w:rsidRPr="00714603">
        <w:rPr>
          <w:b w:val="0"/>
          <w:sz w:val="28"/>
          <w:szCs w:val="28"/>
        </w:rPr>
        <w:t>Table 2: Difficult occupations by skill level</w:t>
      </w:r>
      <w:bookmarkEnd w:id="23"/>
      <w:bookmarkEnd w:id="24"/>
      <w:bookmarkEnd w:id="25"/>
    </w:p>
    <w:tbl>
      <w:tblPr>
        <w:tblStyle w:val="TableGrid"/>
        <w:tblW w:w="9115" w:type="dxa"/>
        <w:tblLook w:val="04A0" w:firstRow="1" w:lastRow="0" w:firstColumn="1" w:lastColumn="0" w:noHBand="0" w:noVBand="1"/>
      </w:tblPr>
      <w:tblGrid>
        <w:gridCol w:w="4397"/>
        <w:gridCol w:w="4718"/>
      </w:tblGrid>
      <w:tr w:rsidR="00D347DF" w:rsidRPr="00910B5C" w:rsidTr="00CF7673">
        <w:trPr>
          <w:cantSplit/>
          <w:trHeight w:val="379"/>
        </w:trPr>
        <w:tc>
          <w:tcPr>
            <w:tcW w:w="9115" w:type="dxa"/>
            <w:gridSpan w:val="2"/>
            <w:shd w:val="clear" w:color="auto" w:fill="165788"/>
            <w:vAlign w:val="center"/>
          </w:tcPr>
          <w:p w:rsidR="00D347DF" w:rsidRPr="005E6B70" w:rsidRDefault="00D347DF" w:rsidP="005E6B70">
            <w:pPr>
              <w:pStyle w:val="TableHeading"/>
              <w:jc w:val="center"/>
            </w:pPr>
            <w:r w:rsidRPr="005E6B70">
              <w:t>Bachelor Degree or Higher VET Qualifications</w:t>
            </w:r>
          </w:p>
        </w:tc>
      </w:tr>
      <w:tr w:rsidR="00D347DF" w:rsidRPr="00910B5C" w:rsidTr="00CF7673">
        <w:trPr>
          <w:cantSplit/>
          <w:trHeight w:val="267"/>
        </w:trPr>
        <w:tc>
          <w:tcPr>
            <w:tcW w:w="4397" w:type="dxa"/>
            <w:vAlign w:val="center"/>
          </w:tcPr>
          <w:p w:rsidR="00D347DF" w:rsidRPr="00910B5C" w:rsidRDefault="00D347DF" w:rsidP="00DC6B5D">
            <w:pPr>
              <w:keepNext/>
              <w:contextualSpacing/>
              <w:jc w:val="center"/>
              <w:rPr>
                <w:rFonts w:cstheme="minorHAnsi"/>
              </w:rPr>
            </w:pPr>
            <w:r>
              <w:rPr>
                <w:rFonts w:cstheme="minorHAnsi"/>
              </w:rPr>
              <w:t>Motor Mechanics</w:t>
            </w:r>
          </w:p>
        </w:tc>
        <w:tc>
          <w:tcPr>
            <w:tcW w:w="4718" w:type="dxa"/>
            <w:vAlign w:val="center"/>
          </w:tcPr>
          <w:p w:rsidR="00D347DF" w:rsidRPr="00910B5C" w:rsidRDefault="007D1BE8" w:rsidP="00DC6B5D">
            <w:pPr>
              <w:keepNext/>
              <w:contextualSpacing/>
              <w:jc w:val="center"/>
              <w:rPr>
                <w:rFonts w:cstheme="minorHAnsi"/>
              </w:rPr>
            </w:pPr>
            <w:r>
              <w:rPr>
                <w:rFonts w:cstheme="minorHAnsi"/>
              </w:rPr>
              <w:t>Panel B</w:t>
            </w:r>
            <w:r w:rsidR="00D347DF">
              <w:rPr>
                <w:rFonts w:cstheme="minorHAnsi"/>
              </w:rPr>
              <w:t>eaters</w:t>
            </w:r>
          </w:p>
        </w:tc>
      </w:tr>
      <w:tr w:rsidR="00D347DF" w:rsidRPr="00910B5C" w:rsidTr="00CF7673">
        <w:trPr>
          <w:cantSplit/>
          <w:trHeight w:val="267"/>
        </w:trPr>
        <w:tc>
          <w:tcPr>
            <w:tcW w:w="4397" w:type="dxa"/>
            <w:vAlign w:val="center"/>
          </w:tcPr>
          <w:p w:rsidR="00D347DF" w:rsidRPr="00910B5C" w:rsidRDefault="00D347DF" w:rsidP="00DC6B5D">
            <w:pPr>
              <w:keepNext/>
              <w:contextualSpacing/>
              <w:jc w:val="center"/>
              <w:rPr>
                <w:rFonts w:cstheme="minorHAnsi"/>
              </w:rPr>
            </w:pPr>
            <w:r>
              <w:rPr>
                <w:rFonts w:cstheme="minorHAnsi"/>
              </w:rPr>
              <w:t>Structural Steel and Welding</w:t>
            </w:r>
          </w:p>
        </w:tc>
        <w:tc>
          <w:tcPr>
            <w:tcW w:w="4718" w:type="dxa"/>
            <w:vAlign w:val="center"/>
          </w:tcPr>
          <w:p w:rsidR="00D347DF" w:rsidRPr="00910B5C" w:rsidRDefault="00D347DF" w:rsidP="00DC6B5D">
            <w:pPr>
              <w:keepNext/>
              <w:contextualSpacing/>
              <w:jc w:val="center"/>
              <w:rPr>
                <w:rFonts w:cstheme="minorHAnsi"/>
              </w:rPr>
            </w:pPr>
            <w:r>
              <w:rPr>
                <w:rFonts w:cstheme="minorHAnsi"/>
              </w:rPr>
              <w:t>Chefs</w:t>
            </w:r>
          </w:p>
        </w:tc>
      </w:tr>
      <w:tr w:rsidR="00D347DF" w:rsidRPr="00910B5C" w:rsidTr="00CF7673">
        <w:trPr>
          <w:cantSplit/>
          <w:trHeight w:val="267"/>
        </w:trPr>
        <w:tc>
          <w:tcPr>
            <w:tcW w:w="4397" w:type="dxa"/>
            <w:vAlign w:val="center"/>
          </w:tcPr>
          <w:p w:rsidR="00D347DF" w:rsidRPr="00910B5C" w:rsidRDefault="00D347DF" w:rsidP="00DC6B5D">
            <w:pPr>
              <w:keepNext/>
              <w:contextualSpacing/>
              <w:jc w:val="center"/>
              <w:rPr>
                <w:rFonts w:cstheme="minorHAnsi"/>
              </w:rPr>
            </w:pPr>
            <w:r>
              <w:rPr>
                <w:rFonts w:cstheme="minorHAnsi"/>
              </w:rPr>
              <w:t>Electronic Trades Workers</w:t>
            </w:r>
          </w:p>
        </w:tc>
        <w:tc>
          <w:tcPr>
            <w:tcW w:w="4718" w:type="dxa"/>
            <w:vAlign w:val="center"/>
          </w:tcPr>
          <w:p w:rsidR="00D347DF" w:rsidRDefault="007D1BE8" w:rsidP="00DC6B5D">
            <w:pPr>
              <w:keepNext/>
              <w:contextualSpacing/>
              <w:jc w:val="center"/>
              <w:rPr>
                <w:rFonts w:cstheme="minorHAnsi"/>
              </w:rPr>
            </w:pPr>
            <w:r>
              <w:rPr>
                <w:rFonts w:cstheme="minorHAnsi"/>
              </w:rPr>
              <w:t>Early Childhood T</w:t>
            </w:r>
            <w:r w:rsidR="00D347DF">
              <w:rPr>
                <w:rFonts w:cstheme="minorHAnsi"/>
              </w:rPr>
              <w:t>eachers</w:t>
            </w:r>
          </w:p>
        </w:tc>
      </w:tr>
      <w:tr w:rsidR="00D347DF" w:rsidRPr="00910B5C" w:rsidTr="00CF7673">
        <w:trPr>
          <w:cantSplit/>
          <w:trHeight w:val="267"/>
        </w:trPr>
        <w:tc>
          <w:tcPr>
            <w:tcW w:w="9115" w:type="dxa"/>
            <w:gridSpan w:val="2"/>
            <w:vAlign w:val="center"/>
          </w:tcPr>
          <w:p w:rsidR="00D347DF" w:rsidRDefault="00D347DF" w:rsidP="00DC6B5D">
            <w:pPr>
              <w:keepNext/>
              <w:contextualSpacing/>
              <w:jc w:val="center"/>
              <w:rPr>
                <w:rFonts w:cstheme="minorHAnsi"/>
              </w:rPr>
            </w:pPr>
            <w:r>
              <w:rPr>
                <w:rFonts w:cstheme="minorHAnsi"/>
              </w:rPr>
              <w:t>Registered Nurses</w:t>
            </w:r>
          </w:p>
        </w:tc>
      </w:tr>
      <w:tr w:rsidR="00D347DF" w:rsidRPr="00910B5C" w:rsidTr="00CF7673">
        <w:trPr>
          <w:cantSplit/>
          <w:trHeight w:val="369"/>
        </w:trPr>
        <w:tc>
          <w:tcPr>
            <w:tcW w:w="9115" w:type="dxa"/>
            <w:gridSpan w:val="2"/>
            <w:shd w:val="clear" w:color="auto" w:fill="165788"/>
            <w:vAlign w:val="center"/>
          </w:tcPr>
          <w:p w:rsidR="00D347DF" w:rsidRPr="00910B5C" w:rsidRDefault="00D347DF" w:rsidP="004062CB">
            <w:pPr>
              <w:pStyle w:val="TableHeading"/>
              <w:jc w:val="center"/>
              <w:rPr>
                <w:rFonts w:cstheme="minorHAnsi"/>
              </w:rPr>
            </w:pPr>
            <w:r w:rsidRPr="004062CB">
              <w:t>Other</w:t>
            </w:r>
            <w:r w:rsidRPr="00910B5C">
              <w:rPr>
                <w:rFonts w:cstheme="minorHAnsi"/>
                <w:b w:val="0"/>
              </w:rPr>
              <w:t xml:space="preserve"> </w:t>
            </w:r>
            <w:r w:rsidRPr="004062CB">
              <w:t>Occupations</w:t>
            </w:r>
          </w:p>
        </w:tc>
      </w:tr>
      <w:tr w:rsidR="00D347DF" w:rsidRPr="00910B5C" w:rsidTr="00CF7673">
        <w:trPr>
          <w:cantSplit/>
          <w:trHeight w:val="263"/>
        </w:trPr>
        <w:tc>
          <w:tcPr>
            <w:tcW w:w="4397" w:type="dxa"/>
            <w:vAlign w:val="center"/>
          </w:tcPr>
          <w:p w:rsidR="00D347DF" w:rsidRPr="00910B5C" w:rsidRDefault="00D347DF" w:rsidP="00DC6B5D">
            <w:pPr>
              <w:keepNext/>
              <w:contextualSpacing/>
              <w:jc w:val="center"/>
              <w:rPr>
                <w:rFonts w:cstheme="minorHAnsi"/>
              </w:rPr>
            </w:pPr>
            <w:r>
              <w:rPr>
                <w:rFonts w:cstheme="minorHAnsi"/>
              </w:rPr>
              <w:t>Sales Assistants</w:t>
            </w:r>
          </w:p>
        </w:tc>
        <w:tc>
          <w:tcPr>
            <w:tcW w:w="4718" w:type="dxa"/>
            <w:vAlign w:val="center"/>
          </w:tcPr>
          <w:p w:rsidR="00D347DF" w:rsidRPr="00910B5C" w:rsidRDefault="00D347DF" w:rsidP="00DC6B5D">
            <w:pPr>
              <w:keepNext/>
              <w:contextualSpacing/>
              <w:jc w:val="center"/>
              <w:rPr>
                <w:rFonts w:cstheme="minorHAnsi"/>
              </w:rPr>
            </w:pPr>
            <w:r>
              <w:rPr>
                <w:rFonts w:cstheme="minorHAnsi"/>
              </w:rPr>
              <w:t>Housekeepers</w:t>
            </w:r>
          </w:p>
        </w:tc>
      </w:tr>
      <w:tr w:rsidR="00D347DF" w:rsidRPr="00910B5C" w:rsidTr="00CF7673">
        <w:trPr>
          <w:cantSplit/>
          <w:trHeight w:val="263"/>
        </w:trPr>
        <w:tc>
          <w:tcPr>
            <w:tcW w:w="4397" w:type="dxa"/>
            <w:vAlign w:val="center"/>
          </w:tcPr>
          <w:p w:rsidR="00D347DF" w:rsidRPr="00910B5C" w:rsidRDefault="00D347DF" w:rsidP="00DC6B5D">
            <w:pPr>
              <w:keepNext/>
              <w:contextualSpacing/>
              <w:jc w:val="center"/>
              <w:rPr>
                <w:rFonts w:cstheme="minorHAnsi"/>
              </w:rPr>
            </w:pPr>
            <w:r>
              <w:rPr>
                <w:rFonts w:cstheme="minorHAnsi"/>
              </w:rPr>
              <w:t>Bar Attendants and Baristas</w:t>
            </w:r>
          </w:p>
        </w:tc>
        <w:tc>
          <w:tcPr>
            <w:tcW w:w="4718" w:type="dxa"/>
            <w:vAlign w:val="center"/>
          </w:tcPr>
          <w:p w:rsidR="00D347DF" w:rsidRPr="00910B5C" w:rsidRDefault="00D347DF" w:rsidP="00DC6B5D">
            <w:pPr>
              <w:keepNext/>
              <w:contextualSpacing/>
              <w:jc w:val="center"/>
              <w:rPr>
                <w:rFonts w:cstheme="minorHAnsi"/>
              </w:rPr>
            </w:pPr>
            <w:r>
              <w:rPr>
                <w:rFonts w:cstheme="minorHAnsi"/>
              </w:rPr>
              <w:t>Truck Drivers</w:t>
            </w:r>
          </w:p>
        </w:tc>
      </w:tr>
      <w:tr w:rsidR="00D347DF" w:rsidRPr="00910B5C" w:rsidTr="00CF7673">
        <w:trPr>
          <w:cantSplit/>
          <w:trHeight w:val="293"/>
        </w:trPr>
        <w:tc>
          <w:tcPr>
            <w:tcW w:w="9115" w:type="dxa"/>
            <w:gridSpan w:val="2"/>
            <w:vAlign w:val="center"/>
          </w:tcPr>
          <w:p w:rsidR="00D347DF" w:rsidRDefault="00D347DF" w:rsidP="00DC6B5D">
            <w:pPr>
              <w:keepNext/>
              <w:contextualSpacing/>
              <w:jc w:val="center"/>
              <w:rPr>
                <w:rFonts w:cstheme="minorHAnsi"/>
              </w:rPr>
            </w:pPr>
            <w:r>
              <w:rPr>
                <w:rFonts w:cstheme="minorHAnsi"/>
              </w:rPr>
              <w:t>Automobile Drivers</w:t>
            </w:r>
          </w:p>
        </w:tc>
      </w:tr>
    </w:tbl>
    <w:p w:rsidR="005E6B70" w:rsidRDefault="005E6B70">
      <w:pPr>
        <w:spacing w:before="0" w:after="0" w:line="240" w:lineRule="auto"/>
        <w:rPr>
          <w:rFonts w:ascii="Calibri" w:eastAsiaTheme="majorEastAsia" w:hAnsi="Calibri" w:cstheme="majorBidi"/>
          <w:b/>
          <w:bCs/>
          <w:color w:val="165788"/>
          <w:sz w:val="24"/>
        </w:rPr>
      </w:pPr>
    </w:p>
    <w:p w:rsidR="0081563D" w:rsidRDefault="00CF7673" w:rsidP="00CF7673">
      <w:pPr>
        <w:pStyle w:val="ListParagraph"/>
        <w:numPr>
          <w:ilvl w:val="0"/>
          <w:numId w:val="10"/>
        </w:numPr>
        <w:spacing w:after="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survey included a module to determine the impact of the floods </w:t>
      </w:r>
      <w:r w:rsidR="00DA28F4">
        <w:rPr>
          <w:rFonts w:asciiTheme="minorHAnsi" w:hAnsiTheme="minorHAnsi" w:cstheme="minorHAnsi"/>
          <w:color w:val="auto"/>
          <w:sz w:val="22"/>
          <w:szCs w:val="22"/>
        </w:rPr>
        <w:t xml:space="preserve">in March 2012 </w:t>
      </w:r>
      <w:r>
        <w:rPr>
          <w:rFonts w:asciiTheme="minorHAnsi" w:hAnsiTheme="minorHAnsi" w:cstheme="minorHAnsi"/>
          <w:color w:val="auto"/>
          <w:sz w:val="22"/>
          <w:szCs w:val="22"/>
        </w:rPr>
        <w:t xml:space="preserve">on staffing levels. </w:t>
      </w:r>
      <w:r w:rsidRPr="00C85BD1">
        <w:rPr>
          <w:rFonts w:asciiTheme="minorHAnsi" w:hAnsiTheme="minorHAnsi" w:cstheme="minorHAnsi"/>
          <w:color w:val="auto"/>
          <w:sz w:val="22"/>
          <w:szCs w:val="22"/>
        </w:rPr>
        <w:t>Some 52 per cent of employers reported being impacted by the floods</w:t>
      </w:r>
      <w:r w:rsidR="00DA28F4">
        <w:rPr>
          <w:rFonts w:asciiTheme="minorHAnsi" w:hAnsiTheme="minorHAnsi" w:cstheme="minorHAnsi"/>
          <w:color w:val="auto"/>
          <w:sz w:val="22"/>
          <w:szCs w:val="22"/>
        </w:rPr>
        <w:t>.</w:t>
      </w:r>
      <w:r w:rsidRPr="00C85BD1">
        <w:rPr>
          <w:rFonts w:asciiTheme="minorHAnsi" w:hAnsiTheme="minorHAnsi" w:cstheme="minorHAnsi"/>
          <w:color w:val="auto"/>
          <w:sz w:val="22"/>
          <w:szCs w:val="22"/>
        </w:rPr>
        <w:t xml:space="preserve"> </w:t>
      </w:r>
    </w:p>
    <w:p w:rsidR="00CF7673" w:rsidRPr="00CF7673" w:rsidRDefault="00CF7673" w:rsidP="0081563D">
      <w:pPr>
        <w:pStyle w:val="ListParagraph"/>
        <w:numPr>
          <w:ilvl w:val="1"/>
          <w:numId w:val="10"/>
        </w:numPr>
        <w:spacing w:after="0" w:line="240" w:lineRule="auto"/>
        <w:jc w:val="both"/>
        <w:rPr>
          <w:rFonts w:asciiTheme="minorHAnsi" w:hAnsiTheme="minorHAnsi" w:cstheme="minorHAnsi"/>
          <w:color w:val="auto"/>
          <w:sz w:val="22"/>
          <w:szCs w:val="22"/>
        </w:rPr>
      </w:pPr>
      <w:r w:rsidRPr="00C85BD1">
        <w:rPr>
          <w:rFonts w:asciiTheme="minorHAnsi" w:hAnsiTheme="minorHAnsi" w:cstheme="minorHAnsi"/>
          <w:color w:val="auto"/>
          <w:sz w:val="22"/>
          <w:szCs w:val="22"/>
        </w:rPr>
        <w:t>Of these employers 41 per cent had their staffing levels impacted</w:t>
      </w:r>
      <w:r>
        <w:rPr>
          <w:rFonts w:asciiTheme="minorHAnsi" w:hAnsiTheme="minorHAnsi" w:cstheme="minorHAnsi"/>
          <w:color w:val="auto"/>
          <w:sz w:val="22"/>
          <w:szCs w:val="22"/>
        </w:rPr>
        <w:t xml:space="preserve"> through staff not being able to </w:t>
      </w:r>
      <w:r w:rsidRPr="00CF7673">
        <w:rPr>
          <w:rFonts w:asciiTheme="minorHAnsi" w:hAnsiTheme="minorHAnsi" w:cstheme="minorHAnsi"/>
          <w:color w:val="auto"/>
          <w:sz w:val="22"/>
          <w:szCs w:val="22"/>
        </w:rPr>
        <w:t>come to work (</w:t>
      </w:r>
      <w:r>
        <w:rPr>
          <w:rFonts w:asciiTheme="minorHAnsi" w:hAnsiTheme="minorHAnsi" w:cstheme="minorHAnsi"/>
          <w:color w:val="auto"/>
          <w:sz w:val="22"/>
          <w:szCs w:val="22"/>
        </w:rPr>
        <w:t>33 per cent) and staff hours having</w:t>
      </w:r>
      <w:r w:rsidRPr="00CF7673">
        <w:rPr>
          <w:rFonts w:asciiTheme="minorHAnsi" w:hAnsiTheme="minorHAnsi" w:cstheme="minorHAnsi"/>
          <w:color w:val="auto"/>
          <w:sz w:val="22"/>
          <w:szCs w:val="22"/>
        </w:rPr>
        <w:t xml:space="preserve"> to be reduced (24 per cent).</w:t>
      </w:r>
      <w:r w:rsidR="008A66A5">
        <w:rPr>
          <w:rFonts w:asciiTheme="minorHAnsi" w:hAnsiTheme="minorHAnsi" w:cstheme="minorHAnsi"/>
          <w:color w:val="auto"/>
          <w:sz w:val="22"/>
          <w:szCs w:val="22"/>
        </w:rPr>
        <w:t xml:space="preserve"> </w:t>
      </w:r>
    </w:p>
    <w:p w:rsidR="00CF7673" w:rsidRPr="00685068" w:rsidRDefault="00CF7673" w:rsidP="00CF7673">
      <w:pPr>
        <w:pStyle w:val="ListParagraph"/>
        <w:spacing w:after="0" w:line="240" w:lineRule="auto"/>
        <w:ind w:left="357"/>
        <w:jc w:val="both"/>
        <w:rPr>
          <w:rFonts w:asciiTheme="minorHAnsi" w:hAnsiTheme="minorHAnsi" w:cstheme="minorHAnsi"/>
          <w:color w:val="auto"/>
          <w:sz w:val="12"/>
          <w:szCs w:val="12"/>
        </w:rPr>
      </w:pPr>
    </w:p>
    <w:p w:rsidR="00CF7673" w:rsidRDefault="0081563D" w:rsidP="00D07122">
      <w:pPr>
        <w:pStyle w:val="ListParagraph"/>
        <w:numPr>
          <w:ilvl w:val="1"/>
          <w:numId w:val="10"/>
        </w:numPr>
        <w:spacing w:after="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One quarter o</w:t>
      </w:r>
      <w:r w:rsidR="00CF7673" w:rsidRPr="00C85BD1">
        <w:rPr>
          <w:rFonts w:asciiTheme="minorHAnsi" w:hAnsiTheme="minorHAnsi" w:cstheme="minorHAnsi"/>
          <w:color w:val="auto"/>
          <w:sz w:val="22"/>
          <w:szCs w:val="22"/>
        </w:rPr>
        <w:t>f th</w:t>
      </w:r>
      <w:r w:rsidR="007C39EA">
        <w:rPr>
          <w:rFonts w:asciiTheme="minorHAnsi" w:hAnsiTheme="minorHAnsi" w:cstheme="minorHAnsi"/>
          <w:color w:val="auto"/>
          <w:sz w:val="22"/>
          <w:szCs w:val="22"/>
        </w:rPr>
        <w:t>ose</w:t>
      </w:r>
      <w:r w:rsidR="00CF7673" w:rsidRPr="00C85BD1">
        <w:rPr>
          <w:rFonts w:asciiTheme="minorHAnsi" w:hAnsiTheme="minorHAnsi" w:cstheme="minorHAnsi"/>
          <w:color w:val="auto"/>
          <w:sz w:val="22"/>
          <w:szCs w:val="22"/>
        </w:rPr>
        <w:t xml:space="preserve"> employers whose staffing levels were impacted by the floods reported that staffing levels were still being affected at the time of the survey. </w:t>
      </w:r>
    </w:p>
    <w:p w:rsidR="000B1DAF" w:rsidRDefault="000B1DAF" w:rsidP="000B1DAF">
      <w:pPr>
        <w:pStyle w:val="ListParagraph"/>
        <w:spacing w:after="0" w:line="240" w:lineRule="auto"/>
        <w:ind w:left="360"/>
        <w:jc w:val="both"/>
        <w:rPr>
          <w:rFonts w:asciiTheme="minorHAnsi" w:hAnsiTheme="minorHAnsi" w:cstheme="minorHAnsi"/>
          <w:color w:val="auto"/>
          <w:sz w:val="22"/>
          <w:szCs w:val="22"/>
        </w:rPr>
      </w:pPr>
    </w:p>
    <w:p w:rsidR="000B1DAF" w:rsidRPr="000B1DAF" w:rsidRDefault="007E67F2" w:rsidP="000B1DAF">
      <w:pPr>
        <w:pStyle w:val="ListParagraph"/>
        <w:numPr>
          <w:ilvl w:val="0"/>
          <w:numId w:val="10"/>
        </w:numPr>
        <w:spacing w:after="20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Employers were less likely to use</w:t>
      </w:r>
      <w:r w:rsidR="000B1DAF" w:rsidRPr="000B1DAF">
        <w:rPr>
          <w:rFonts w:asciiTheme="minorHAnsi" w:hAnsiTheme="minorHAnsi" w:cstheme="minorHAnsi"/>
          <w:color w:val="auto"/>
          <w:sz w:val="22"/>
          <w:szCs w:val="22"/>
        </w:rPr>
        <w:t xml:space="preserve"> formal </w:t>
      </w:r>
      <w:r w:rsidR="00D07122">
        <w:rPr>
          <w:rFonts w:asciiTheme="minorHAnsi" w:hAnsiTheme="minorHAnsi" w:cstheme="minorHAnsi"/>
          <w:color w:val="auto"/>
          <w:sz w:val="22"/>
          <w:szCs w:val="22"/>
        </w:rPr>
        <w:t xml:space="preserve">recruitment </w:t>
      </w:r>
      <w:r w:rsidR="000B1DAF" w:rsidRPr="000B1DAF">
        <w:rPr>
          <w:rFonts w:asciiTheme="minorHAnsi" w:hAnsiTheme="minorHAnsi" w:cstheme="minorHAnsi"/>
          <w:color w:val="auto"/>
          <w:sz w:val="22"/>
          <w:szCs w:val="22"/>
        </w:rPr>
        <w:t>methods</w:t>
      </w:r>
      <w:r>
        <w:rPr>
          <w:rFonts w:asciiTheme="minorHAnsi" w:hAnsiTheme="minorHAnsi" w:cstheme="minorHAnsi"/>
          <w:color w:val="auto"/>
          <w:sz w:val="22"/>
          <w:szCs w:val="22"/>
        </w:rPr>
        <w:t xml:space="preserve"> in the region</w:t>
      </w:r>
      <w:r w:rsidR="000B1DAF" w:rsidRPr="000B1DAF">
        <w:rPr>
          <w:rFonts w:asciiTheme="minorHAnsi" w:hAnsiTheme="minorHAnsi" w:cstheme="minorHAnsi"/>
          <w:color w:val="auto"/>
          <w:sz w:val="22"/>
          <w:szCs w:val="22"/>
        </w:rPr>
        <w:t xml:space="preserve"> (49 per cent compared with 67 per cen</w:t>
      </w:r>
      <w:r>
        <w:rPr>
          <w:rFonts w:asciiTheme="minorHAnsi" w:hAnsiTheme="minorHAnsi" w:cstheme="minorHAnsi"/>
          <w:color w:val="auto"/>
          <w:sz w:val="22"/>
          <w:szCs w:val="22"/>
        </w:rPr>
        <w:t>t for</w:t>
      </w:r>
      <w:r w:rsidRPr="007E67F2">
        <w:rPr>
          <w:rFonts w:asciiTheme="minorHAnsi" w:hAnsiTheme="minorHAnsi" w:cstheme="minorHAnsi"/>
          <w:color w:val="auto"/>
          <w:sz w:val="22"/>
          <w:szCs w:val="22"/>
        </w:rPr>
        <w:t xml:space="preserve"> </w:t>
      </w:r>
      <w:r>
        <w:rPr>
          <w:rFonts w:asciiTheme="minorHAnsi" w:hAnsiTheme="minorHAnsi" w:cstheme="minorHAnsi"/>
          <w:color w:val="auto"/>
          <w:sz w:val="22"/>
          <w:szCs w:val="22"/>
        </w:rPr>
        <w:t>all regions surveyed</w:t>
      </w:r>
      <w:r w:rsidR="000B1DAF" w:rsidRPr="000B1DAF">
        <w:rPr>
          <w:rFonts w:asciiTheme="minorHAnsi" w:hAnsiTheme="minorHAnsi" w:cstheme="minorHAnsi"/>
          <w:color w:val="auto"/>
          <w:sz w:val="22"/>
          <w:szCs w:val="22"/>
        </w:rPr>
        <w:t>)</w:t>
      </w:r>
      <w:r>
        <w:rPr>
          <w:rFonts w:asciiTheme="minorHAnsi" w:hAnsiTheme="minorHAnsi" w:cstheme="minorHAnsi"/>
          <w:color w:val="auto"/>
          <w:sz w:val="22"/>
          <w:szCs w:val="22"/>
        </w:rPr>
        <w:t>. W</w:t>
      </w:r>
      <w:r w:rsidR="000B1DAF" w:rsidRPr="000B1DAF">
        <w:rPr>
          <w:rFonts w:asciiTheme="minorHAnsi" w:hAnsiTheme="minorHAnsi" w:cstheme="minorHAnsi"/>
          <w:color w:val="auto"/>
          <w:sz w:val="22"/>
          <w:szCs w:val="22"/>
        </w:rPr>
        <w:t xml:space="preserve">ord of mouth </w:t>
      </w:r>
      <w:r w:rsidR="006D37D6">
        <w:rPr>
          <w:rFonts w:asciiTheme="minorHAnsi" w:hAnsiTheme="minorHAnsi" w:cstheme="minorHAnsi"/>
          <w:color w:val="auto"/>
          <w:sz w:val="22"/>
          <w:szCs w:val="22"/>
        </w:rPr>
        <w:t xml:space="preserve">was </w:t>
      </w:r>
      <w:r w:rsidR="00D07122" w:rsidRPr="000B1DAF">
        <w:rPr>
          <w:rFonts w:asciiTheme="minorHAnsi" w:hAnsiTheme="minorHAnsi" w:cstheme="minorHAnsi"/>
          <w:color w:val="auto"/>
          <w:sz w:val="22"/>
          <w:szCs w:val="22"/>
        </w:rPr>
        <w:t xml:space="preserve">used </w:t>
      </w:r>
      <w:r w:rsidR="00D07122">
        <w:rPr>
          <w:rFonts w:asciiTheme="minorHAnsi" w:hAnsiTheme="minorHAnsi" w:cstheme="minorHAnsi"/>
          <w:color w:val="auto"/>
          <w:sz w:val="22"/>
          <w:szCs w:val="22"/>
        </w:rPr>
        <w:t>by almost half of all employers in their</w:t>
      </w:r>
      <w:r w:rsidR="00D07122" w:rsidRPr="000B1DAF">
        <w:rPr>
          <w:rFonts w:asciiTheme="minorHAnsi" w:hAnsiTheme="minorHAnsi" w:cstheme="minorHAnsi"/>
          <w:color w:val="auto"/>
          <w:sz w:val="22"/>
          <w:szCs w:val="22"/>
        </w:rPr>
        <w:t xml:space="preserve"> most recent recruitment rounds</w:t>
      </w:r>
      <w:r w:rsidR="00D07122">
        <w:rPr>
          <w:rFonts w:asciiTheme="minorHAnsi" w:hAnsiTheme="minorHAnsi" w:cstheme="minorHAnsi"/>
          <w:color w:val="auto"/>
          <w:sz w:val="22"/>
          <w:szCs w:val="22"/>
        </w:rPr>
        <w:t xml:space="preserve">. </w:t>
      </w:r>
      <w:r w:rsidR="00D07122" w:rsidRPr="000B1DAF">
        <w:rPr>
          <w:rFonts w:asciiTheme="minorHAnsi" w:hAnsiTheme="minorHAnsi" w:cstheme="minorHAnsi"/>
          <w:color w:val="auto"/>
          <w:sz w:val="22"/>
          <w:szCs w:val="22"/>
        </w:rPr>
        <w:t xml:space="preserve"> </w:t>
      </w:r>
    </w:p>
    <w:p w:rsidR="000B1DAF" w:rsidRPr="00685068" w:rsidRDefault="000B1DAF" w:rsidP="000B1DAF">
      <w:pPr>
        <w:pStyle w:val="ListParagraph"/>
        <w:spacing w:after="200" w:line="240" w:lineRule="auto"/>
        <w:ind w:left="1080"/>
        <w:jc w:val="both"/>
        <w:rPr>
          <w:rFonts w:asciiTheme="minorHAnsi" w:hAnsiTheme="minorHAnsi" w:cstheme="minorHAnsi"/>
          <w:color w:val="auto"/>
          <w:sz w:val="12"/>
          <w:szCs w:val="12"/>
        </w:rPr>
      </w:pPr>
    </w:p>
    <w:p w:rsidR="000B1DAF" w:rsidRPr="0095065C" w:rsidRDefault="000B1DAF" w:rsidP="000B1DAF">
      <w:pPr>
        <w:pStyle w:val="ListParagraph"/>
        <w:numPr>
          <w:ilvl w:val="0"/>
          <w:numId w:val="10"/>
        </w:numPr>
        <w:spacing w:after="0" w:line="240" w:lineRule="auto"/>
        <w:jc w:val="both"/>
        <w:rPr>
          <w:rFonts w:asciiTheme="minorHAnsi" w:hAnsiTheme="minorHAnsi" w:cstheme="minorHAnsi"/>
          <w:color w:val="auto"/>
          <w:sz w:val="22"/>
          <w:szCs w:val="22"/>
        </w:rPr>
      </w:pPr>
      <w:r w:rsidRPr="00C85BD1">
        <w:rPr>
          <w:rFonts w:asciiTheme="minorHAnsi" w:hAnsiTheme="minorHAnsi" w:cstheme="minorHAnsi"/>
          <w:color w:val="auto"/>
          <w:sz w:val="22"/>
          <w:szCs w:val="22"/>
        </w:rPr>
        <w:t>Some 11 per cent of employers used a J</w:t>
      </w:r>
      <w:r>
        <w:rPr>
          <w:rFonts w:asciiTheme="minorHAnsi" w:hAnsiTheme="minorHAnsi" w:cstheme="minorHAnsi"/>
          <w:color w:val="auto"/>
          <w:sz w:val="22"/>
          <w:szCs w:val="22"/>
        </w:rPr>
        <w:t xml:space="preserve">ob </w:t>
      </w:r>
      <w:r w:rsidRPr="00C85BD1">
        <w:rPr>
          <w:rFonts w:asciiTheme="minorHAnsi" w:hAnsiTheme="minorHAnsi" w:cstheme="minorHAnsi"/>
          <w:color w:val="auto"/>
          <w:sz w:val="22"/>
          <w:szCs w:val="22"/>
        </w:rPr>
        <w:t>S</w:t>
      </w:r>
      <w:r>
        <w:rPr>
          <w:rFonts w:asciiTheme="minorHAnsi" w:hAnsiTheme="minorHAnsi" w:cstheme="minorHAnsi"/>
          <w:color w:val="auto"/>
          <w:sz w:val="22"/>
          <w:szCs w:val="22"/>
        </w:rPr>
        <w:t xml:space="preserve">ervices </w:t>
      </w:r>
      <w:r w:rsidRPr="00C85BD1">
        <w:rPr>
          <w:rFonts w:asciiTheme="minorHAnsi" w:hAnsiTheme="minorHAnsi" w:cstheme="minorHAnsi"/>
          <w:color w:val="auto"/>
          <w:sz w:val="22"/>
          <w:szCs w:val="22"/>
        </w:rPr>
        <w:t>A</w:t>
      </w:r>
      <w:r>
        <w:rPr>
          <w:rFonts w:asciiTheme="minorHAnsi" w:hAnsiTheme="minorHAnsi" w:cstheme="minorHAnsi"/>
          <w:color w:val="auto"/>
          <w:sz w:val="22"/>
          <w:szCs w:val="22"/>
        </w:rPr>
        <w:t>ustralia</w:t>
      </w:r>
      <w:r w:rsidRPr="00C85BD1">
        <w:rPr>
          <w:rFonts w:asciiTheme="minorHAnsi" w:hAnsiTheme="minorHAnsi" w:cstheme="minorHAnsi"/>
          <w:color w:val="auto"/>
          <w:sz w:val="22"/>
          <w:szCs w:val="22"/>
        </w:rPr>
        <w:t xml:space="preserve"> provider in the 12 months preceding the survey</w:t>
      </w:r>
      <w:r>
        <w:rPr>
          <w:rFonts w:asciiTheme="minorHAnsi" w:hAnsiTheme="minorHAnsi" w:cstheme="minorHAnsi"/>
          <w:color w:val="auto"/>
          <w:sz w:val="22"/>
          <w:szCs w:val="22"/>
        </w:rPr>
        <w:t xml:space="preserve"> and</w:t>
      </w:r>
      <w:r w:rsidRPr="0095065C">
        <w:rPr>
          <w:rFonts w:asciiTheme="minorHAnsi" w:hAnsiTheme="minorHAnsi" w:cstheme="minorHAnsi"/>
          <w:color w:val="auto"/>
          <w:sz w:val="22"/>
          <w:szCs w:val="22"/>
        </w:rPr>
        <w:t xml:space="preserve"> 83 per cent were satisfied with the service.</w:t>
      </w:r>
    </w:p>
    <w:p w:rsidR="000B1DAF" w:rsidRPr="000B1DAF" w:rsidRDefault="000B1DAF" w:rsidP="000B1DAF">
      <w:pPr>
        <w:spacing w:after="0" w:line="240" w:lineRule="auto"/>
        <w:jc w:val="both"/>
        <w:rPr>
          <w:rFonts w:cstheme="minorHAnsi"/>
          <w:szCs w:val="22"/>
        </w:rPr>
      </w:pPr>
    </w:p>
    <w:p w:rsidR="00D347DF" w:rsidRPr="00A73F0B" w:rsidRDefault="00D347DF" w:rsidP="00CF7673">
      <w:pPr>
        <w:pStyle w:val="Heading1"/>
        <w:spacing w:before="240" w:after="0"/>
        <w:rPr>
          <w:sz w:val="36"/>
          <w:szCs w:val="36"/>
        </w:rPr>
      </w:pPr>
      <w:bookmarkStart w:id="26" w:name="_Toc340825532"/>
      <w:r w:rsidRPr="00A73F0B">
        <w:rPr>
          <w:sz w:val="36"/>
          <w:szCs w:val="36"/>
        </w:rPr>
        <w:lastRenderedPageBreak/>
        <w:t>Applicants and Suitability</w:t>
      </w:r>
      <w:bookmarkEnd w:id="26"/>
    </w:p>
    <w:p w:rsidR="00D347DF" w:rsidRPr="007D1BE8" w:rsidRDefault="00D347DF" w:rsidP="00D347DF">
      <w:pPr>
        <w:spacing w:after="0" w:line="240" w:lineRule="auto"/>
        <w:rPr>
          <w:rFonts w:cstheme="minorHAnsi"/>
          <w:b/>
          <w:bCs/>
          <w:iCs/>
          <w:sz w:val="12"/>
          <w:szCs w:val="12"/>
        </w:rPr>
      </w:pPr>
    </w:p>
    <w:p w:rsidR="00D347DF" w:rsidRPr="00C85BD1" w:rsidRDefault="00BC3539" w:rsidP="00CF7673">
      <w:pPr>
        <w:pStyle w:val="ListParagraph"/>
        <w:numPr>
          <w:ilvl w:val="0"/>
          <w:numId w:val="9"/>
        </w:numPr>
        <w:spacing w:after="0" w:line="240" w:lineRule="auto"/>
        <w:ind w:left="357" w:hanging="357"/>
        <w:jc w:val="both"/>
        <w:rPr>
          <w:rFonts w:asciiTheme="minorHAnsi" w:hAnsiTheme="minorHAnsi" w:cstheme="minorHAnsi"/>
          <w:bCs/>
          <w:iCs/>
          <w:color w:val="auto"/>
          <w:sz w:val="22"/>
          <w:szCs w:val="22"/>
        </w:rPr>
      </w:pPr>
      <w:r>
        <w:rPr>
          <w:rFonts w:asciiTheme="minorHAnsi" w:hAnsiTheme="minorHAnsi" w:cstheme="minorHAnsi"/>
          <w:bCs/>
          <w:iCs/>
          <w:color w:val="auto"/>
          <w:sz w:val="22"/>
          <w:szCs w:val="22"/>
        </w:rPr>
        <w:t xml:space="preserve">Competition for </w:t>
      </w:r>
      <w:r w:rsidR="00C51346">
        <w:rPr>
          <w:rFonts w:asciiTheme="minorHAnsi" w:hAnsiTheme="minorHAnsi" w:cstheme="minorHAnsi"/>
          <w:bCs/>
          <w:iCs/>
          <w:color w:val="auto"/>
          <w:sz w:val="22"/>
          <w:szCs w:val="22"/>
        </w:rPr>
        <w:t>vacancies</w:t>
      </w:r>
      <w:r>
        <w:rPr>
          <w:rFonts w:asciiTheme="minorHAnsi" w:hAnsiTheme="minorHAnsi" w:cstheme="minorHAnsi"/>
          <w:bCs/>
          <w:iCs/>
          <w:color w:val="auto"/>
          <w:sz w:val="22"/>
          <w:szCs w:val="22"/>
        </w:rPr>
        <w:t xml:space="preserve"> in the region was low with employers reporting an average of only 4.1 applicants per vacancy and 1.4 suitable applicants per vacancy.</w:t>
      </w:r>
      <w:r w:rsidR="00D347DF" w:rsidRPr="00C85BD1">
        <w:rPr>
          <w:rFonts w:asciiTheme="minorHAnsi" w:hAnsiTheme="minorHAnsi" w:cstheme="minorHAnsi"/>
          <w:bCs/>
          <w:iCs/>
          <w:color w:val="auto"/>
          <w:sz w:val="22"/>
          <w:szCs w:val="22"/>
        </w:rPr>
        <w:t xml:space="preserve"> </w:t>
      </w:r>
    </w:p>
    <w:p w:rsidR="00D347DF" w:rsidRPr="00714603" w:rsidRDefault="00D347DF" w:rsidP="00CF7673">
      <w:pPr>
        <w:pStyle w:val="Heading2"/>
        <w:spacing w:before="120"/>
        <w:rPr>
          <w:b w:val="0"/>
          <w:sz w:val="28"/>
          <w:szCs w:val="28"/>
        </w:rPr>
      </w:pPr>
      <w:bookmarkStart w:id="27" w:name="_Toc339462205"/>
      <w:bookmarkStart w:id="28" w:name="_Toc340824729"/>
      <w:bookmarkStart w:id="29" w:name="_Toc340825533"/>
      <w:r w:rsidRPr="00714603">
        <w:rPr>
          <w:b w:val="0"/>
          <w:sz w:val="28"/>
          <w:szCs w:val="28"/>
        </w:rPr>
        <w:t>Figure 2: Competition for vacancies by occupation</w:t>
      </w:r>
      <w:bookmarkEnd w:id="27"/>
      <w:bookmarkEnd w:id="28"/>
      <w:bookmarkEnd w:id="29"/>
    </w:p>
    <w:p w:rsidR="00D347DF" w:rsidRDefault="00D347DF" w:rsidP="00D347DF">
      <w:pPr>
        <w:spacing w:line="240" w:lineRule="auto"/>
        <w:contextualSpacing/>
        <w:rPr>
          <w:rFonts w:cstheme="minorHAnsi"/>
          <w:b/>
        </w:rPr>
      </w:pPr>
      <w:r w:rsidRPr="00104428">
        <w:rPr>
          <w:rFonts w:cstheme="minorHAnsi"/>
          <w:b/>
          <w:noProof/>
        </w:rPr>
        <w:drawing>
          <wp:inline distT="0" distB="0" distL="0" distR="0" wp14:anchorId="3AF3150E" wp14:editId="1A7B7CB3">
            <wp:extent cx="5695950" cy="279082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347DF" w:rsidRPr="00C85BD1" w:rsidRDefault="00D347DF" w:rsidP="00C57A55">
      <w:pPr>
        <w:pStyle w:val="ListParagraph"/>
        <w:numPr>
          <w:ilvl w:val="0"/>
          <w:numId w:val="9"/>
        </w:numPr>
        <w:spacing w:after="0" w:line="240" w:lineRule="auto"/>
        <w:ind w:left="357" w:hanging="357"/>
        <w:jc w:val="both"/>
        <w:rPr>
          <w:rFonts w:asciiTheme="minorHAnsi" w:hAnsiTheme="minorHAnsi" w:cstheme="minorHAnsi"/>
          <w:color w:val="auto"/>
          <w:sz w:val="22"/>
          <w:szCs w:val="22"/>
        </w:rPr>
      </w:pPr>
      <w:r w:rsidRPr="00C85BD1">
        <w:rPr>
          <w:rFonts w:asciiTheme="minorHAnsi" w:hAnsiTheme="minorHAnsi" w:cstheme="minorHAnsi"/>
          <w:color w:val="auto"/>
          <w:sz w:val="22"/>
          <w:szCs w:val="22"/>
        </w:rPr>
        <w:t>The most common reasons applicants were considered unsuitable were employability skills and personal characteristics (44 per cent)</w:t>
      </w:r>
      <w:r w:rsidRPr="00C85BD1">
        <w:rPr>
          <w:rStyle w:val="FootnoteReference"/>
          <w:rFonts w:asciiTheme="minorHAnsi" w:hAnsiTheme="minorHAnsi" w:cstheme="minorHAnsi"/>
          <w:color w:val="auto"/>
          <w:sz w:val="22"/>
          <w:szCs w:val="22"/>
        </w:rPr>
        <w:footnoteReference w:id="5"/>
      </w:r>
      <w:r w:rsidR="00734611">
        <w:rPr>
          <w:rFonts w:asciiTheme="minorHAnsi" w:hAnsiTheme="minorHAnsi" w:cstheme="minorHAnsi"/>
          <w:color w:val="auto"/>
          <w:sz w:val="22"/>
          <w:szCs w:val="22"/>
        </w:rPr>
        <w:t>,</w:t>
      </w:r>
      <w:r w:rsidRPr="00C85BD1">
        <w:rPr>
          <w:rFonts w:asciiTheme="minorHAnsi" w:hAnsiTheme="minorHAnsi" w:cstheme="minorHAnsi"/>
          <w:color w:val="auto"/>
          <w:sz w:val="22"/>
          <w:szCs w:val="22"/>
        </w:rPr>
        <w:t xml:space="preserve"> insufficient experience (43 per cent), and insufficient qualifications and training (33 per cent).  </w:t>
      </w:r>
    </w:p>
    <w:p w:rsidR="00D347DF" w:rsidRPr="00A73F0B" w:rsidRDefault="00D347DF" w:rsidP="00C57A55">
      <w:pPr>
        <w:pStyle w:val="Heading1"/>
        <w:spacing w:before="240" w:after="0"/>
        <w:rPr>
          <w:sz w:val="36"/>
          <w:szCs w:val="36"/>
        </w:rPr>
      </w:pPr>
      <w:bookmarkStart w:id="31" w:name="_Toc340825534"/>
      <w:r w:rsidRPr="00A73F0B">
        <w:rPr>
          <w:sz w:val="36"/>
          <w:szCs w:val="36"/>
        </w:rPr>
        <w:t>Future Recruitment Expectations</w:t>
      </w:r>
      <w:bookmarkEnd w:id="31"/>
    </w:p>
    <w:p w:rsidR="004062CB" w:rsidRPr="00C57A55" w:rsidRDefault="004062CB" w:rsidP="004062CB">
      <w:pPr>
        <w:pStyle w:val="ListParagraph"/>
        <w:spacing w:after="200" w:line="240" w:lineRule="auto"/>
        <w:ind w:left="360"/>
        <w:rPr>
          <w:rFonts w:asciiTheme="minorHAnsi" w:hAnsiTheme="minorHAnsi" w:cstheme="minorHAnsi"/>
          <w:b/>
          <w:sz w:val="12"/>
          <w:szCs w:val="12"/>
        </w:rPr>
      </w:pPr>
    </w:p>
    <w:p w:rsidR="00920E32" w:rsidRPr="00920E32" w:rsidRDefault="00A4130E" w:rsidP="00C57A55">
      <w:pPr>
        <w:pStyle w:val="ListParagraph"/>
        <w:numPr>
          <w:ilvl w:val="0"/>
          <w:numId w:val="12"/>
        </w:numPr>
        <w:spacing w:after="200" w:line="240" w:lineRule="auto"/>
        <w:ind w:left="357" w:hanging="357"/>
        <w:jc w:val="both"/>
        <w:rPr>
          <w:rFonts w:asciiTheme="minorHAnsi" w:hAnsiTheme="minorHAnsi" w:cstheme="minorHAnsi"/>
          <w:b/>
          <w:color w:val="auto"/>
          <w:sz w:val="22"/>
          <w:szCs w:val="22"/>
        </w:rPr>
      </w:pPr>
      <w:r w:rsidRPr="00920E32">
        <w:rPr>
          <w:rFonts w:asciiTheme="minorHAnsi" w:hAnsiTheme="minorHAnsi" w:cstheme="minorHAnsi"/>
          <w:color w:val="auto"/>
          <w:sz w:val="22"/>
          <w:szCs w:val="22"/>
        </w:rPr>
        <w:t>Future recruitment expectations had softened since the region was last surveyed.</w:t>
      </w:r>
      <w:r w:rsidR="00920E32" w:rsidRPr="00920E32">
        <w:rPr>
          <w:rFonts w:asciiTheme="minorHAnsi" w:hAnsiTheme="minorHAnsi" w:cstheme="minorHAnsi"/>
          <w:color w:val="auto"/>
          <w:sz w:val="22"/>
          <w:szCs w:val="22"/>
        </w:rPr>
        <w:t xml:space="preserve"> </w:t>
      </w:r>
      <w:r w:rsidR="00D347DF" w:rsidRPr="00920E32">
        <w:rPr>
          <w:rFonts w:asciiTheme="minorHAnsi" w:hAnsiTheme="minorHAnsi" w:cstheme="minorHAnsi"/>
          <w:color w:val="auto"/>
          <w:sz w:val="22"/>
          <w:szCs w:val="22"/>
        </w:rPr>
        <w:t xml:space="preserve">Some 36 per cent of employers expected to recruit </w:t>
      </w:r>
      <w:r w:rsidR="00C51346" w:rsidRPr="00920E32">
        <w:rPr>
          <w:rFonts w:asciiTheme="minorHAnsi" w:hAnsiTheme="minorHAnsi" w:cstheme="minorHAnsi"/>
          <w:color w:val="auto"/>
          <w:sz w:val="22"/>
          <w:szCs w:val="22"/>
        </w:rPr>
        <w:t xml:space="preserve">following the survey </w:t>
      </w:r>
      <w:r w:rsidR="00D347DF" w:rsidRPr="00920E32">
        <w:rPr>
          <w:rFonts w:asciiTheme="minorHAnsi" w:hAnsiTheme="minorHAnsi" w:cstheme="minorHAnsi"/>
          <w:color w:val="auto"/>
          <w:sz w:val="22"/>
          <w:szCs w:val="22"/>
        </w:rPr>
        <w:t xml:space="preserve">and </w:t>
      </w:r>
      <w:r w:rsidRPr="00920E32">
        <w:rPr>
          <w:rFonts w:asciiTheme="minorHAnsi" w:hAnsiTheme="minorHAnsi" w:cstheme="minorHAnsi"/>
          <w:color w:val="auto"/>
          <w:sz w:val="22"/>
          <w:szCs w:val="22"/>
        </w:rPr>
        <w:t>19 per cent of employers expected to increase staff, lower compared with</w:t>
      </w:r>
      <w:r w:rsidR="00157494">
        <w:rPr>
          <w:rFonts w:asciiTheme="minorHAnsi" w:hAnsiTheme="minorHAnsi" w:cstheme="minorHAnsi"/>
          <w:color w:val="auto"/>
          <w:sz w:val="22"/>
          <w:szCs w:val="22"/>
        </w:rPr>
        <w:t xml:space="preserve"> </w:t>
      </w:r>
      <w:r w:rsidR="00C51346" w:rsidRPr="00920E32">
        <w:rPr>
          <w:rFonts w:asciiTheme="minorHAnsi" w:hAnsiTheme="minorHAnsi" w:cstheme="minorHAnsi"/>
          <w:color w:val="auto"/>
          <w:sz w:val="22"/>
          <w:szCs w:val="22"/>
        </w:rPr>
        <w:t xml:space="preserve">44 per cent and </w:t>
      </w:r>
      <w:r w:rsidRPr="00920E32">
        <w:rPr>
          <w:rFonts w:asciiTheme="minorHAnsi" w:hAnsiTheme="minorHAnsi" w:cstheme="minorHAnsi"/>
          <w:color w:val="auto"/>
          <w:sz w:val="22"/>
          <w:szCs w:val="22"/>
        </w:rPr>
        <w:t>29 per cent</w:t>
      </w:r>
      <w:r w:rsidR="00C51346" w:rsidRPr="00920E32">
        <w:rPr>
          <w:rFonts w:asciiTheme="minorHAnsi" w:hAnsiTheme="minorHAnsi" w:cstheme="minorHAnsi"/>
          <w:color w:val="auto"/>
          <w:sz w:val="22"/>
          <w:szCs w:val="22"/>
        </w:rPr>
        <w:t xml:space="preserve"> respectively</w:t>
      </w:r>
      <w:r w:rsidR="00157494">
        <w:rPr>
          <w:rFonts w:asciiTheme="minorHAnsi" w:hAnsiTheme="minorHAnsi" w:cstheme="minorHAnsi"/>
          <w:color w:val="auto"/>
          <w:sz w:val="22"/>
          <w:szCs w:val="22"/>
        </w:rPr>
        <w:t xml:space="preserve"> in the</w:t>
      </w:r>
      <w:r w:rsidRPr="00920E32">
        <w:rPr>
          <w:rFonts w:asciiTheme="minorHAnsi" w:hAnsiTheme="minorHAnsi" w:cstheme="minorHAnsi"/>
          <w:color w:val="auto"/>
          <w:sz w:val="22"/>
          <w:szCs w:val="22"/>
        </w:rPr>
        <w:t xml:space="preserve"> </w:t>
      </w:r>
      <w:r w:rsidR="00157494" w:rsidRPr="00920E32">
        <w:rPr>
          <w:rFonts w:asciiTheme="minorHAnsi" w:hAnsiTheme="minorHAnsi" w:cstheme="minorHAnsi"/>
          <w:color w:val="auto"/>
          <w:sz w:val="22"/>
          <w:szCs w:val="22"/>
        </w:rPr>
        <w:t>April 2011</w:t>
      </w:r>
      <w:r w:rsidR="00157494">
        <w:rPr>
          <w:rFonts w:asciiTheme="minorHAnsi" w:hAnsiTheme="minorHAnsi" w:cstheme="minorHAnsi"/>
          <w:color w:val="auto"/>
          <w:sz w:val="22"/>
          <w:szCs w:val="22"/>
        </w:rPr>
        <w:t xml:space="preserve"> survey.</w:t>
      </w:r>
    </w:p>
    <w:p w:rsidR="00D347DF" w:rsidRPr="00714603" w:rsidRDefault="00D347DF" w:rsidP="00C57A55">
      <w:pPr>
        <w:pStyle w:val="Heading2"/>
        <w:spacing w:before="120"/>
        <w:rPr>
          <w:b w:val="0"/>
          <w:sz w:val="28"/>
          <w:szCs w:val="28"/>
        </w:rPr>
      </w:pPr>
      <w:bookmarkStart w:id="32" w:name="_Toc339462210"/>
      <w:bookmarkStart w:id="33" w:name="_Toc340824731"/>
      <w:bookmarkStart w:id="34" w:name="_Toc340825535"/>
      <w:r w:rsidRPr="00714603">
        <w:rPr>
          <w:b w:val="0"/>
          <w:sz w:val="28"/>
          <w:szCs w:val="28"/>
        </w:rPr>
        <w:t>Table 3: Future recruitment expectations</w:t>
      </w:r>
      <w:bookmarkEnd w:id="32"/>
      <w:bookmarkEnd w:id="33"/>
      <w:bookmarkEnd w:id="34"/>
    </w:p>
    <w:tbl>
      <w:tblPr>
        <w:tblStyle w:val="TableGrid"/>
        <w:tblW w:w="9130" w:type="dxa"/>
        <w:tblLayout w:type="fixed"/>
        <w:tblLook w:val="04A0" w:firstRow="1" w:lastRow="0" w:firstColumn="1" w:lastColumn="0" w:noHBand="0" w:noVBand="1"/>
      </w:tblPr>
      <w:tblGrid>
        <w:gridCol w:w="3976"/>
        <w:gridCol w:w="1431"/>
        <w:gridCol w:w="1432"/>
        <w:gridCol w:w="2291"/>
      </w:tblGrid>
      <w:tr w:rsidR="00D347DF" w:rsidRPr="00E5661C" w:rsidTr="00C57A55">
        <w:trPr>
          <w:cantSplit/>
          <w:trHeight w:val="180"/>
        </w:trPr>
        <w:tc>
          <w:tcPr>
            <w:tcW w:w="3976" w:type="dxa"/>
            <w:shd w:val="clear" w:color="auto" w:fill="165788"/>
            <w:vAlign w:val="center"/>
          </w:tcPr>
          <w:p w:rsidR="004062CB" w:rsidRPr="004062CB" w:rsidRDefault="004062CB" w:rsidP="004062CB">
            <w:pPr>
              <w:keepNext/>
              <w:spacing w:before="0"/>
              <w:contextualSpacing/>
              <w:jc w:val="center"/>
              <w:rPr>
                <w:rFonts w:cstheme="minorHAnsi"/>
                <w:b/>
                <w:color w:val="FFFFFF" w:themeColor="background1"/>
              </w:rPr>
            </w:pPr>
            <w:r w:rsidRPr="004062CB">
              <w:rPr>
                <w:rFonts w:cstheme="minorHAnsi"/>
                <w:b/>
                <w:color w:val="FFFFFF" w:themeColor="background1"/>
              </w:rPr>
              <w:t>Key Indicator</w:t>
            </w:r>
          </w:p>
        </w:tc>
        <w:tc>
          <w:tcPr>
            <w:tcW w:w="1431" w:type="dxa"/>
            <w:shd w:val="clear" w:color="auto" w:fill="165788"/>
            <w:vAlign w:val="center"/>
          </w:tcPr>
          <w:p w:rsidR="00D347DF" w:rsidRPr="004062CB" w:rsidRDefault="00D347DF" w:rsidP="004062CB">
            <w:pPr>
              <w:pStyle w:val="TableHeading"/>
              <w:spacing w:before="0" w:beforeAutospacing="0"/>
              <w:jc w:val="center"/>
            </w:pPr>
            <w:r w:rsidRPr="004062CB">
              <w:t>Sturt ESA</w:t>
            </w:r>
            <w:r w:rsidRPr="004062CB">
              <w:br/>
              <w:t>August 2012</w:t>
            </w:r>
          </w:p>
        </w:tc>
        <w:tc>
          <w:tcPr>
            <w:tcW w:w="1432" w:type="dxa"/>
            <w:shd w:val="clear" w:color="auto" w:fill="165788"/>
            <w:vAlign w:val="center"/>
          </w:tcPr>
          <w:p w:rsidR="00D347DF" w:rsidRPr="004062CB" w:rsidRDefault="00D347DF" w:rsidP="004062CB">
            <w:pPr>
              <w:pStyle w:val="TableHeading"/>
              <w:spacing w:before="0" w:beforeAutospacing="0"/>
              <w:jc w:val="center"/>
            </w:pPr>
            <w:r w:rsidRPr="004062CB">
              <w:t>Sturt ESA</w:t>
            </w:r>
            <w:r w:rsidRPr="004062CB">
              <w:br/>
              <w:t>April 2011</w:t>
            </w:r>
          </w:p>
        </w:tc>
        <w:tc>
          <w:tcPr>
            <w:tcW w:w="2291" w:type="dxa"/>
            <w:shd w:val="clear" w:color="auto" w:fill="165788"/>
            <w:vAlign w:val="center"/>
          </w:tcPr>
          <w:p w:rsidR="00D347DF" w:rsidRPr="004062CB" w:rsidRDefault="00D347DF" w:rsidP="004062CB">
            <w:pPr>
              <w:pStyle w:val="TableHeading"/>
              <w:spacing w:before="0" w:beforeAutospacing="0" w:after="0" w:afterAutospacing="0"/>
              <w:jc w:val="center"/>
            </w:pPr>
            <w:r w:rsidRPr="004062CB">
              <w:t>All Regions Surveyed</w:t>
            </w:r>
          </w:p>
          <w:p w:rsidR="00D347DF" w:rsidRPr="004062CB" w:rsidRDefault="00D347DF" w:rsidP="004062CB">
            <w:pPr>
              <w:pStyle w:val="TableHeading"/>
              <w:spacing w:before="0" w:beforeAutospacing="0" w:after="0" w:afterAutospacing="0"/>
              <w:jc w:val="center"/>
            </w:pPr>
            <w:r w:rsidRPr="004062CB">
              <w:t>12 Months to September 2012</w:t>
            </w:r>
          </w:p>
        </w:tc>
      </w:tr>
      <w:tr w:rsidR="00D347DF" w:rsidRPr="007B6C82" w:rsidTr="00C57A55">
        <w:trPr>
          <w:cantSplit/>
          <w:trHeight w:val="307"/>
        </w:trPr>
        <w:tc>
          <w:tcPr>
            <w:tcW w:w="3976" w:type="dxa"/>
            <w:tcMar>
              <w:top w:w="113" w:type="dxa"/>
              <w:bottom w:w="113" w:type="dxa"/>
            </w:tcMar>
            <w:vAlign w:val="center"/>
          </w:tcPr>
          <w:p w:rsidR="00D347DF" w:rsidRPr="001C21F0" w:rsidRDefault="00D347DF" w:rsidP="004062CB">
            <w:pPr>
              <w:pStyle w:val="NormalWeb"/>
              <w:spacing w:before="0" w:beforeAutospacing="0" w:after="0"/>
              <w:textAlignment w:val="bottom"/>
              <w:rPr>
                <w:rFonts w:cstheme="minorHAnsi"/>
                <w:b/>
              </w:rPr>
            </w:pPr>
            <w:r w:rsidRPr="001C21F0">
              <w:rPr>
                <w:rFonts w:cstheme="minorHAnsi"/>
                <w:b/>
                <w:color w:val="000000"/>
                <w:kern w:val="24"/>
              </w:rPr>
              <w:t>Will recruit</w:t>
            </w:r>
            <w:r w:rsidRPr="001C21F0">
              <w:rPr>
                <w:rFonts w:cstheme="minorHAnsi"/>
                <w:b/>
                <w:bCs/>
                <w:color w:val="000000"/>
                <w:kern w:val="24"/>
              </w:rPr>
              <w:t xml:space="preserve"> </w:t>
            </w:r>
          </w:p>
        </w:tc>
        <w:tc>
          <w:tcPr>
            <w:tcW w:w="1431" w:type="dxa"/>
            <w:vAlign w:val="center"/>
          </w:tcPr>
          <w:p w:rsidR="00D347DF" w:rsidRPr="001C21F0" w:rsidRDefault="00D347DF" w:rsidP="00DC6B5D">
            <w:pPr>
              <w:pStyle w:val="NormalWeb"/>
              <w:spacing w:before="0" w:after="0"/>
              <w:jc w:val="center"/>
              <w:textAlignment w:val="bottom"/>
              <w:rPr>
                <w:rFonts w:cstheme="minorHAnsi"/>
              </w:rPr>
            </w:pPr>
            <w:r w:rsidRPr="001C21F0">
              <w:rPr>
                <w:rFonts w:cstheme="minorHAnsi"/>
              </w:rPr>
              <w:t>36%</w:t>
            </w:r>
          </w:p>
        </w:tc>
        <w:tc>
          <w:tcPr>
            <w:tcW w:w="1432" w:type="dxa"/>
            <w:vAlign w:val="center"/>
          </w:tcPr>
          <w:p w:rsidR="00D347DF" w:rsidRPr="001C21F0" w:rsidRDefault="00D347DF" w:rsidP="00DC6B5D">
            <w:pPr>
              <w:pStyle w:val="NormalWeb"/>
              <w:spacing w:before="0" w:after="0"/>
              <w:jc w:val="center"/>
              <w:textAlignment w:val="bottom"/>
              <w:rPr>
                <w:rFonts w:cstheme="minorHAnsi"/>
              </w:rPr>
            </w:pPr>
            <w:r w:rsidRPr="001C21F0">
              <w:rPr>
                <w:rFonts w:cstheme="minorHAnsi"/>
              </w:rPr>
              <w:t>44%</w:t>
            </w:r>
          </w:p>
        </w:tc>
        <w:tc>
          <w:tcPr>
            <w:tcW w:w="2291" w:type="dxa"/>
            <w:tcMar>
              <w:top w:w="113" w:type="dxa"/>
              <w:bottom w:w="113" w:type="dxa"/>
            </w:tcMar>
            <w:vAlign w:val="center"/>
          </w:tcPr>
          <w:p w:rsidR="00D347DF" w:rsidRPr="001C21F0" w:rsidRDefault="00D347DF" w:rsidP="00DC6B5D">
            <w:pPr>
              <w:pStyle w:val="NormalWeb"/>
              <w:spacing w:before="0" w:after="0"/>
              <w:jc w:val="center"/>
              <w:textAlignment w:val="bottom"/>
              <w:rPr>
                <w:rFonts w:cstheme="minorHAnsi"/>
              </w:rPr>
            </w:pPr>
            <w:r>
              <w:rPr>
                <w:rFonts w:cstheme="minorHAnsi"/>
              </w:rPr>
              <w:t>47</w:t>
            </w:r>
            <w:r w:rsidRPr="001C21F0">
              <w:rPr>
                <w:rFonts w:cstheme="minorHAnsi"/>
              </w:rPr>
              <w:t>%</w:t>
            </w:r>
          </w:p>
        </w:tc>
      </w:tr>
      <w:tr w:rsidR="00D347DF" w:rsidRPr="007B6C82" w:rsidTr="00C57A55">
        <w:trPr>
          <w:cantSplit/>
          <w:trHeight w:val="113"/>
        </w:trPr>
        <w:tc>
          <w:tcPr>
            <w:tcW w:w="3976" w:type="dxa"/>
            <w:tcMar>
              <w:top w:w="113" w:type="dxa"/>
              <w:bottom w:w="113" w:type="dxa"/>
            </w:tcMar>
            <w:vAlign w:val="center"/>
          </w:tcPr>
          <w:p w:rsidR="00D347DF" w:rsidRPr="001C21F0" w:rsidRDefault="00D347DF" w:rsidP="00DC6B5D">
            <w:pPr>
              <w:pStyle w:val="NormalWeb"/>
              <w:spacing w:before="0" w:after="0"/>
              <w:textAlignment w:val="bottom"/>
              <w:rPr>
                <w:rFonts w:cstheme="minorHAnsi"/>
                <w:b/>
              </w:rPr>
            </w:pPr>
            <w:r w:rsidRPr="001C21F0">
              <w:rPr>
                <w:rFonts w:cstheme="minorHAnsi"/>
                <w:b/>
                <w:color w:val="000000"/>
                <w:kern w:val="24"/>
              </w:rPr>
              <w:t>Expect to increase staff</w:t>
            </w:r>
          </w:p>
        </w:tc>
        <w:tc>
          <w:tcPr>
            <w:tcW w:w="1431" w:type="dxa"/>
            <w:vAlign w:val="center"/>
          </w:tcPr>
          <w:p w:rsidR="00D347DF" w:rsidRPr="001C21F0" w:rsidRDefault="00D347DF" w:rsidP="00DC6B5D">
            <w:pPr>
              <w:pStyle w:val="NormalWeb"/>
              <w:spacing w:before="0" w:after="0"/>
              <w:jc w:val="center"/>
              <w:textAlignment w:val="bottom"/>
              <w:rPr>
                <w:rFonts w:cstheme="minorHAnsi"/>
              </w:rPr>
            </w:pPr>
            <w:r w:rsidRPr="001C21F0">
              <w:rPr>
                <w:rFonts w:cstheme="minorHAnsi"/>
              </w:rPr>
              <w:t>19%</w:t>
            </w:r>
          </w:p>
        </w:tc>
        <w:tc>
          <w:tcPr>
            <w:tcW w:w="1432" w:type="dxa"/>
            <w:vAlign w:val="center"/>
          </w:tcPr>
          <w:p w:rsidR="00D347DF" w:rsidRPr="001C21F0" w:rsidRDefault="00D347DF" w:rsidP="00DC6B5D">
            <w:pPr>
              <w:pStyle w:val="NormalWeb"/>
              <w:spacing w:before="0" w:after="0"/>
              <w:jc w:val="center"/>
              <w:textAlignment w:val="bottom"/>
              <w:rPr>
                <w:rFonts w:cstheme="minorHAnsi"/>
              </w:rPr>
            </w:pPr>
            <w:r w:rsidRPr="001C21F0">
              <w:rPr>
                <w:rFonts w:cstheme="minorHAnsi"/>
              </w:rPr>
              <w:t>29%</w:t>
            </w:r>
          </w:p>
        </w:tc>
        <w:tc>
          <w:tcPr>
            <w:tcW w:w="2291" w:type="dxa"/>
            <w:tcMar>
              <w:top w:w="113" w:type="dxa"/>
              <w:bottom w:w="113" w:type="dxa"/>
            </w:tcMar>
            <w:vAlign w:val="center"/>
          </w:tcPr>
          <w:p w:rsidR="00D347DF" w:rsidRPr="001C21F0" w:rsidRDefault="00D347DF" w:rsidP="00DC6B5D">
            <w:pPr>
              <w:pStyle w:val="NormalWeb"/>
              <w:spacing w:before="0" w:after="0"/>
              <w:jc w:val="center"/>
              <w:textAlignment w:val="bottom"/>
              <w:rPr>
                <w:rFonts w:cstheme="minorHAnsi"/>
              </w:rPr>
            </w:pPr>
            <w:r>
              <w:rPr>
                <w:rFonts w:cstheme="minorHAnsi"/>
              </w:rPr>
              <w:t>25</w:t>
            </w:r>
            <w:r w:rsidRPr="001C21F0">
              <w:rPr>
                <w:rFonts w:cstheme="minorHAnsi"/>
              </w:rPr>
              <w:t>%</w:t>
            </w:r>
          </w:p>
        </w:tc>
      </w:tr>
      <w:tr w:rsidR="00D347DF" w:rsidRPr="007B6C82" w:rsidTr="00C57A55">
        <w:trPr>
          <w:cantSplit/>
          <w:trHeight w:val="113"/>
        </w:trPr>
        <w:tc>
          <w:tcPr>
            <w:tcW w:w="3976" w:type="dxa"/>
            <w:tcMar>
              <w:top w:w="113" w:type="dxa"/>
              <w:bottom w:w="113" w:type="dxa"/>
            </w:tcMar>
            <w:vAlign w:val="center"/>
          </w:tcPr>
          <w:p w:rsidR="00D347DF" w:rsidRPr="001C21F0" w:rsidRDefault="00D347DF" w:rsidP="00DC6B5D">
            <w:pPr>
              <w:pStyle w:val="NormalWeb"/>
              <w:spacing w:before="0" w:after="0"/>
              <w:textAlignment w:val="bottom"/>
              <w:rPr>
                <w:rFonts w:cstheme="minorHAnsi"/>
                <w:b/>
              </w:rPr>
            </w:pPr>
            <w:r w:rsidRPr="001C21F0">
              <w:rPr>
                <w:rFonts w:cstheme="minorHAnsi"/>
                <w:b/>
                <w:color w:val="000000"/>
                <w:kern w:val="24"/>
              </w:rPr>
              <w:t>Expect to reduce staff</w:t>
            </w:r>
          </w:p>
        </w:tc>
        <w:tc>
          <w:tcPr>
            <w:tcW w:w="1431" w:type="dxa"/>
            <w:vAlign w:val="center"/>
          </w:tcPr>
          <w:p w:rsidR="00D347DF" w:rsidRPr="001C21F0" w:rsidRDefault="00D347DF" w:rsidP="00DC6B5D">
            <w:pPr>
              <w:pStyle w:val="NormalWeb"/>
              <w:spacing w:before="0" w:after="0"/>
              <w:jc w:val="center"/>
              <w:textAlignment w:val="bottom"/>
              <w:rPr>
                <w:rFonts w:cstheme="minorHAnsi"/>
              </w:rPr>
            </w:pPr>
            <w:r w:rsidRPr="001C21F0">
              <w:rPr>
                <w:rFonts w:cstheme="minorHAnsi"/>
              </w:rPr>
              <w:t>4%</w:t>
            </w:r>
          </w:p>
        </w:tc>
        <w:tc>
          <w:tcPr>
            <w:tcW w:w="1432" w:type="dxa"/>
            <w:vAlign w:val="center"/>
          </w:tcPr>
          <w:p w:rsidR="00D347DF" w:rsidRPr="001C21F0" w:rsidRDefault="00D347DF" w:rsidP="00DC6B5D">
            <w:pPr>
              <w:pStyle w:val="NormalWeb"/>
              <w:spacing w:before="0" w:after="0"/>
              <w:jc w:val="center"/>
              <w:textAlignment w:val="bottom"/>
              <w:rPr>
                <w:rFonts w:cstheme="minorHAnsi"/>
              </w:rPr>
            </w:pPr>
            <w:r w:rsidRPr="001C21F0">
              <w:rPr>
                <w:rFonts w:cstheme="minorHAnsi"/>
              </w:rPr>
              <w:t>1%</w:t>
            </w:r>
          </w:p>
        </w:tc>
        <w:tc>
          <w:tcPr>
            <w:tcW w:w="2291" w:type="dxa"/>
            <w:tcMar>
              <w:top w:w="113" w:type="dxa"/>
              <w:bottom w:w="113" w:type="dxa"/>
            </w:tcMar>
            <w:vAlign w:val="center"/>
          </w:tcPr>
          <w:p w:rsidR="00D347DF" w:rsidRPr="001C21F0" w:rsidRDefault="00D347DF" w:rsidP="00DC6B5D">
            <w:pPr>
              <w:pStyle w:val="NormalWeb"/>
              <w:spacing w:before="0" w:after="0"/>
              <w:jc w:val="center"/>
              <w:textAlignment w:val="bottom"/>
              <w:rPr>
                <w:rFonts w:cstheme="minorHAnsi"/>
              </w:rPr>
            </w:pPr>
            <w:r>
              <w:rPr>
                <w:rFonts w:cstheme="minorHAnsi"/>
              </w:rPr>
              <w:t>4</w:t>
            </w:r>
            <w:r w:rsidRPr="001C21F0">
              <w:rPr>
                <w:rFonts w:cstheme="minorHAnsi"/>
              </w:rPr>
              <w:t>%</w:t>
            </w:r>
          </w:p>
        </w:tc>
      </w:tr>
      <w:tr w:rsidR="00D347DF" w:rsidRPr="007B6C82" w:rsidTr="00C57A55">
        <w:trPr>
          <w:cantSplit/>
          <w:trHeight w:val="199"/>
        </w:trPr>
        <w:tc>
          <w:tcPr>
            <w:tcW w:w="3976" w:type="dxa"/>
            <w:tcMar>
              <w:top w:w="113" w:type="dxa"/>
              <w:bottom w:w="113" w:type="dxa"/>
            </w:tcMar>
            <w:vAlign w:val="center"/>
          </w:tcPr>
          <w:p w:rsidR="00D347DF" w:rsidRPr="001C21F0" w:rsidRDefault="00D347DF" w:rsidP="00DC6B5D">
            <w:pPr>
              <w:pStyle w:val="NormalWeb"/>
              <w:spacing w:before="0" w:after="0"/>
              <w:textAlignment w:val="bottom"/>
              <w:rPr>
                <w:rFonts w:cstheme="minorHAnsi"/>
                <w:b/>
              </w:rPr>
            </w:pPr>
            <w:r w:rsidRPr="001C21F0">
              <w:rPr>
                <w:rFonts w:cstheme="minorHAnsi"/>
                <w:b/>
                <w:color w:val="000000"/>
                <w:kern w:val="24"/>
              </w:rPr>
              <w:t>Expect difficulty</w:t>
            </w:r>
          </w:p>
        </w:tc>
        <w:tc>
          <w:tcPr>
            <w:tcW w:w="1431" w:type="dxa"/>
            <w:vAlign w:val="center"/>
          </w:tcPr>
          <w:p w:rsidR="00D347DF" w:rsidRPr="001C21F0" w:rsidRDefault="00D347DF" w:rsidP="00DC6B5D">
            <w:pPr>
              <w:pStyle w:val="NormalWeb"/>
              <w:spacing w:before="0" w:after="0"/>
              <w:jc w:val="center"/>
              <w:textAlignment w:val="bottom"/>
              <w:rPr>
                <w:rFonts w:cstheme="minorHAnsi"/>
              </w:rPr>
            </w:pPr>
            <w:r w:rsidRPr="001C21F0">
              <w:rPr>
                <w:rFonts w:cstheme="minorHAnsi"/>
              </w:rPr>
              <w:t>53%</w:t>
            </w:r>
          </w:p>
        </w:tc>
        <w:tc>
          <w:tcPr>
            <w:tcW w:w="1432" w:type="dxa"/>
            <w:vAlign w:val="center"/>
          </w:tcPr>
          <w:p w:rsidR="00D347DF" w:rsidRPr="001C21F0" w:rsidRDefault="00D347DF" w:rsidP="00DC6B5D">
            <w:pPr>
              <w:pStyle w:val="NormalWeb"/>
              <w:spacing w:before="0" w:after="0"/>
              <w:jc w:val="center"/>
              <w:textAlignment w:val="bottom"/>
              <w:rPr>
                <w:rFonts w:cstheme="minorHAnsi"/>
              </w:rPr>
            </w:pPr>
            <w:r w:rsidRPr="001C21F0">
              <w:rPr>
                <w:rFonts w:cstheme="minorHAnsi"/>
              </w:rPr>
              <w:t>54%</w:t>
            </w:r>
          </w:p>
        </w:tc>
        <w:tc>
          <w:tcPr>
            <w:tcW w:w="2291" w:type="dxa"/>
            <w:tcMar>
              <w:top w:w="113" w:type="dxa"/>
              <w:bottom w:w="113" w:type="dxa"/>
            </w:tcMar>
            <w:vAlign w:val="center"/>
          </w:tcPr>
          <w:p w:rsidR="00D347DF" w:rsidRPr="001C21F0" w:rsidRDefault="00D347DF" w:rsidP="00DC6B5D">
            <w:pPr>
              <w:pStyle w:val="NormalWeb"/>
              <w:spacing w:before="0" w:after="0"/>
              <w:jc w:val="center"/>
              <w:textAlignment w:val="bottom"/>
              <w:rPr>
                <w:rFonts w:cstheme="minorHAnsi"/>
              </w:rPr>
            </w:pPr>
            <w:r>
              <w:rPr>
                <w:rFonts w:cstheme="minorHAnsi"/>
              </w:rPr>
              <w:t>43</w:t>
            </w:r>
            <w:r w:rsidRPr="001C21F0">
              <w:rPr>
                <w:rFonts w:cstheme="minorHAnsi"/>
              </w:rPr>
              <w:t>%</w:t>
            </w:r>
          </w:p>
        </w:tc>
      </w:tr>
    </w:tbl>
    <w:p w:rsidR="001C67CB" w:rsidRDefault="001C67CB" w:rsidP="001C67CB">
      <w:pPr>
        <w:pStyle w:val="ListParagraph"/>
        <w:spacing w:after="0" w:line="240" w:lineRule="auto"/>
        <w:ind w:left="357"/>
        <w:rPr>
          <w:rFonts w:asciiTheme="minorHAnsi" w:hAnsiTheme="minorHAnsi" w:cstheme="minorHAnsi"/>
          <w:color w:val="auto"/>
          <w:sz w:val="22"/>
          <w:szCs w:val="22"/>
        </w:rPr>
      </w:pPr>
    </w:p>
    <w:p w:rsidR="00734611" w:rsidRPr="00734611" w:rsidRDefault="00734611" w:rsidP="00734611">
      <w:pPr>
        <w:pStyle w:val="ListParagraph"/>
        <w:numPr>
          <w:ilvl w:val="0"/>
          <w:numId w:val="12"/>
        </w:numPr>
        <w:spacing w:after="0" w:line="240" w:lineRule="auto"/>
        <w:jc w:val="both"/>
        <w:rPr>
          <w:rFonts w:asciiTheme="minorHAnsi" w:hAnsiTheme="minorHAnsi" w:cstheme="minorHAnsi"/>
          <w:b/>
          <w:sz w:val="22"/>
          <w:szCs w:val="22"/>
        </w:rPr>
      </w:pPr>
      <w:r w:rsidRPr="00734611">
        <w:rPr>
          <w:rFonts w:asciiTheme="minorHAnsi" w:hAnsiTheme="minorHAnsi" w:cstheme="minorHAnsi"/>
          <w:color w:val="auto"/>
          <w:sz w:val="22"/>
          <w:szCs w:val="22"/>
        </w:rPr>
        <w:t xml:space="preserve">A higher proportion of employers, however, expected to recruit in the Health Care and Social Assistance (65 per cent) and </w:t>
      </w:r>
      <w:proofErr w:type="gramStart"/>
      <w:r w:rsidRPr="00734611">
        <w:rPr>
          <w:rFonts w:asciiTheme="minorHAnsi" w:hAnsiTheme="minorHAnsi" w:cstheme="minorHAnsi"/>
          <w:color w:val="auto"/>
          <w:sz w:val="22"/>
          <w:szCs w:val="22"/>
        </w:rPr>
        <w:t>Manufacturing</w:t>
      </w:r>
      <w:proofErr w:type="gramEnd"/>
      <w:r w:rsidRPr="00734611">
        <w:rPr>
          <w:rFonts w:asciiTheme="minorHAnsi" w:hAnsiTheme="minorHAnsi" w:cstheme="minorHAnsi"/>
          <w:color w:val="auto"/>
          <w:sz w:val="22"/>
          <w:szCs w:val="22"/>
        </w:rPr>
        <w:t xml:space="preserve"> (41 per cent) industries</w:t>
      </w:r>
      <w:r w:rsidRPr="00734611">
        <w:rPr>
          <w:rFonts w:asciiTheme="minorHAnsi" w:hAnsiTheme="minorHAnsi" w:cstheme="minorHAnsi"/>
          <w:sz w:val="22"/>
          <w:szCs w:val="22"/>
        </w:rPr>
        <w:t>.</w:t>
      </w:r>
    </w:p>
    <w:p w:rsidR="00734611" w:rsidRPr="00734611" w:rsidRDefault="00734611" w:rsidP="00734611">
      <w:pPr>
        <w:pStyle w:val="ListParagraph"/>
        <w:spacing w:after="0" w:line="240" w:lineRule="auto"/>
        <w:ind w:left="357"/>
        <w:rPr>
          <w:rFonts w:asciiTheme="minorHAnsi" w:hAnsiTheme="minorHAnsi" w:cstheme="minorHAnsi"/>
          <w:color w:val="auto"/>
          <w:sz w:val="12"/>
          <w:szCs w:val="12"/>
        </w:rPr>
      </w:pPr>
    </w:p>
    <w:p w:rsidR="007023CE" w:rsidRPr="00A4130E" w:rsidRDefault="00506F0E" w:rsidP="001C67CB">
      <w:pPr>
        <w:pStyle w:val="ListParagraph"/>
        <w:numPr>
          <w:ilvl w:val="0"/>
          <w:numId w:val="13"/>
        </w:numPr>
        <w:spacing w:after="0" w:line="240" w:lineRule="auto"/>
        <w:ind w:left="357" w:hanging="357"/>
        <w:rPr>
          <w:rFonts w:asciiTheme="minorHAnsi" w:hAnsiTheme="minorHAnsi" w:cstheme="minorHAnsi"/>
          <w:color w:val="auto"/>
          <w:sz w:val="22"/>
          <w:szCs w:val="22"/>
        </w:rPr>
      </w:pPr>
      <w:r>
        <w:rPr>
          <w:rFonts w:asciiTheme="minorHAnsi" w:hAnsiTheme="minorHAnsi" w:cstheme="minorHAnsi"/>
          <w:color w:val="auto"/>
          <w:sz w:val="22"/>
          <w:szCs w:val="22"/>
        </w:rPr>
        <w:t>T</w:t>
      </w:r>
      <w:r w:rsidR="00FA23ED">
        <w:rPr>
          <w:rFonts w:asciiTheme="minorHAnsi" w:hAnsiTheme="minorHAnsi" w:cstheme="minorHAnsi"/>
          <w:color w:val="auto"/>
          <w:sz w:val="22"/>
          <w:szCs w:val="22"/>
        </w:rPr>
        <w:t>he 68 per cent of employers who expected challenges in the year ahead (compared with 58 per cent across all regions)</w:t>
      </w:r>
      <w:r w:rsidR="007023CE" w:rsidRPr="00A4130E">
        <w:rPr>
          <w:rFonts w:asciiTheme="minorHAnsi" w:hAnsiTheme="minorHAnsi" w:cstheme="minorHAnsi"/>
          <w:color w:val="auto"/>
          <w:sz w:val="22"/>
          <w:szCs w:val="22"/>
        </w:rPr>
        <w:t xml:space="preserve"> most frequently mentioned bus</w:t>
      </w:r>
      <w:r w:rsidR="00D405D3" w:rsidRPr="00A4130E">
        <w:rPr>
          <w:rFonts w:asciiTheme="minorHAnsi" w:hAnsiTheme="minorHAnsi" w:cstheme="minorHAnsi"/>
          <w:color w:val="auto"/>
          <w:sz w:val="22"/>
          <w:szCs w:val="22"/>
        </w:rPr>
        <w:t xml:space="preserve">iness regulations </w:t>
      </w:r>
      <w:r>
        <w:rPr>
          <w:rFonts w:asciiTheme="minorHAnsi" w:hAnsiTheme="minorHAnsi" w:cstheme="minorHAnsi"/>
          <w:color w:val="auto"/>
          <w:sz w:val="22"/>
          <w:szCs w:val="22"/>
        </w:rPr>
        <w:t xml:space="preserve">    </w:t>
      </w:r>
      <w:r w:rsidR="00D405D3" w:rsidRPr="00A4130E">
        <w:rPr>
          <w:rFonts w:asciiTheme="minorHAnsi" w:hAnsiTheme="minorHAnsi" w:cstheme="minorHAnsi"/>
          <w:color w:val="auto"/>
          <w:sz w:val="22"/>
          <w:szCs w:val="22"/>
        </w:rPr>
        <w:t>(50 per cent) and</w:t>
      </w:r>
      <w:r w:rsidR="007023CE" w:rsidRPr="00A4130E">
        <w:rPr>
          <w:rFonts w:asciiTheme="minorHAnsi" w:hAnsiTheme="minorHAnsi" w:cstheme="minorHAnsi"/>
          <w:color w:val="auto"/>
          <w:sz w:val="22"/>
          <w:szCs w:val="22"/>
        </w:rPr>
        <w:t xml:space="preserve"> reduced business</w:t>
      </w:r>
      <w:r w:rsidR="001C67CB">
        <w:rPr>
          <w:rFonts w:asciiTheme="minorHAnsi" w:hAnsiTheme="minorHAnsi" w:cstheme="minorHAnsi"/>
          <w:color w:val="auto"/>
          <w:sz w:val="22"/>
          <w:szCs w:val="22"/>
        </w:rPr>
        <w:t xml:space="preserve"> </w:t>
      </w:r>
      <w:r w:rsidR="007023CE" w:rsidRPr="00A4130E">
        <w:rPr>
          <w:rFonts w:asciiTheme="minorHAnsi" w:hAnsiTheme="minorHAnsi" w:cstheme="minorHAnsi"/>
          <w:color w:val="auto"/>
          <w:sz w:val="22"/>
          <w:szCs w:val="22"/>
        </w:rPr>
        <w:t>act</w:t>
      </w:r>
      <w:r w:rsidR="00D405D3" w:rsidRPr="00A4130E">
        <w:rPr>
          <w:rFonts w:asciiTheme="minorHAnsi" w:hAnsiTheme="minorHAnsi" w:cstheme="minorHAnsi"/>
          <w:color w:val="auto"/>
          <w:sz w:val="22"/>
          <w:szCs w:val="22"/>
        </w:rPr>
        <w:t xml:space="preserve">ivity (31 per cent) </w:t>
      </w:r>
      <w:r w:rsidR="007023CE" w:rsidRPr="00A4130E">
        <w:rPr>
          <w:rFonts w:asciiTheme="minorHAnsi" w:hAnsiTheme="minorHAnsi" w:cstheme="minorHAnsi"/>
          <w:color w:val="auto"/>
          <w:sz w:val="22"/>
          <w:szCs w:val="22"/>
        </w:rPr>
        <w:t>as expected challenges</w:t>
      </w:r>
      <w:r>
        <w:rPr>
          <w:rFonts w:asciiTheme="minorHAnsi" w:hAnsiTheme="minorHAnsi" w:cstheme="minorHAnsi"/>
          <w:color w:val="auto"/>
          <w:sz w:val="22"/>
          <w:szCs w:val="22"/>
        </w:rPr>
        <w:t>.</w:t>
      </w:r>
      <w:r w:rsidR="00FA23ED">
        <w:rPr>
          <w:rFonts w:asciiTheme="minorHAnsi" w:hAnsiTheme="minorHAnsi" w:cstheme="minorHAnsi"/>
          <w:color w:val="auto"/>
          <w:sz w:val="22"/>
          <w:szCs w:val="22"/>
        </w:rPr>
        <w:t xml:space="preserve"> </w:t>
      </w:r>
    </w:p>
    <w:p w:rsidR="00A542C6" w:rsidRPr="00685068" w:rsidRDefault="00A542C6" w:rsidP="00A542C6">
      <w:pPr>
        <w:pStyle w:val="ListParagraph"/>
        <w:spacing w:after="0" w:line="240" w:lineRule="auto"/>
        <w:ind w:left="357"/>
        <w:jc w:val="both"/>
        <w:rPr>
          <w:rFonts w:asciiTheme="minorHAnsi" w:hAnsiTheme="minorHAnsi" w:cstheme="minorHAnsi"/>
          <w:color w:val="auto"/>
          <w:sz w:val="12"/>
          <w:szCs w:val="12"/>
        </w:rPr>
      </w:pPr>
    </w:p>
    <w:p w:rsidR="00CA30F6" w:rsidRPr="00CA30F6" w:rsidRDefault="00D347DF" w:rsidP="00FC5F3E">
      <w:pPr>
        <w:pStyle w:val="ListParagraph"/>
        <w:numPr>
          <w:ilvl w:val="0"/>
          <w:numId w:val="13"/>
        </w:numPr>
        <w:spacing w:after="0" w:line="240" w:lineRule="auto"/>
        <w:ind w:left="357" w:hanging="357"/>
        <w:jc w:val="both"/>
        <w:rPr>
          <w:rFonts w:asciiTheme="minorHAnsi" w:hAnsiTheme="minorHAnsi" w:cstheme="minorHAnsi"/>
          <w:color w:val="auto"/>
          <w:sz w:val="22"/>
          <w:szCs w:val="22"/>
        </w:rPr>
      </w:pPr>
      <w:r w:rsidRPr="00CA30F6">
        <w:rPr>
          <w:rFonts w:asciiTheme="minorHAnsi" w:hAnsiTheme="minorHAnsi" w:cstheme="minorHAnsi"/>
          <w:color w:val="auto"/>
          <w:sz w:val="22"/>
          <w:szCs w:val="22"/>
        </w:rPr>
        <w:t xml:space="preserve">Employers expected to recruit for a range of </w:t>
      </w:r>
      <w:r w:rsidR="00CA30F6" w:rsidRPr="00CA30F6">
        <w:rPr>
          <w:rFonts w:asciiTheme="minorHAnsi" w:hAnsiTheme="minorHAnsi" w:cstheme="minorHAnsi"/>
          <w:color w:val="auto"/>
          <w:sz w:val="22"/>
          <w:szCs w:val="22"/>
        </w:rPr>
        <w:t xml:space="preserve">higher skilled </w:t>
      </w:r>
      <w:r w:rsidRPr="00CA30F6">
        <w:rPr>
          <w:rFonts w:asciiTheme="minorHAnsi" w:hAnsiTheme="minorHAnsi" w:cstheme="minorHAnsi"/>
          <w:color w:val="auto"/>
          <w:sz w:val="22"/>
          <w:szCs w:val="22"/>
        </w:rPr>
        <w:t>occupations in the 12 months</w:t>
      </w:r>
      <w:r w:rsidR="00A4130E">
        <w:rPr>
          <w:rFonts w:asciiTheme="minorHAnsi" w:hAnsiTheme="minorHAnsi" w:cstheme="minorHAnsi"/>
          <w:color w:val="auto"/>
          <w:sz w:val="22"/>
          <w:szCs w:val="22"/>
        </w:rPr>
        <w:t xml:space="preserve"> following the survey including Electronic Trades Workers,</w:t>
      </w:r>
      <w:r w:rsidR="00CA30F6" w:rsidRPr="00CA30F6">
        <w:rPr>
          <w:rFonts w:asciiTheme="minorHAnsi" w:hAnsiTheme="minorHAnsi" w:cstheme="minorHAnsi"/>
          <w:color w:val="auto"/>
          <w:sz w:val="22"/>
          <w:szCs w:val="22"/>
        </w:rPr>
        <w:t xml:space="preserve"> Motor Mech</w:t>
      </w:r>
      <w:r w:rsidR="00A4130E">
        <w:rPr>
          <w:rFonts w:asciiTheme="minorHAnsi" w:hAnsiTheme="minorHAnsi" w:cstheme="minorHAnsi"/>
          <w:color w:val="auto"/>
          <w:sz w:val="22"/>
          <w:szCs w:val="22"/>
        </w:rPr>
        <w:t>anics,</w:t>
      </w:r>
      <w:r w:rsidR="00CA30F6" w:rsidRPr="00CA30F6">
        <w:rPr>
          <w:rFonts w:asciiTheme="minorHAnsi" w:hAnsiTheme="minorHAnsi" w:cstheme="minorHAnsi"/>
          <w:color w:val="auto"/>
          <w:sz w:val="22"/>
          <w:szCs w:val="22"/>
        </w:rPr>
        <w:t xml:space="preserve"> Structural S</w:t>
      </w:r>
      <w:r w:rsidR="005868BF">
        <w:rPr>
          <w:rFonts w:asciiTheme="minorHAnsi" w:hAnsiTheme="minorHAnsi" w:cstheme="minorHAnsi"/>
          <w:color w:val="auto"/>
          <w:sz w:val="22"/>
          <w:szCs w:val="22"/>
        </w:rPr>
        <w:t>teel and Welding Trades Workers, Cabinetmakers</w:t>
      </w:r>
      <w:r w:rsidR="00CA30F6" w:rsidRPr="00CA30F6">
        <w:rPr>
          <w:rFonts w:asciiTheme="minorHAnsi" w:hAnsiTheme="minorHAnsi" w:cstheme="minorHAnsi"/>
          <w:color w:val="auto"/>
          <w:sz w:val="22"/>
          <w:szCs w:val="22"/>
        </w:rPr>
        <w:t xml:space="preserve"> and Chefs. </w:t>
      </w:r>
    </w:p>
    <w:p w:rsidR="00CA30F6" w:rsidRPr="00CA30F6" w:rsidRDefault="00CA30F6" w:rsidP="00563291">
      <w:pPr>
        <w:pStyle w:val="Heading1"/>
        <w:spacing w:before="0" w:after="0"/>
        <w:rPr>
          <w:sz w:val="22"/>
          <w:szCs w:val="22"/>
        </w:rPr>
      </w:pPr>
    </w:p>
    <w:p w:rsidR="00D347DF" w:rsidRPr="00A73F0B" w:rsidRDefault="00D347DF" w:rsidP="00FC5F3E">
      <w:pPr>
        <w:pStyle w:val="Heading1"/>
        <w:spacing w:before="0" w:after="0"/>
        <w:rPr>
          <w:sz w:val="36"/>
          <w:szCs w:val="36"/>
        </w:rPr>
      </w:pPr>
      <w:bookmarkStart w:id="35" w:name="_Toc340825536"/>
      <w:r w:rsidRPr="00A73F0B">
        <w:rPr>
          <w:sz w:val="36"/>
          <w:szCs w:val="36"/>
        </w:rPr>
        <w:t>Opportunities for Job Seekers</w:t>
      </w:r>
      <w:bookmarkEnd w:id="35"/>
    </w:p>
    <w:p w:rsidR="00D347DF" w:rsidRPr="00A7651B" w:rsidRDefault="00D347DF" w:rsidP="00563291">
      <w:pPr>
        <w:spacing w:before="0" w:after="0" w:line="240" w:lineRule="auto"/>
        <w:rPr>
          <w:rFonts w:cstheme="minorHAnsi"/>
          <w:b/>
        </w:rPr>
      </w:pPr>
    </w:p>
    <w:p w:rsidR="00D347DF" w:rsidRDefault="00D347DF" w:rsidP="00563291">
      <w:pPr>
        <w:pStyle w:val="ListParagraph"/>
        <w:numPr>
          <w:ilvl w:val="0"/>
          <w:numId w:val="14"/>
        </w:numPr>
        <w:spacing w:after="0" w:line="240" w:lineRule="auto"/>
        <w:ind w:left="357" w:hanging="357"/>
        <w:jc w:val="both"/>
        <w:rPr>
          <w:rFonts w:asciiTheme="minorHAnsi" w:hAnsiTheme="minorHAnsi" w:cstheme="minorHAnsi"/>
          <w:color w:val="auto"/>
          <w:sz w:val="22"/>
          <w:szCs w:val="22"/>
        </w:rPr>
      </w:pPr>
      <w:r w:rsidRPr="00C85BD1">
        <w:rPr>
          <w:rFonts w:asciiTheme="minorHAnsi" w:hAnsiTheme="minorHAnsi" w:cstheme="minorHAnsi"/>
          <w:color w:val="auto"/>
          <w:sz w:val="22"/>
          <w:szCs w:val="22"/>
        </w:rPr>
        <w:t xml:space="preserve">Employers expected to recruit for a range of occupations in the </w:t>
      </w:r>
      <w:r w:rsidR="0095065C">
        <w:rPr>
          <w:rFonts w:asciiTheme="minorHAnsi" w:hAnsiTheme="minorHAnsi" w:cstheme="minorHAnsi"/>
          <w:color w:val="auto"/>
          <w:sz w:val="22"/>
          <w:szCs w:val="22"/>
        </w:rPr>
        <w:t>year</w:t>
      </w:r>
      <w:r w:rsidRPr="00C85BD1">
        <w:rPr>
          <w:rFonts w:asciiTheme="minorHAnsi" w:hAnsiTheme="minorHAnsi" w:cstheme="minorHAnsi"/>
          <w:color w:val="auto"/>
          <w:sz w:val="22"/>
          <w:szCs w:val="22"/>
        </w:rPr>
        <w:t xml:space="preserve"> following the survey including a number of entry-level occupations such as Sales Assistants (General), Crop Farm Workers and Housekeepers. </w:t>
      </w:r>
    </w:p>
    <w:p w:rsidR="002F76D9" w:rsidRPr="002F76D9" w:rsidRDefault="002F76D9" w:rsidP="003F134A">
      <w:pPr>
        <w:pStyle w:val="ListParagraph"/>
        <w:spacing w:after="0" w:line="240" w:lineRule="auto"/>
        <w:ind w:left="357"/>
        <w:jc w:val="both"/>
        <w:rPr>
          <w:rFonts w:asciiTheme="minorHAnsi" w:hAnsiTheme="minorHAnsi" w:cstheme="minorHAnsi"/>
          <w:color w:val="auto"/>
          <w:sz w:val="12"/>
          <w:szCs w:val="12"/>
        </w:rPr>
      </w:pPr>
    </w:p>
    <w:p w:rsidR="00D347DF" w:rsidRDefault="00D347DF" w:rsidP="003F134A">
      <w:pPr>
        <w:pStyle w:val="ListParagraph"/>
        <w:numPr>
          <w:ilvl w:val="0"/>
          <w:numId w:val="14"/>
        </w:numPr>
        <w:spacing w:after="0" w:line="240" w:lineRule="auto"/>
        <w:ind w:left="357" w:hanging="357"/>
        <w:jc w:val="both"/>
        <w:rPr>
          <w:rFonts w:asciiTheme="minorHAnsi" w:hAnsiTheme="minorHAnsi" w:cstheme="minorHAnsi"/>
          <w:color w:val="auto"/>
          <w:sz w:val="22"/>
          <w:szCs w:val="22"/>
        </w:rPr>
      </w:pPr>
      <w:r w:rsidRPr="00C85BD1">
        <w:rPr>
          <w:rFonts w:asciiTheme="minorHAnsi" w:hAnsiTheme="minorHAnsi" w:cstheme="minorHAnsi"/>
          <w:color w:val="auto"/>
          <w:sz w:val="22"/>
          <w:szCs w:val="22"/>
        </w:rPr>
        <w:t xml:space="preserve">There may </w:t>
      </w:r>
      <w:r w:rsidR="00E75AB4">
        <w:rPr>
          <w:rFonts w:asciiTheme="minorHAnsi" w:hAnsiTheme="minorHAnsi" w:cstheme="minorHAnsi"/>
          <w:color w:val="auto"/>
          <w:sz w:val="22"/>
          <w:szCs w:val="22"/>
        </w:rPr>
        <w:t>also be</w:t>
      </w:r>
      <w:r w:rsidRPr="00C85BD1">
        <w:rPr>
          <w:rFonts w:asciiTheme="minorHAnsi" w:hAnsiTheme="minorHAnsi" w:cstheme="minorHAnsi"/>
          <w:color w:val="auto"/>
          <w:sz w:val="22"/>
          <w:szCs w:val="22"/>
        </w:rPr>
        <w:t xml:space="preserve"> opportunities in occupations for which employers experienced recruitment difficulty and a high proportion of unfilled vacancies, particularly Technicians and Trades Workers (Motor Mechanics</w:t>
      </w:r>
      <w:r w:rsidR="00480916">
        <w:rPr>
          <w:rFonts w:asciiTheme="minorHAnsi" w:hAnsiTheme="minorHAnsi" w:cstheme="minorHAnsi"/>
          <w:color w:val="auto"/>
          <w:sz w:val="22"/>
          <w:szCs w:val="22"/>
        </w:rPr>
        <w:t>, Panel B</w:t>
      </w:r>
      <w:r w:rsidRPr="00C85BD1">
        <w:rPr>
          <w:rFonts w:asciiTheme="minorHAnsi" w:hAnsiTheme="minorHAnsi" w:cstheme="minorHAnsi"/>
          <w:color w:val="auto"/>
          <w:sz w:val="22"/>
          <w:szCs w:val="22"/>
        </w:rPr>
        <w:t>eaters and Structural Steel and Welding Workers) and Machinery Operators and Drivers (Truck Divers</w:t>
      </w:r>
      <w:r w:rsidR="00FA23ED">
        <w:rPr>
          <w:rFonts w:asciiTheme="minorHAnsi" w:hAnsiTheme="minorHAnsi" w:cstheme="minorHAnsi"/>
          <w:color w:val="auto"/>
          <w:sz w:val="22"/>
          <w:szCs w:val="22"/>
        </w:rPr>
        <w:t>).</w:t>
      </w:r>
    </w:p>
    <w:p w:rsidR="002F76D9" w:rsidRPr="002F76D9" w:rsidRDefault="002F76D9" w:rsidP="003F134A">
      <w:pPr>
        <w:spacing w:before="0" w:after="0" w:line="240" w:lineRule="auto"/>
        <w:jc w:val="both"/>
        <w:rPr>
          <w:rFonts w:cstheme="minorHAnsi"/>
          <w:sz w:val="12"/>
          <w:szCs w:val="12"/>
        </w:rPr>
      </w:pPr>
    </w:p>
    <w:p w:rsidR="00D347DF" w:rsidRDefault="00E75AB4" w:rsidP="003F134A">
      <w:pPr>
        <w:pStyle w:val="ListParagraph"/>
        <w:numPr>
          <w:ilvl w:val="0"/>
          <w:numId w:val="14"/>
        </w:numPr>
        <w:spacing w:after="0" w:line="240" w:lineRule="auto"/>
        <w:ind w:left="357" w:hanging="357"/>
        <w:jc w:val="both"/>
        <w:rPr>
          <w:rFonts w:asciiTheme="minorHAnsi" w:hAnsiTheme="minorHAnsi" w:cstheme="minorHAnsi"/>
          <w:color w:val="auto"/>
          <w:sz w:val="22"/>
          <w:szCs w:val="22"/>
        </w:rPr>
      </w:pPr>
      <w:r>
        <w:rPr>
          <w:rFonts w:asciiTheme="minorHAnsi" w:hAnsiTheme="minorHAnsi" w:cstheme="minorHAnsi"/>
          <w:color w:val="auto"/>
          <w:sz w:val="22"/>
          <w:szCs w:val="22"/>
        </w:rPr>
        <w:t>O</w:t>
      </w:r>
      <w:r w:rsidR="00D347DF" w:rsidRPr="00C85BD1">
        <w:rPr>
          <w:rFonts w:asciiTheme="minorHAnsi" w:hAnsiTheme="minorHAnsi" w:cstheme="minorHAnsi"/>
          <w:color w:val="auto"/>
          <w:sz w:val="22"/>
          <w:szCs w:val="22"/>
        </w:rPr>
        <w:t>pportunities may exist in the Health Care and Social Assistance and Manufacturing industries where a large proportion of employers</w:t>
      </w:r>
      <w:r w:rsidR="00A542C6">
        <w:rPr>
          <w:rFonts w:asciiTheme="minorHAnsi" w:hAnsiTheme="minorHAnsi" w:cstheme="minorHAnsi"/>
          <w:color w:val="auto"/>
          <w:sz w:val="22"/>
          <w:szCs w:val="22"/>
        </w:rPr>
        <w:t xml:space="preserve"> expected to recruit</w:t>
      </w:r>
      <w:r w:rsidR="00FA23ED">
        <w:rPr>
          <w:rFonts w:asciiTheme="minorHAnsi" w:hAnsiTheme="minorHAnsi" w:cstheme="minorHAnsi"/>
          <w:color w:val="auto"/>
          <w:sz w:val="22"/>
          <w:szCs w:val="22"/>
        </w:rPr>
        <w:t>.</w:t>
      </w:r>
      <w:r w:rsidR="00D347DF" w:rsidRPr="00C85BD1">
        <w:rPr>
          <w:rFonts w:asciiTheme="minorHAnsi" w:hAnsiTheme="minorHAnsi" w:cstheme="minorHAnsi"/>
          <w:color w:val="auto"/>
          <w:sz w:val="22"/>
          <w:szCs w:val="22"/>
        </w:rPr>
        <w:t xml:space="preserve"> </w:t>
      </w:r>
    </w:p>
    <w:p w:rsidR="002F76D9" w:rsidRPr="002F76D9" w:rsidRDefault="002F76D9" w:rsidP="003F134A">
      <w:pPr>
        <w:spacing w:before="0" w:after="0" w:line="240" w:lineRule="auto"/>
        <w:jc w:val="both"/>
        <w:rPr>
          <w:rFonts w:cstheme="minorHAnsi"/>
          <w:sz w:val="12"/>
          <w:szCs w:val="12"/>
        </w:rPr>
      </w:pPr>
    </w:p>
    <w:p w:rsidR="00D347DF" w:rsidRPr="00C85BD1" w:rsidRDefault="00D347DF" w:rsidP="003F134A">
      <w:pPr>
        <w:pStyle w:val="ListParagraph"/>
        <w:numPr>
          <w:ilvl w:val="0"/>
          <w:numId w:val="14"/>
        </w:numPr>
        <w:spacing w:after="200" w:line="240" w:lineRule="auto"/>
        <w:jc w:val="both"/>
        <w:rPr>
          <w:rFonts w:asciiTheme="minorHAnsi" w:hAnsiTheme="minorHAnsi" w:cstheme="minorHAnsi"/>
          <w:color w:val="auto"/>
          <w:sz w:val="22"/>
          <w:szCs w:val="22"/>
        </w:rPr>
      </w:pPr>
      <w:r w:rsidRPr="00C85BD1">
        <w:rPr>
          <w:rFonts w:asciiTheme="minorHAnsi" w:hAnsiTheme="minorHAnsi" w:cstheme="minorHAnsi"/>
          <w:color w:val="auto"/>
          <w:sz w:val="22"/>
          <w:szCs w:val="22"/>
        </w:rPr>
        <w:t xml:space="preserve">One of the main reasons applicants were considered unsuitable for vacancies was a lack of experience. Support for work experience </w:t>
      </w:r>
      <w:r w:rsidR="000B1DAF">
        <w:rPr>
          <w:rFonts w:asciiTheme="minorHAnsi" w:hAnsiTheme="minorHAnsi" w:cstheme="minorHAnsi"/>
          <w:color w:val="auto"/>
          <w:sz w:val="22"/>
          <w:szCs w:val="22"/>
        </w:rPr>
        <w:t>and</w:t>
      </w:r>
      <w:r w:rsidRPr="00C85BD1">
        <w:rPr>
          <w:rFonts w:asciiTheme="minorHAnsi" w:hAnsiTheme="minorHAnsi" w:cstheme="minorHAnsi"/>
          <w:color w:val="auto"/>
          <w:sz w:val="22"/>
          <w:szCs w:val="22"/>
        </w:rPr>
        <w:t xml:space="preserve"> work readiness</w:t>
      </w:r>
      <w:r w:rsidR="007C39EA">
        <w:rPr>
          <w:rFonts w:asciiTheme="minorHAnsi" w:hAnsiTheme="minorHAnsi" w:cstheme="minorHAnsi"/>
          <w:color w:val="auto"/>
          <w:sz w:val="22"/>
          <w:szCs w:val="22"/>
        </w:rPr>
        <w:t xml:space="preserve"> </w:t>
      </w:r>
      <w:r w:rsidR="007C39EA" w:rsidRPr="00C85BD1">
        <w:rPr>
          <w:rFonts w:asciiTheme="minorHAnsi" w:hAnsiTheme="minorHAnsi" w:cstheme="minorHAnsi"/>
          <w:color w:val="auto"/>
          <w:sz w:val="22"/>
          <w:szCs w:val="22"/>
        </w:rPr>
        <w:t>programs</w:t>
      </w:r>
      <w:r w:rsidRPr="00C85BD1">
        <w:rPr>
          <w:rFonts w:asciiTheme="minorHAnsi" w:hAnsiTheme="minorHAnsi" w:cstheme="minorHAnsi"/>
          <w:color w:val="auto"/>
          <w:sz w:val="22"/>
          <w:szCs w:val="22"/>
        </w:rPr>
        <w:t xml:space="preserve"> could provide job seekers with the </w:t>
      </w:r>
      <w:r w:rsidR="007C39EA">
        <w:rPr>
          <w:rFonts w:asciiTheme="minorHAnsi" w:hAnsiTheme="minorHAnsi" w:cstheme="minorHAnsi"/>
          <w:color w:val="auto"/>
          <w:sz w:val="22"/>
          <w:szCs w:val="22"/>
        </w:rPr>
        <w:t xml:space="preserve">experience and </w:t>
      </w:r>
      <w:r w:rsidRPr="00C85BD1">
        <w:rPr>
          <w:rFonts w:asciiTheme="minorHAnsi" w:hAnsiTheme="minorHAnsi" w:cstheme="minorHAnsi"/>
          <w:color w:val="auto"/>
          <w:sz w:val="22"/>
          <w:szCs w:val="22"/>
        </w:rPr>
        <w:t>skills that empl</w:t>
      </w:r>
      <w:r w:rsidR="0095065C">
        <w:rPr>
          <w:rFonts w:asciiTheme="minorHAnsi" w:hAnsiTheme="minorHAnsi" w:cstheme="minorHAnsi"/>
          <w:color w:val="auto"/>
          <w:sz w:val="22"/>
          <w:szCs w:val="22"/>
        </w:rPr>
        <w:t>oyers are seeking</w:t>
      </w:r>
      <w:r w:rsidRPr="00C85BD1">
        <w:rPr>
          <w:rFonts w:asciiTheme="minorHAnsi" w:hAnsiTheme="minorHAnsi" w:cstheme="minorHAnsi"/>
          <w:color w:val="auto"/>
          <w:sz w:val="22"/>
          <w:szCs w:val="22"/>
        </w:rPr>
        <w:t>.</w:t>
      </w:r>
    </w:p>
    <w:p w:rsidR="004B1A2D" w:rsidRPr="00A73F0B" w:rsidRDefault="00A73F0B" w:rsidP="00D039ED">
      <w:pPr>
        <w:pStyle w:val="Heading1"/>
        <w:spacing w:before="0"/>
        <w:rPr>
          <w:sz w:val="36"/>
          <w:szCs w:val="36"/>
        </w:rPr>
      </w:pPr>
      <w:bookmarkStart w:id="36" w:name="_Toc340825537"/>
      <w:r w:rsidRPr="00A73F0B">
        <w:rPr>
          <w:sz w:val="36"/>
          <w:szCs w:val="36"/>
        </w:rPr>
        <w:t>M</w:t>
      </w:r>
      <w:r w:rsidR="001D51EA" w:rsidRPr="00A73F0B">
        <w:rPr>
          <w:sz w:val="36"/>
          <w:szCs w:val="36"/>
        </w:rPr>
        <w:t>ore Information</w:t>
      </w:r>
      <w:bookmarkEnd w:id="36"/>
    </w:p>
    <w:p w:rsidR="000F4437" w:rsidRPr="00A73F0B" w:rsidRDefault="000F4437" w:rsidP="00DA39EB">
      <w:pPr>
        <w:numPr>
          <w:ilvl w:val="0"/>
          <w:numId w:val="15"/>
        </w:numPr>
        <w:spacing w:before="60" w:line="240" w:lineRule="auto"/>
        <w:ind w:left="0" w:firstLine="0"/>
        <w:contextualSpacing/>
        <w:jc w:val="both"/>
        <w:rPr>
          <w:rFonts w:cstheme="minorHAnsi"/>
          <w:b/>
        </w:rPr>
      </w:pPr>
      <w:r w:rsidRPr="00A73F0B">
        <w:rPr>
          <w:rFonts w:cstheme="minorHAnsi"/>
          <w:b/>
        </w:rPr>
        <w:t>Labour Market Information Portal</w:t>
      </w:r>
    </w:p>
    <w:p w:rsidR="000F4437" w:rsidRDefault="00B97C44" w:rsidP="000F4437">
      <w:pPr>
        <w:tabs>
          <w:tab w:val="left" w:pos="720"/>
        </w:tabs>
        <w:contextualSpacing/>
      </w:pPr>
      <w:hyperlink r:id="rId29" w:history="1">
        <w:r w:rsidR="000F4437" w:rsidRPr="00456E8F">
          <w:rPr>
            <w:rStyle w:val="Hyperlink"/>
            <w:rFonts w:cstheme="minorHAnsi"/>
            <w:b/>
            <w:color w:val="00529C"/>
          </w:rPr>
          <w:t>www.deewr.gov.au/lmip</w:t>
        </w:r>
      </w:hyperlink>
    </w:p>
    <w:p w:rsidR="000F4437" w:rsidRPr="00A73F0B" w:rsidRDefault="000F4437" w:rsidP="00DA39EB">
      <w:pPr>
        <w:numPr>
          <w:ilvl w:val="0"/>
          <w:numId w:val="15"/>
        </w:numPr>
        <w:spacing w:before="60" w:line="240" w:lineRule="auto"/>
        <w:ind w:left="0" w:firstLine="0"/>
        <w:contextualSpacing/>
        <w:jc w:val="both"/>
        <w:rPr>
          <w:rFonts w:cstheme="minorHAnsi"/>
          <w:b/>
        </w:rPr>
      </w:pPr>
      <w:r w:rsidRPr="00A73F0B">
        <w:rPr>
          <w:rFonts w:cstheme="minorHAnsi"/>
          <w:b/>
        </w:rPr>
        <w:t xml:space="preserve">Skill Shortages </w:t>
      </w:r>
    </w:p>
    <w:p w:rsidR="000F4437" w:rsidRPr="00456E8F" w:rsidRDefault="000F4437" w:rsidP="000F4437">
      <w:pPr>
        <w:tabs>
          <w:tab w:val="left" w:pos="720"/>
        </w:tabs>
        <w:contextualSpacing/>
        <w:rPr>
          <w:rStyle w:val="Hyperlink"/>
          <w:rFonts w:cstheme="minorHAnsi"/>
          <w:b/>
          <w:color w:val="00529C"/>
        </w:rPr>
      </w:pPr>
      <w:r w:rsidRPr="00456E8F">
        <w:rPr>
          <w:rStyle w:val="Hyperlink"/>
          <w:rFonts w:cstheme="minorHAnsi"/>
          <w:b/>
          <w:color w:val="00529C"/>
        </w:rPr>
        <w:t>www.deewr.gov.au/skillshortages</w:t>
      </w:r>
    </w:p>
    <w:p w:rsidR="000F4437" w:rsidRPr="00A73F0B" w:rsidRDefault="000F4437" w:rsidP="00DA39EB">
      <w:pPr>
        <w:numPr>
          <w:ilvl w:val="0"/>
          <w:numId w:val="15"/>
        </w:numPr>
        <w:spacing w:before="60" w:line="240" w:lineRule="auto"/>
        <w:ind w:left="0" w:firstLine="0"/>
        <w:contextualSpacing/>
        <w:jc w:val="both"/>
        <w:rPr>
          <w:rFonts w:cstheme="minorHAnsi"/>
          <w:b/>
        </w:rPr>
      </w:pPr>
      <w:r w:rsidRPr="00A73F0B">
        <w:rPr>
          <w:rFonts w:cstheme="minorHAnsi"/>
          <w:b/>
        </w:rPr>
        <w:t>Survey of Employers’ Recruitment Experiences</w:t>
      </w:r>
    </w:p>
    <w:p w:rsidR="000F4437" w:rsidRPr="00456E8F" w:rsidRDefault="00B97C44" w:rsidP="000F4437">
      <w:pPr>
        <w:tabs>
          <w:tab w:val="left" w:pos="720"/>
        </w:tabs>
        <w:contextualSpacing/>
        <w:rPr>
          <w:rStyle w:val="Hyperlink"/>
          <w:rFonts w:cstheme="minorHAnsi"/>
          <w:color w:val="00529C"/>
        </w:rPr>
      </w:pPr>
      <w:hyperlink r:id="rId30" w:history="1">
        <w:r w:rsidR="000F4437" w:rsidRPr="00456E8F">
          <w:rPr>
            <w:rStyle w:val="Hyperlink"/>
            <w:rFonts w:cstheme="minorHAnsi"/>
            <w:b/>
            <w:color w:val="00529C"/>
          </w:rPr>
          <w:t>www.deewr.gov.au/regionalreports</w:t>
        </w:r>
      </w:hyperlink>
    </w:p>
    <w:p w:rsidR="000F4437" w:rsidRPr="00A73F0B" w:rsidRDefault="00A73F0B" w:rsidP="00DA39EB">
      <w:pPr>
        <w:numPr>
          <w:ilvl w:val="0"/>
          <w:numId w:val="15"/>
        </w:numPr>
        <w:spacing w:before="60" w:line="240" w:lineRule="auto"/>
        <w:ind w:left="0" w:firstLine="0"/>
        <w:contextualSpacing/>
        <w:jc w:val="both"/>
        <w:rPr>
          <w:rFonts w:cstheme="minorHAnsi"/>
          <w:b/>
        </w:rPr>
      </w:pPr>
      <w:r w:rsidRPr="00A73F0B">
        <w:rPr>
          <w:rFonts w:cstheme="minorHAnsi"/>
          <w:b/>
        </w:rPr>
        <w:t>A</w:t>
      </w:r>
      <w:r w:rsidR="000F4437" w:rsidRPr="00A73F0B">
        <w:rPr>
          <w:rFonts w:cstheme="minorHAnsi"/>
          <w:b/>
        </w:rPr>
        <w:t>ustralian Jobs 2012</w:t>
      </w:r>
    </w:p>
    <w:p w:rsidR="000F4437" w:rsidRPr="00EB073B" w:rsidRDefault="000F4437" w:rsidP="000F4437">
      <w:pPr>
        <w:tabs>
          <w:tab w:val="left" w:pos="720"/>
        </w:tabs>
        <w:contextualSpacing/>
        <w:rPr>
          <w:rFonts w:cstheme="minorHAnsi"/>
          <w:b/>
          <w:color w:val="365F91" w:themeColor="accent1" w:themeShade="BF"/>
          <w:u w:val="single"/>
        </w:rPr>
      </w:pPr>
      <w:r w:rsidRPr="00EB073B">
        <w:rPr>
          <w:b/>
          <w:color w:val="365F91" w:themeColor="accent1" w:themeShade="BF"/>
          <w:u w:val="single"/>
        </w:rPr>
        <w:t xml:space="preserve">www.deewr.gov.au/AustralianJobs </w:t>
      </w:r>
    </w:p>
    <w:p w:rsidR="000F4437" w:rsidRPr="00A73F0B" w:rsidRDefault="000F4437" w:rsidP="00A73F0B">
      <w:pPr>
        <w:numPr>
          <w:ilvl w:val="0"/>
          <w:numId w:val="15"/>
        </w:numPr>
        <w:spacing w:before="60" w:line="240" w:lineRule="auto"/>
        <w:ind w:left="0" w:firstLine="0"/>
        <w:contextualSpacing/>
        <w:jc w:val="both"/>
        <w:rPr>
          <w:rFonts w:cstheme="minorHAnsi"/>
          <w:b/>
        </w:rPr>
      </w:pPr>
      <w:r w:rsidRPr="00A73F0B">
        <w:rPr>
          <w:rFonts w:cstheme="minorHAnsi"/>
          <w:b/>
        </w:rPr>
        <w:t>Job Outlook</w:t>
      </w:r>
    </w:p>
    <w:p w:rsidR="000F4437" w:rsidRPr="00057B1A" w:rsidRDefault="00B97C44" w:rsidP="00A73F0B">
      <w:pPr>
        <w:tabs>
          <w:tab w:val="left" w:pos="720"/>
        </w:tabs>
        <w:spacing w:line="240" w:lineRule="auto"/>
        <w:rPr>
          <w:rStyle w:val="Hyperlink"/>
          <w:rFonts w:cstheme="minorHAnsi"/>
          <w:color w:val="365F91" w:themeColor="accent1" w:themeShade="BF"/>
        </w:rPr>
      </w:pPr>
      <w:hyperlink r:id="rId31" w:history="1">
        <w:r w:rsidR="000F4437" w:rsidRPr="00057B1A">
          <w:rPr>
            <w:rStyle w:val="Hyperlink"/>
            <w:rFonts w:cstheme="minorHAnsi"/>
            <w:b/>
            <w:color w:val="365F91" w:themeColor="accent1" w:themeShade="BF"/>
          </w:rPr>
          <w:t>www.joboutlook.gov.au</w:t>
        </w:r>
      </w:hyperlink>
    </w:p>
    <w:p w:rsidR="000F4437" w:rsidRPr="00A73F0B" w:rsidRDefault="000F4437" w:rsidP="00A73F0B">
      <w:pPr>
        <w:numPr>
          <w:ilvl w:val="0"/>
          <w:numId w:val="15"/>
        </w:numPr>
        <w:spacing w:before="0" w:after="0" w:line="240" w:lineRule="auto"/>
        <w:ind w:left="0" w:firstLine="0"/>
        <w:contextualSpacing/>
        <w:jc w:val="both"/>
        <w:rPr>
          <w:rFonts w:cstheme="minorHAnsi"/>
          <w:b/>
        </w:rPr>
      </w:pPr>
      <w:proofErr w:type="spellStart"/>
      <w:r w:rsidRPr="00A73F0B">
        <w:rPr>
          <w:rFonts w:cstheme="minorHAnsi"/>
          <w:b/>
        </w:rPr>
        <w:t>SkillsInfo</w:t>
      </w:r>
      <w:proofErr w:type="spellEnd"/>
    </w:p>
    <w:p w:rsidR="001E1498" w:rsidRPr="00DA39EB" w:rsidRDefault="00B97C44" w:rsidP="00965FD5">
      <w:pPr>
        <w:pStyle w:val="BodyText"/>
        <w:spacing w:line="240" w:lineRule="auto"/>
        <w:rPr>
          <w:szCs w:val="22"/>
        </w:rPr>
        <w:sectPr w:rsidR="001E1498" w:rsidRPr="00DA39EB" w:rsidSect="00B17D9B">
          <w:headerReference w:type="default" r:id="rId32"/>
          <w:footerReference w:type="default" r:id="rId33"/>
          <w:pgSz w:w="11906" w:h="16838"/>
          <w:pgMar w:top="709" w:right="1800" w:bottom="1440" w:left="1800" w:header="708" w:footer="708" w:gutter="0"/>
          <w:cols w:space="708"/>
          <w:titlePg/>
          <w:docGrid w:linePitch="360"/>
        </w:sectPr>
      </w:pPr>
      <w:hyperlink r:id="rId34" w:history="1">
        <w:r w:rsidR="000F4437" w:rsidRPr="00025A51">
          <w:rPr>
            <w:rStyle w:val="Hyperlink"/>
            <w:rFonts w:cstheme="minorHAnsi"/>
            <w:b/>
            <w:color w:val="00529C"/>
          </w:rPr>
          <w:t>www.skillsinfo.gov.au</w:t>
        </w:r>
      </w:hyperlink>
      <w:r w:rsidR="004B1A2D" w:rsidRPr="009B5827">
        <w:rPr>
          <w:rFonts w:ascii="Book Antiqua" w:hAnsi="Book Antiqua"/>
          <w:b/>
          <w:szCs w:val="22"/>
        </w:rPr>
        <w:br w:type="page"/>
      </w:r>
    </w:p>
    <w:p w:rsidR="00AF1D21" w:rsidRPr="00AF01BD" w:rsidRDefault="00AF01BD" w:rsidP="00DA39EB">
      <w:pPr>
        <w:spacing w:before="0" w:after="0"/>
        <w:rPr>
          <w:sz w:val="28"/>
          <w:szCs w:val="28"/>
        </w:rPr>
      </w:pPr>
      <w:r w:rsidRPr="00AF01BD">
        <w:rPr>
          <w:noProof/>
          <w:sz w:val="28"/>
          <w:szCs w:val="28"/>
        </w:rPr>
        <w:lastRenderedPageBreak/>
        <w:drawing>
          <wp:anchor distT="0" distB="0" distL="114300" distR="114300" simplePos="0" relativeHeight="251662336" behindDoc="1" locked="0" layoutInCell="1" allowOverlap="1">
            <wp:simplePos x="0" y="0"/>
            <wp:positionH relativeFrom="column">
              <wp:posOffset>-1207077</wp:posOffset>
            </wp:positionH>
            <wp:positionV relativeFrom="paragraph">
              <wp:posOffset>4191866</wp:posOffset>
            </wp:positionV>
            <wp:extent cx="7735050" cy="3837709"/>
            <wp:effectExtent l="19050" t="0" r="0" b="0"/>
            <wp:wrapNone/>
            <wp:docPr id="1"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35050" cy="3837709"/>
                    </a:xfrm>
                    <a:prstGeom prst="rect">
                      <a:avLst/>
                    </a:prstGeom>
                    <a:noFill/>
                    <a:ln>
                      <a:noFill/>
                    </a:ln>
                  </pic:spPr>
                </pic:pic>
              </a:graphicData>
            </a:graphic>
          </wp:anchor>
        </w:drawing>
      </w:r>
      <w:r w:rsidR="001E1498" w:rsidRPr="00AF01BD">
        <w:rPr>
          <w:noProof/>
          <w:sz w:val="28"/>
          <w:szCs w:val="28"/>
        </w:rPr>
        <w:drawing>
          <wp:anchor distT="0" distB="0" distL="114300" distR="114300" simplePos="0" relativeHeight="251664384" behindDoc="1" locked="0" layoutInCell="1" allowOverlap="1">
            <wp:simplePos x="0" y="0"/>
            <wp:positionH relativeFrom="column">
              <wp:posOffset>-1220932</wp:posOffset>
            </wp:positionH>
            <wp:positionV relativeFrom="paragraph">
              <wp:posOffset>2487757</wp:posOffset>
            </wp:positionV>
            <wp:extent cx="7739496" cy="1870363"/>
            <wp:effectExtent l="19050" t="0" r="0" b="0"/>
            <wp:wrapNone/>
            <wp:docPr id="5"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739496" cy="1870363"/>
                    </a:xfrm>
                    <a:prstGeom prst="rect">
                      <a:avLst/>
                    </a:prstGeom>
                    <a:noFill/>
                    <a:ln>
                      <a:noFill/>
                    </a:ln>
                  </pic:spPr>
                </pic:pic>
              </a:graphicData>
            </a:graphic>
          </wp:anchor>
        </w:drawing>
      </w:r>
    </w:p>
    <w:sectPr w:rsidR="00AF1D21" w:rsidRPr="00AF01BD" w:rsidSect="00AF01BD">
      <w:type w:val="continuous"/>
      <w:pgSz w:w="11906" w:h="16838"/>
      <w:pgMar w:top="4395"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224" w:rsidRDefault="00D44224" w:rsidP="006D0101">
      <w:pPr>
        <w:spacing w:before="0" w:after="0" w:line="240" w:lineRule="auto"/>
      </w:pPr>
      <w:r>
        <w:separator/>
      </w:r>
    </w:p>
  </w:endnote>
  <w:endnote w:type="continuationSeparator" w:id="0">
    <w:p w:rsidR="00D44224" w:rsidRDefault="00D44224" w:rsidP="006D01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623563"/>
      <w:docPartObj>
        <w:docPartGallery w:val="Page Numbers (Bottom of Page)"/>
        <w:docPartUnique/>
      </w:docPartObj>
    </w:sdtPr>
    <w:sdtEndPr/>
    <w:sdtContent>
      <w:p w:rsidR="00FA23ED" w:rsidRDefault="00FA23ED" w:rsidP="009557F3">
        <w:pPr>
          <w:pStyle w:val="Footer"/>
          <w:pBdr>
            <w:top w:val="single" w:sz="4" w:space="1" w:color="auto"/>
          </w:pBdr>
          <w:spacing w:before="0" w:after="0" w:line="240" w:lineRule="auto"/>
        </w:pPr>
        <w:r>
          <w:t>Labour Market Research and Analysis Branch</w:t>
        </w:r>
      </w:p>
      <w:p w:rsidR="00FA23ED" w:rsidRPr="00B32455" w:rsidRDefault="00FA23ED" w:rsidP="009557F3">
        <w:pPr>
          <w:pStyle w:val="Footer"/>
          <w:spacing w:before="0" w:after="0" w:line="240" w:lineRule="auto"/>
        </w:pPr>
        <w:r>
          <w:t>August 2012</w:t>
        </w:r>
        <w:r>
          <w:ptab w:relativeTo="margin" w:alignment="right" w:leader="none"/>
        </w:r>
        <w:r>
          <w:t xml:space="preserve"> </w:t>
        </w:r>
        <w:r>
          <w:fldChar w:fldCharType="begin"/>
        </w:r>
        <w:r>
          <w:instrText xml:space="preserve"> PAGE </w:instrText>
        </w:r>
        <w:r>
          <w:fldChar w:fldCharType="separate"/>
        </w:r>
        <w:r>
          <w:rPr>
            <w:noProof/>
          </w:rPr>
          <w:t>9</w:t>
        </w:r>
        <w:r>
          <w:rPr>
            <w:noProof/>
          </w:rPr>
          <w:fldChar w:fldCharType="end"/>
        </w:r>
      </w:p>
      <w:p w:rsidR="00FA23ED" w:rsidRDefault="00B97C44" w:rsidP="009557F3">
        <w:pPr>
          <w:pStyle w:val="Footer"/>
          <w:jc w:val="right"/>
        </w:pPr>
      </w:p>
    </w:sdtContent>
  </w:sdt>
  <w:p w:rsidR="00FA23ED" w:rsidRDefault="00FA23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584857"/>
      <w:docPartObj>
        <w:docPartGallery w:val="Page Numbers (Bottom of Page)"/>
        <w:docPartUnique/>
      </w:docPartObj>
    </w:sdtPr>
    <w:sdtEndPr/>
    <w:sdtContent>
      <w:p w:rsidR="00FA23ED" w:rsidRDefault="00FA23ED" w:rsidP="009557F3">
        <w:pPr>
          <w:pStyle w:val="Footer"/>
          <w:pBdr>
            <w:top w:val="single" w:sz="4" w:space="1" w:color="auto"/>
          </w:pBdr>
          <w:spacing w:before="0" w:after="0" w:line="240" w:lineRule="auto"/>
        </w:pPr>
        <w:r>
          <w:t>Labour Market Research and Analysis Branch</w:t>
        </w:r>
      </w:p>
      <w:p w:rsidR="00FA23ED" w:rsidRPr="00B32455" w:rsidRDefault="00FA23ED" w:rsidP="009557F3">
        <w:pPr>
          <w:pStyle w:val="Footer"/>
          <w:spacing w:before="0" w:after="0" w:line="240" w:lineRule="auto"/>
        </w:pPr>
        <w:r>
          <w:t>August 2012</w:t>
        </w:r>
        <w:r>
          <w:ptab w:relativeTo="margin" w:alignment="right" w:leader="none"/>
        </w:r>
        <w:r>
          <w:t xml:space="preserve"> </w:t>
        </w:r>
        <w:r>
          <w:fldChar w:fldCharType="begin"/>
        </w:r>
        <w:r>
          <w:instrText xml:space="preserve"> PAGE </w:instrText>
        </w:r>
        <w:r>
          <w:fldChar w:fldCharType="separate"/>
        </w:r>
        <w:r w:rsidR="00B97C44">
          <w:rPr>
            <w:noProof/>
          </w:rPr>
          <w:t>9</w:t>
        </w:r>
        <w:r>
          <w:rPr>
            <w:noProof/>
          </w:rPr>
          <w:fldChar w:fldCharType="end"/>
        </w:r>
      </w:p>
      <w:p w:rsidR="00FA23ED" w:rsidRDefault="00B97C44" w:rsidP="00C571AA">
        <w:pPr>
          <w:pStyle w:val="Footer"/>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3ED" w:rsidRPr="00B32455" w:rsidRDefault="00FA23ED" w:rsidP="00B32455">
    <w:pPr>
      <w:pStyle w:val="Footer"/>
      <w:spacing w:before="0" w:after="0" w:line="240" w:lineRule="auto"/>
    </w:pPr>
    <w:r>
      <w:ptab w:relativeTo="margin" w:alignment="right" w:leader="none"/>
    </w:r>
    <w:r>
      <w:t xml:space="preserve"> </w:t>
    </w:r>
    <w:r>
      <w:fldChar w:fldCharType="begin"/>
    </w:r>
    <w:r>
      <w:instrText xml:space="preserve"> PAGE </w:instrText>
    </w:r>
    <w:r>
      <w:fldChar w:fldCharType="separate"/>
    </w:r>
    <w:r w:rsidR="00B97C44">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224" w:rsidRDefault="00D44224" w:rsidP="006D0101">
      <w:pPr>
        <w:spacing w:before="0" w:after="0" w:line="240" w:lineRule="auto"/>
      </w:pPr>
      <w:r>
        <w:separator/>
      </w:r>
    </w:p>
  </w:footnote>
  <w:footnote w:type="continuationSeparator" w:id="0">
    <w:p w:rsidR="00D44224" w:rsidRDefault="00D44224" w:rsidP="006D0101">
      <w:pPr>
        <w:spacing w:before="0" w:after="0" w:line="240" w:lineRule="auto"/>
      </w:pPr>
      <w:r>
        <w:continuationSeparator/>
      </w:r>
    </w:p>
  </w:footnote>
  <w:footnote w:id="1">
    <w:p w:rsidR="00FA23ED" w:rsidRPr="0001371F" w:rsidRDefault="00FA23ED" w:rsidP="00E12195">
      <w:pPr>
        <w:pStyle w:val="FootnoteText"/>
        <w:spacing w:after="0" w:line="240" w:lineRule="auto"/>
        <w:ind w:right="-57"/>
        <w:rPr>
          <w:rFonts w:asciiTheme="minorHAnsi" w:hAnsiTheme="minorHAnsi" w:cstheme="minorHAnsi"/>
          <w:sz w:val="18"/>
          <w:szCs w:val="18"/>
        </w:rPr>
      </w:pPr>
      <w:r w:rsidRPr="0001371F">
        <w:rPr>
          <w:rStyle w:val="FootnoteReference"/>
          <w:rFonts w:asciiTheme="minorHAnsi" w:hAnsiTheme="minorHAnsi" w:cstheme="minorHAnsi"/>
          <w:sz w:val="18"/>
          <w:szCs w:val="18"/>
        </w:rPr>
        <w:footnoteRef/>
      </w:r>
      <w:r w:rsidRPr="0001371F">
        <w:rPr>
          <w:rFonts w:asciiTheme="minorHAnsi" w:hAnsiTheme="minorHAnsi" w:cstheme="minorHAnsi"/>
          <w:sz w:val="18"/>
          <w:szCs w:val="18"/>
        </w:rPr>
        <w:t xml:space="preserve"> ABS </w:t>
      </w:r>
      <w:r>
        <w:rPr>
          <w:rFonts w:asciiTheme="minorHAnsi" w:hAnsiTheme="minorHAnsi" w:cstheme="minorHAnsi"/>
          <w:sz w:val="18"/>
          <w:szCs w:val="18"/>
        </w:rPr>
        <w:t>Estimated Resident Population</w:t>
      </w:r>
      <w:r w:rsidRPr="0001371F">
        <w:rPr>
          <w:rFonts w:asciiTheme="minorHAnsi" w:hAnsiTheme="minorHAnsi" w:cstheme="minorHAnsi"/>
          <w:sz w:val="18"/>
          <w:szCs w:val="18"/>
        </w:rPr>
        <w:t xml:space="preserve"> 2011.</w:t>
      </w:r>
    </w:p>
  </w:footnote>
  <w:footnote w:id="2">
    <w:p w:rsidR="00CE28DF" w:rsidRPr="001267B1" w:rsidRDefault="00CE28DF" w:rsidP="00CE28DF">
      <w:pPr>
        <w:pStyle w:val="FootnoteText"/>
        <w:spacing w:after="0" w:line="240" w:lineRule="auto"/>
        <w:ind w:right="-57"/>
        <w:rPr>
          <w:rFonts w:asciiTheme="minorHAnsi" w:hAnsiTheme="minorHAnsi" w:cstheme="minorHAnsi"/>
          <w:sz w:val="18"/>
          <w:szCs w:val="18"/>
          <w:lang w:val="en-AU"/>
        </w:rPr>
      </w:pPr>
      <w:r w:rsidRPr="001267B1">
        <w:rPr>
          <w:rStyle w:val="FootnoteReference"/>
          <w:rFonts w:asciiTheme="minorHAnsi" w:hAnsiTheme="minorHAnsi" w:cstheme="minorHAnsi"/>
          <w:sz w:val="18"/>
          <w:szCs w:val="18"/>
        </w:rPr>
        <w:footnoteRef/>
      </w:r>
      <w:r w:rsidRPr="001267B1">
        <w:rPr>
          <w:rFonts w:asciiTheme="minorHAnsi" w:hAnsiTheme="minorHAnsi" w:cstheme="minorHAnsi"/>
          <w:sz w:val="18"/>
          <w:szCs w:val="18"/>
        </w:rPr>
        <w:t xml:space="preserve"> </w:t>
      </w:r>
      <w:r w:rsidRPr="001267B1">
        <w:rPr>
          <w:rFonts w:asciiTheme="minorHAnsi" w:hAnsiTheme="minorHAnsi" w:cstheme="minorHAnsi"/>
          <w:sz w:val="18"/>
          <w:szCs w:val="18"/>
          <w:lang w:val="en-AU"/>
        </w:rPr>
        <w:t xml:space="preserve">DEEWR, Small Area Labour Markets June </w:t>
      </w:r>
      <w:r>
        <w:rPr>
          <w:rFonts w:asciiTheme="minorHAnsi" w:hAnsiTheme="minorHAnsi" w:cstheme="minorHAnsi"/>
          <w:sz w:val="18"/>
          <w:szCs w:val="18"/>
          <w:lang w:val="en-AU"/>
        </w:rPr>
        <w:t>Quarter 2012.</w:t>
      </w:r>
    </w:p>
  </w:footnote>
  <w:footnote w:id="3">
    <w:p w:rsidR="00217603" w:rsidRPr="0001371F" w:rsidRDefault="00217603" w:rsidP="00E12195">
      <w:pPr>
        <w:pStyle w:val="FootnoteText"/>
        <w:spacing w:after="0"/>
        <w:ind w:right="-57"/>
        <w:rPr>
          <w:rFonts w:asciiTheme="minorHAnsi" w:hAnsiTheme="minorHAnsi" w:cstheme="minorHAnsi"/>
          <w:sz w:val="18"/>
          <w:szCs w:val="18"/>
          <w:lang w:val="en-AU"/>
        </w:rPr>
      </w:pPr>
      <w:r w:rsidRPr="0001371F">
        <w:rPr>
          <w:rStyle w:val="FootnoteReference"/>
          <w:rFonts w:asciiTheme="minorHAnsi" w:hAnsiTheme="minorHAnsi" w:cstheme="minorHAnsi"/>
          <w:sz w:val="18"/>
          <w:szCs w:val="18"/>
        </w:rPr>
        <w:footnoteRef/>
      </w:r>
      <w:r w:rsidRPr="0001371F">
        <w:rPr>
          <w:rFonts w:asciiTheme="minorHAnsi" w:hAnsiTheme="minorHAnsi" w:cstheme="minorHAnsi"/>
          <w:sz w:val="18"/>
          <w:szCs w:val="18"/>
        </w:rPr>
        <w:t xml:space="preserve"> </w:t>
      </w:r>
      <w:r w:rsidR="00DD04CB">
        <w:rPr>
          <w:rFonts w:asciiTheme="minorHAnsi" w:hAnsiTheme="minorHAnsi" w:cstheme="minorHAnsi"/>
          <w:sz w:val="18"/>
          <w:szCs w:val="18"/>
          <w:lang w:val="en-AU"/>
        </w:rPr>
        <w:t>ABS Census of Population and Housing 2011</w:t>
      </w:r>
    </w:p>
  </w:footnote>
  <w:footnote w:id="4">
    <w:p w:rsidR="00FA23ED" w:rsidRPr="0001371F" w:rsidRDefault="00FA23ED" w:rsidP="00E12195">
      <w:pPr>
        <w:pStyle w:val="FootnoteText"/>
        <w:spacing w:after="0"/>
        <w:ind w:right="-57"/>
        <w:contextualSpacing/>
        <w:rPr>
          <w:rFonts w:asciiTheme="minorHAnsi" w:hAnsiTheme="minorHAnsi" w:cstheme="minorHAnsi"/>
          <w:sz w:val="18"/>
          <w:szCs w:val="18"/>
          <w:lang w:val="en-AU"/>
        </w:rPr>
      </w:pPr>
      <w:r w:rsidRPr="0001371F">
        <w:rPr>
          <w:rStyle w:val="FootnoteReference"/>
          <w:rFonts w:asciiTheme="minorHAnsi" w:hAnsiTheme="minorHAnsi" w:cstheme="minorHAnsi"/>
          <w:sz w:val="18"/>
          <w:szCs w:val="18"/>
        </w:rPr>
        <w:footnoteRef/>
      </w:r>
      <w:r w:rsidRPr="0001371F">
        <w:rPr>
          <w:rFonts w:asciiTheme="minorHAnsi" w:hAnsiTheme="minorHAnsi" w:cstheme="minorHAnsi"/>
          <w:sz w:val="18"/>
          <w:szCs w:val="18"/>
        </w:rPr>
        <w:t xml:space="preserve"> </w:t>
      </w:r>
      <w:r w:rsidR="00DD04CB">
        <w:rPr>
          <w:rFonts w:asciiTheme="minorHAnsi" w:hAnsiTheme="minorHAnsi" w:cstheme="minorHAnsi"/>
          <w:sz w:val="18"/>
          <w:szCs w:val="18"/>
        </w:rPr>
        <w:t>ibid</w:t>
      </w:r>
    </w:p>
  </w:footnote>
  <w:footnote w:id="5">
    <w:p w:rsidR="00FA23ED" w:rsidRPr="00C2609D" w:rsidRDefault="00FA23ED" w:rsidP="00E41C46">
      <w:pPr>
        <w:pStyle w:val="FootnoteText"/>
        <w:rPr>
          <w:rFonts w:asciiTheme="minorHAnsi" w:hAnsiTheme="minorHAnsi" w:cstheme="minorHAnsi"/>
          <w:sz w:val="18"/>
          <w:szCs w:val="18"/>
          <w:lang w:val="en-AU"/>
        </w:rPr>
      </w:pPr>
      <w:r w:rsidRPr="00513C06">
        <w:rPr>
          <w:rStyle w:val="FootnoteReference"/>
          <w:rFonts w:asciiTheme="minorHAnsi" w:hAnsiTheme="minorHAnsi" w:cstheme="minorHAnsi"/>
          <w:sz w:val="18"/>
          <w:szCs w:val="18"/>
        </w:rPr>
        <w:footnoteRef/>
      </w:r>
      <w:r w:rsidRPr="00513C06">
        <w:rPr>
          <w:rFonts w:asciiTheme="minorHAnsi" w:hAnsiTheme="minorHAnsi" w:cstheme="minorHAnsi"/>
          <w:sz w:val="18"/>
          <w:szCs w:val="18"/>
        </w:rPr>
        <w:t xml:space="preserve"> </w:t>
      </w:r>
      <w:r w:rsidR="00B97C44">
        <w:rPr>
          <w:rFonts w:asciiTheme="minorHAnsi" w:hAnsiTheme="minorHAnsi" w:cstheme="minorHAnsi"/>
          <w:sz w:val="18"/>
          <w:szCs w:val="18"/>
          <w:lang w:val="en-AU"/>
        </w:rPr>
        <w:t>L</w:t>
      </w:r>
      <w:r w:rsidR="00B97C44">
        <w:rPr>
          <w:rFonts w:asciiTheme="minorHAnsi" w:hAnsiTheme="minorHAnsi" w:cstheme="minorHAnsi"/>
          <w:sz w:val="18"/>
          <w:szCs w:val="18"/>
          <w:lang w:val="en-AU"/>
        </w:rPr>
        <w:t>ack of soft skills</w:t>
      </w:r>
      <w:r w:rsidR="00B97C44">
        <w:rPr>
          <w:rFonts w:asciiTheme="minorHAnsi" w:hAnsiTheme="minorHAnsi" w:cstheme="minorHAnsi"/>
          <w:sz w:val="18"/>
          <w:szCs w:val="18"/>
          <w:lang w:val="en-AU"/>
        </w:rPr>
        <w:t xml:space="preserve">, </w:t>
      </w:r>
      <w:r w:rsidR="00B97C44">
        <w:rPr>
          <w:rFonts w:asciiTheme="minorHAnsi" w:hAnsiTheme="minorHAnsi" w:cstheme="minorHAnsi"/>
          <w:sz w:val="18"/>
          <w:szCs w:val="18"/>
          <w:lang w:val="en-AU"/>
        </w:rPr>
        <w:t>a</w:t>
      </w:r>
      <w:r>
        <w:rPr>
          <w:rFonts w:asciiTheme="minorHAnsi" w:hAnsiTheme="minorHAnsi" w:cstheme="minorHAnsi"/>
          <w:sz w:val="18"/>
          <w:szCs w:val="18"/>
          <w:lang w:val="en-AU"/>
        </w:rPr>
        <w:t>pplicant</w:t>
      </w:r>
      <w:bookmarkStart w:id="30" w:name="_GoBack"/>
      <w:bookmarkEnd w:id="30"/>
      <w:r>
        <w:rPr>
          <w:rFonts w:asciiTheme="minorHAnsi" w:hAnsiTheme="minorHAnsi" w:cstheme="minorHAnsi"/>
          <w:sz w:val="18"/>
          <w:szCs w:val="18"/>
          <w:lang w:val="en-AU"/>
        </w:rPr>
        <w:t xml:space="preserve"> personality did not fit with the organisation or</w:t>
      </w:r>
      <w:r w:rsidR="00B97C44">
        <w:rPr>
          <w:rFonts w:asciiTheme="minorHAnsi" w:hAnsiTheme="minorHAnsi" w:cstheme="minorHAnsi"/>
          <w:sz w:val="18"/>
          <w:szCs w:val="18"/>
          <w:lang w:val="en-AU"/>
        </w:rPr>
        <w:t xml:space="preserve"> </w:t>
      </w:r>
      <w:r>
        <w:rPr>
          <w:rFonts w:asciiTheme="minorHAnsi" w:hAnsiTheme="minorHAnsi" w:cstheme="minorHAnsi"/>
          <w:sz w:val="18"/>
          <w:szCs w:val="18"/>
          <w:lang w:val="en-AU"/>
        </w:rPr>
        <w:t>not interested in the 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3ED" w:rsidRPr="00F1256C" w:rsidRDefault="00FA23ED" w:rsidP="00F1256C">
    <w:pPr>
      <w:pStyle w:val="BodyText"/>
      <w:jc w:val="right"/>
      <w:rPr>
        <w:color w:val="808080" w:themeColor="background1" w:themeShade="80"/>
      </w:rPr>
    </w:pPr>
    <w:r>
      <w:rPr>
        <w:color w:val="808080" w:themeColor="background1" w:themeShade="80"/>
      </w:rPr>
      <w:t xml:space="preserve">Sturt Employment Service Area Report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3ED" w:rsidRDefault="00FA23ED" w:rsidP="00793116">
    <w:pPr>
      <w:pStyle w:val="BodyText"/>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3ED" w:rsidRPr="00F1256C" w:rsidRDefault="00FA23ED" w:rsidP="00BD623B">
    <w:pPr>
      <w:pStyle w:val="BodyText"/>
      <w:jc w:val="right"/>
      <w:rPr>
        <w:color w:val="808080" w:themeColor="background1" w:themeShade="80"/>
      </w:rPr>
    </w:pPr>
    <w:r>
      <w:rPr>
        <w:color w:val="808080" w:themeColor="background1" w:themeShade="80"/>
      </w:rPr>
      <w:t xml:space="preserve">Sturt Employment Service Area Report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5D4F640"/>
    <w:lvl w:ilvl="0">
      <w:start w:val="1"/>
      <w:numFmt w:val="decimal"/>
      <w:pStyle w:val="ListNumber"/>
      <w:lvlText w:val="%1."/>
      <w:lvlJc w:val="left"/>
      <w:pPr>
        <w:tabs>
          <w:tab w:val="num" w:pos="360"/>
        </w:tabs>
        <w:ind w:left="360" w:hanging="360"/>
      </w:pPr>
    </w:lvl>
  </w:abstractNum>
  <w:abstractNum w:abstractNumId="1">
    <w:nsid w:val="FFFFFF89"/>
    <w:multiLevelType w:val="singleLevel"/>
    <w:tmpl w:val="D6DEAEC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CF314F"/>
    <w:multiLevelType w:val="hybridMultilevel"/>
    <w:tmpl w:val="E68081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201D27B4"/>
    <w:multiLevelType w:val="hybridMultilevel"/>
    <w:tmpl w:val="D66218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5770023"/>
    <w:multiLevelType w:val="hybridMultilevel"/>
    <w:tmpl w:val="F8685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CC25B93"/>
    <w:multiLevelType w:val="multilevel"/>
    <w:tmpl w:val="072C9B8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19D11EF"/>
    <w:multiLevelType w:val="hybridMultilevel"/>
    <w:tmpl w:val="73B8E8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6A400E3"/>
    <w:multiLevelType w:val="hybridMultilevel"/>
    <w:tmpl w:val="50B48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872129C"/>
    <w:multiLevelType w:val="hybridMultilevel"/>
    <w:tmpl w:val="2228A7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F937DCC"/>
    <w:multiLevelType w:val="hybridMultilevel"/>
    <w:tmpl w:val="9124AEA2"/>
    <w:lvl w:ilvl="0" w:tplc="E1285C6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3E6A10"/>
    <w:multiLevelType w:val="hybridMultilevel"/>
    <w:tmpl w:val="68E48252"/>
    <w:lvl w:ilvl="0" w:tplc="2230EBF8">
      <w:start w:val="1"/>
      <w:numFmt w:val="bullet"/>
      <w:pStyle w:val="Shaded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F0879F9"/>
    <w:multiLevelType w:val="hybridMultilevel"/>
    <w:tmpl w:val="A146931C"/>
    <w:lvl w:ilvl="0" w:tplc="F9CC99E0">
      <w:numFmt w:val="bullet"/>
      <w:lvlText w:val=""/>
      <w:lvlJc w:val="left"/>
      <w:pPr>
        <w:ind w:left="720" w:hanging="360"/>
      </w:pPr>
      <w:rPr>
        <w:rFonts w:ascii="Symbol" w:eastAsiaTheme="minorEastAs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AF50096"/>
    <w:multiLevelType w:val="hybridMultilevel"/>
    <w:tmpl w:val="3E3AC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D2274E0"/>
    <w:multiLevelType w:val="hybridMultilevel"/>
    <w:tmpl w:val="000AE1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E283F33"/>
    <w:multiLevelType w:val="hybridMultilevel"/>
    <w:tmpl w:val="A5E615DE"/>
    <w:lvl w:ilvl="0" w:tplc="6AC8116A">
      <w:start w:val="1"/>
      <w:numFmt w:val="bullet"/>
      <w:lvlText w:val=""/>
      <w:lvlJc w:val="left"/>
      <w:pPr>
        <w:tabs>
          <w:tab w:val="num" w:pos="360"/>
        </w:tabs>
        <w:ind w:left="360" w:hanging="360"/>
      </w:pPr>
      <w:rPr>
        <w:rFonts w:ascii="Symbol" w:hAnsi="Symbol" w:hint="default"/>
        <w:color w:val="00529C"/>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C24393C"/>
    <w:multiLevelType w:val="hybridMultilevel"/>
    <w:tmpl w:val="831E79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1"/>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16"/>
  </w:num>
  <w:num w:numId="9">
    <w:abstractNumId w:val="2"/>
  </w:num>
  <w:num w:numId="10">
    <w:abstractNumId w:val="7"/>
  </w:num>
  <w:num w:numId="11">
    <w:abstractNumId w:val="4"/>
  </w:num>
  <w:num w:numId="12">
    <w:abstractNumId w:val="14"/>
  </w:num>
  <w:num w:numId="13">
    <w:abstractNumId w:val="9"/>
  </w:num>
  <w:num w:numId="14">
    <w:abstractNumId w:val="13"/>
  </w:num>
  <w:num w:numId="15">
    <w:abstractNumId w:val="15"/>
  </w:num>
  <w:num w:numId="16">
    <w:abstractNumId w:val="3"/>
  </w:num>
  <w:num w:numId="17">
    <w:abstractNumId w:val="8"/>
  </w:num>
  <w:num w:numId="18">
    <w:abstractNumId w:val="5"/>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226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860A9"/>
    <w:rsid w:val="000078B6"/>
    <w:rsid w:val="000127B6"/>
    <w:rsid w:val="00022A41"/>
    <w:rsid w:val="00032567"/>
    <w:rsid w:val="00055FBE"/>
    <w:rsid w:val="000617B0"/>
    <w:rsid w:val="00067ED7"/>
    <w:rsid w:val="00093D16"/>
    <w:rsid w:val="000B1DAF"/>
    <w:rsid w:val="000C41FD"/>
    <w:rsid w:val="000D32F8"/>
    <w:rsid w:val="000D73FB"/>
    <w:rsid w:val="000D78C0"/>
    <w:rsid w:val="000F4437"/>
    <w:rsid w:val="000F4F89"/>
    <w:rsid w:val="00111482"/>
    <w:rsid w:val="001207F1"/>
    <w:rsid w:val="001267B1"/>
    <w:rsid w:val="00126AE0"/>
    <w:rsid w:val="00146B6E"/>
    <w:rsid w:val="00157494"/>
    <w:rsid w:val="00172DD5"/>
    <w:rsid w:val="001745BD"/>
    <w:rsid w:val="001778DC"/>
    <w:rsid w:val="00184742"/>
    <w:rsid w:val="001906F0"/>
    <w:rsid w:val="0019736B"/>
    <w:rsid w:val="001A71DC"/>
    <w:rsid w:val="001B2E59"/>
    <w:rsid w:val="001B3A5A"/>
    <w:rsid w:val="001C08B6"/>
    <w:rsid w:val="001C67CB"/>
    <w:rsid w:val="001C7065"/>
    <w:rsid w:val="001D51EA"/>
    <w:rsid w:val="001E1498"/>
    <w:rsid w:val="001E4011"/>
    <w:rsid w:val="001F000A"/>
    <w:rsid w:val="001F4B9B"/>
    <w:rsid w:val="001F5C9E"/>
    <w:rsid w:val="002105B1"/>
    <w:rsid w:val="00214486"/>
    <w:rsid w:val="00217603"/>
    <w:rsid w:val="0022116C"/>
    <w:rsid w:val="00222483"/>
    <w:rsid w:val="00225B62"/>
    <w:rsid w:val="00233F73"/>
    <w:rsid w:val="00242EBE"/>
    <w:rsid w:val="00264AAD"/>
    <w:rsid w:val="00284C50"/>
    <w:rsid w:val="002923D5"/>
    <w:rsid w:val="002966E7"/>
    <w:rsid w:val="002B121C"/>
    <w:rsid w:val="002B49FA"/>
    <w:rsid w:val="002C57CD"/>
    <w:rsid w:val="002F699A"/>
    <w:rsid w:val="002F76D9"/>
    <w:rsid w:val="003023D1"/>
    <w:rsid w:val="00306342"/>
    <w:rsid w:val="00306F69"/>
    <w:rsid w:val="00322D0A"/>
    <w:rsid w:val="0032332A"/>
    <w:rsid w:val="003249FF"/>
    <w:rsid w:val="00396004"/>
    <w:rsid w:val="003A5750"/>
    <w:rsid w:val="003B2FC2"/>
    <w:rsid w:val="003C25E4"/>
    <w:rsid w:val="003D497D"/>
    <w:rsid w:val="003E0B71"/>
    <w:rsid w:val="003E387D"/>
    <w:rsid w:val="003F134A"/>
    <w:rsid w:val="003F4D49"/>
    <w:rsid w:val="004062CB"/>
    <w:rsid w:val="00417AD7"/>
    <w:rsid w:val="00421C94"/>
    <w:rsid w:val="00425A32"/>
    <w:rsid w:val="00440945"/>
    <w:rsid w:val="0045420A"/>
    <w:rsid w:val="004622B0"/>
    <w:rsid w:val="00465B8E"/>
    <w:rsid w:val="00466200"/>
    <w:rsid w:val="00472951"/>
    <w:rsid w:val="00480916"/>
    <w:rsid w:val="00485223"/>
    <w:rsid w:val="00491613"/>
    <w:rsid w:val="004924D7"/>
    <w:rsid w:val="00492EF0"/>
    <w:rsid w:val="004A67FA"/>
    <w:rsid w:val="004B032A"/>
    <w:rsid w:val="004B1A2D"/>
    <w:rsid w:val="004E7D6E"/>
    <w:rsid w:val="004F1D29"/>
    <w:rsid w:val="00505489"/>
    <w:rsid w:val="00506F0E"/>
    <w:rsid w:val="00514D35"/>
    <w:rsid w:val="00515E5C"/>
    <w:rsid w:val="00546211"/>
    <w:rsid w:val="00553EDD"/>
    <w:rsid w:val="00563291"/>
    <w:rsid w:val="005640B6"/>
    <w:rsid w:val="005868BF"/>
    <w:rsid w:val="005B0245"/>
    <w:rsid w:val="005B0FE4"/>
    <w:rsid w:val="005B4457"/>
    <w:rsid w:val="005C2712"/>
    <w:rsid w:val="005E6B70"/>
    <w:rsid w:val="005F19A4"/>
    <w:rsid w:val="006144EF"/>
    <w:rsid w:val="00617613"/>
    <w:rsid w:val="006300F9"/>
    <w:rsid w:val="006411FF"/>
    <w:rsid w:val="006503D7"/>
    <w:rsid w:val="00650AB3"/>
    <w:rsid w:val="00676E3A"/>
    <w:rsid w:val="00685068"/>
    <w:rsid w:val="00687FEC"/>
    <w:rsid w:val="00690AB6"/>
    <w:rsid w:val="006940C8"/>
    <w:rsid w:val="006C32D8"/>
    <w:rsid w:val="006C7EFD"/>
    <w:rsid w:val="006D0101"/>
    <w:rsid w:val="006D24B7"/>
    <w:rsid w:val="006D37D6"/>
    <w:rsid w:val="006D521D"/>
    <w:rsid w:val="007023CE"/>
    <w:rsid w:val="00711B61"/>
    <w:rsid w:val="00712E11"/>
    <w:rsid w:val="00714603"/>
    <w:rsid w:val="00720595"/>
    <w:rsid w:val="007309AE"/>
    <w:rsid w:val="00734611"/>
    <w:rsid w:val="0073642A"/>
    <w:rsid w:val="00741377"/>
    <w:rsid w:val="007459C7"/>
    <w:rsid w:val="00750BEF"/>
    <w:rsid w:val="007519A5"/>
    <w:rsid w:val="007556EC"/>
    <w:rsid w:val="007652CF"/>
    <w:rsid w:val="00790B92"/>
    <w:rsid w:val="00793116"/>
    <w:rsid w:val="00793E26"/>
    <w:rsid w:val="007A73EB"/>
    <w:rsid w:val="007C39EA"/>
    <w:rsid w:val="007C61E6"/>
    <w:rsid w:val="007D1BE8"/>
    <w:rsid w:val="007D372A"/>
    <w:rsid w:val="007E25A2"/>
    <w:rsid w:val="007E67F2"/>
    <w:rsid w:val="007F6A60"/>
    <w:rsid w:val="00812446"/>
    <w:rsid w:val="0081563D"/>
    <w:rsid w:val="00822942"/>
    <w:rsid w:val="00834551"/>
    <w:rsid w:val="008349BC"/>
    <w:rsid w:val="008356E1"/>
    <w:rsid w:val="00871FA2"/>
    <w:rsid w:val="00872D6E"/>
    <w:rsid w:val="008765FF"/>
    <w:rsid w:val="00883D5E"/>
    <w:rsid w:val="00887E9C"/>
    <w:rsid w:val="008939B0"/>
    <w:rsid w:val="008A66A5"/>
    <w:rsid w:val="008A6E76"/>
    <w:rsid w:val="008B316E"/>
    <w:rsid w:val="008B3BAC"/>
    <w:rsid w:val="008D00C6"/>
    <w:rsid w:val="008D30C5"/>
    <w:rsid w:val="008E4DA0"/>
    <w:rsid w:val="008F0CC3"/>
    <w:rsid w:val="00920E32"/>
    <w:rsid w:val="00922822"/>
    <w:rsid w:val="00924595"/>
    <w:rsid w:val="00927C00"/>
    <w:rsid w:val="00936382"/>
    <w:rsid w:val="009424D7"/>
    <w:rsid w:val="00944C6B"/>
    <w:rsid w:val="0095065C"/>
    <w:rsid w:val="009528B9"/>
    <w:rsid w:val="009557F3"/>
    <w:rsid w:val="0095643C"/>
    <w:rsid w:val="009658D1"/>
    <w:rsid w:val="00965FD5"/>
    <w:rsid w:val="00971F92"/>
    <w:rsid w:val="0097493D"/>
    <w:rsid w:val="009953D0"/>
    <w:rsid w:val="009A1836"/>
    <w:rsid w:val="009A5A1D"/>
    <w:rsid w:val="009C4E05"/>
    <w:rsid w:val="009D1163"/>
    <w:rsid w:val="009D5AE8"/>
    <w:rsid w:val="009E2717"/>
    <w:rsid w:val="009F15D5"/>
    <w:rsid w:val="009F1AE2"/>
    <w:rsid w:val="009F77C5"/>
    <w:rsid w:val="00A309CC"/>
    <w:rsid w:val="00A355FD"/>
    <w:rsid w:val="00A4130E"/>
    <w:rsid w:val="00A528D1"/>
    <w:rsid w:val="00A53C45"/>
    <w:rsid w:val="00A542C6"/>
    <w:rsid w:val="00A54BF3"/>
    <w:rsid w:val="00A622CA"/>
    <w:rsid w:val="00A63B27"/>
    <w:rsid w:val="00A73F0B"/>
    <w:rsid w:val="00A75B74"/>
    <w:rsid w:val="00A771FF"/>
    <w:rsid w:val="00A814FD"/>
    <w:rsid w:val="00AE66D5"/>
    <w:rsid w:val="00AF01BD"/>
    <w:rsid w:val="00AF1D21"/>
    <w:rsid w:val="00AF213A"/>
    <w:rsid w:val="00B10A70"/>
    <w:rsid w:val="00B137CC"/>
    <w:rsid w:val="00B13806"/>
    <w:rsid w:val="00B162F1"/>
    <w:rsid w:val="00B17D9B"/>
    <w:rsid w:val="00B32455"/>
    <w:rsid w:val="00B32505"/>
    <w:rsid w:val="00B52422"/>
    <w:rsid w:val="00B546DD"/>
    <w:rsid w:val="00B570EC"/>
    <w:rsid w:val="00B76D59"/>
    <w:rsid w:val="00B840C6"/>
    <w:rsid w:val="00B93EC3"/>
    <w:rsid w:val="00B97C44"/>
    <w:rsid w:val="00BA253B"/>
    <w:rsid w:val="00BA4FB6"/>
    <w:rsid w:val="00BA7342"/>
    <w:rsid w:val="00BB0E53"/>
    <w:rsid w:val="00BB481D"/>
    <w:rsid w:val="00BB4BF7"/>
    <w:rsid w:val="00BC3539"/>
    <w:rsid w:val="00BC456C"/>
    <w:rsid w:val="00BC6289"/>
    <w:rsid w:val="00BD26D7"/>
    <w:rsid w:val="00BD569F"/>
    <w:rsid w:val="00BD623B"/>
    <w:rsid w:val="00BD69AE"/>
    <w:rsid w:val="00BE142F"/>
    <w:rsid w:val="00BF2639"/>
    <w:rsid w:val="00BF27F7"/>
    <w:rsid w:val="00BF4B61"/>
    <w:rsid w:val="00C353F1"/>
    <w:rsid w:val="00C431F9"/>
    <w:rsid w:val="00C47489"/>
    <w:rsid w:val="00C51346"/>
    <w:rsid w:val="00C51B51"/>
    <w:rsid w:val="00C571AA"/>
    <w:rsid w:val="00C57A55"/>
    <w:rsid w:val="00C621C9"/>
    <w:rsid w:val="00C6227E"/>
    <w:rsid w:val="00C85BD1"/>
    <w:rsid w:val="00CA30F6"/>
    <w:rsid w:val="00CC7471"/>
    <w:rsid w:val="00CE28DF"/>
    <w:rsid w:val="00CE75D2"/>
    <w:rsid w:val="00CF032A"/>
    <w:rsid w:val="00CF7673"/>
    <w:rsid w:val="00D039ED"/>
    <w:rsid w:val="00D05827"/>
    <w:rsid w:val="00D07122"/>
    <w:rsid w:val="00D1426C"/>
    <w:rsid w:val="00D347DF"/>
    <w:rsid w:val="00D405D3"/>
    <w:rsid w:val="00D44224"/>
    <w:rsid w:val="00D571C0"/>
    <w:rsid w:val="00D70208"/>
    <w:rsid w:val="00D7050F"/>
    <w:rsid w:val="00D76419"/>
    <w:rsid w:val="00D771E2"/>
    <w:rsid w:val="00D860A9"/>
    <w:rsid w:val="00D91210"/>
    <w:rsid w:val="00D94417"/>
    <w:rsid w:val="00D95529"/>
    <w:rsid w:val="00DA28F4"/>
    <w:rsid w:val="00DA2981"/>
    <w:rsid w:val="00DA39EB"/>
    <w:rsid w:val="00DA450A"/>
    <w:rsid w:val="00DB0902"/>
    <w:rsid w:val="00DB5845"/>
    <w:rsid w:val="00DC264F"/>
    <w:rsid w:val="00DC6B5D"/>
    <w:rsid w:val="00DD04CB"/>
    <w:rsid w:val="00E12195"/>
    <w:rsid w:val="00E153CA"/>
    <w:rsid w:val="00E202B8"/>
    <w:rsid w:val="00E362C6"/>
    <w:rsid w:val="00E36A03"/>
    <w:rsid w:val="00E378AE"/>
    <w:rsid w:val="00E41C46"/>
    <w:rsid w:val="00E42431"/>
    <w:rsid w:val="00E75AB4"/>
    <w:rsid w:val="00E90710"/>
    <w:rsid w:val="00EB4AFE"/>
    <w:rsid w:val="00EC6217"/>
    <w:rsid w:val="00ED48E4"/>
    <w:rsid w:val="00EF6755"/>
    <w:rsid w:val="00F078B8"/>
    <w:rsid w:val="00F1256C"/>
    <w:rsid w:val="00F14E6B"/>
    <w:rsid w:val="00F27E42"/>
    <w:rsid w:val="00F31C18"/>
    <w:rsid w:val="00F440E7"/>
    <w:rsid w:val="00F6374D"/>
    <w:rsid w:val="00F72874"/>
    <w:rsid w:val="00F83833"/>
    <w:rsid w:val="00FA23ED"/>
    <w:rsid w:val="00FA280E"/>
    <w:rsid w:val="00FA3F92"/>
    <w:rsid w:val="00FC011C"/>
    <w:rsid w:val="00FC5F3E"/>
    <w:rsid w:val="00FD513E"/>
    <w:rsid w:val="00FE5E27"/>
    <w:rsid w:val="00FF67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0440">
      <w:bodyDiv w:val="1"/>
      <w:marLeft w:val="0"/>
      <w:marRight w:val="0"/>
      <w:marTop w:val="0"/>
      <w:marBottom w:val="0"/>
      <w:divBdr>
        <w:top w:val="none" w:sz="0" w:space="0" w:color="auto"/>
        <w:left w:val="none" w:sz="0" w:space="0" w:color="auto"/>
        <w:bottom w:val="none" w:sz="0" w:space="0" w:color="auto"/>
        <w:right w:val="none" w:sz="0" w:space="0" w:color="auto"/>
      </w:divBdr>
    </w:div>
    <w:div w:id="669455574">
      <w:bodyDiv w:val="1"/>
      <w:marLeft w:val="0"/>
      <w:marRight w:val="0"/>
      <w:marTop w:val="0"/>
      <w:marBottom w:val="0"/>
      <w:divBdr>
        <w:top w:val="none" w:sz="0" w:space="0" w:color="auto"/>
        <w:left w:val="none" w:sz="0" w:space="0" w:color="auto"/>
        <w:bottom w:val="none" w:sz="0" w:space="0" w:color="auto"/>
        <w:right w:val="none" w:sz="0" w:space="0" w:color="auto"/>
      </w:divBdr>
    </w:div>
    <w:div w:id="698967941">
      <w:bodyDiv w:val="1"/>
      <w:marLeft w:val="0"/>
      <w:marRight w:val="0"/>
      <w:marTop w:val="0"/>
      <w:marBottom w:val="0"/>
      <w:divBdr>
        <w:top w:val="none" w:sz="0" w:space="0" w:color="auto"/>
        <w:left w:val="none" w:sz="0" w:space="0" w:color="auto"/>
        <w:bottom w:val="none" w:sz="0" w:space="0" w:color="auto"/>
        <w:right w:val="none" w:sz="0" w:space="0" w:color="auto"/>
      </w:divBdr>
    </w:div>
    <w:div w:id="810288954">
      <w:bodyDiv w:val="1"/>
      <w:marLeft w:val="0"/>
      <w:marRight w:val="0"/>
      <w:marTop w:val="0"/>
      <w:marBottom w:val="0"/>
      <w:divBdr>
        <w:top w:val="none" w:sz="0" w:space="0" w:color="auto"/>
        <w:left w:val="none" w:sz="0" w:space="0" w:color="auto"/>
        <w:bottom w:val="none" w:sz="0" w:space="0" w:color="auto"/>
        <w:right w:val="none" w:sz="0" w:space="0" w:color="auto"/>
      </w:divBdr>
    </w:div>
    <w:div w:id="1500189839">
      <w:bodyDiv w:val="1"/>
      <w:marLeft w:val="0"/>
      <w:marRight w:val="0"/>
      <w:marTop w:val="0"/>
      <w:marBottom w:val="0"/>
      <w:divBdr>
        <w:top w:val="none" w:sz="0" w:space="0" w:color="auto"/>
        <w:left w:val="none" w:sz="0" w:space="0" w:color="auto"/>
        <w:bottom w:val="none" w:sz="0" w:space="0" w:color="auto"/>
        <w:right w:val="none" w:sz="0" w:space="0" w:color="auto"/>
      </w:divBdr>
    </w:div>
    <w:div w:id="17131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mailto:recruitmentsurveys@deewr.gov.a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skillsinfo.gov.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hyperlink" Target="http://creativecommons.org/licenses/by/3.0/au/legalcod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hyperlink" Target="http://www.deewr.gov.au/lm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creativecommons.org/licenses/by/3.0/au/"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cid:image001.png@01CC5B5E.C6C84990" TargetMode="External"/><Relationship Id="rId28" Type="http://schemas.openxmlformats.org/officeDocument/2006/relationships/chart" Target="charts/chart2.xml"/><Relationship Id="rId36"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1.xml"/><Relationship Id="rId31" Type="http://schemas.openxmlformats.org/officeDocument/2006/relationships/hyperlink" Target="http://www.joboutlook.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png"/><Relationship Id="rId27" Type="http://schemas.openxmlformats.org/officeDocument/2006/relationships/chart" Target="charts/chart1.xml"/><Relationship Id="rId30" Type="http://schemas.openxmlformats.org/officeDocument/2006/relationships/hyperlink" Target="http://www.deewr.gov.au/regionalreports" TargetMode="External"/><Relationship Id="rId35"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oleObject" Target="file:///\\EPNAS002\DBYU\DAS\12%2012-13%20Regional%20Survey%20files%20(by%20survey%20no.)\154.%20Sturt%20ESA\04.%20Data%20output%20and%20admin\b.%20Survey%20data\Output%20spreadsheet%20-%20Sturt%20ESA%20201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PNAS002\JC3007$\Desktop\Sturt%20occ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C00000"/>
            </a:solidFill>
            <a:ln>
              <a:solidFill>
                <a:sysClr val="windowText" lastClr="000000"/>
              </a:solidFill>
            </a:ln>
          </c:spPr>
          <c:invertIfNegative val="0"/>
          <c:dPt>
            <c:idx val="0"/>
            <c:invertIfNegative val="0"/>
            <c:bubble3D val="0"/>
            <c:spPr>
              <a:solidFill>
                <a:srgbClr val="008000"/>
              </a:solidFill>
              <a:ln>
                <a:solidFill>
                  <a:sysClr val="windowText" lastClr="000000"/>
                </a:solidFill>
              </a:ln>
            </c:spPr>
          </c:dPt>
          <c:dPt>
            <c:idx val="1"/>
            <c:invertIfNegative val="0"/>
            <c:bubble3D val="0"/>
            <c:spPr>
              <a:solidFill>
                <a:srgbClr val="162588"/>
              </a:solidFill>
              <a:ln>
                <a:solidFill>
                  <a:sysClr val="windowText" lastClr="000000"/>
                </a:solidFill>
              </a:ln>
            </c:spPr>
          </c:dPt>
          <c:dPt>
            <c:idx val="2"/>
            <c:invertIfNegative val="0"/>
            <c:bubble3D val="0"/>
            <c:spPr>
              <a:solidFill>
                <a:srgbClr val="162588"/>
              </a:solidFill>
              <a:ln>
                <a:solidFill>
                  <a:sysClr val="windowText" lastClr="000000"/>
                </a:solidFill>
              </a:ln>
            </c:spPr>
          </c:dPt>
          <c:dLbls>
            <c:txPr>
              <a:bodyPr/>
              <a:lstStyle/>
              <a:p>
                <a:pPr>
                  <a:defRPr sz="800"/>
                </a:pPr>
                <a:endParaRPr lang="en-US"/>
              </a:p>
            </c:txPr>
            <c:showLegendKey val="0"/>
            <c:showVal val="1"/>
            <c:showCatName val="0"/>
            <c:showSerName val="0"/>
            <c:showPercent val="0"/>
            <c:showBubbleSize val="0"/>
            <c:showLeaderLines val="0"/>
          </c:dLbls>
          <c:cat>
            <c:strRef>
              <c:f>'MRRR - Unfill rate'!$B$16:$B$25</c:f>
              <c:strCache>
                <c:ptCount val="10"/>
                <c:pt idx="0">
                  <c:v>All regions surveyed, 12 months to September 2012</c:v>
                </c:pt>
                <c:pt idx="1">
                  <c:v>Sturt ESA April 2011</c:v>
                </c:pt>
                <c:pt idx="2">
                  <c:v>Sturt ESA August 2012</c:v>
                </c:pt>
                <c:pt idx="3">
                  <c:v>Labourers</c:v>
                </c:pt>
                <c:pt idx="4">
                  <c:v>Sales Workers</c:v>
                </c:pt>
                <c:pt idx="5">
                  <c:v>Machinery Operators and Drivers</c:v>
                </c:pt>
                <c:pt idx="6">
                  <c:v>Clerical and Administrative Workers</c:v>
                </c:pt>
                <c:pt idx="7">
                  <c:v>Community and Personal Service Workers</c:v>
                </c:pt>
                <c:pt idx="8">
                  <c:v>Technicians and Trades Workers</c:v>
                </c:pt>
                <c:pt idx="9">
                  <c:v>Managers &amp; Professionals</c:v>
                </c:pt>
              </c:strCache>
            </c:strRef>
          </c:cat>
          <c:val>
            <c:numRef>
              <c:f>'MRRR - Unfill rate'!$C$16:$C$25</c:f>
              <c:numCache>
                <c:formatCode>0.0%</c:formatCode>
                <c:ptCount val="10"/>
                <c:pt idx="0">
                  <c:v>7.2000000000000119E-2</c:v>
                </c:pt>
                <c:pt idx="1">
                  <c:v>9.9000000000000241E-2</c:v>
                </c:pt>
                <c:pt idx="2">
                  <c:v>8.8709677419354829E-2</c:v>
                </c:pt>
                <c:pt idx="3">
                  <c:v>0</c:v>
                </c:pt>
                <c:pt idx="4">
                  <c:v>0</c:v>
                </c:pt>
                <c:pt idx="5">
                  <c:v>0.21428571428571427</c:v>
                </c:pt>
                <c:pt idx="6">
                  <c:v>8.0000000000000127E-2</c:v>
                </c:pt>
                <c:pt idx="7">
                  <c:v>8.5714285714285743E-2</c:v>
                </c:pt>
                <c:pt idx="8">
                  <c:v>0.2</c:v>
                </c:pt>
                <c:pt idx="9">
                  <c:v>0.1304347826086957</c:v>
                </c:pt>
              </c:numCache>
            </c:numRef>
          </c:val>
        </c:ser>
        <c:dLbls>
          <c:showLegendKey val="0"/>
          <c:showVal val="0"/>
          <c:showCatName val="0"/>
          <c:showSerName val="0"/>
          <c:showPercent val="0"/>
          <c:showBubbleSize val="0"/>
        </c:dLbls>
        <c:gapWidth val="150"/>
        <c:axId val="146526208"/>
        <c:axId val="146527744"/>
      </c:barChart>
      <c:catAx>
        <c:axId val="146526208"/>
        <c:scaling>
          <c:orientation val="minMax"/>
        </c:scaling>
        <c:delete val="0"/>
        <c:axPos val="l"/>
        <c:majorTickMark val="out"/>
        <c:minorTickMark val="none"/>
        <c:tickLblPos val="nextTo"/>
        <c:txPr>
          <a:bodyPr/>
          <a:lstStyle/>
          <a:p>
            <a:pPr>
              <a:defRPr sz="800"/>
            </a:pPr>
            <a:endParaRPr lang="en-US"/>
          </a:p>
        </c:txPr>
        <c:crossAx val="146527744"/>
        <c:crosses val="autoZero"/>
        <c:auto val="1"/>
        <c:lblAlgn val="ctr"/>
        <c:lblOffset val="100"/>
        <c:noMultiLvlLbl val="0"/>
      </c:catAx>
      <c:valAx>
        <c:axId val="146527744"/>
        <c:scaling>
          <c:orientation val="minMax"/>
        </c:scaling>
        <c:delete val="0"/>
        <c:axPos val="b"/>
        <c:numFmt formatCode="0.0%" sourceLinked="1"/>
        <c:majorTickMark val="out"/>
        <c:minorTickMark val="none"/>
        <c:tickLblPos val="nextTo"/>
        <c:txPr>
          <a:bodyPr/>
          <a:lstStyle/>
          <a:p>
            <a:pPr>
              <a:defRPr sz="800"/>
            </a:pPr>
            <a:endParaRPr lang="en-US"/>
          </a:p>
        </c:txPr>
        <c:crossAx val="14652620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Sheet3!$C$14</c:f>
              <c:strCache>
                <c:ptCount val="1"/>
                <c:pt idx="0">
                  <c:v>Average number of suitable applicants per vacancy</c:v>
                </c:pt>
              </c:strCache>
            </c:strRef>
          </c:tx>
          <c:spPr>
            <a:solidFill>
              <a:srgbClr val="FF7C80"/>
            </a:solidFill>
            <a:ln>
              <a:solidFill>
                <a:sysClr val="windowText" lastClr="000000"/>
              </a:solidFill>
            </a:ln>
          </c:spPr>
          <c:invertIfNegative val="0"/>
          <c:dPt>
            <c:idx val="0"/>
            <c:invertIfNegative val="0"/>
            <c:bubble3D val="0"/>
            <c:spPr>
              <a:solidFill>
                <a:srgbClr val="00B050"/>
              </a:solidFill>
              <a:ln>
                <a:solidFill>
                  <a:sysClr val="windowText" lastClr="000000"/>
                </a:solidFill>
              </a:ln>
            </c:spPr>
          </c:dPt>
          <c:dPt>
            <c:idx val="1"/>
            <c:invertIfNegative val="0"/>
            <c:bubble3D val="0"/>
            <c:spPr>
              <a:solidFill>
                <a:srgbClr val="00B0F0"/>
              </a:solidFill>
              <a:ln>
                <a:solidFill>
                  <a:sysClr val="windowText" lastClr="000000"/>
                </a:solidFill>
              </a:ln>
            </c:spPr>
          </c:dPt>
          <c:dPt>
            <c:idx val="2"/>
            <c:invertIfNegative val="0"/>
            <c:bubble3D val="0"/>
            <c:spPr>
              <a:solidFill>
                <a:srgbClr val="00B0F0"/>
              </a:solidFill>
              <a:ln>
                <a:solidFill>
                  <a:sysClr val="windowText" lastClr="000000"/>
                </a:solidFill>
              </a:ln>
            </c:spPr>
          </c:dPt>
          <c:dLbls>
            <c:dLbl>
              <c:idx val="0"/>
              <c:layout>
                <c:manualLayout>
                  <c:x val="-4.2666767006360332E-3"/>
                  <c:y val="3.4029755403764445E-3"/>
                </c:manualLayout>
              </c:layout>
              <c:showLegendKey val="0"/>
              <c:showVal val="1"/>
              <c:showCatName val="0"/>
              <c:showSerName val="0"/>
              <c:showPercent val="0"/>
              <c:showBubbleSize val="0"/>
            </c:dLbl>
            <c:dLbl>
              <c:idx val="1"/>
              <c:layout>
                <c:manualLayout>
                  <c:x val="0"/>
                  <c:y val="6.7103615114798912E-3"/>
                </c:manualLayout>
              </c:layout>
              <c:showLegendKey val="0"/>
              <c:showVal val="1"/>
              <c:showCatName val="0"/>
              <c:showSerName val="0"/>
              <c:showPercent val="0"/>
              <c:showBubbleSize val="0"/>
            </c:dLbl>
            <c:dLbl>
              <c:idx val="2"/>
              <c:layout>
                <c:manualLayout>
                  <c:x val="2.229654403567447E-3"/>
                  <c:y val="4.848484848484937E-3"/>
                </c:manualLayout>
              </c:layout>
              <c:showLegendKey val="0"/>
              <c:showVal val="1"/>
              <c:showCatName val="0"/>
              <c:showSerName val="0"/>
              <c:showPercent val="0"/>
              <c:showBubbleSize val="0"/>
            </c:dLbl>
            <c:dLbl>
              <c:idx val="3"/>
              <c:layout>
                <c:manualLayout>
                  <c:x val="0"/>
                  <c:y val="9.696969696969697E-3"/>
                </c:manualLayout>
              </c:layout>
              <c:showLegendKey val="0"/>
              <c:showVal val="1"/>
              <c:showCatName val="0"/>
              <c:showSerName val="0"/>
              <c:showPercent val="0"/>
              <c:showBubbleSize val="0"/>
            </c:dLbl>
            <c:dLbl>
              <c:idx val="4"/>
              <c:layout>
                <c:manualLayout>
                  <c:x val="0"/>
                  <c:y val="9.696969696969697E-3"/>
                </c:manualLayout>
              </c:layout>
              <c:showLegendKey val="0"/>
              <c:showVal val="1"/>
              <c:showCatName val="0"/>
              <c:showSerName val="0"/>
              <c:showPercent val="0"/>
              <c:showBubbleSize val="0"/>
            </c:dLbl>
            <c:dLbl>
              <c:idx val="5"/>
              <c:layout>
                <c:manualLayout>
                  <c:x val="0"/>
                  <c:y val="4.8484848484848485E-3"/>
                </c:manualLayout>
              </c:layout>
              <c:showLegendKey val="0"/>
              <c:showVal val="1"/>
              <c:showCatName val="0"/>
              <c:showSerName val="0"/>
              <c:showPercent val="0"/>
              <c:showBubbleSize val="0"/>
            </c:dLbl>
            <c:dLbl>
              <c:idx val="6"/>
              <c:layout>
                <c:manualLayout>
                  <c:x val="0"/>
                  <c:y val="1.45454545454545E-2"/>
                </c:manualLayout>
              </c:layout>
              <c:showLegendKey val="0"/>
              <c:showVal val="1"/>
              <c:showCatName val="0"/>
              <c:showSerName val="0"/>
              <c:showPercent val="0"/>
              <c:showBubbleSize val="0"/>
            </c:dLbl>
            <c:dLbl>
              <c:idx val="7"/>
              <c:layout>
                <c:manualLayout>
                  <c:x val="0"/>
                  <c:y val="1.4545454545454545E-2"/>
                </c:manualLayout>
              </c:layout>
              <c:showLegendKey val="0"/>
              <c:showVal val="1"/>
              <c:showCatName val="0"/>
              <c:showSerName val="0"/>
              <c:showPercent val="0"/>
              <c:showBubbleSize val="0"/>
            </c:dLbl>
            <c:dLbl>
              <c:idx val="8"/>
              <c:layout>
                <c:manualLayout>
                  <c:x val="0"/>
                  <c:y val="4.8484848484848485E-3"/>
                </c:manualLayout>
              </c:layout>
              <c:showLegendKey val="0"/>
              <c:showVal val="1"/>
              <c:showCatName val="0"/>
              <c:showSerName val="0"/>
              <c:showPercent val="0"/>
              <c:showBubbleSize val="0"/>
            </c:dLbl>
            <c:dLbl>
              <c:idx val="9"/>
              <c:layout>
                <c:manualLayout>
                  <c:x val="0"/>
                  <c:y val="9.696969696969697E-3"/>
                </c:manualLayout>
              </c:layout>
              <c:showLegendKey val="0"/>
              <c:showVal val="1"/>
              <c:showCatName val="0"/>
              <c:showSerName val="0"/>
              <c:showPercent val="0"/>
              <c:showBubbleSize val="0"/>
            </c:dLbl>
            <c:numFmt formatCode="#,##0.0" sourceLinked="0"/>
            <c:txPr>
              <a:bodyPr/>
              <a:lstStyle/>
              <a:p>
                <a:pPr>
                  <a:defRPr sz="800"/>
                </a:pPr>
                <a:endParaRPr lang="en-US"/>
              </a:p>
            </c:txPr>
            <c:showLegendKey val="0"/>
            <c:showVal val="1"/>
            <c:showCatName val="0"/>
            <c:showSerName val="0"/>
            <c:showPercent val="0"/>
            <c:showBubbleSize val="0"/>
            <c:showLeaderLines val="0"/>
          </c:dLbls>
          <c:cat>
            <c:strRef>
              <c:f>Sheet3!$A$15:$A$24</c:f>
              <c:strCache>
                <c:ptCount val="10"/>
                <c:pt idx="0">
                  <c:v>All regions surveyed, 12 months to September 2012</c:v>
                </c:pt>
                <c:pt idx="1">
                  <c:v>Sturt April 2011</c:v>
                </c:pt>
                <c:pt idx="2">
                  <c:v>Sturt August 2012</c:v>
                </c:pt>
                <c:pt idx="3">
                  <c:v>Labourers</c:v>
                </c:pt>
                <c:pt idx="4">
                  <c:v>Sales Workers</c:v>
                </c:pt>
                <c:pt idx="5">
                  <c:v>Machinery Operators and Drivers</c:v>
                </c:pt>
                <c:pt idx="6">
                  <c:v>Clerical and Administrative Workers</c:v>
                </c:pt>
                <c:pt idx="7">
                  <c:v>Community and Personal Service Workers</c:v>
                </c:pt>
                <c:pt idx="8">
                  <c:v>Technicians and Trades Workers</c:v>
                </c:pt>
                <c:pt idx="9">
                  <c:v>Managers &amp; Professionals</c:v>
                </c:pt>
              </c:strCache>
            </c:strRef>
          </c:cat>
          <c:val>
            <c:numRef>
              <c:f>Sheet3!$C$15:$C$24</c:f>
              <c:numCache>
                <c:formatCode>General</c:formatCode>
                <c:ptCount val="10"/>
                <c:pt idx="0">
                  <c:v>2.2999999999999998</c:v>
                </c:pt>
                <c:pt idx="1">
                  <c:v>1.6640926640926641</c:v>
                </c:pt>
                <c:pt idx="2">
                  <c:v>1.4434782608695638</c:v>
                </c:pt>
                <c:pt idx="3">
                  <c:v>1.5625</c:v>
                </c:pt>
                <c:pt idx="4">
                  <c:v>1.0576923076923055</c:v>
                </c:pt>
                <c:pt idx="5">
                  <c:v>0.9285714285714286</c:v>
                </c:pt>
                <c:pt idx="6">
                  <c:v>3.2800000000000002</c:v>
                </c:pt>
                <c:pt idx="7">
                  <c:v>1.1176470588235301</c:v>
                </c:pt>
                <c:pt idx="8">
                  <c:v>1.1132075471698113</c:v>
                </c:pt>
                <c:pt idx="9">
                  <c:v>1.75</c:v>
                </c:pt>
              </c:numCache>
            </c:numRef>
          </c:val>
        </c:ser>
        <c:ser>
          <c:idx val="1"/>
          <c:order val="1"/>
          <c:tx>
            <c:strRef>
              <c:f>Sheet3!$B$14</c:f>
              <c:strCache>
                <c:ptCount val="1"/>
                <c:pt idx="0">
                  <c:v>Average number of applicants per vacancy</c:v>
                </c:pt>
              </c:strCache>
            </c:strRef>
          </c:tx>
          <c:spPr>
            <a:solidFill>
              <a:srgbClr val="C00000"/>
            </a:solidFill>
            <a:ln>
              <a:solidFill>
                <a:sysClr val="windowText" lastClr="000000"/>
              </a:solidFill>
            </a:ln>
          </c:spPr>
          <c:invertIfNegative val="0"/>
          <c:dPt>
            <c:idx val="0"/>
            <c:invertIfNegative val="0"/>
            <c:bubble3D val="0"/>
            <c:spPr>
              <a:solidFill>
                <a:srgbClr val="006600"/>
              </a:solidFill>
              <a:ln>
                <a:solidFill>
                  <a:sysClr val="windowText" lastClr="000000"/>
                </a:solidFill>
              </a:ln>
            </c:spPr>
          </c:dPt>
          <c:dPt>
            <c:idx val="1"/>
            <c:invertIfNegative val="0"/>
            <c:bubble3D val="0"/>
            <c:spPr>
              <a:solidFill>
                <a:srgbClr val="002060"/>
              </a:solidFill>
              <a:ln>
                <a:solidFill>
                  <a:sysClr val="windowText" lastClr="000000"/>
                </a:solidFill>
              </a:ln>
            </c:spPr>
          </c:dPt>
          <c:dPt>
            <c:idx val="2"/>
            <c:invertIfNegative val="0"/>
            <c:bubble3D val="0"/>
            <c:spPr>
              <a:solidFill>
                <a:srgbClr val="002060"/>
              </a:solidFill>
              <a:ln>
                <a:solidFill>
                  <a:sysClr val="windowText" lastClr="000000"/>
                </a:solidFill>
              </a:ln>
            </c:spPr>
          </c:dPt>
          <c:dLbls>
            <c:numFmt formatCode="#,##0.0" sourceLinked="0"/>
            <c:txPr>
              <a:bodyPr/>
              <a:lstStyle/>
              <a:p>
                <a:pPr>
                  <a:defRPr sz="800"/>
                </a:pPr>
                <a:endParaRPr lang="en-US"/>
              </a:p>
            </c:txPr>
            <c:showLegendKey val="0"/>
            <c:showVal val="1"/>
            <c:showCatName val="0"/>
            <c:showSerName val="0"/>
            <c:showPercent val="0"/>
            <c:showBubbleSize val="0"/>
            <c:showLeaderLines val="0"/>
          </c:dLbls>
          <c:cat>
            <c:strRef>
              <c:f>Sheet3!$A$15:$A$24</c:f>
              <c:strCache>
                <c:ptCount val="10"/>
                <c:pt idx="0">
                  <c:v>All regions surveyed, 12 months to September 2012</c:v>
                </c:pt>
                <c:pt idx="1">
                  <c:v>Sturt April 2011</c:v>
                </c:pt>
                <c:pt idx="2">
                  <c:v>Sturt August 2012</c:v>
                </c:pt>
                <c:pt idx="3">
                  <c:v>Labourers</c:v>
                </c:pt>
                <c:pt idx="4">
                  <c:v>Sales Workers</c:v>
                </c:pt>
                <c:pt idx="5">
                  <c:v>Machinery Operators and Drivers</c:v>
                </c:pt>
                <c:pt idx="6">
                  <c:v>Clerical and Administrative Workers</c:v>
                </c:pt>
                <c:pt idx="7">
                  <c:v>Community and Personal Service Workers</c:v>
                </c:pt>
                <c:pt idx="8">
                  <c:v>Technicians and Trades Workers</c:v>
                </c:pt>
                <c:pt idx="9">
                  <c:v>Managers &amp; Professionals</c:v>
                </c:pt>
              </c:strCache>
            </c:strRef>
          </c:cat>
          <c:val>
            <c:numRef>
              <c:f>Sheet3!$B$15:$B$24</c:f>
              <c:numCache>
                <c:formatCode>General</c:formatCode>
                <c:ptCount val="10"/>
                <c:pt idx="0">
                  <c:v>8.2000000000000011</c:v>
                </c:pt>
                <c:pt idx="1">
                  <c:v>4.5610687022900853</c:v>
                </c:pt>
                <c:pt idx="2">
                  <c:v>4.1478260869565116</c:v>
                </c:pt>
                <c:pt idx="3">
                  <c:v>2.96875</c:v>
                </c:pt>
                <c:pt idx="4">
                  <c:v>3.75</c:v>
                </c:pt>
                <c:pt idx="5">
                  <c:v>2.7857142857142856</c:v>
                </c:pt>
                <c:pt idx="6">
                  <c:v>12.52</c:v>
                </c:pt>
                <c:pt idx="7">
                  <c:v>2.3235294117647061</c:v>
                </c:pt>
                <c:pt idx="8">
                  <c:v>2.3396226415094339</c:v>
                </c:pt>
                <c:pt idx="9">
                  <c:v>5.45</c:v>
                </c:pt>
              </c:numCache>
            </c:numRef>
          </c:val>
        </c:ser>
        <c:dLbls>
          <c:showLegendKey val="0"/>
          <c:showVal val="0"/>
          <c:showCatName val="0"/>
          <c:showSerName val="0"/>
          <c:showPercent val="0"/>
          <c:showBubbleSize val="0"/>
        </c:dLbls>
        <c:gapWidth val="150"/>
        <c:axId val="36005376"/>
        <c:axId val="36006912"/>
      </c:barChart>
      <c:catAx>
        <c:axId val="36005376"/>
        <c:scaling>
          <c:orientation val="minMax"/>
        </c:scaling>
        <c:delete val="0"/>
        <c:axPos val="l"/>
        <c:numFmt formatCode="General" sourceLinked="1"/>
        <c:majorTickMark val="out"/>
        <c:minorTickMark val="none"/>
        <c:tickLblPos val="nextTo"/>
        <c:txPr>
          <a:bodyPr/>
          <a:lstStyle/>
          <a:p>
            <a:pPr>
              <a:defRPr sz="800"/>
            </a:pPr>
            <a:endParaRPr lang="en-US"/>
          </a:p>
        </c:txPr>
        <c:crossAx val="36006912"/>
        <c:crosses val="autoZero"/>
        <c:auto val="1"/>
        <c:lblAlgn val="ctr"/>
        <c:lblOffset val="100"/>
        <c:noMultiLvlLbl val="0"/>
      </c:catAx>
      <c:valAx>
        <c:axId val="36006912"/>
        <c:scaling>
          <c:orientation val="minMax"/>
        </c:scaling>
        <c:delete val="0"/>
        <c:axPos val="b"/>
        <c:numFmt formatCode="General" sourceLinked="1"/>
        <c:majorTickMark val="out"/>
        <c:minorTickMark val="none"/>
        <c:tickLblPos val="nextTo"/>
        <c:txPr>
          <a:bodyPr/>
          <a:lstStyle/>
          <a:p>
            <a:pPr>
              <a:defRPr sz="800"/>
            </a:pPr>
            <a:endParaRPr lang="en-US"/>
          </a:p>
        </c:txPr>
        <c:crossAx val="36005376"/>
        <c:crosses val="autoZero"/>
        <c:crossBetween val="between"/>
      </c:valAx>
    </c:plotArea>
    <c:legend>
      <c:legendPos val="r"/>
      <c:layout>
        <c:manualLayout>
          <c:xMode val="edge"/>
          <c:yMode val="edge"/>
          <c:x val="0.62977374350990623"/>
          <c:y val="0.48607379151496205"/>
          <c:w val="0.35243539050422545"/>
          <c:h val="0.18707489470792957"/>
        </c:manualLayout>
      </c:layout>
      <c:overlay val="1"/>
      <c:txPr>
        <a:bodyPr/>
        <a:lstStyle/>
        <a:p>
          <a:pPr>
            <a:defRPr sz="800"/>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Insert the document abstract here. The abstract should describe the purpose of the policy/guide, and is a document metadata field that is used to help establish relevance for search engines, etc. The abstract is also used to populate library cards for any documents publishable under the Information Publication Scheme. You cannot use paragraphs in the abstract so keep it brief.</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26B08DF205FC2F479E17486463F9ACA8" ma:contentTypeVersion="11" ma:contentTypeDescription="Ddocs' Word Content Type" ma:contentTypeScope="" ma:versionID="59e736296bbe3d93632163566f51bc98">
  <xsd:schema xmlns:xsd="http://www.w3.org/2001/XMLSchema" xmlns:p="http://schemas.microsoft.com/office/2006/metadata/properties" xmlns:ns2="http://schemas.microsoft.com/sharepoint/v3/fields" xmlns:ns3="4ff5bc6b-1238-418a-b0ee-f48830a30d62" targetNamespace="http://schemas.microsoft.com/office/2006/metadata/properties" ma:root="true" ma:fieldsID="dc64026ba537ae81b4e4f7ba51bda4c7"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ternalName="DNetUniqueId" ma:readOnly="true">
      <xsd:simpleType>
        <xsd:restriction base="dms:Text"/>
      </xsd:simpleType>
    </xsd:element>
  </xsd:schema>
  <xsd:schema xmlns:xsd="http://www.w3.org/2001/XMLSchema" xmlns:dms="http://schemas.microsoft.com/office/2006/documentManagement/types" targetNamespace="4ff5bc6b-1238-418a-b0ee-f48830a30d62" elementFormDefault="qualified">
    <xsd:import namespace="http://schemas.microsoft.com/office/2006/documentManagement/type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docsSearchTerms xmlns="http://schemas.microsoft.com/sharepoint/v3/fields" xsi:nil="true"/>
    <_dlc_ExpireDateSaved xmlns="4ff5bc6b-1238-418a-b0ee-f48830a30d62" xsi:nil="true"/>
    <_dlc_ExpireDate xmlns="4ff5bc6b-1238-418a-b0ee-f48830a30d62" xsi:nil="true"/>
  </documentManagement>
</p:propertie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5.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C9F18-AFFC-4553-9323-FC66C3EA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CE93746-C7CB-47C7-9427-5E12F449EAC1}">
  <ds:schemaRefs>
    <ds:schemaRef ds:uri="4ff5bc6b-1238-418a-b0ee-f48830a30d62"/>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schemas.microsoft.com/sharepoint/v3/fields"/>
    <ds:schemaRef ds:uri="http://purl.org/dc/dcmitype/"/>
  </ds:schemaRefs>
</ds:datastoreItem>
</file>

<file path=customXml/itemProps4.xml><?xml version="1.0" encoding="utf-8"?>
<ds:datastoreItem xmlns:ds="http://schemas.openxmlformats.org/officeDocument/2006/customXml" ds:itemID="{53794BD5-7DF6-498B-A624-D85A92467193}">
  <ds:schemaRefs>
    <ds:schemaRef ds:uri="office.server.policy"/>
  </ds:schemaRefs>
</ds:datastoreItem>
</file>

<file path=customXml/itemProps5.xml><?xml version="1.0" encoding="utf-8"?>
<ds:datastoreItem xmlns:ds="http://schemas.openxmlformats.org/officeDocument/2006/customXml" ds:itemID="{75C0D125-9778-4CCD-859F-AD89FBA8A7F8}">
  <ds:schemaRefs>
    <ds:schemaRef ds:uri="http://schemas.microsoft.com/sharepoint/events"/>
  </ds:schemaRefs>
</ds:datastoreItem>
</file>

<file path=customXml/itemProps6.xml><?xml version="1.0" encoding="utf-8"?>
<ds:datastoreItem xmlns:ds="http://schemas.openxmlformats.org/officeDocument/2006/customXml" ds:itemID="{A9E148A1-B59B-49D1-B5AB-AA93ECAEADC8}">
  <ds:schemaRefs>
    <ds:schemaRef ds:uri="http://schemas.openxmlformats.org/officeDocument/2006/bibliography"/>
  </ds:schemaRefs>
</ds:datastoreItem>
</file>

<file path=customXml/itemProps7.xml><?xml version="1.0" encoding="utf-8"?>
<ds:datastoreItem xmlns:ds="http://schemas.openxmlformats.org/officeDocument/2006/customXml" ds:itemID="{70EBCE5F-6C5F-4CE9-8350-7875DB81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Pacey</dc:creator>
  <cp:lastModifiedBy>Sandra Taylor-Steele</cp:lastModifiedBy>
  <cp:revision>3</cp:revision>
  <cp:lastPrinted>2012-11-12T03:18:00Z</cp:lastPrinted>
  <dcterms:created xsi:type="dcterms:W3CDTF">2012-11-19T23:52:00Z</dcterms:created>
  <dcterms:modified xsi:type="dcterms:W3CDTF">2012-11-19T23:53:00Z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0x0101009EDC4876AF524A70BD125A9D2C0D191E0C0026B08DF205FC2F479E17486463F9ACA8</vt:lpwstr>
  </property>
  <property fmtid="{D5CDD505-2E9C-101B-9397-08002B2CF9AE}" pid="3" name="_dlc_ExpireDate">
    <vt:lpwstr>2016-09-15T00:04:33+00:00</vt:lpwstr>
  </property>
  <property fmtid="{D5CDD505-2E9C-101B-9397-08002B2CF9AE}" pid="4" name="_dlc_policyId">
    <vt:lpwstr/>
  </property>
  <property fmtid="{D5CDD505-2E9C-101B-9397-08002B2CF9AE}" pid="5" name="ItemRetentionFormula">
    <vt:lpwstr/>
  </property>
</Properties>
</file>