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2486423" w:displacedByCustomXml="next"/>
    <w:sdt>
      <w:sdtPr>
        <w:id w:val="685869552"/>
        <w:docPartObj>
          <w:docPartGallery w:val="Cover Pages"/>
          <w:docPartUnique/>
        </w:docPartObj>
      </w:sdtPr>
      <w:sdtEndPr/>
      <w:sdtContent>
        <w:p w:rsidR="00B17D9B" w:rsidRDefault="00B17D9B" w:rsidP="00F440E7">
          <w:pPr>
            <w:ind w:hanging="284"/>
            <w:rPr>
              <w:noProof/>
            </w:rPr>
          </w:pPr>
        </w:p>
        <w:p w:rsidR="008B316E" w:rsidRDefault="008B316E" w:rsidP="00F440E7">
          <w:pPr>
            <w:ind w:hanging="284"/>
          </w:pPr>
          <w:r>
            <w:rPr>
              <w:noProof/>
            </w:rPr>
            <w:drawing>
              <wp:inline distT="0" distB="0" distL="0" distR="0" wp14:anchorId="0DEA9F09" wp14:editId="7CE3E087">
                <wp:extent cx="4336415" cy="561340"/>
                <wp:effectExtent l="0" t="0" r="6985" b="0"/>
                <wp:docPr id="3" name="Picture 3" descr="Austra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Employment and Workplace Rel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36415" cy="561340"/>
                        </a:xfrm>
                        <a:prstGeom prst="rect">
                          <a:avLst/>
                        </a:prstGeom>
                        <a:noFill/>
                        <a:ln>
                          <a:noFill/>
                        </a:ln>
                      </pic:spPr>
                    </pic:pic>
                  </a:graphicData>
                </a:graphic>
              </wp:inline>
            </w:drawing>
          </w:r>
        </w:p>
        <w:p w:rsidR="008B316E" w:rsidRDefault="008B316E" w:rsidP="008B316E">
          <w:pPr>
            <w:rPr>
              <w:sz w:val="48"/>
              <w:szCs w:val="48"/>
              <w:lang w:bidi="en-US"/>
            </w:rPr>
          </w:pPr>
        </w:p>
        <w:sdt>
          <w:sdtPr>
            <w:rPr>
              <w:color w:val="auto"/>
              <w:sz w:val="40"/>
              <w:szCs w:val="40"/>
            </w:rPr>
            <w:alias w:val="Title"/>
            <w:tag w:val=""/>
            <w:id w:val="-1218355058"/>
            <w:showingPlcHdr/>
            <w:dataBinding w:prefixMappings="xmlns:ns0='http://purl.org/dc/elements/1.1/' xmlns:ns1='http://schemas.openxmlformats.org/package/2006/metadata/core-properties' " w:xpath="/ns1:coreProperties[1]/ns0:title[1]" w:storeItemID="{6C3C8BC8-F283-45AE-878A-BAB7291924A1}"/>
            <w:text/>
          </w:sdtPr>
          <w:sdtEndPr/>
          <w:sdtContent>
            <w:p w:rsidR="008B316E" w:rsidRDefault="004E7D6E" w:rsidP="00F440E7">
              <w:pPr>
                <w:pStyle w:val="Title"/>
                <w:spacing w:before="480" w:after="120"/>
                <w:ind w:left="992"/>
                <w:jc w:val="left"/>
              </w:pPr>
              <w:r>
                <w:rPr>
                  <w:color w:val="auto"/>
                  <w:sz w:val="40"/>
                  <w:szCs w:val="40"/>
                </w:rPr>
                <w:t xml:space="preserve">     </w:t>
              </w:r>
            </w:p>
          </w:sdtContent>
        </w:sdt>
        <w:p w:rsidR="004E7D6E" w:rsidRPr="00793E26" w:rsidRDefault="004E7D6E" w:rsidP="00F440E7">
          <w:pPr>
            <w:pStyle w:val="Heading1"/>
            <w:ind w:left="993"/>
            <w:rPr>
              <w:szCs w:val="40"/>
            </w:rPr>
          </w:pPr>
          <w:bookmarkStart w:id="1" w:name="_Toc339462192"/>
          <w:bookmarkStart w:id="2" w:name="_Toc345508528"/>
          <w:bookmarkStart w:id="3" w:name="_Toc346195459"/>
          <w:bookmarkStart w:id="4" w:name="_Toc346529973"/>
          <w:bookmarkStart w:id="5" w:name="_Toc346611098"/>
          <w:bookmarkStart w:id="6" w:name="_Toc348428581"/>
          <w:bookmarkStart w:id="7" w:name="_Toc335822985"/>
          <w:bookmarkStart w:id="8" w:name="_Toc338139775"/>
          <w:r w:rsidRPr="00793E26">
            <w:rPr>
              <w:szCs w:val="40"/>
            </w:rPr>
            <w:t>Survey of Employers’ Recruitment Experiences</w:t>
          </w:r>
          <w:bookmarkEnd w:id="1"/>
          <w:bookmarkEnd w:id="2"/>
          <w:bookmarkEnd w:id="3"/>
          <w:bookmarkEnd w:id="4"/>
          <w:bookmarkEnd w:id="5"/>
          <w:bookmarkEnd w:id="6"/>
        </w:p>
        <w:p w:rsidR="004B1A2D" w:rsidRDefault="00D52055" w:rsidP="00F440E7">
          <w:pPr>
            <w:pStyle w:val="Heading1"/>
            <w:ind w:left="993"/>
          </w:pPr>
          <w:bookmarkStart w:id="9" w:name="_Toc339462193"/>
          <w:bookmarkStart w:id="10" w:name="_Toc345508529"/>
          <w:bookmarkStart w:id="11" w:name="_Toc346195460"/>
          <w:bookmarkStart w:id="12" w:name="_Toc346529974"/>
          <w:bookmarkStart w:id="13" w:name="_Toc346611099"/>
          <w:bookmarkStart w:id="14" w:name="_Toc348428582"/>
          <w:r>
            <w:t>Central Victoria</w:t>
          </w:r>
          <w:r w:rsidR="004E7D6E">
            <w:t xml:space="preserve"> </w:t>
          </w:r>
          <w:bookmarkEnd w:id="7"/>
          <w:bookmarkEnd w:id="8"/>
          <w:bookmarkEnd w:id="9"/>
          <w:r>
            <w:t>Priority Employment</w:t>
          </w:r>
          <w:r w:rsidR="002F7D71">
            <w:t xml:space="preserve"> Area</w:t>
          </w:r>
          <w:bookmarkEnd w:id="10"/>
          <w:bookmarkEnd w:id="11"/>
          <w:bookmarkEnd w:id="12"/>
          <w:bookmarkEnd w:id="13"/>
          <w:bookmarkEnd w:id="14"/>
        </w:p>
        <w:p w:rsidR="00F440E7" w:rsidRDefault="00D52055" w:rsidP="00F440E7">
          <w:pPr>
            <w:pStyle w:val="Heading2"/>
            <w:ind w:left="993"/>
            <w:rPr>
              <w:rStyle w:val="Heading2Char"/>
            </w:rPr>
          </w:pPr>
          <w:bookmarkStart w:id="15" w:name="_Toc338139776"/>
          <w:bookmarkStart w:id="16" w:name="_Toc339462194"/>
          <w:bookmarkStart w:id="17" w:name="_Toc345508530"/>
          <w:bookmarkStart w:id="18" w:name="_Toc346195461"/>
          <w:bookmarkStart w:id="19" w:name="_Toc346529975"/>
          <w:bookmarkStart w:id="20" w:name="_Toc346611100"/>
          <w:bookmarkStart w:id="21" w:name="_Toc348428583"/>
          <w:r>
            <w:t>October</w:t>
          </w:r>
          <w:r w:rsidR="004E7D6E">
            <w:t xml:space="preserve"> 201</w:t>
          </w:r>
          <w:bookmarkEnd w:id="15"/>
          <w:bookmarkEnd w:id="16"/>
          <w:bookmarkEnd w:id="17"/>
          <w:bookmarkEnd w:id="18"/>
          <w:bookmarkEnd w:id="19"/>
          <w:bookmarkEnd w:id="20"/>
          <w:r w:rsidR="00FD434B">
            <w:t>2</w:t>
          </w:r>
          <w:bookmarkEnd w:id="21"/>
        </w:p>
        <w:p w:rsidR="004B1A2D" w:rsidRDefault="004B1A2D" w:rsidP="00F440E7">
          <w:pPr>
            <w:spacing w:before="0" w:after="0" w:line="240" w:lineRule="auto"/>
            <w:ind w:left="993"/>
            <w:rPr>
              <w:rStyle w:val="Heading2Char"/>
            </w:rPr>
          </w:pPr>
          <w:r>
            <w:rPr>
              <w:rFonts w:ascii="Calibri" w:eastAsiaTheme="majorEastAsia" w:hAnsi="Calibri" w:cstheme="majorBidi"/>
              <w:b/>
              <w:bCs/>
              <w:noProof/>
              <w:color w:val="165788"/>
              <w:sz w:val="32"/>
              <w:szCs w:val="26"/>
            </w:rPr>
            <w:drawing>
              <wp:anchor distT="0" distB="0" distL="114300" distR="114300" simplePos="0" relativeHeight="251659264" behindDoc="1" locked="0" layoutInCell="1" allowOverlap="1" wp14:anchorId="4D298717" wp14:editId="4D305459">
                <wp:simplePos x="0" y="0"/>
                <wp:positionH relativeFrom="column">
                  <wp:posOffset>-1019175</wp:posOffset>
                </wp:positionH>
                <wp:positionV relativeFrom="paragraph">
                  <wp:posOffset>2087880</wp:posOffset>
                </wp:positionV>
                <wp:extent cx="7724775" cy="3838575"/>
                <wp:effectExtent l="19050" t="0" r="952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24775" cy="3838575"/>
                        </a:xfrm>
                        <a:prstGeom prst="rect">
                          <a:avLst/>
                        </a:prstGeom>
                        <a:noFill/>
                        <a:ln>
                          <a:noFill/>
                        </a:ln>
                      </pic:spPr>
                    </pic:pic>
                  </a:graphicData>
                </a:graphic>
              </wp:anchor>
            </w:drawing>
          </w:r>
          <w:r>
            <w:rPr>
              <w:rFonts w:ascii="Calibri" w:eastAsiaTheme="majorEastAsia" w:hAnsi="Calibri" w:cstheme="majorBidi"/>
              <w:b/>
              <w:bCs/>
              <w:noProof/>
              <w:color w:val="165788"/>
              <w:sz w:val="32"/>
              <w:szCs w:val="26"/>
            </w:rPr>
            <w:drawing>
              <wp:anchor distT="0" distB="0" distL="114300" distR="114300" simplePos="0" relativeHeight="251660288" behindDoc="1" locked="0" layoutInCell="1" allowOverlap="1" wp14:anchorId="5220AFC0" wp14:editId="4B033549">
                <wp:simplePos x="0" y="0"/>
                <wp:positionH relativeFrom="column">
                  <wp:posOffset>-1002030</wp:posOffset>
                </wp:positionH>
                <wp:positionV relativeFrom="paragraph">
                  <wp:posOffset>585470</wp:posOffset>
                </wp:positionV>
                <wp:extent cx="7738110" cy="1874520"/>
                <wp:effectExtent l="19050" t="0" r="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38110" cy="1874520"/>
                        </a:xfrm>
                        <a:prstGeom prst="rect">
                          <a:avLst/>
                        </a:prstGeom>
                        <a:noFill/>
                        <a:ln>
                          <a:noFill/>
                        </a:ln>
                      </pic:spPr>
                    </pic:pic>
                  </a:graphicData>
                </a:graphic>
              </wp:anchor>
            </w:drawing>
          </w:r>
          <w:r>
            <w:rPr>
              <w:rStyle w:val="Heading2Char"/>
            </w:rPr>
            <w:br w:type="page"/>
          </w:r>
        </w:p>
        <w:p w:rsidR="00BD69AE" w:rsidRDefault="00BD69AE" w:rsidP="004B1A2D">
          <w:pPr>
            <w:spacing w:before="0" w:after="0" w:line="240" w:lineRule="auto"/>
            <w:rPr>
              <w:rFonts w:asciiTheme="majorHAnsi" w:eastAsiaTheme="majorEastAsia" w:hAnsiTheme="majorHAnsi" w:cstheme="majorBidi"/>
              <w:b/>
              <w:bCs/>
              <w:color w:val="165788"/>
              <w:sz w:val="40"/>
              <w:szCs w:val="28"/>
            </w:rPr>
            <w:sectPr w:rsidR="00BD69AE" w:rsidSect="00DB0902">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440" w:right="1559" w:bottom="1440" w:left="1440" w:header="709" w:footer="709" w:gutter="0"/>
              <w:cols w:space="708"/>
              <w:titlePg/>
              <w:docGrid w:linePitch="360"/>
            </w:sectPr>
          </w:pPr>
        </w:p>
        <w:p w:rsidR="004B1A2D" w:rsidRPr="004B1A2D" w:rsidRDefault="00B14132" w:rsidP="004B1A2D">
          <w:pPr>
            <w:spacing w:before="0" w:after="0" w:line="240" w:lineRule="auto"/>
            <w:rPr>
              <w:rFonts w:asciiTheme="majorHAnsi" w:eastAsiaTheme="majorEastAsia" w:hAnsiTheme="majorHAnsi" w:cstheme="majorBidi"/>
              <w:b/>
              <w:bCs/>
              <w:color w:val="165788"/>
              <w:sz w:val="40"/>
              <w:szCs w:val="28"/>
            </w:rPr>
          </w:pPr>
        </w:p>
      </w:sdtContent>
    </w:sdt>
    <w:bookmarkEnd w:id="0" w:displacedByCustomXml="prev"/>
    <w:p w:rsidR="009F1AE2" w:rsidRPr="009F1AE2" w:rsidRDefault="009F1AE2" w:rsidP="0019736B">
      <w:pPr>
        <w:pStyle w:val="numberedpara"/>
        <w:numPr>
          <w:ilvl w:val="0"/>
          <w:numId w:val="0"/>
        </w:numPr>
        <w:tabs>
          <w:tab w:val="left" w:pos="720"/>
        </w:tabs>
        <w:ind w:left="142"/>
        <w:rPr>
          <w:sz w:val="560"/>
          <w:szCs w:val="560"/>
        </w:rPr>
      </w:pPr>
    </w:p>
    <w:p w:rsidR="002C57CD" w:rsidRPr="009F1AE2" w:rsidRDefault="002C57CD" w:rsidP="009F1AE2">
      <w:pPr>
        <w:pStyle w:val="BodyText"/>
      </w:pPr>
    </w:p>
    <w:p w:rsidR="0019736B" w:rsidRDefault="0019736B" w:rsidP="0019736B">
      <w:pPr>
        <w:pStyle w:val="numberedpara"/>
        <w:numPr>
          <w:ilvl w:val="0"/>
          <w:numId w:val="0"/>
        </w:numPr>
        <w:tabs>
          <w:tab w:val="left" w:pos="720"/>
        </w:tabs>
        <w:rPr>
          <w:sz w:val="20"/>
          <w:szCs w:val="20"/>
        </w:rPr>
      </w:pPr>
      <w:r>
        <w:rPr>
          <w:noProof/>
          <w:sz w:val="20"/>
          <w:szCs w:val="20"/>
        </w:rPr>
        <w:drawing>
          <wp:inline distT="0" distB="0" distL="0" distR="0">
            <wp:extent cx="847725" cy="285750"/>
            <wp:effectExtent l="19050" t="0" r="9525" b="0"/>
            <wp:docPr id="4" name="Picture 1"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4" r:link="rId2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19736B" w:rsidRPr="000462F1" w:rsidRDefault="0019736B" w:rsidP="0019736B">
      <w:pPr>
        <w:pStyle w:val="Default"/>
        <w:spacing w:before="120" w:after="120"/>
        <w:rPr>
          <w:sz w:val="20"/>
          <w:szCs w:val="20"/>
        </w:rPr>
      </w:pPr>
      <w:r w:rsidRPr="000462F1">
        <w:rPr>
          <w:sz w:val="20"/>
          <w:szCs w:val="20"/>
        </w:rPr>
        <w:t>With the exception of the Commonwealth Coat of Arms, the Department’s logo, any material protected by a trade mark and where otherwise noted all material presented in this document is provided under a Creative Commons Attribution 3.0 Australia (</w:t>
      </w:r>
      <w:hyperlink r:id="rId26" w:history="1">
        <w:r w:rsidRPr="000462F1">
          <w:rPr>
            <w:rStyle w:val="Hyperlink"/>
          </w:rPr>
          <w:t>http://creativecommons.org/licenses/by/3.0/au/</w:t>
        </w:r>
      </w:hyperlink>
      <w:r w:rsidRPr="000462F1">
        <w:rPr>
          <w:sz w:val="20"/>
          <w:szCs w:val="20"/>
        </w:rPr>
        <w:t xml:space="preserve">) licence. </w:t>
      </w:r>
    </w:p>
    <w:p w:rsidR="003E387D" w:rsidRDefault="0019736B" w:rsidP="003E387D">
      <w:pPr>
        <w:pStyle w:val="Default"/>
        <w:spacing w:before="120" w:after="120"/>
        <w:rPr>
          <w:sz w:val="20"/>
          <w:szCs w:val="20"/>
        </w:rPr>
      </w:pPr>
      <w:r w:rsidRPr="000462F1">
        <w:rPr>
          <w:sz w:val="20"/>
          <w:szCs w:val="20"/>
        </w:rPr>
        <w:t>The details of the relevant licence conditions are available on the Creative Commons website (accessible using the links provided) as is the full legal code for the CC BY 3.0 AU licence (</w:t>
      </w:r>
      <w:hyperlink r:id="rId27" w:history="1">
        <w:r w:rsidRPr="000462F1">
          <w:rPr>
            <w:rStyle w:val="Hyperlink"/>
          </w:rPr>
          <w:t>http://creativecommons.org/licenses/by/3.0/au/legalcode</w:t>
        </w:r>
      </w:hyperlink>
      <w:r w:rsidRPr="000462F1">
        <w:rPr>
          <w:sz w:val="20"/>
          <w:szCs w:val="20"/>
        </w:rPr>
        <w:t xml:space="preserve">). The document must be attributed as </w:t>
      </w:r>
      <w:r w:rsidR="003E387D">
        <w:rPr>
          <w:sz w:val="20"/>
          <w:szCs w:val="20"/>
        </w:rPr>
        <w:t xml:space="preserve">the ‘DEEWR - Survey of Employers’ Recruitment Experiences – </w:t>
      </w:r>
      <w:r w:rsidR="008E4642">
        <w:rPr>
          <w:sz w:val="20"/>
          <w:szCs w:val="20"/>
        </w:rPr>
        <w:t xml:space="preserve">Central Victoria Priority Employment </w:t>
      </w:r>
      <w:r w:rsidR="003E387D">
        <w:rPr>
          <w:sz w:val="20"/>
          <w:szCs w:val="20"/>
        </w:rPr>
        <w:t xml:space="preserve">Area – </w:t>
      </w:r>
      <w:r w:rsidR="008E4642">
        <w:rPr>
          <w:sz w:val="20"/>
          <w:szCs w:val="20"/>
        </w:rPr>
        <w:t>October</w:t>
      </w:r>
      <w:r w:rsidR="002F7D71">
        <w:rPr>
          <w:sz w:val="20"/>
          <w:szCs w:val="20"/>
        </w:rPr>
        <w:t xml:space="preserve"> </w:t>
      </w:r>
      <w:r w:rsidR="003E387D">
        <w:rPr>
          <w:sz w:val="20"/>
          <w:szCs w:val="20"/>
        </w:rPr>
        <w:t xml:space="preserve">2012’. </w:t>
      </w:r>
    </w:p>
    <w:p w:rsidR="00D571C0" w:rsidRDefault="00D571C0" w:rsidP="003E387D">
      <w:pPr>
        <w:pStyle w:val="Default"/>
        <w:spacing w:before="120" w:after="120"/>
        <w:rPr>
          <w:sz w:val="20"/>
          <w:szCs w:val="20"/>
        </w:rPr>
      </w:pPr>
    </w:p>
    <w:p w:rsidR="00D571C0" w:rsidRDefault="00D571C0" w:rsidP="00D571C0">
      <w:pPr>
        <w:spacing w:after="180"/>
        <w:ind w:right="2514"/>
        <w:rPr>
          <w:rFonts w:cs="Arial"/>
          <w:szCs w:val="22"/>
        </w:rPr>
      </w:pPr>
    </w:p>
    <w:p w:rsidR="00D571C0" w:rsidRPr="00690AB6" w:rsidRDefault="00D571C0" w:rsidP="00D571C0">
      <w:pPr>
        <w:spacing w:after="180"/>
        <w:ind w:right="2514"/>
        <w:rPr>
          <w:rFonts w:cs="Arial"/>
          <w:szCs w:val="22"/>
        </w:rPr>
      </w:pPr>
      <w:r w:rsidRPr="00690AB6">
        <w:rPr>
          <w:rFonts w:cs="Arial"/>
          <w:szCs w:val="22"/>
        </w:rPr>
        <w:t>This report was prepared by the Labo</w:t>
      </w:r>
      <w:r>
        <w:rPr>
          <w:rFonts w:cs="Arial"/>
          <w:szCs w:val="22"/>
        </w:rPr>
        <w:t xml:space="preserve">ur Market Research and Analysis </w:t>
      </w:r>
      <w:r w:rsidRPr="00690AB6">
        <w:rPr>
          <w:rFonts w:cs="Arial"/>
          <w:szCs w:val="22"/>
        </w:rPr>
        <w:t>Branch and is based on research conducted by the Branch.</w:t>
      </w:r>
    </w:p>
    <w:p w:rsidR="00D571C0" w:rsidRPr="00A2366C" w:rsidRDefault="00577029" w:rsidP="00D571C0">
      <w:pPr>
        <w:pStyle w:val="Default"/>
        <w:spacing w:before="120" w:after="120"/>
        <w:rPr>
          <w:sz w:val="22"/>
          <w:szCs w:val="22"/>
        </w:rPr>
      </w:pPr>
      <w:r w:rsidRPr="00A2366C">
        <w:rPr>
          <w:rFonts w:cs="Arial"/>
          <w:noProof/>
          <w:sz w:val="22"/>
          <w:szCs w:val="22"/>
        </w:rPr>
        <mc:AlternateContent>
          <mc:Choice Requires="wps">
            <w:drawing>
              <wp:anchor distT="0" distB="0" distL="114300" distR="114300" simplePos="0" relativeHeight="251666432" behindDoc="0" locked="0" layoutInCell="1" allowOverlap="1" wp14:anchorId="3C0936D3" wp14:editId="4889045C">
                <wp:simplePos x="0" y="0"/>
                <wp:positionH relativeFrom="column">
                  <wp:posOffset>2138045</wp:posOffset>
                </wp:positionH>
                <wp:positionV relativeFrom="paragraph">
                  <wp:posOffset>757555</wp:posOffset>
                </wp:positionV>
                <wp:extent cx="4665345" cy="457200"/>
                <wp:effectExtent l="4445" t="5080" r="6985" b="25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457200"/>
                        </a:xfrm>
                        <a:prstGeom prst="rect">
                          <a:avLst/>
                        </a:prstGeom>
                        <a:solidFill>
                          <a:schemeClr val="bg2">
                            <a:lumMod val="75000"/>
                            <a:lumOff val="0"/>
                            <a:alpha val="0"/>
                          </a:schemeClr>
                        </a:solidFill>
                        <a:ln>
                          <a:noFill/>
                        </a:ln>
                        <a:extLst>
                          <a:ext uri="{91240B29-F687-4F45-9708-019B960494DF}">
                            <a14:hiddenLine xmlns:a14="http://schemas.microsoft.com/office/drawing/2010/main" w="0">
                              <a:solidFill>
                                <a:schemeClr val="bg2">
                                  <a:lumMod val="90000"/>
                                  <a:lumOff val="0"/>
                                </a:schemeClr>
                              </a:solidFill>
                              <a:miter lim="800000"/>
                              <a:headEnd/>
                              <a:tailEnd/>
                            </a14:hiddenLine>
                          </a:ext>
                        </a:extLst>
                      </wps:spPr>
                      <wps:txbx>
                        <w:txbxContent>
                          <w:p w:rsidR="0077131B" w:rsidRDefault="0077131B" w:rsidP="00D571C0">
                            <w:r>
                              <w:rPr>
                                <w:sz w:val="20"/>
                              </w:rPr>
                              <w:tab/>
                            </w:r>
                            <w:r>
                              <w:rPr>
                                <w:sz w:val="20"/>
                              </w:rPr>
                              <w:tab/>
                            </w:r>
                            <w:r>
                              <w:rPr>
                                <w:sz w:val="20"/>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8.35pt;margin-top:59.65pt;width:367.35pt;height:36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" fillcolor="#c4bc96 [2414]" stroked="f" strokecolor="#ddd8c2 [2894]" strokeweight="0">
                <v:fill opacity="0"/>
                <v:textbox style="mso-fit-shape-to-text:t">
                  <w:txbxContent>
                    <w:p w:rsidR="0077131B" w:rsidRDefault="0077131B" w:rsidP="00D571C0">
                      <w:r>
                        <w:rPr>
                          <w:sz w:val="20"/>
                        </w:rPr>
                        <w:tab/>
                      </w:r>
                      <w:r>
                        <w:rPr>
                          <w:sz w:val="20"/>
                        </w:rPr>
                        <w:tab/>
                      </w:r>
                      <w:r>
                        <w:rPr>
                          <w:sz w:val="20"/>
                        </w:rPr>
                        <w:tab/>
                      </w:r>
                    </w:p>
                  </w:txbxContent>
                </v:textbox>
              </v:shape>
            </w:pict>
          </mc:Fallback>
        </mc:AlternateContent>
      </w:r>
      <w:r w:rsidR="00D571C0" w:rsidRPr="00A2366C">
        <w:rPr>
          <w:rFonts w:cs="Arial"/>
          <w:sz w:val="22"/>
          <w:szCs w:val="22"/>
        </w:rPr>
        <w:t>For further information: www.deewr.gov.au</w:t>
      </w:r>
      <w:r w:rsidR="00D571C0" w:rsidRPr="00A2366C">
        <w:rPr>
          <w:rFonts w:cs="Arial"/>
          <w:sz w:val="22"/>
          <w:szCs w:val="22"/>
        </w:rPr>
        <w:br/>
      </w:r>
      <w:proofErr w:type="spellStart"/>
      <w:r w:rsidR="00D571C0" w:rsidRPr="00A2366C">
        <w:rPr>
          <w:rFonts w:cs="Arial"/>
          <w:sz w:val="22"/>
          <w:szCs w:val="22"/>
        </w:rPr>
        <w:t>Ph</w:t>
      </w:r>
      <w:proofErr w:type="spellEnd"/>
      <w:r w:rsidR="00D571C0" w:rsidRPr="00A2366C">
        <w:rPr>
          <w:rFonts w:cs="Arial"/>
          <w:sz w:val="22"/>
          <w:szCs w:val="22"/>
        </w:rPr>
        <w:t xml:space="preserve">: 1800 059 439 | </w:t>
      </w:r>
      <w:hyperlink r:id="rId28" w:history="1">
        <w:r w:rsidR="00D571C0" w:rsidRPr="00A2366C">
          <w:rPr>
            <w:rFonts w:cs="Arial"/>
            <w:sz w:val="22"/>
            <w:szCs w:val="22"/>
          </w:rPr>
          <w:t>recruitmentsurveys@deewr.gov.au</w:t>
        </w:r>
      </w:hyperlink>
      <w:r w:rsidR="00D571C0" w:rsidRPr="00A2366C">
        <w:rPr>
          <w:sz w:val="22"/>
          <w:szCs w:val="22"/>
        </w:rPr>
        <w:tab/>
        <w:t xml:space="preserve">                      </w:t>
      </w:r>
      <w:r w:rsidR="00D571C0" w:rsidRPr="00A2366C">
        <w:rPr>
          <w:sz w:val="22"/>
          <w:szCs w:val="22"/>
        </w:rPr>
        <w:br/>
      </w:r>
      <w:r w:rsidR="00D571C0" w:rsidRPr="00A2366C">
        <w:rPr>
          <w:rFonts w:cs="Arial"/>
          <w:sz w:val="22"/>
          <w:szCs w:val="22"/>
        </w:rPr>
        <w:t>ABN: 63 578 775 294</w:t>
      </w:r>
    </w:p>
    <w:bookmarkStart w:id="22" w:name="_Toc346611101" w:displacedByCustomXml="next"/>
    <w:bookmarkStart w:id="23" w:name="_Toc345508531" w:displacedByCustomXml="next"/>
    <w:bookmarkStart w:id="24" w:name="_Toc346195462" w:displacedByCustomXml="next"/>
    <w:bookmarkStart w:id="25" w:name="_Toc346529976" w:displacedByCustomXml="next"/>
    <w:bookmarkStart w:id="26" w:name="_Toc348428584" w:displacedByCustomXml="next"/>
    <w:sdt>
      <w:sdtPr>
        <w:rPr>
          <w:rFonts w:asciiTheme="minorHAnsi" w:eastAsia="Times New Roman" w:hAnsiTheme="minorHAnsi" w:cs="Times New Roman"/>
          <w:b w:val="0"/>
          <w:bCs w:val="0"/>
          <w:smallCaps/>
          <w:color w:val="auto"/>
          <w:sz w:val="22"/>
          <w:szCs w:val="24"/>
        </w:rPr>
        <w:id w:val="86572131"/>
        <w:docPartObj>
          <w:docPartGallery w:val="Table of Contents"/>
          <w:docPartUnique/>
        </w:docPartObj>
      </w:sdtPr>
      <w:sdtEndPr>
        <w:rPr>
          <w:smallCaps w:val="0"/>
        </w:rPr>
      </w:sdtEndPr>
      <w:sdtContent>
        <w:p w:rsidR="008A1AC3" w:rsidRDefault="0097493D" w:rsidP="003E387D">
          <w:pPr>
            <w:pStyle w:val="Heading1"/>
            <w:rPr>
              <w:noProof/>
            </w:rPr>
          </w:pPr>
          <w:r w:rsidRPr="007F36DA">
            <w:rPr>
              <w:sz w:val="36"/>
              <w:szCs w:val="36"/>
            </w:rPr>
            <w:t>Contents</w:t>
          </w:r>
          <w:bookmarkEnd w:id="26"/>
          <w:bookmarkEnd w:id="25"/>
          <w:bookmarkEnd w:id="24"/>
          <w:bookmarkEnd w:id="23"/>
          <w:bookmarkEnd w:id="22"/>
          <w:r w:rsidR="00D76419">
            <w:fldChar w:fldCharType="begin"/>
          </w:r>
          <w:r>
            <w:instrText xml:space="preserve"> TOC \o "1-3" \h \z \u </w:instrText>
          </w:r>
          <w:r w:rsidR="00D76419">
            <w:fldChar w:fldCharType="separate"/>
          </w:r>
        </w:p>
        <w:p w:rsidR="008A1AC3" w:rsidRDefault="00B14132">
          <w:pPr>
            <w:pStyle w:val="TOC1"/>
            <w:rPr>
              <w:rFonts w:asciiTheme="minorHAnsi" w:eastAsiaTheme="minorEastAsia" w:hAnsiTheme="minorHAnsi" w:cstheme="minorBidi"/>
              <w:b w:val="0"/>
              <w:noProof/>
              <w:color w:val="auto"/>
              <w:szCs w:val="22"/>
            </w:rPr>
          </w:pPr>
          <w:hyperlink w:anchor="_Toc348428585" w:history="1">
            <w:r w:rsidR="008A1AC3" w:rsidRPr="00743E61">
              <w:rPr>
                <w:rStyle w:val="Hyperlink"/>
                <w:rFonts w:eastAsiaTheme="majorEastAsia"/>
                <w:noProof/>
              </w:rPr>
              <w:t>The Central Victoria Priority Employment Area</w:t>
            </w:r>
            <w:r w:rsidR="008A1AC3">
              <w:rPr>
                <w:noProof/>
                <w:webHidden/>
              </w:rPr>
              <w:tab/>
            </w:r>
            <w:r w:rsidR="008A1AC3">
              <w:rPr>
                <w:noProof/>
                <w:webHidden/>
              </w:rPr>
              <w:fldChar w:fldCharType="begin"/>
            </w:r>
            <w:r w:rsidR="008A1AC3">
              <w:rPr>
                <w:noProof/>
                <w:webHidden/>
              </w:rPr>
              <w:instrText xml:space="preserve"> PAGEREF _Toc348428585 \h </w:instrText>
            </w:r>
            <w:r w:rsidR="008A1AC3">
              <w:rPr>
                <w:noProof/>
                <w:webHidden/>
              </w:rPr>
            </w:r>
            <w:r w:rsidR="008A1AC3">
              <w:rPr>
                <w:noProof/>
                <w:webHidden/>
              </w:rPr>
              <w:fldChar w:fldCharType="separate"/>
            </w:r>
            <w:r w:rsidR="0007347D">
              <w:rPr>
                <w:noProof/>
                <w:webHidden/>
              </w:rPr>
              <w:t>1</w:t>
            </w:r>
            <w:r w:rsidR="008A1AC3">
              <w:rPr>
                <w:noProof/>
                <w:webHidden/>
              </w:rPr>
              <w:fldChar w:fldCharType="end"/>
            </w:r>
          </w:hyperlink>
        </w:p>
        <w:p w:rsidR="008A1AC3" w:rsidRDefault="00B14132">
          <w:pPr>
            <w:pStyle w:val="TOC1"/>
            <w:rPr>
              <w:rFonts w:asciiTheme="minorHAnsi" w:eastAsiaTheme="minorEastAsia" w:hAnsiTheme="minorHAnsi" w:cstheme="minorBidi"/>
              <w:b w:val="0"/>
              <w:noProof/>
              <w:color w:val="auto"/>
              <w:szCs w:val="22"/>
            </w:rPr>
          </w:pPr>
          <w:hyperlink w:anchor="_Toc348428586" w:history="1">
            <w:r w:rsidR="008A1AC3" w:rsidRPr="00743E61">
              <w:rPr>
                <w:rStyle w:val="Hyperlink"/>
                <w:rFonts w:eastAsiaTheme="majorEastAsia"/>
                <w:noProof/>
              </w:rPr>
              <w:t>Key Findings</w:t>
            </w:r>
            <w:r w:rsidR="008A1AC3">
              <w:rPr>
                <w:noProof/>
                <w:webHidden/>
              </w:rPr>
              <w:tab/>
            </w:r>
            <w:r w:rsidR="008A1AC3">
              <w:rPr>
                <w:noProof/>
                <w:webHidden/>
              </w:rPr>
              <w:fldChar w:fldCharType="begin"/>
            </w:r>
            <w:r w:rsidR="008A1AC3">
              <w:rPr>
                <w:noProof/>
                <w:webHidden/>
              </w:rPr>
              <w:instrText xml:space="preserve"> PAGEREF _Toc348428586 \h </w:instrText>
            </w:r>
            <w:r w:rsidR="008A1AC3">
              <w:rPr>
                <w:noProof/>
                <w:webHidden/>
              </w:rPr>
            </w:r>
            <w:r w:rsidR="008A1AC3">
              <w:rPr>
                <w:noProof/>
                <w:webHidden/>
              </w:rPr>
              <w:fldChar w:fldCharType="separate"/>
            </w:r>
            <w:r w:rsidR="0007347D">
              <w:rPr>
                <w:noProof/>
                <w:webHidden/>
              </w:rPr>
              <w:t>1</w:t>
            </w:r>
            <w:r w:rsidR="008A1AC3">
              <w:rPr>
                <w:noProof/>
                <w:webHidden/>
              </w:rPr>
              <w:fldChar w:fldCharType="end"/>
            </w:r>
          </w:hyperlink>
        </w:p>
        <w:p w:rsidR="008A1AC3" w:rsidRDefault="00B14132">
          <w:pPr>
            <w:pStyle w:val="TOC1"/>
            <w:rPr>
              <w:rFonts w:asciiTheme="minorHAnsi" w:eastAsiaTheme="minorEastAsia" w:hAnsiTheme="minorHAnsi" w:cstheme="minorBidi"/>
              <w:b w:val="0"/>
              <w:noProof/>
              <w:color w:val="auto"/>
              <w:szCs w:val="22"/>
            </w:rPr>
          </w:pPr>
          <w:hyperlink w:anchor="_Toc348428590" w:history="1">
            <w:r w:rsidR="008A1AC3" w:rsidRPr="00743E61">
              <w:rPr>
                <w:rStyle w:val="Hyperlink"/>
                <w:rFonts w:eastAsiaTheme="majorEastAsia"/>
                <w:noProof/>
              </w:rPr>
              <w:t>The Future</w:t>
            </w:r>
            <w:r w:rsidR="008A1AC3">
              <w:rPr>
                <w:noProof/>
                <w:webHidden/>
              </w:rPr>
              <w:tab/>
            </w:r>
            <w:r w:rsidR="008A1AC3">
              <w:rPr>
                <w:noProof/>
                <w:webHidden/>
              </w:rPr>
              <w:fldChar w:fldCharType="begin"/>
            </w:r>
            <w:r w:rsidR="008A1AC3">
              <w:rPr>
                <w:noProof/>
                <w:webHidden/>
              </w:rPr>
              <w:instrText xml:space="preserve"> PAGEREF _Toc348428590 \h </w:instrText>
            </w:r>
            <w:r w:rsidR="008A1AC3">
              <w:rPr>
                <w:noProof/>
                <w:webHidden/>
              </w:rPr>
            </w:r>
            <w:r w:rsidR="008A1AC3">
              <w:rPr>
                <w:noProof/>
                <w:webHidden/>
              </w:rPr>
              <w:fldChar w:fldCharType="separate"/>
            </w:r>
            <w:r w:rsidR="0007347D">
              <w:rPr>
                <w:noProof/>
                <w:webHidden/>
              </w:rPr>
              <w:t>4</w:t>
            </w:r>
            <w:r w:rsidR="008A1AC3">
              <w:rPr>
                <w:noProof/>
                <w:webHidden/>
              </w:rPr>
              <w:fldChar w:fldCharType="end"/>
            </w:r>
          </w:hyperlink>
        </w:p>
        <w:p w:rsidR="008A1AC3" w:rsidRDefault="00B14132">
          <w:pPr>
            <w:pStyle w:val="TOC1"/>
            <w:rPr>
              <w:rFonts w:asciiTheme="minorHAnsi" w:eastAsiaTheme="minorEastAsia" w:hAnsiTheme="minorHAnsi" w:cstheme="minorBidi"/>
              <w:b w:val="0"/>
              <w:noProof/>
              <w:color w:val="auto"/>
              <w:szCs w:val="22"/>
            </w:rPr>
          </w:pPr>
          <w:hyperlink w:anchor="_Toc348428591" w:history="1">
            <w:r w:rsidR="00ED3BB1">
              <w:rPr>
                <w:rStyle w:val="Hyperlink"/>
                <w:rFonts w:eastAsiaTheme="majorEastAsia"/>
                <w:noProof/>
              </w:rPr>
              <w:t>Where are the J</w:t>
            </w:r>
            <w:r w:rsidR="008A1AC3" w:rsidRPr="00743E61">
              <w:rPr>
                <w:rStyle w:val="Hyperlink"/>
                <w:rFonts w:eastAsiaTheme="majorEastAsia"/>
                <w:noProof/>
              </w:rPr>
              <w:t>obs?</w:t>
            </w:r>
            <w:r w:rsidR="008A1AC3">
              <w:rPr>
                <w:noProof/>
                <w:webHidden/>
              </w:rPr>
              <w:tab/>
            </w:r>
            <w:r w:rsidR="008A1AC3">
              <w:rPr>
                <w:noProof/>
                <w:webHidden/>
              </w:rPr>
              <w:fldChar w:fldCharType="begin"/>
            </w:r>
            <w:r w:rsidR="008A1AC3">
              <w:rPr>
                <w:noProof/>
                <w:webHidden/>
              </w:rPr>
              <w:instrText xml:space="preserve"> PAGEREF _Toc348428591 \h </w:instrText>
            </w:r>
            <w:r w:rsidR="008A1AC3">
              <w:rPr>
                <w:noProof/>
                <w:webHidden/>
              </w:rPr>
            </w:r>
            <w:r w:rsidR="008A1AC3">
              <w:rPr>
                <w:noProof/>
                <w:webHidden/>
              </w:rPr>
              <w:fldChar w:fldCharType="separate"/>
            </w:r>
            <w:r w:rsidR="0007347D">
              <w:rPr>
                <w:noProof/>
                <w:webHidden/>
              </w:rPr>
              <w:t>5</w:t>
            </w:r>
            <w:r w:rsidR="008A1AC3">
              <w:rPr>
                <w:noProof/>
                <w:webHidden/>
              </w:rPr>
              <w:fldChar w:fldCharType="end"/>
            </w:r>
          </w:hyperlink>
        </w:p>
        <w:p w:rsidR="008A1AC3" w:rsidRDefault="00B14132">
          <w:pPr>
            <w:pStyle w:val="TOC1"/>
            <w:rPr>
              <w:rFonts w:asciiTheme="minorHAnsi" w:eastAsiaTheme="minorEastAsia" w:hAnsiTheme="minorHAnsi" w:cstheme="minorBidi"/>
              <w:b w:val="0"/>
              <w:noProof/>
              <w:color w:val="auto"/>
              <w:szCs w:val="22"/>
            </w:rPr>
          </w:pPr>
          <w:hyperlink w:anchor="_Toc348428592" w:history="1">
            <w:r w:rsidR="008A1AC3" w:rsidRPr="00743E61">
              <w:rPr>
                <w:rStyle w:val="Hyperlink"/>
                <w:rFonts w:eastAsiaTheme="majorEastAsia"/>
                <w:noProof/>
              </w:rPr>
              <w:t>More Information</w:t>
            </w:r>
            <w:r w:rsidR="008A1AC3">
              <w:rPr>
                <w:noProof/>
                <w:webHidden/>
              </w:rPr>
              <w:tab/>
            </w:r>
            <w:r w:rsidR="008A1AC3">
              <w:rPr>
                <w:noProof/>
                <w:webHidden/>
              </w:rPr>
              <w:fldChar w:fldCharType="begin"/>
            </w:r>
            <w:r w:rsidR="008A1AC3">
              <w:rPr>
                <w:noProof/>
                <w:webHidden/>
              </w:rPr>
              <w:instrText xml:space="preserve"> PAGEREF _Toc348428592 \h </w:instrText>
            </w:r>
            <w:r w:rsidR="008A1AC3">
              <w:rPr>
                <w:noProof/>
                <w:webHidden/>
              </w:rPr>
            </w:r>
            <w:r w:rsidR="008A1AC3">
              <w:rPr>
                <w:noProof/>
                <w:webHidden/>
              </w:rPr>
              <w:fldChar w:fldCharType="separate"/>
            </w:r>
            <w:r w:rsidR="0007347D">
              <w:rPr>
                <w:noProof/>
                <w:webHidden/>
              </w:rPr>
              <w:t>5</w:t>
            </w:r>
            <w:r w:rsidR="008A1AC3">
              <w:rPr>
                <w:noProof/>
                <w:webHidden/>
              </w:rPr>
              <w:fldChar w:fldCharType="end"/>
            </w:r>
          </w:hyperlink>
        </w:p>
        <w:p w:rsidR="006C6F4D" w:rsidRDefault="00D76419" w:rsidP="00CD7EC2">
          <w:pPr>
            <w:sectPr w:rsidR="006C6F4D" w:rsidSect="006C6F4D">
              <w:pgSz w:w="11907" w:h="16839" w:code="9"/>
              <w:pgMar w:top="1440" w:right="1559" w:bottom="1440" w:left="1440" w:header="709" w:footer="0" w:gutter="0"/>
              <w:pgNumType w:fmt="lowerRoman" w:start="2"/>
              <w:cols w:space="708"/>
              <w:titlePg/>
              <w:docGrid w:linePitch="360"/>
            </w:sectPr>
          </w:pPr>
          <w:r>
            <w:fldChar w:fldCharType="end"/>
          </w:r>
        </w:p>
      </w:sdtContent>
    </w:sdt>
    <w:p w:rsidR="00CD7EC2" w:rsidRDefault="00CD7EC2" w:rsidP="007858E9">
      <w:pPr>
        <w:pStyle w:val="Heading1"/>
        <w:rPr>
          <w:sz w:val="36"/>
          <w:szCs w:val="36"/>
        </w:rPr>
        <w:sectPr w:rsidR="00CD7EC2" w:rsidSect="00CD7EC2">
          <w:type w:val="continuous"/>
          <w:pgSz w:w="11907" w:h="16839" w:code="9"/>
          <w:pgMar w:top="1440" w:right="1559" w:bottom="1440" w:left="1440" w:header="709" w:footer="0" w:gutter="0"/>
          <w:pgNumType w:start="1"/>
          <w:cols w:space="708"/>
          <w:titlePg/>
          <w:docGrid w:linePitch="360"/>
        </w:sectPr>
      </w:pPr>
      <w:bookmarkStart w:id="27" w:name="_Toc339462198"/>
    </w:p>
    <w:p w:rsidR="00EB4AFE" w:rsidRPr="007F36DA" w:rsidRDefault="00887E9C" w:rsidP="00D171F5">
      <w:pPr>
        <w:pStyle w:val="Heading1"/>
        <w:spacing w:line="240" w:lineRule="auto"/>
        <w:rPr>
          <w:sz w:val="36"/>
          <w:szCs w:val="36"/>
        </w:rPr>
      </w:pPr>
      <w:bookmarkStart w:id="28" w:name="_Toc348428585"/>
      <w:bookmarkEnd w:id="27"/>
      <w:r w:rsidRPr="007F36DA">
        <w:rPr>
          <w:sz w:val="36"/>
          <w:szCs w:val="36"/>
        </w:rPr>
        <w:lastRenderedPageBreak/>
        <w:t xml:space="preserve">The </w:t>
      </w:r>
      <w:r w:rsidR="00D86FB7">
        <w:rPr>
          <w:sz w:val="36"/>
          <w:szCs w:val="36"/>
        </w:rPr>
        <w:t xml:space="preserve">Central Victoria Priority Employment </w:t>
      </w:r>
      <w:r w:rsidR="002F7D71" w:rsidRPr="007F36DA">
        <w:rPr>
          <w:sz w:val="36"/>
          <w:szCs w:val="36"/>
        </w:rPr>
        <w:t>Area</w:t>
      </w:r>
      <w:bookmarkEnd w:id="28"/>
    </w:p>
    <w:p w:rsidR="00C34028" w:rsidRPr="00003A96" w:rsidRDefault="002F7D71" w:rsidP="00D0622C">
      <w:pPr>
        <w:spacing w:before="0" w:after="0" w:line="240" w:lineRule="auto"/>
        <w:ind w:right="54"/>
        <w:jc w:val="both"/>
        <w:rPr>
          <w:rFonts w:cs="Calibri"/>
          <w:iCs/>
          <w:sz w:val="24"/>
        </w:rPr>
      </w:pPr>
      <w:r w:rsidRPr="00003A96">
        <w:rPr>
          <w:rFonts w:cstheme="minorHAnsi"/>
          <w:sz w:val="24"/>
        </w:rPr>
        <w:t xml:space="preserve">The </w:t>
      </w:r>
      <w:r w:rsidR="00D516FD" w:rsidRPr="00003A96">
        <w:rPr>
          <w:rFonts w:cstheme="minorHAnsi"/>
          <w:sz w:val="24"/>
        </w:rPr>
        <w:t>Central Victoria</w:t>
      </w:r>
      <w:r w:rsidR="00497B0B">
        <w:rPr>
          <w:rFonts w:cstheme="minorHAnsi"/>
          <w:sz w:val="24"/>
        </w:rPr>
        <w:t xml:space="preserve"> Priority Employment Area</w:t>
      </w:r>
      <w:r w:rsidR="00D516FD" w:rsidRPr="00003A96">
        <w:rPr>
          <w:rFonts w:cstheme="minorHAnsi"/>
          <w:sz w:val="24"/>
        </w:rPr>
        <w:t xml:space="preserve"> </w:t>
      </w:r>
      <w:r w:rsidR="00497B0B">
        <w:rPr>
          <w:rFonts w:cstheme="minorHAnsi"/>
          <w:sz w:val="24"/>
        </w:rPr>
        <w:t>(</w:t>
      </w:r>
      <w:r w:rsidR="00D516FD" w:rsidRPr="00003A96">
        <w:rPr>
          <w:rFonts w:cstheme="minorHAnsi"/>
          <w:sz w:val="24"/>
        </w:rPr>
        <w:t>PEA</w:t>
      </w:r>
      <w:r w:rsidR="00497B0B">
        <w:rPr>
          <w:rFonts w:cstheme="minorHAnsi"/>
          <w:sz w:val="24"/>
        </w:rPr>
        <w:t>)</w:t>
      </w:r>
      <w:r w:rsidR="00D516FD" w:rsidRPr="00003A96">
        <w:rPr>
          <w:rFonts w:cstheme="minorHAnsi"/>
          <w:sz w:val="24"/>
        </w:rPr>
        <w:t xml:space="preserve"> comprises the</w:t>
      </w:r>
      <w:r w:rsidR="00F1418B">
        <w:rPr>
          <w:rFonts w:cstheme="minorHAnsi"/>
          <w:sz w:val="24"/>
        </w:rPr>
        <w:t xml:space="preserve"> Local Government Areas</w:t>
      </w:r>
      <w:r w:rsidR="00D516FD" w:rsidRPr="00003A96">
        <w:rPr>
          <w:rFonts w:cstheme="minorHAnsi"/>
          <w:sz w:val="24"/>
        </w:rPr>
        <w:t xml:space="preserve"> </w:t>
      </w:r>
      <w:r w:rsidR="00F1418B">
        <w:rPr>
          <w:rFonts w:cstheme="minorHAnsi"/>
          <w:sz w:val="24"/>
        </w:rPr>
        <w:t>(</w:t>
      </w:r>
      <w:proofErr w:type="spellStart"/>
      <w:r w:rsidR="00D516FD" w:rsidRPr="00003A96">
        <w:rPr>
          <w:rFonts w:cstheme="minorHAnsi"/>
          <w:sz w:val="24"/>
        </w:rPr>
        <w:t>LGAs</w:t>
      </w:r>
      <w:proofErr w:type="spellEnd"/>
      <w:r w:rsidR="00F1418B">
        <w:rPr>
          <w:rFonts w:cstheme="minorHAnsi"/>
          <w:sz w:val="24"/>
        </w:rPr>
        <w:t>)</w:t>
      </w:r>
      <w:r w:rsidR="00D516FD" w:rsidRPr="00003A96">
        <w:rPr>
          <w:rFonts w:cstheme="minorHAnsi"/>
          <w:sz w:val="24"/>
        </w:rPr>
        <w:t xml:space="preserve"> of </w:t>
      </w:r>
      <w:r w:rsidR="00715031" w:rsidRPr="00003A96">
        <w:rPr>
          <w:rFonts w:cstheme="minorHAnsi"/>
          <w:sz w:val="24"/>
        </w:rPr>
        <w:t xml:space="preserve">Ararat, Ballarat, Central Goldfields, Greater Bendigo, Hepburn, </w:t>
      </w:r>
      <w:proofErr w:type="spellStart"/>
      <w:r w:rsidR="00715031" w:rsidRPr="00003A96">
        <w:rPr>
          <w:rFonts w:cstheme="minorHAnsi"/>
          <w:sz w:val="24"/>
        </w:rPr>
        <w:t>Moorabool</w:t>
      </w:r>
      <w:proofErr w:type="spellEnd"/>
      <w:r w:rsidR="00715031" w:rsidRPr="00003A96">
        <w:rPr>
          <w:rFonts w:cstheme="minorHAnsi"/>
          <w:sz w:val="24"/>
        </w:rPr>
        <w:t>, Mount Alexander, Northern Grampians and Pyrenees</w:t>
      </w:r>
      <w:r w:rsidR="00FC288E">
        <w:rPr>
          <w:rFonts w:cstheme="minorHAnsi"/>
          <w:sz w:val="24"/>
        </w:rPr>
        <w:t>.</w:t>
      </w:r>
    </w:p>
    <w:p w:rsidR="00D0622C" w:rsidRDefault="00D0622C" w:rsidP="00D0622C">
      <w:pPr>
        <w:spacing w:before="0" w:after="0" w:line="240" w:lineRule="auto"/>
        <w:ind w:right="54"/>
        <w:jc w:val="both"/>
        <w:rPr>
          <w:sz w:val="24"/>
        </w:rPr>
      </w:pPr>
    </w:p>
    <w:p w:rsidR="00C34028" w:rsidRPr="00003A96" w:rsidRDefault="00700BA4" w:rsidP="00D0622C">
      <w:pPr>
        <w:spacing w:before="0" w:after="0" w:line="240" w:lineRule="auto"/>
        <w:ind w:right="54"/>
        <w:jc w:val="both"/>
        <w:rPr>
          <w:sz w:val="24"/>
        </w:rPr>
      </w:pPr>
      <w:r w:rsidRPr="00003A96">
        <w:rPr>
          <w:sz w:val="24"/>
        </w:rPr>
        <w:t>There were 194,900</w:t>
      </w:r>
      <w:r w:rsidR="002F7D71" w:rsidRPr="00003A96">
        <w:rPr>
          <w:sz w:val="24"/>
        </w:rPr>
        <w:t xml:space="preserve"> people of working ag</w:t>
      </w:r>
      <w:r w:rsidRPr="00003A96">
        <w:rPr>
          <w:sz w:val="24"/>
        </w:rPr>
        <w:t>e (15-64 years) in the Central Victoria PEA</w:t>
      </w:r>
      <w:r w:rsidR="002F7D71" w:rsidRPr="00003A96">
        <w:rPr>
          <w:sz w:val="24"/>
        </w:rPr>
        <w:t xml:space="preserve"> as of 2011.</w:t>
      </w:r>
      <w:r w:rsidR="002F7D71" w:rsidRPr="00003A96">
        <w:rPr>
          <w:sz w:val="24"/>
          <w:vertAlign w:val="superscript"/>
        </w:rPr>
        <w:footnoteReference w:id="1"/>
      </w:r>
      <w:r w:rsidR="00586DBB" w:rsidRPr="00003A96">
        <w:rPr>
          <w:sz w:val="24"/>
        </w:rPr>
        <w:t xml:space="preserve"> </w:t>
      </w:r>
      <w:r w:rsidR="002F7D71" w:rsidRPr="00003A96">
        <w:rPr>
          <w:sz w:val="24"/>
        </w:rPr>
        <w:t>Grow</w:t>
      </w:r>
      <w:r w:rsidRPr="00003A96">
        <w:rPr>
          <w:sz w:val="24"/>
        </w:rPr>
        <w:t xml:space="preserve">th in the adult population was </w:t>
      </w:r>
      <w:r w:rsidR="00F02700" w:rsidRPr="00003A96">
        <w:rPr>
          <w:sz w:val="24"/>
        </w:rPr>
        <w:t>6</w:t>
      </w:r>
      <w:r w:rsidR="002F7D71" w:rsidRPr="00003A96">
        <w:rPr>
          <w:sz w:val="24"/>
        </w:rPr>
        <w:t xml:space="preserve"> per cent over the 5 years to 2</w:t>
      </w:r>
      <w:r w:rsidRPr="00003A96">
        <w:rPr>
          <w:sz w:val="24"/>
        </w:rPr>
        <w:t xml:space="preserve">011, </w:t>
      </w:r>
      <w:r w:rsidR="00ED3BB1">
        <w:rPr>
          <w:sz w:val="24"/>
        </w:rPr>
        <w:t>compared with 9 per cent for</w:t>
      </w:r>
      <w:r w:rsidR="00F02700" w:rsidRPr="00003A96">
        <w:rPr>
          <w:sz w:val="24"/>
        </w:rPr>
        <w:t xml:space="preserve"> Victoria</w:t>
      </w:r>
      <w:r w:rsidRPr="00003A96">
        <w:rPr>
          <w:sz w:val="24"/>
        </w:rPr>
        <w:t xml:space="preserve"> and</w:t>
      </w:r>
      <w:r w:rsidR="00ED3BB1">
        <w:rPr>
          <w:sz w:val="24"/>
        </w:rPr>
        <w:t xml:space="preserve"> Australia</w:t>
      </w:r>
      <w:r w:rsidR="002F7D71" w:rsidRPr="00003A96">
        <w:rPr>
          <w:sz w:val="24"/>
        </w:rPr>
        <w:t>.</w:t>
      </w:r>
      <w:r w:rsidR="002F7D71" w:rsidRPr="00003A96">
        <w:rPr>
          <w:sz w:val="24"/>
          <w:vertAlign w:val="superscript"/>
        </w:rPr>
        <w:footnoteReference w:id="2"/>
      </w:r>
    </w:p>
    <w:p w:rsidR="00D0622C" w:rsidRDefault="00D0622C" w:rsidP="00D0622C">
      <w:pPr>
        <w:spacing w:before="0" w:after="0" w:line="240" w:lineRule="auto"/>
        <w:jc w:val="both"/>
        <w:rPr>
          <w:sz w:val="24"/>
        </w:rPr>
      </w:pPr>
    </w:p>
    <w:p w:rsidR="00DB0ECE" w:rsidRDefault="00C00EF8" w:rsidP="00D0622C">
      <w:pPr>
        <w:spacing w:before="0" w:after="0" w:line="240" w:lineRule="auto"/>
        <w:jc w:val="both"/>
        <w:rPr>
          <w:rFonts w:ascii="Calibri" w:hAnsi="Calibri" w:cs="Calibri"/>
          <w:sz w:val="24"/>
        </w:rPr>
      </w:pPr>
      <w:r>
        <w:rPr>
          <w:sz w:val="24"/>
        </w:rPr>
        <w:t>The</w:t>
      </w:r>
      <w:r w:rsidR="002F7D71" w:rsidRPr="00003A96">
        <w:rPr>
          <w:sz w:val="24"/>
        </w:rPr>
        <w:t xml:space="preserve"> main employing industri</w:t>
      </w:r>
      <w:r w:rsidR="005C4C20" w:rsidRPr="00003A96">
        <w:rPr>
          <w:sz w:val="24"/>
        </w:rPr>
        <w:t>es in the PEA</w:t>
      </w:r>
      <w:r>
        <w:rPr>
          <w:sz w:val="24"/>
        </w:rPr>
        <w:t xml:space="preserve"> are</w:t>
      </w:r>
      <w:r w:rsidR="005C4C20" w:rsidRPr="00003A96">
        <w:rPr>
          <w:sz w:val="24"/>
        </w:rPr>
        <w:t xml:space="preserve"> Health Care and Social Assistance,</w:t>
      </w:r>
      <w:r w:rsidR="004822CA" w:rsidRPr="00003A96">
        <w:rPr>
          <w:sz w:val="24"/>
        </w:rPr>
        <w:t xml:space="preserve"> Retail Trade,</w:t>
      </w:r>
      <w:r w:rsidR="005C4C20" w:rsidRPr="00003A96">
        <w:rPr>
          <w:sz w:val="24"/>
        </w:rPr>
        <w:t xml:space="preserve"> </w:t>
      </w:r>
      <w:r w:rsidR="005C4C20" w:rsidRPr="00003A96">
        <w:rPr>
          <w:rFonts w:ascii="Calibri" w:hAnsi="Calibri" w:cs="Calibri"/>
          <w:sz w:val="24"/>
        </w:rPr>
        <w:t>Manufacturing</w:t>
      </w:r>
      <w:r w:rsidR="005C4C20" w:rsidRPr="00003A96">
        <w:rPr>
          <w:sz w:val="24"/>
        </w:rPr>
        <w:t xml:space="preserve"> and Construction</w:t>
      </w:r>
      <w:r w:rsidR="002F7D71" w:rsidRPr="00003A96">
        <w:rPr>
          <w:rFonts w:ascii="Calibri" w:hAnsi="Calibri" w:cs="Calibri"/>
          <w:sz w:val="24"/>
        </w:rPr>
        <w:t>.</w:t>
      </w:r>
      <w:r w:rsidR="005C4C20" w:rsidRPr="00003A96">
        <w:rPr>
          <w:rFonts w:ascii="Calibri" w:hAnsi="Calibri" w:cs="Calibri"/>
          <w:sz w:val="24"/>
        </w:rPr>
        <w:t xml:space="preserve"> The Agriculture industry is a major employer in </w:t>
      </w:r>
      <w:r w:rsidR="00ED3BB1">
        <w:rPr>
          <w:rFonts w:ascii="Calibri" w:hAnsi="Calibri" w:cs="Calibri"/>
          <w:sz w:val="24"/>
        </w:rPr>
        <w:t>the w</w:t>
      </w:r>
      <w:r w:rsidR="00B65989">
        <w:rPr>
          <w:rFonts w:ascii="Calibri" w:hAnsi="Calibri" w:cs="Calibri"/>
          <w:sz w:val="24"/>
        </w:rPr>
        <w:t xml:space="preserve">esternmost </w:t>
      </w:r>
      <w:proofErr w:type="spellStart"/>
      <w:r w:rsidR="00B65989">
        <w:rPr>
          <w:rFonts w:ascii="Calibri" w:hAnsi="Calibri" w:cs="Calibri"/>
          <w:sz w:val="24"/>
        </w:rPr>
        <w:t>LGAs</w:t>
      </w:r>
      <w:proofErr w:type="spellEnd"/>
      <w:r w:rsidR="00B65989">
        <w:rPr>
          <w:rFonts w:ascii="Calibri" w:hAnsi="Calibri" w:cs="Calibri"/>
          <w:sz w:val="24"/>
        </w:rPr>
        <w:t xml:space="preserve"> of Ararat and Northern Grampians</w:t>
      </w:r>
      <w:r w:rsidR="005C4C20" w:rsidRPr="00003A96">
        <w:rPr>
          <w:rFonts w:ascii="Calibri" w:hAnsi="Calibri" w:cs="Calibri"/>
          <w:sz w:val="24"/>
        </w:rPr>
        <w:t>.</w:t>
      </w:r>
      <w:r w:rsidR="002F7D71" w:rsidRPr="00003A96">
        <w:rPr>
          <w:rFonts w:ascii="Calibri" w:hAnsi="Calibri" w:cs="Calibri"/>
          <w:sz w:val="24"/>
          <w:vertAlign w:val="superscript"/>
        </w:rPr>
        <w:footnoteReference w:id="3"/>
      </w:r>
    </w:p>
    <w:p w:rsidR="00D0622C" w:rsidRDefault="00D0622C" w:rsidP="00D0622C">
      <w:pPr>
        <w:spacing w:before="0" w:after="0" w:line="240" w:lineRule="auto"/>
        <w:contextualSpacing/>
        <w:jc w:val="both"/>
        <w:rPr>
          <w:rFonts w:cstheme="minorHAnsi"/>
          <w:sz w:val="24"/>
        </w:rPr>
      </w:pPr>
    </w:p>
    <w:p w:rsidR="00D0622C" w:rsidRDefault="00D0622C" w:rsidP="00D0622C">
      <w:pPr>
        <w:spacing w:before="0" w:after="0" w:line="240" w:lineRule="auto"/>
        <w:contextualSpacing/>
        <w:jc w:val="both"/>
        <w:rPr>
          <w:rFonts w:cstheme="minorHAnsi"/>
          <w:sz w:val="24"/>
        </w:rPr>
      </w:pPr>
      <w:r>
        <w:rPr>
          <w:rFonts w:cstheme="minorHAnsi"/>
          <w:sz w:val="24"/>
        </w:rPr>
        <w:t>The</w:t>
      </w:r>
      <w:r w:rsidRPr="00003A96">
        <w:rPr>
          <w:rFonts w:cstheme="minorHAnsi"/>
          <w:sz w:val="24"/>
        </w:rPr>
        <w:t xml:space="preserve"> </w:t>
      </w:r>
      <w:r>
        <w:rPr>
          <w:rFonts w:cstheme="minorHAnsi"/>
          <w:sz w:val="24"/>
        </w:rPr>
        <w:t>d</w:t>
      </w:r>
      <w:r w:rsidRPr="00003A96">
        <w:rPr>
          <w:rFonts w:cstheme="minorHAnsi"/>
          <w:sz w:val="24"/>
        </w:rPr>
        <w:t xml:space="preserve">epartment conducted a Survey of Employers’ Recruitment Experiences in the Central Victoria PEA in October 2012. In total, 362 employers were surveyed, of whom 236 had recruited. The region was </w:t>
      </w:r>
      <w:r w:rsidR="004319E6" w:rsidRPr="00003A96">
        <w:rPr>
          <w:rFonts w:cstheme="minorHAnsi"/>
          <w:sz w:val="24"/>
        </w:rPr>
        <w:t xml:space="preserve">previously </w:t>
      </w:r>
      <w:r w:rsidRPr="00003A96">
        <w:rPr>
          <w:rFonts w:cstheme="minorHAnsi"/>
          <w:sz w:val="24"/>
        </w:rPr>
        <w:t>surveyed in September 20</w:t>
      </w:r>
      <w:r>
        <w:rPr>
          <w:rFonts w:cstheme="minorHAnsi"/>
          <w:sz w:val="24"/>
        </w:rPr>
        <w:t>11, May 2010 and September 2009.</w:t>
      </w:r>
    </w:p>
    <w:p w:rsidR="00112DB9" w:rsidRPr="007F36DA" w:rsidRDefault="00D0622C" w:rsidP="00112DB9">
      <w:pPr>
        <w:pStyle w:val="Heading1"/>
        <w:contextualSpacing/>
        <w:rPr>
          <w:sz w:val="36"/>
          <w:szCs w:val="36"/>
        </w:rPr>
      </w:pPr>
      <w:bookmarkStart w:id="29" w:name="_Toc348428586"/>
      <w:bookmarkStart w:id="30" w:name="_Toc346611105"/>
      <w:r>
        <w:rPr>
          <w:sz w:val="36"/>
          <w:szCs w:val="36"/>
        </w:rPr>
        <w:t>Key Findings</w:t>
      </w:r>
      <w:bookmarkEnd w:id="29"/>
    </w:p>
    <w:p w:rsidR="00112DB9" w:rsidRDefault="00112DB9" w:rsidP="00112DB9">
      <w:pPr>
        <w:spacing w:before="0" w:after="0" w:line="240" w:lineRule="auto"/>
        <w:contextualSpacing/>
        <w:jc w:val="both"/>
        <w:rPr>
          <w:rFonts w:cstheme="minorHAnsi"/>
          <w:sz w:val="24"/>
        </w:rPr>
      </w:pPr>
    </w:p>
    <w:p w:rsidR="00D0622C" w:rsidRPr="00224CCB" w:rsidRDefault="002374E1" w:rsidP="00D0622C">
      <w:pPr>
        <w:spacing w:before="0" w:after="0" w:line="240" w:lineRule="auto"/>
        <w:jc w:val="both"/>
        <w:rPr>
          <w:rFonts w:cstheme="minorHAnsi"/>
          <w:sz w:val="24"/>
        </w:rPr>
      </w:pPr>
      <w:r>
        <w:rPr>
          <w:rFonts w:cstheme="minorHAnsi"/>
          <w:sz w:val="24"/>
        </w:rPr>
        <w:t>Overall, l</w:t>
      </w:r>
      <w:r w:rsidR="00D0622C">
        <w:rPr>
          <w:rFonts w:cstheme="minorHAnsi"/>
          <w:sz w:val="24"/>
        </w:rPr>
        <w:t>abour market conditions in the region</w:t>
      </w:r>
      <w:r w:rsidR="00BD269A">
        <w:rPr>
          <w:rFonts w:cstheme="minorHAnsi"/>
          <w:sz w:val="24"/>
        </w:rPr>
        <w:t xml:space="preserve"> are </w:t>
      </w:r>
      <w:r w:rsidR="00444473">
        <w:rPr>
          <w:rFonts w:cstheme="minorHAnsi"/>
          <w:sz w:val="24"/>
        </w:rPr>
        <w:t xml:space="preserve">moderate, </w:t>
      </w:r>
      <w:r w:rsidR="004319E6">
        <w:rPr>
          <w:rFonts w:cstheme="minorHAnsi"/>
          <w:sz w:val="24"/>
        </w:rPr>
        <w:t xml:space="preserve">despite </w:t>
      </w:r>
      <w:r w:rsidR="00D0622C">
        <w:rPr>
          <w:rFonts w:cstheme="minorHAnsi"/>
          <w:sz w:val="24"/>
        </w:rPr>
        <w:t>hav</w:t>
      </w:r>
      <w:r w:rsidR="004319E6">
        <w:rPr>
          <w:rFonts w:cstheme="minorHAnsi"/>
          <w:sz w:val="24"/>
        </w:rPr>
        <w:t>ing</w:t>
      </w:r>
      <w:r w:rsidR="00D0622C">
        <w:rPr>
          <w:rFonts w:cstheme="minorHAnsi"/>
          <w:sz w:val="24"/>
        </w:rPr>
        <w:t xml:space="preserve"> weakened slightly since the region was la</w:t>
      </w:r>
      <w:r w:rsidR="00BD269A">
        <w:rPr>
          <w:rFonts w:cstheme="minorHAnsi"/>
          <w:sz w:val="24"/>
        </w:rPr>
        <w:t>st surveyed in September 2011.</w:t>
      </w:r>
      <w:r w:rsidR="00D0622C" w:rsidRPr="00224CCB">
        <w:rPr>
          <w:rFonts w:cstheme="minorHAnsi"/>
          <w:sz w:val="24"/>
        </w:rPr>
        <w:t xml:space="preserve"> </w:t>
      </w:r>
    </w:p>
    <w:p w:rsidR="00D0622C" w:rsidRDefault="00D0622C" w:rsidP="00112DB9">
      <w:pPr>
        <w:spacing w:before="0" w:after="0" w:line="240" w:lineRule="auto"/>
        <w:ind w:right="54"/>
        <w:contextualSpacing/>
        <w:rPr>
          <w:rFonts w:cstheme="minorHAnsi"/>
          <w:sz w:val="24"/>
        </w:rPr>
      </w:pPr>
    </w:p>
    <w:p w:rsidR="00D0622C" w:rsidRDefault="00D0622C" w:rsidP="00581540">
      <w:pPr>
        <w:spacing w:before="0" w:after="0" w:line="240" w:lineRule="auto"/>
        <w:ind w:right="54"/>
        <w:contextualSpacing/>
        <w:jc w:val="both"/>
        <w:rPr>
          <w:rFonts w:cstheme="minorHAnsi"/>
          <w:sz w:val="24"/>
        </w:rPr>
      </w:pPr>
      <w:r w:rsidRPr="00224CCB">
        <w:rPr>
          <w:sz w:val="24"/>
        </w:rPr>
        <w:t xml:space="preserve">The unemployment rate in the Central Victoria </w:t>
      </w:r>
      <w:r>
        <w:rPr>
          <w:sz w:val="24"/>
        </w:rPr>
        <w:t xml:space="preserve">PEA </w:t>
      </w:r>
      <w:r w:rsidR="00ED3BB1">
        <w:rPr>
          <w:sz w:val="24"/>
        </w:rPr>
        <w:t>is 5.5 per cent,</w:t>
      </w:r>
      <w:r>
        <w:rPr>
          <w:sz w:val="24"/>
        </w:rPr>
        <w:t xml:space="preserve"> </w:t>
      </w:r>
      <w:r w:rsidR="00ED3BB1">
        <w:rPr>
          <w:sz w:val="24"/>
        </w:rPr>
        <w:t>compared</w:t>
      </w:r>
      <w:r>
        <w:rPr>
          <w:sz w:val="24"/>
        </w:rPr>
        <w:t xml:space="preserve"> </w:t>
      </w:r>
      <w:r w:rsidR="00ED3BB1">
        <w:rPr>
          <w:sz w:val="24"/>
        </w:rPr>
        <w:t>with</w:t>
      </w:r>
      <w:r>
        <w:rPr>
          <w:sz w:val="24"/>
        </w:rPr>
        <w:t xml:space="preserve"> </w:t>
      </w:r>
      <w:r w:rsidR="00581540">
        <w:rPr>
          <w:sz w:val="24"/>
        </w:rPr>
        <w:br/>
      </w:r>
      <w:r w:rsidR="00ED3BB1">
        <w:rPr>
          <w:sz w:val="24"/>
        </w:rPr>
        <w:t>5.4 per cent for</w:t>
      </w:r>
      <w:r w:rsidRPr="00224CCB">
        <w:rPr>
          <w:sz w:val="24"/>
        </w:rPr>
        <w:t xml:space="preserve"> </w:t>
      </w:r>
      <w:r w:rsidR="00ED3BB1" w:rsidRPr="00224CCB">
        <w:rPr>
          <w:sz w:val="24"/>
        </w:rPr>
        <w:t>Victoria</w:t>
      </w:r>
      <w:r>
        <w:rPr>
          <w:sz w:val="24"/>
        </w:rPr>
        <w:t>.</w:t>
      </w:r>
    </w:p>
    <w:p w:rsidR="008D7038" w:rsidRPr="007F771D" w:rsidRDefault="008D7038" w:rsidP="008D7038">
      <w:pPr>
        <w:numPr>
          <w:ilvl w:val="0"/>
          <w:numId w:val="20"/>
        </w:numPr>
        <w:spacing w:before="0" w:after="0" w:line="240" w:lineRule="auto"/>
        <w:ind w:right="54" w:hanging="357"/>
        <w:jc w:val="both"/>
        <w:rPr>
          <w:rFonts w:cs="Calibri"/>
          <w:iCs/>
          <w:sz w:val="24"/>
        </w:rPr>
      </w:pPr>
      <w:r w:rsidRPr="00003A96">
        <w:rPr>
          <w:sz w:val="24"/>
        </w:rPr>
        <w:t xml:space="preserve">The unemployment rate in the PEA has declined substantially since September 2010, when </w:t>
      </w:r>
      <w:r w:rsidR="00ED3BB1">
        <w:rPr>
          <w:sz w:val="24"/>
        </w:rPr>
        <w:t>it</w:t>
      </w:r>
      <w:r w:rsidRPr="00003A96">
        <w:rPr>
          <w:sz w:val="24"/>
        </w:rPr>
        <w:t xml:space="preserve"> peaked at 7.6 per cent. </w:t>
      </w:r>
    </w:p>
    <w:p w:rsidR="008D7038" w:rsidRPr="00003A96" w:rsidRDefault="008D7038" w:rsidP="008D7038">
      <w:pPr>
        <w:numPr>
          <w:ilvl w:val="0"/>
          <w:numId w:val="20"/>
        </w:numPr>
        <w:spacing w:before="0" w:after="0" w:line="240" w:lineRule="auto"/>
        <w:ind w:right="54" w:hanging="357"/>
        <w:jc w:val="both"/>
        <w:rPr>
          <w:rFonts w:cs="Calibri"/>
          <w:iCs/>
          <w:sz w:val="24"/>
        </w:rPr>
      </w:pPr>
      <w:r>
        <w:rPr>
          <w:sz w:val="24"/>
        </w:rPr>
        <w:t>U</w:t>
      </w:r>
      <w:r w:rsidRPr="00003A96">
        <w:rPr>
          <w:sz w:val="24"/>
        </w:rPr>
        <w:t xml:space="preserve">nemployment varies by region, with high rates of unemployment in the Central Goldfields (9.1 per cent) and Ballarat (6.0 per cent) </w:t>
      </w:r>
      <w:proofErr w:type="spellStart"/>
      <w:r w:rsidRPr="00003A96">
        <w:rPr>
          <w:sz w:val="24"/>
        </w:rPr>
        <w:t>LGAs</w:t>
      </w:r>
      <w:proofErr w:type="spellEnd"/>
      <w:r w:rsidRPr="00003A96">
        <w:rPr>
          <w:sz w:val="24"/>
        </w:rPr>
        <w:t xml:space="preserve">. By contrast, unemployment was lower in the </w:t>
      </w:r>
      <w:proofErr w:type="spellStart"/>
      <w:r w:rsidRPr="00003A96">
        <w:rPr>
          <w:sz w:val="24"/>
        </w:rPr>
        <w:t>Moorabool</w:t>
      </w:r>
      <w:proofErr w:type="spellEnd"/>
      <w:r w:rsidRPr="00003A96">
        <w:rPr>
          <w:sz w:val="24"/>
        </w:rPr>
        <w:t xml:space="preserve"> (4.0 per cent), Ararat and Northern Grampians </w:t>
      </w:r>
      <w:r>
        <w:rPr>
          <w:sz w:val="24"/>
        </w:rPr>
        <w:br/>
      </w:r>
      <w:r w:rsidRPr="00003A96">
        <w:rPr>
          <w:sz w:val="24"/>
        </w:rPr>
        <w:t xml:space="preserve">(both </w:t>
      </w:r>
      <w:r>
        <w:rPr>
          <w:sz w:val="24"/>
        </w:rPr>
        <w:t xml:space="preserve">4.7 per cent) </w:t>
      </w:r>
      <w:proofErr w:type="spellStart"/>
      <w:r>
        <w:rPr>
          <w:sz w:val="24"/>
        </w:rPr>
        <w:t>LGAs</w:t>
      </w:r>
      <w:proofErr w:type="spellEnd"/>
      <w:r w:rsidRPr="00003A96">
        <w:rPr>
          <w:sz w:val="24"/>
        </w:rPr>
        <w:t xml:space="preserve">. </w:t>
      </w:r>
      <w:r>
        <w:rPr>
          <w:sz w:val="24"/>
        </w:rPr>
        <w:t xml:space="preserve">Unemployment in the Greater Bendigo </w:t>
      </w:r>
      <w:proofErr w:type="spellStart"/>
      <w:r>
        <w:rPr>
          <w:sz w:val="24"/>
        </w:rPr>
        <w:t>LGA</w:t>
      </w:r>
      <w:proofErr w:type="spellEnd"/>
      <w:r>
        <w:rPr>
          <w:sz w:val="24"/>
        </w:rPr>
        <w:t xml:space="preserve"> was 5.3 per cent.</w:t>
      </w:r>
      <w:r w:rsidRPr="00003A96">
        <w:rPr>
          <w:sz w:val="24"/>
          <w:vertAlign w:val="superscript"/>
        </w:rPr>
        <w:footnoteReference w:id="4"/>
      </w:r>
      <w:r w:rsidRPr="00003A96">
        <w:rPr>
          <w:sz w:val="24"/>
        </w:rPr>
        <w:t xml:space="preserve"> </w:t>
      </w:r>
    </w:p>
    <w:p w:rsidR="00112DB9" w:rsidRPr="00003A96" w:rsidRDefault="00112DB9" w:rsidP="00112DB9">
      <w:pPr>
        <w:spacing w:before="0" w:after="0" w:line="240" w:lineRule="auto"/>
        <w:ind w:right="54"/>
        <w:contextualSpacing/>
        <w:rPr>
          <w:rFonts w:cstheme="minorHAnsi"/>
          <w:sz w:val="24"/>
        </w:rPr>
      </w:pPr>
      <w:r w:rsidRPr="00003A96">
        <w:rPr>
          <w:rFonts w:cstheme="minorHAnsi"/>
          <w:sz w:val="24"/>
        </w:rPr>
        <w:t xml:space="preserve"> </w:t>
      </w:r>
    </w:p>
    <w:p w:rsidR="00112DB9" w:rsidRPr="00003A96" w:rsidRDefault="00444473" w:rsidP="0004034C">
      <w:pPr>
        <w:spacing w:before="0" w:after="0" w:line="240" w:lineRule="auto"/>
        <w:ind w:right="54"/>
        <w:contextualSpacing/>
        <w:jc w:val="both"/>
        <w:rPr>
          <w:rFonts w:cstheme="minorHAnsi"/>
          <w:sz w:val="24"/>
        </w:rPr>
      </w:pPr>
      <w:r>
        <w:rPr>
          <w:rFonts w:cstheme="minorHAnsi"/>
          <w:sz w:val="24"/>
        </w:rPr>
        <w:t>The survey results indicate</w:t>
      </w:r>
      <w:r w:rsidR="0004034C">
        <w:rPr>
          <w:rFonts w:cstheme="minorHAnsi"/>
          <w:sz w:val="24"/>
        </w:rPr>
        <w:t xml:space="preserve"> that labour market conditions in the region ha</w:t>
      </w:r>
      <w:r w:rsidR="004319E6">
        <w:rPr>
          <w:rFonts w:cstheme="minorHAnsi"/>
          <w:sz w:val="24"/>
        </w:rPr>
        <w:t>d</w:t>
      </w:r>
      <w:r w:rsidR="0004034C">
        <w:rPr>
          <w:rFonts w:cstheme="minorHAnsi"/>
          <w:sz w:val="24"/>
        </w:rPr>
        <w:t xml:space="preserve"> eased over the previous year.</w:t>
      </w:r>
    </w:p>
    <w:p w:rsidR="00444473" w:rsidRDefault="00444473" w:rsidP="00112DB9">
      <w:pPr>
        <w:numPr>
          <w:ilvl w:val="0"/>
          <w:numId w:val="20"/>
        </w:numPr>
        <w:spacing w:before="0" w:after="0" w:line="240" w:lineRule="auto"/>
        <w:ind w:right="54" w:hanging="357"/>
        <w:contextualSpacing/>
        <w:jc w:val="both"/>
        <w:rPr>
          <w:rFonts w:cstheme="minorHAnsi"/>
          <w:sz w:val="24"/>
        </w:rPr>
      </w:pPr>
      <w:r>
        <w:rPr>
          <w:rFonts w:cstheme="minorHAnsi"/>
          <w:sz w:val="24"/>
        </w:rPr>
        <w:t>A lower proportion of employers (66 per cent) recruited in the year preceding the survey compared with the previous survey (73 per cent in 2011).</w:t>
      </w:r>
    </w:p>
    <w:p w:rsidR="00444473" w:rsidRPr="004319E6" w:rsidRDefault="004319E6" w:rsidP="00112DB9">
      <w:pPr>
        <w:numPr>
          <w:ilvl w:val="0"/>
          <w:numId w:val="20"/>
        </w:numPr>
        <w:spacing w:before="0" w:after="0" w:line="240" w:lineRule="auto"/>
        <w:ind w:right="54" w:hanging="357"/>
        <w:contextualSpacing/>
        <w:jc w:val="both"/>
        <w:rPr>
          <w:rFonts w:cstheme="minorHAnsi"/>
          <w:sz w:val="24"/>
        </w:rPr>
      </w:pPr>
      <w:r w:rsidRPr="004319E6">
        <w:rPr>
          <w:rFonts w:cstheme="minorHAnsi"/>
          <w:sz w:val="24"/>
        </w:rPr>
        <w:lastRenderedPageBreak/>
        <w:t>There was also evidence of decreased demand for labour with th</w:t>
      </w:r>
      <w:r w:rsidR="00112DB9" w:rsidRPr="004319E6">
        <w:rPr>
          <w:rFonts w:cstheme="minorHAnsi"/>
          <w:sz w:val="24"/>
        </w:rPr>
        <w:t>e proportion of unfilled vacancies (6.9 per cent)</w:t>
      </w:r>
      <w:r>
        <w:rPr>
          <w:rFonts w:cstheme="minorHAnsi"/>
          <w:sz w:val="24"/>
        </w:rPr>
        <w:t xml:space="preserve"> </w:t>
      </w:r>
      <w:r w:rsidR="00112DB9" w:rsidRPr="004319E6">
        <w:rPr>
          <w:rFonts w:cstheme="minorHAnsi"/>
          <w:sz w:val="24"/>
        </w:rPr>
        <w:t>substantially lower compared with the 2011 surve</w:t>
      </w:r>
      <w:r w:rsidR="0004034C" w:rsidRPr="004319E6">
        <w:rPr>
          <w:rFonts w:cstheme="minorHAnsi"/>
          <w:sz w:val="24"/>
        </w:rPr>
        <w:t xml:space="preserve">y </w:t>
      </w:r>
      <w:r>
        <w:rPr>
          <w:rFonts w:cstheme="minorHAnsi"/>
          <w:sz w:val="24"/>
        </w:rPr>
        <w:t xml:space="preserve">                </w:t>
      </w:r>
      <w:r w:rsidR="0004034C" w:rsidRPr="004319E6">
        <w:rPr>
          <w:rFonts w:cstheme="minorHAnsi"/>
          <w:sz w:val="24"/>
        </w:rPr>
        <w:t>(9.4 per cent)</w:t>
      </w:r>
      <w:r w:rsidRPr="004319E6">
        <w:rPr>
          <w:rFonts w:cstheme="minorHAnsi"/>
          <w:sz w:val="24"/>
        </w:rPr>
        <w:t>.</w:t>
      </w:r>
      <w:r>
        <w:rPr>
          <w:rFonts w:cstheme="minorHAnsi"/>
          <w:sz w:val="24"/>
        </w:rPr>
        <w:t xml:space="preserve"> </w:t>
      </w:r>
      <w:r w:rsidRPr="004319E6">
        <w:rPr>
          <w:rFonts w:cstheme="minorHAnsi"/>
          <w:sz w:val="24"/>
        </w:rPr>
        <w:t xml:space="preserve">In </w:t>
      </w:r>
      <w:r w:rsidR="00ED3BB1">
        <w:rPr>
          <w:rFonts w:cstheme="minorHAnsi"/>
          <w:sz w:val="24"/>
        </w:rPr>
        <w:t xml:space="preserve">the </w:t>
      </w:r>
      <w:r w:rsidR="00444473" w:rsidRPr="004319E6">
        <w:rPr>
          <w:rFonts w:cstheme="minorHAnsi"/>
          <w:sz w:val="24"/>
        </w:rPr>
        <w:t xml:space="preserve">most recent recruitment round, the proportion of unfilled vacancies (6.9 per cent) was </w:t>
      </w:r>
      <w:r w:rsidR="00ED3BB1">
        <w:rPr>
          <w:rFonts w:cstheme="minorHAnsi"/>
          <w:sz w:val="24"/>
        </w:rPr>
        <w:t xml:space="preserve">also </w:t>
      </w:r>
      <w:r w:rsidR="00444473" w:rsidRPr="004319E6">
        <w:rPr>
          <w:rFonts w:cstheme="minorHAnsi"/>
          <w:sz w:val="24"/>
        </w:rPr>
        <w:t xml:space="preserve">substantially lower compared with </w:t>
      </w:r>
      <w:r>
        <w:rPr>
          <w:rFonts w:cstheme="minorHAnsi"/>
          <w:sz w:val="24"/>
        </w:rPr>
        <w:t>the</w:t>
      </w:r>
      <w:r w:rsidR="00444473" w:rsidRPr="004319E6">
        <w:rPr>
          <w:rFonts w:cstheme="minorHAnsi"/>
          <w:sz w:val="24"/>
        </w:rPr>
        <w:t xml:space="preserve"> 2011</w:t>
      </w:r>
      <w:r>
        <w:rPr>
          <w:rFonts w:cstheme="minorHAnsi"/>
          <w:sz w:val="24"/>
        </w:rPr>
        <w:t xml:space="preserve"> survey</w:t>
      </w:r>
      <w:r w:rsidR="00444473" w:rsidRPr="004319E6">
        <w:rPr>
          <w:rFonts w:cstheme="minorHAnsi"/>
          <w:sz w:val="24"/>
        </w:rPr>
        <w:t xml:space="preserve"> (11.7 per cent).</w:t>
      </w:r>
    </w:p>
    <w:p w:rsidR="0004034C" w:rsidRPr="00003A96" w:rsidRDefault="0004034C" w:rsidP="00ED0A0C">
      <w:pPr>
        <w:spacing w:before="0" w:after="0" w:line="240" w:lineRule="auto"/>
        <w:ind w:left="3" w:right="54"/>
        <w:contextualSpacing/>
        <w:jc w:val="both"/>
        <w:rPr>
          <w:rFonts w:cstheme="minorHAnsi"/>
          <w:sz w:val="24"/>
        </w:rPr>
      </w:pPr>
      <w:r>
        <w:rPr>
          <w:rFonts w:cstheme="minorHAnsi"/>
          <w:sz w:val="24"/>
        </w:rPr>
        <w:t>These findi</w:t>
      </w:r>
      <w:r w:rsidR="00444473">
        <w:rPr>
          <w:rFonts w:cstheme="minorHAnsi"/>
          <w:sz w:val="24"/>
        </w:rPr>
        <w:t>ngs are consistent with a softening in the</w:t>
      </w:r>
      <w:r>
        <w:rPr>
          <w:rFonts w:cstheme="minorHAnsi"/>
          <w:sz w:val="24"/>
        </w:rPr>
        <w:t xml:space="preserve"> labour market, as fewer employers recruited, and those that did had less difficulty in filling their vacancies.</w:t>
      </w:r>
      <w:r w:rsidR="00444473">
        <w:rPr>
          <w:rFonts w:cstheme="minorHAnsi"/>
          <w:sz w:val="24"/>
        </w:rPr>
        <w:t xml:space="preserve"> Nonetheless, the result did not fall below those for all regions surveyed suggesting that recruitment activity remains relatively strong.</w:t>
      </w:r>
    </w:p>
    <w:p w:rsidR="0033715B" w:rsidRDefault="0033715B" w:rsidP="0033715B">
      <w:pPr>
        <w:pStyle w:val="Heading2"/>
        <w:rPr>
          <w:rFonts w:cs="Calibri"/>
          <w:b w:val="0"/>
        </w:rPr>
      </w:pPr>
      <w:bookmarkStart w:id="31" w:name="_Toc339462200"/>
      <w:bookmarkStart w:id="32" w:name="_Toc345508536"/>
      <w:bookmarkStart w:id="33" w:name="_Toc346195467"/>
      <w:bookmarkStart w:id="34" w:name="_Toc346529981"/>
      <w:bookmarkStart w:id="35" w:name="_Toc346611106"/>
      <w:bookmarkStart w:id="36" w:name="_Toc348428587"/>
      <w:r w:rsidRPr="00714603">
        <w:rPr>
          <w:b w:val="0"/>
          <w:sz w:val="28"/>
          <w:szCs w:val="28"/>
        </w:rPr>
        <w:t xml:space="preserve">Table 1: </w:t>
      </w:r>
      <w:r w:rsidRPr="00714603">
        <w:rPr>
          <w:rFonts w:cstheme="minorHAnsi"/>
          <w:b w:val="0"/>
          <w:sz w:val="28"/>
          <w:szCs w:val="28"/>
        </w:rPr>
        <w:t>Recruitment experiences in the 12 months preceding the survey</w:t>
      </w:r>
      <w:bookmarkEnd w:id="31"/>
      <w:bookmarkEnd w:id="32"/>
      <w:bookmarkEnd w:id="33"/>
      <w:bookmarkEnd w:id="34"/>
      <w:bookmarkEnd w:id="35"/>
      <w:bookmarkEnd w:id="36"/>
    </w:p>
    <w:tbl>
      <w:tblPr>
        <w:tblW w:w="91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10"/>
        <w:gridCol w:w="1918"/>
        <w:gridCol w:w="1843"/>
        <w:gridCol w:w="2409"/>
      </w:tblGrid>
      <w:tr w:rsidR="003D653C" w:rsidRPr="00EF6DA1" w:rsidTr="003D56DB">
        <w:trPr>
          <w:cantSplit/>
          <w:trHeight w:val="1091"/>
          <w:tblHeader/>
        </w:trPr>
        <w:tc>
          <w:tcPr>
            <w:tcW w:w="3010" w:type="dxa"/>
            <w:tcBorders>
              <w:bottom w:val="single" w:sz="4" w:space="0" w:color="A6A6A6"/>
            </w:tcBorders>
            <w:shd w:val="clear" w:color="auto" w:fill="165788"/>
          </w:tcPr>
          <w:p w:rsidR="003D653C" w:rsidRPr="00DB0ECE" w:rsidRDefault="003D653C" w:rsidP="00C075C2">
            <w:pPr>
              <w:pStyle w:val="TableHeading"/>
              <w:spacing w:line="240" w:lineRule="auto"/>
              <w:contextualSpacing/>
              <w:jc w:val="center"/>
              <w:rPr>
                <w:rFonts w:asciiTheme="minorHAnsi" w:hAnsiTheme="minorHAnsi" w:cstheme="minorHAnsi"/>
                <w:sz w:val="24"/>
              </w:rPr>
            </w:pPr>
            <w:r w:rsidRPr="00DB0ECE">
              <w:rPr>
                <w:rFonts w:asciiTheme="minorHAnsi" w:hAnsiTheme="minorHAnsi" w:cstheme="minorHAnsi"/>
                <w:sz w:val="24"/>
              </w:rPr>
              <w:t>Key Indicators</w:t>
            </w:r>
          </w:p>
        </w:tc>
        <w:tc>
          <w:tcPr>
            <w:tcW w:w="1918" w:type="dxa"/>
            <w:shd w:val="clear" w:color="auto" w:fill="165788"/>
            <w:vAlign w:val="center"/>
          </w:tcPr>
          <w:p w:rsidR="003D653C" w:rsidRPr="00DB0ECE" w:rsidRDefault="003D653C" w:rsidP="00C075C2">
            <w:pPr>
              <w:pStyle w:val="TableHeading"/>
              <w:spacing w:after="0" w:afterAutospacing="0" w:line="240" w:lineRule="auto"/>
              <w:contextualSpacing/>
              <w:jc w:val="center"/>
              <w:rPr>
                <w:rFonts w:asciiTheme="minorHAnsi" w:hAnsiTheme="minorHAnsi" w:cstheme="minorHAnsi"/>
                <w:sz w:val="24"/>
                <w:lang w:bidi="en-US"/>
              </w:rPr>
            </w:pPr>
            <w:r w:rsidRPr="00DB0ECE">
              <w:rPr>
                <w:rFonts w:asciiTheme="minorHAnsi" w:hAnsiTheme="minorHAnsi" w:cstheme="minorHAnsi"/>
                <w:sz w:val="24"/>
                <w:lang w:bidi="en-US"/>
              </w:rPr>
              <w:t>Central Victoria PEA</w:t>
            </w:r>
          </w:p>
          <w:p w:rsidR="003D653C" w:rsidRPr="00DB0ECE" w:rsidRDefault="003D653C" w:rsidP="00C075C2">
            <w:pPr>
              <w:pStyle w:val="TableHeading"/>
              <w:spacing w:after="0" w:afterAutospacing="0" w:line="240" w:lineRule="auto"/>
              <w:contextualSpacing/>
              <w:jc w:val="center"/>
              <w:rPr>
                <w:rFonts w:asciiTheme="minorHAnsi" w:hAnsiTheme="minorHAnsi" w:cstheme="minorHAnsi"/>
                <w:sz w:val="24"/>
                <w:lang w:bidi="en-US"/>
              </w:rPr>
            </w:pPr>
            <w:r w:rsidRPr="00DB0ECE">
              <w:rPr>
                <w:rFonts w:asciiTheme="minorHAnsi" w:hAnsiTheme="minorHAnsi" w:cstheme="minorHAnsi"/>
                <w:sz w:val="24"/>
                <w:lang w:bidi="en-US"/>
              </w:rPr>
              <w:t>Oct 2012</w:t>
            </w:r>
          </w:p>
        </w:tc>
        <w:tc>
          <w:tcPr>
            <w:tcW w:w="1843" w:type="dxa"/>
            <w:shd w:val="clear" w:color="auto" w:fill="165788"/>
            <w:vAlign w:val="center"/>
          </w:tcPr>
          <w:p w:rsidR="003D653C" w:rsidRPr="00DB0ECE" w:rsidRDefault="003D653C" w:rsidP="00C075C2">
            <w:pPr>
              <w:pStyle w:val="TableHeading"/>
              <w:spacing w:after="0" w:afterAutospacing="0" w:line="240" w:lineRule="auto"/>
              <w:contextualSpacing/>
              <w:jc w:val="center"/>
              <w:rPr>
                <w:rFonts w:asciiTheme="minorHAnsi" w:hAnsiTheme="minorHAnsi" w:cstheme="minorHAnsi"/>
                <w:sz w:val="24"/>
                <w:lang w:bidi="en-US"/>
              </w:rPr>
            </w:pPr>
            <w:r w:rsidRPr="00DB0ECE">
              <w:rPr>
                <w:rFonts w:asciiTheme="minorHAnsi" w:hAnsiTheme="minorHAnsi" w:cstheme="minorHAnsi"/>
                <w:sz w:val="24"/>
                <w:lang w:bidi="en-US"/>
              </w:rPr>
              <w:t>Central Victoria PEA</w:t>
            </w:r>
          </w:p>
          <w:p w:rsidR="003D653C" w:rsidRPr="00DB0ECE" w:rsidRDefault="003D653C" w:rsidP="00C075C2">
            <w:pPr>
              <w:pStyle w:val="TableHeading"/>
              <w:spacing w:after="0" w:afterAutospacing="0" w:line="240" w:lineRule="auto"/>
              <w:contextualSpacing/>
              <w:jc w:val="center"/>
              <w:rPr>
                <w:rFonts w:asciiTheme="minorHAnsi" w:hAnsiTheme="minorHAnsi" w:cstheme="minorHAnsi"/>
                <w:sz w:val="24"/>
                <w:lang w:bidi="en-US"/>
              </w:rPr>
            </w:pPr>
            <w:r w:rsidRPr="00DB0ECE">
              <w:rPr>
                <w:rFonts w:asciiTheme="minorHAnsi" w:hAnsiTheme="minorHAnsi" w:cstheme="minorHAnsi"/>
                <w:sz w:val="24"/>
                <w:lang w:bidi="en-US"/>
              </w:rPr>
              <w:t>Sep 2011</w:t>
            </w:r>
          </w:p>
        </w:tc>
        <w:tc>
          <w:tcPr>
            <w:tcW w:w="2409" w:type="dxa"/>
            <w:shd w:val="clear" w:color="auto" w:fill="165788"/>
            <w:vAlign w:val="center"/>
          </w:tcPr>
          <w:p w:rsidR="003D653C" w:rsidRPr="00DB0ECE" w:rsidRDefault="003D653C" w:rsidP="00C075C2">
            <w:pPr>
              <w:pStyle w:val="TableHeading"/>
              <w:spacing w:after="0" w:afterAutospacing="0" w:line="240" w:lineRule="auto"/>
              <w:contextualSpacing/>
              <w:jc w:val="center"/>
              <w:rPr>
                <w:rFonts w:asciiTheme="minorHAnsi" w:hAnsiTheme="minorHAnsi" w:cstheme="minorHAnsi"/>
                <w:sz w:val="24"/>
                <w:lang w:bidi="en-US"/>
              </w:rPr>
            </w:pPr>
            <w:r w:rsidRPr="00DB0ECE">
              <w:rPr>
                <w:rFonts w:asciiTheme="minorHAnsi" w:hAnsiTheme="minorHAnsi" w:cstheme="minorHAnsi"/>
                <w:sz w:val="24"/>
                <w:lang w:bidi="en-US"/>
              </w:rPr>
              <w:t>All Regions Surveyed</w:t>
            </w:r>
          </w:p>
          <w:p w:rsidR="003D653C" w:rsidRPr="00DB0ECE" w:rsidRDefault="003D653C" w:rsidP="00C075C2">
            <w:pPr>
              <w:pStyle w:val="TableHeading"/>
              <w:spacing w:after="0" w:afterAutospacing="0" w:line="240" w:lineRule="auto"/>
              <w:contextualSpacing/>
              <w:jc w:val="center"/>
              <w:rPr>
                <w:rFonts w:asciiTheme="minorHAnsi" w:hAnsiTheme="minorHAnsi" w:cstheme="minorHAnsi"/>
                <w:sz w:val="24"/>
                <w:lang w:bidi="en-US"/>
              </w:rPr>
            </w:pPr>
            <w:r w:rsidRPr="00DB0ECE">
              <w:rPr>
                <w:rFonts w:asciiTheme="minorHAnsi" w:hAnsiTheme="minorHAnsi" w:cstheme="minorHAnsi"/>
                <w:sz w:val="24"/>
                <w:lang w:bidi="en-US"/>
              </w:rPr>
              <w:t>12 Months to September 2012</w:t>
            </w:r>
          </w:p>
        </w:tc>
      </w:tr>
      <w:tr w:rsidR="003D653C" w:rsidRPr="00EF6DA1" w:rsidTr="003D56DB">
        <w:trPr>
          <w:trHeight w:val="505"/>
        </w:trPr>
        <w:tc>
          <w:tcPr>
            <w:tcW w:w="3010" w:type="dxa"/>
            <w:tcBorders>
              <w:bottom w:val="single" w:sz="4" w:space="0" w:color="A6A6A6"/>
            </w:tcBorders>
            <w:shd w:val="clear" w:color="auto" w:fill="auto"/>
            <w:vAlign w:val="center"/>
          </w:tcPr>
          <w:p w:rsidR="003D653C" w:rsidRPr="00DB0ECE" w:rsidRDefault="003D653C" w:rsidP="00C075C2">
            <w:pPr>
              <w:keepNext/>
              <w:spacing w:before="0" w:after="0" w:line="240" w:lineRule="auto"/>
              <w:contextualSpacing/>
              <w:rPr>
                <w:rFonts w:cstheme="minorHAnsi"/>
                <w:b/>
                <w:sz w:val="24"/>
              </w:rPr>
            </w:pPr>
            <w:r w:rsidRPr="00DB0ECE">
              <w:rPr>
                <w:rFonts w:cstheme="minorHAnsi"/>
                <w:b/>
                <w:sz w:val="24"/>
              </w:rPr>
              <w:t>Proportion of employers who recruited</w:t>
            </w:r>
          </w:p>
        </w:tc>
        <w:tc>
          <w:tcPr>
            <w:tcW w:w="1918" w:type="dxa"/>
            <w:vAlign w:val="center"/>
          </w:tcPr>
          <w:p w:rsidR="003D653C" w:rsidRPr="00DB0ECE" w:rsidRDefault="003D653C" w:rsidP="00C075C2">
            <w:pPr>
              <w:keepNext/>
              <w:spacing w:line="240" w:lineRule="auto"/>
              <w:contextualSpacing/>
              <w:jc w:val="center"/>
              <w:rPr>
                <w:rFonts w:cstheme="minorHAnsi"/>
                <w:b/>
                <w:sz w:val="24"/>
              </w:rPr>
            </w:pPr>
            <w:r w:rsidRPr="00DB0ECE">
              <w:rPr>
                <w:rFonts w:cstheme="minorHAnsi"/>
                <w:b/>
                <w:sz w:val="24"/>
              </w:rPr>
              <w:t>66%</w:t>
            </w:r>
          </w:p>
        </w:tc>
        <w:tc>
          <w:tcPr>
            <w:tcW w:w="1843" w:type="dxa"/>
            <w:shd w:val="clear" w:color="auto" w:fill="auto"/>
            <w:vAlign w:val="center"/>
          </w:tcPr>
          <w:p w:rsidR="003D653C" w:rsidRPr="00DB0ECE" w:rsidRDefault="003D653C" w:rsidP="00C075C2">
            <w:pPr>
              <w:keepNext/>
              <w:spacing w:line="240" w:lineRule="auto"/>
              <w:contextualSpacing/>
              <w:jc w:val="center"/>
              <w:rPr>
                <w:rFonts w:cstheme="minorHAnsi"/>
                <w:b/>
                <w:sz w:val="24"/>
              </w:rPr>
            </w:pPr>
            <w:r w:rsidRPr="00DB0ECE">
              <w:rPr>
                <w:rFonts w:cstheme="minorHAnsi"/>
                <w:b/>
                <w:sz w:val="24"/>
              </w:rPr>
              <w:t>73%</w:t>
            </w:r>
          </w:p>
        </w:tc>
        <w:tc>
          <w:tcPr>
            <w:tcW w:w="2409" w:type="dxa"/>
            <w:vAlign w:val="center"/>
          </w:tcPr>
          <w:p w:rsidR="003D653C" w:rsidRPr="00DB0ECE" w:rsidRDefault="003D653C" w:rsidP="00C075C2">
            <w:pPr>
              <w:keepNext/>
              <w:spacing w:line="240" w:lineRule="auto"/>
              <w:contextualSpacing/>
              <w:jc w:val="center"/>
              <w:rPr>
                <w:rFonts w:cstheme="minorHAnsi"/>
                <w:b/>
                <w:sz w:val="24"/>
              </w:rPr>
            </w:pPr>
            <w:r w:rsidRPr="00DB0ECE">
              <w:rPr>
                <w:rFonts w:cstheme="minorHAnsi"/>
                <w:b/>
                <w:sz w:val="24"/>
              </w:rPr>
              <w:t>63%</w:t>
            </w:r>
          </w:p>
        </w:tc>
      </w:tr>
      <w:tr w:rsidR="003D653C" w:rsidRPr="00EF6DA1" w:rsidTr="003D56DB">
        <w:trPr>
          <w:cantSplit/>
          <w:trHeight w:val="452"/>
        </w:trPr>
        <w:tc>
          <w:tcPr>
            <w:tcW w:w="3010" w:type="dxa"/>
            <w:shd w:val="clear" w:color="auto" w:fill="auto"/>
            <w:vAlign w:val="center"/>
          </w:tcPr>
          <w:p w:rsidR="003D653C" w:rsidRPr="00DB0ECE" w:rsidRDefault="003D653C" w:rsidP="00C075C2">
            <w:pPr>
              <w:keepNext/>
              <w:spacing w:before="0" w:after="0" w:line="240" w:lineRule="auto"/>
              <w:contextualSpacing/>
              <w:rPr>
                <w:rFonts w:cstheme="minorHAnsi"/>
                <w:b/>
                <w:sz w:val="24"/>
              </w:rPr>
            </w:pPr>
            <w:r w:rsidRPr="00DB0ECE">
              <w:rPr>
                <w:rFonts w:cstheme="minorHAnsi"/>
                <w:b/>
                <w:sz w:val="24"/>
              </w:rPr>
              <w:t>Proportion of vacancies unfilled</w:t>
            </w:r>
          </w:p>
        </w:tc>
        <w:tc>
          <w:tcPr>
            <w:tcW w:w="1918" w:type="dxa"/>
            <w:vAlign w:val="center"/>
          </w:tcPr>
          <w:p w:rsidR="003D653C" w:rsidRPr="00DB0ECE" w:rsidRDefault="003D653C" w:rsidP="00C075C2">
            <w:pPr>
              <w:keepNext/>
              <w:spacing w:line="240" w:lineRule="auto"/>
              <w:contextualSpacing/>
              <w:jc w:val="center"/>
              <w:rPr>
                <w:rFonts w:cstheme="minorHAnsi"/>
                <w:b/>
                <w:sz w:val="24"/>
              </w:rPr>
            </w:pPr>
            <w:r w:rsidRPr="00DB0ECE">
              <w:rPr>
                <w:rFonts w:cstheme="minorHAnsi"/>
                <w:b/>
                <w:sz w:val="24"/>
              </w:rPr>
              <w:t>6.9%</w:t>
            </w:r>
          </w:p>
        </w:tc>
        <w:tc>
          <w:tcPr>
            <w:tcW w:w="1843" w:type="dxa"/>
            <w:shd w:val="clear" w:color="auto" w:fill="auto"/>
            <w:vAlign w:val="center"/>
          </w:tcPr>
          <w:p w:rsidR="003D653C" w:rsidRPr="00DB0ECE" w:rsidRDefault="003D653C" w:rsidP="00C075C2">
            <w:pPr>
              <w:keepNext/>
              <w:spacing w:line="240" w:lineRule="auto"/>
              <w:contextualSpacing/>
              <w:jc w:val="center"/>
              <w:rPr>
                <w:rFonts w:cstheme="minorHAnsi"/>
                <w:b/>
                <w:sz w:val="24"/>
              </w:rPr>
            </w:pPr>
            <w:r w:rsidRPr="00DB0ECE">
              <w:rPr>
                <w:rFonts w:cstheme="minorHAnsi"/>
                <w:b/>
                <w:sz w:val="24"/>
              </w:rPr>
              <w:t>9.4%</w:t>
            </w:r>
          </w:p>
        </w:tc>
        <w:tc>
          <w:tcPr>
            <w:tcW w:w="2409" w:type="dxa"/>
            <w:vAlign w:val="center"/>
          </w:tcPr>
          <w:p w:rsidR="003D653C" w:rsidRPr="00DB0ECE" w:rsidRDefault="003D653C" w:rsidP="00C075C2">
            <w:pPr>
              <w:keepNext/>
              <w:spacing w:line="240" w:lineRule="auto"/>
              <w:contextualSpacing/>
              <w:jc w:val="center"/>
              <w:rPr>
                <w:rFonts w:cstheme="minorHAnsi"/>
                <w:b/>
                <w:sz w:val="24"/>
              </w:rPr>
            </w:pPr>
            <w:r w:rsidRPr="00DB0ECE">
              <w:rPr>
                <w:rFonts w:cstheme="minorHAnsi"/>
                <w:b/>
                <w:sz w:val="24"/>
              </w:rPr>
              <w:t>5.5%</w:t>
            </w:r>
          </w:p>
        </w:tc>
      </w:tr>
      <w:tr w:rsidR="003D653C" w:rsidRPr="00EF6DA1" w:rsidTr="003D56DB">
        <w:trPr>
          <w:cantSplit/>
          <w:trHeight w:val="516"/>
        </w:trPr>
        <w:tc>
          <w:tcPr>
            <w:tcW w:w="3010" w:type="dxa"/>
            <w:shd w:val="clear" w:color="auto" w:fill="auto"/>
            <w:vAlign w:val="center"/>
          </w:tcPr>
          <w:p w:rsidR="003D653C" w:rsidRPr="00DB0ECE" w:rsidRDefault="003D653C" w:rsidP="00C075C2">
            <w:pPr>
              <w:keepNext/>
              <w:spacing w:before="0" w:after="0" w:line="240" w:lineRule="auto"/>
              <w:contextualSpacing/>
              <w:rPr>
                <w:rFonts w:cstheme="minorHAnsi"/>
                <w:b/>
                <w:sz w:val="24"/>
              </w:rPr>
            </w:pPr>
            <w:r w:rsidRPr="00DB0ECE">
              <w:rPr>
                <w:rFonts w:cstheme="minorHAnsi"/>
                <w:b/>
                <w:sz w:val="24"/>
              </w:rPr>
              <w:t>Proportion of employers who experienced difficulty</w:t>
            </w:r>
          </w:p>
        </w:tc>
        <w:tc>
          <w:tcPr>
            <w:tcW w:w="1918" w:type="dxa"/>
            <w:vAlign w:val="center"/>
          </w:tcPr>
          <w:p w:rsidR="003D653C" w:rsidRPr="00DB0ECE" w:rsidRDefault="003D653C" w:rsidP="00C075C2">
            <w:pPr>
              <w:keepNext/>
              <w:spacing w:line="240" w:lineRule="auto"/>
              <w:contextualSpacing/>
              <w:jc w:val="center"/>
              <w:rPr>
                <w:rFonts w:cstheme="minorHAnsi"/>
                <w:b/>
                <w:sz w:val="24"/>
              </w:rPr>
            </w:pPr>
            <w:r w:rsidRPr="00DB0ECE">
              <w:rPr>
                <w:rFonts w:cstheme="minorHAnsi"/>
                <w:b/>
                <w:sz w:val="24"/>
              </w:rPr>
              <w:t>53%</w:t>
            </w:r>
          </w:p>
        </w:tc>
        <w:tc>
          <w:tcPr>
            <w:tcW w:w="1843" w:type="dxa"/>
            <w:shd w:val="clear" w:color="auto" w:fill="auto"/>
            <w:vAlign w:val="center"/>
          </w:tcPr>
          <w:p w:rsidR="003D653C" w:rsidRPr="00DB0ECE" w:rsidRDefault="003D653C" w:rsidP="00C075C2">
            <w:pPr>
              <w:keepNext/>
              <w:spacing w:line="240" w:lineRule="auto"/>
              <w:contextualSpacing/>
              <w:jc w:val="center"/>
              <w:rPr>
                <w:rFonts w:cstheme="minorHAnsi"/>
                <w:b/>
                <w:sz w:val="24"/>
              </w:rPr>
            </w:pPr>
            <w:r w:rsidRPr="00DB0ECE">
              <w:rPr>
                <w:rFonts w:cstheme="minorHAnsi"/>
                <w:b/>
                <w:sz w:val="24"/>
              </w:rPr>
              <w:t>59%</w:t>
            </w:r>
          </w:p>
        </w:tc>
        <w:tc>
          <w:tcPr>
            <w:tcW w:w="2409" w:type="dxa"/>
            <w:vAlign w:val="center"/>
          </w:tcPr>
          <w:p w:rsidR="003D653C" w:rsidRPr="00DB0ECE" w:rsidRDefault="003D653C" w:rsidP="00C075C2">
            <w:pPr>
              <w:keepNext/>
              <w:spacing w:line="240" w:lineRule="auto"/>
              <w:contextualSpacing/>
              <w:jc w:val="center"/>
              <w:rPr>
                <w:rFonts w:cstheme="minorHAnsi"/>
                <w:b/>
                <w:sz w:val="24"/>
              </w:rPr>
            </w:pPr>
            <w:r w:rsidRPr="00DB0ECE">
              <w:rPr>
                <w:rFonts w:cstheme="minorHAnsi"/>
                <w:b/>
                <w:sz w:val="24"/>
              </w:rPr>
              <w:t>53%</w:t>
            </w:r>
          </w:p>
        </w:tc>
      </w:tr>
    </w:tbl>
    <w:p w:rsidR="00112DB9" w:rsidRDefault="00112DB9" w:rsidP="00112DB9">
      <w:pPr>
        <w:spacing w:before="0" w:after="0" w:line="240" w:lineRule="auto"/>
        <w:ind w:right="54"/>
        <w:contextualSpacing/>
        <w:rPr>
          <w:rFonts w:cstheme="minorHAnsi"/>
          <w:sz w:val="24"/>
        </w:rPr>
      </w:pPr>
    </w:p>
    <w:p w:rsidR="0033715B" w:rsidRDefault="0033715B" w:rsidP="0033715B">
      <w:pPr>
        <w:spacing w:before="0" w:after="0" w:line="240" w:lineRule="auto"/>
        <w:ind w:right="54"/>
        <w:contextualSpacing/>
        <w:rPr>
          <w:rFonts w:cstheme="minorHAnsi"/>
          <w:sz w:val="24"/>
        </w:rPr>
      </w:pPr>
      <w:r>
        <w:rPr>
          <w:rFonts w:cstheme="minorHAnsi"/>
          <w:sz w:val="24"/>
        </w:rPr>
        <w:t xml:space="preserve">Despite the general softening </w:t>
      </w:r>
      <w:r w:rsidR="004319E6">
        <w:rPr>
          <w:rFonts w:cstheme="minorHAnsi"/>
          <w:sz w:val="24"/>
        </w:rPr>
        <w:t>in</w:t>
      </w:r>
      <w:r>
        <w:rPr>
          <w:rFonts w:cstheme="minorHAnsi"/>
          <w:sz w:val="24"/>
        </w:rPr>
        <w:t xml:space="preserve"> demand for labour in the region</w:t>
      </w:r>
      <w:r w:rsidRPr="00003A96">
        <w:rPr>
          <w:rFonts w:cstheme="minorHAnsi"/>
          <w:sz w:val="24"/>
        </w:rPr>
        <w:t>, there was some evidence of skill shortages, wi</w:t>
      </w:r>
      <w:r>
        <w:rPr>
          <w:rFonts w:cstheme="minorHAnsi"/>
          <w:sz w:val="24"/>
        </w:rPr>
        <w:t xml:space="preserve">th </w:t>
      </w:r>
      <w:r w:rsidRPr="00003A96">
        <w:rPr>
          <w:rFonts w:cstheme="minorHAnsi"/>
          <w:sz w:val="24"/>
        </w:rPr>
        <w:t xml:space="preserve">high </w:t>
      </w:r>
      <w:proofErr w:type="spellStart"/>
      <w:r w:rsidRPr="00003A96">
        <w:rPr>
          <w:rFonts w:cstheme="minorHAnsi"/>
          <w:sz w:val="24"/>
        </w:rPr>
        <w:t>unfill</w:t>
      </w:r>
      <w:proofErr w:type="spellEnd"/>
      <w:r w:rsidRPr="00003A96">
        <w:rPr>
          <w:rFonts w:cstheme="minorHAnsi"/>
          <w:sz w:val="24"/>
        </w:rPr>
        <w:t xml:space="preserve"> rates</w:t>
      </w:r>
      <w:r w:rsidR="00ED0A0C">
        <w:rPr>
          <w:rFonts w:cstheme="minorHAnsi"/>
          <w:sz w:val="24"/>
        </w:rPr>
        <w:t xml:space="preserve"> and</w:t>
      </w:r>
      <w:r w:rsidR="003D653C">
        <w:rPr>
          <w:rFonts w:cstheme="minorHAnsi"/>
          <w:sz w:val="24"/>
        </w:rPr>
        <w:t xml:space="preserve"> difficulty recruiting</w:t>
      </w:r>
      <w:r w:rsidRPr="00003A96">
        <w:rPr>
          <w:rFonts w:cstheme="minorHAnsi"/>
          <w:sz w:val="24"/>
        </w:rPr>
        <w:t xml:space="preserve"> </w:t>
      </w:r>
      <w:r w:rsidR="00ED0A0C">
        <w:rPr>
          <w:rFonts w:cstheme="minorHAnsi"/>
          <w:sz w:val="24"/>
        </w:rPr>
        <w:t xml:space="preserve">and low numbers of suitable applicants </w:t>
      </w:r>
      <w:r w:rsidRPr="00003A96">
        <w:rPr>
          <w:rFonts w:cstheme="minorHAnsi"/>
          <w:sz w:val="24"/>
        </w:rPr>
        <w:t>for Technician and Trades Worker and Community and Personal Service Worker vacancies</w:t>
      </w:r>
      <w:r w:rsidR="00581540">
        <w:rPr>
          <w:rFonts w:cstheme="minorHAnsi"/>
          <w:sz w:val="24"/>
        </w:rPr>
        <w:t xml:space="preserve"> in particular</w:t>
      </w:r>
      <w:r w:rsidRPr="00003A96">
        <w:rPr>
          <w:rFonts w:cstheme="minorHAnsi"/>
          <w:sz w:val="24"/>
        </w:rPr>
        <w:t>.</w:t>
      </w:r>
    </w:p>
    <w:p w:rsidR="0033715B" w:rsidRDefault="0033715B" w:rsidP="00BA64D0">
      <w:pPr>
        <w:pStyle w:val="ListParagraph"/>
        <w:numPr>
          <w:ilvl w:val="0"/>
          <w:numId w:val="45"/>
        </w:numPr>
        <w:spacing w:after="0" w:line="240" w:lineRule="auto"/>
        <w:ind w:left="426" w:right="54" w:hanging="426"/>
        <w:jc w:val="both"/>
        <w:rPr>
          <w:rFonts w:asciiTheme="minorHAnsi" w:hAnsiTheme="minorHAnsi" w:cstheme="minorHAnsi"/>
          <w:color w:val="auto"/>
        </w:rPr>
      </w:pPr>
      <w:r w:rsidRPr="001000CD">
        <w:rPr>
          <w:rFonts w:asciiTheme="minorHAnsi" w:hAnsiTheme="minorHAnsi" w:cstheme="minorHAnsi"/>
          <w:color w:val="auto"/>
        </w:rPr>
        <w:t xml:space="preserve">A high proportion of </w:t>
      </w:r>
      <w:r w:rsidR="00444473">
        <w:rPr>
          <w:rFonts w:asciiTheme="minorHAnsi" w:hAnsiTheme="minorHAnsi" w:cstheme="minorHAnsi"/>
          <w:color w:val="auto"/>
        </w:rPr>
        <w:t xml:space="preserve">recent </w:t>
      </w:r>
      <w:r w:rsidRPr="001000CD">
        <w:rPr>
          <w:rFonts w:asciiTheme="minorHAnsi" w:hAnsiTheme="minorHAnsi" w:cstheme="minorHAnsi"/>
          <w:color w:val="auto"/>
        </w:rPr>
        <w:t>Technician and Trades Worker (18.3 per cent) and Community and Personal Service Worker (13.2 per cent) vacancies remained unfilled.</w:t>
      </w:r>
    </w:p>
    <w:p w:rsidR="00387781" w:rsidRDefault="00387781" w:rsidP="00BA64D0">
      <w:pPr>
        <w:pStyle w:val="ListParagraph"/>
        <w:numPr>
          <w:ilvl w:val="0"/>
          <w:numId w:val="45"/>
        </w:numPr>
        <w:spacing w:after="0" w:line="240" w:lineRule="auto"/>
        <w:ind w:left="426" w:right="54" w:hanging="426"/>
        <w:jc w:val="both"/>
        <w:rPr>
          <w:rFonts w:asciiTheme="minorHAnsi" w:hAnsiTheme="minorHAnsi" w:cstheme="minorHAnsi"/>
          <w:color w:val="auto"/>
        </w:rPr>
      </w:pPr>
      <w:r>
        <w:rPr>
          <w:rFonts w:asciiTheme="minorHAnsi" w:hAnsiTheme="minorHAnsi" w:cstheme="minorHAnsi"/>
          <w:color w:val="auto"/>
        </w:rPr>
        <w:t>A high proportion of employers recruiting for Technicians and Trades Workers</w:t>
      </w:r>
      <w:r w:rsidR="004319E6">
        <w:rPr>
          <w:rFonts w:asciiTheme="minorHAnsi" w:hAnsiTheme="minorHAnsi" w:cstheme="minorHAnsi"/>
          <w:color w:val="auto"/>
        </w:rPr>
        <w:t xml:space="preserve">           </w:t>
      </w:r>
      <w:r>
        <w:rPr>
          <w:rFonts w:asciiTheme="minorHAnsi" w:hAnsiTheme="minorHAnsi" w:cstheme="minorHAnsi"/>
          <w:color w:val="auto"/>
        </w:rPr>
        <w:t xml:space="preserve"> (58 per cent) experienced recruitment difficulty</w:t>
      </w:r>
      <w:r w:rsidR="00C74722">
        <w:rPr>
          <w:rFonts w:asciiTheme="minorHAnsi" w:hAnsiTheme="minorHAnsi" w:cstheme="minorHAnsi"/>
          <w:color w:val="auto"/>
        </w:rPr>
        <w:t xml:space="preserve"> compared with the average across all occupation groups (41 per cent)</w:t>
      </w:r>
      <w:r w:rsidR="00444473">
        <w:rPr>
          <w:rFonts w:asciiTheme="minorHAnsi" w:hAnsiTheme="minorHAnsi" w:cstheme="minorHAnsi"/>
          <w:color w:val="auto"/>
        </w:rPr>
        <w:t xml:space="preserve"> in their most recent recruitment</w:t>
      </w:r>
      <w:r w:rsidR="00C74722">
        <w:rPr>
          <w:rFonts w:asciiTheme="minorHAnsi" w:hAnsiTheme="minorHAnsi" w:cstheme="minorHAnsi"/>
          <w:color w:val="auto"/>
        </w:rPr>
        <w:t>.</w:t>
      </w:r>
    </w:p>
    <w:p w:rsidR="00387781" w:rsidRPr="001000CD" w:rsidRDefault="00387781" w:rsidP="00BA64D0">
      <w:pPr>
        <w:pStyle w:val="ListParagraph"/>
        <w:numPr>
          <w:ilvl w:val="0"/>
          <w:numId w:val="45"/>
        </w:numPr>
        <w:spacing w:after="0" w:line="240" w:lineRule="auto"/>
        <w:ind w:left="426" w:right="54" w:hanging="426"/>
        <w:jc w:val="both"/>
        <w:rPr>
          <w:rFonts w:asciiTheme="minorHAnsi" w:hAnsiTheme="minorHAnsi" w:cstheme="minorHAnsi"/>
          <w:color w:val="auto"/>
        </w:rPr>
      </w:pPr>
      <w:r>
        <w:rPr>
          <w:rFonts w:asciiTheme="minorHAnsi" w:hAnsiTheme="minorHAnsi" w:cstheme="minorHAnsi"/>
          <w:color w:val="auto"/>
        </w:rPr>
        <w:t>Employers cited several Technicians and Trades Worker</w:t>
      </w:r>
      <w:r w:rsidR="003D653C">
        <w:rPr>
          <w:rFonts w:asciiTheme="minorHAnsi" w:hAnsiTheme="minorHAnsi" w:cstheme="minorHAnsi"/>
          <w:color w:val="auto"/>
        </w:rPr>
        <w:t xml:space="preserve"> (Chefs, Motor Mechanics, Structural Steel and Welding Trades Workers) and Community and Personal Service Worker (Child </w:t>
      </w:r>
      <w:proofErr w:type="spellStart"/>
      <w:r w:rsidR="003D653C">
        <w:rPr>
          <w:rFonts w:asciiTheme="minorHAnsi" w:hAnsiTheme="minorHAnsi" w:cstheme="minorHAnsi"/>
          <w:color w:val="auto"/>
        </w:rPr>
        <w:t>Carers</w:t>
      </w:r>
      <w:proofErr w:type="spellEnd"/>
      <w:r w:rsidR="003D653C">
        <w:rPr>
          <w:rFonts w:asciiTheme="minorHAnsi" w:hAnsiTheme="minorHAnsi" w:cstheme="minorHAnsi"/>
          <w:color w:val="auto"/>
        </w:rPr>
        <w:t xml:space="preserve">) vacancies as difficult to fill. </w:t>
      </w:r>
    </w:p>
    <w:p w:rsidR="0033715B" w:rsidRPr="00BE5669" w:rsidRDefault="0033715B" w:rsidP="0033715B">
      <w:pPr>
        <w:pStyle w:val="Heading2"/>
        <w:contextualSpacing/>
        <w:rPr>
          <w:b w:val="0"/>
          <w:sz w:val="28"/>
          <w:szCs w:val="28"/>
        </w:rPr>
      </w:pPr>
      <w:bookmarkStart w:id="37" w:name="_Toc346195469"/>
      <w:bookmarkStart w:id="38" w:name="_Toc346529982"/>
      <w:bookmarkStart w:id="39" w:name="_Toc346611107"/>
      <w:bookmarkStart w:id="40" w:name="_Toc348428588"/>
      <w:r w:rsidRPr="00714603">
        <w:rPr>
          <w:b w:val="0"/>
          <w:sz w:val="28"/>
          <w:szCs w:val="28"/>
        </w:rPr>
        <w:lastRenderedPageBreak/>
        <w:t xml:space="preserve">Figure </w:t>
      </w:r>
      <w:r w:rsidR="00584F6F">
        <w:rPr>
          <w:b w:val="0"/>
          <w:sz w:val="28"/>
          <w:szCs w:val="28"/>
        </w:rPr>
        <w:t>1</w:t>
      </w:r>
      <w:r>
        <w:rPr>
          <w:b w:val="0"/>
          <w:sz w:val="28"/>
          <w:szCs w:val="28"/>
        </w:rPr>
        <w:t>: Unfilled</w:t>
      </w:r>
      <w:r w:rsidRPr="00714603">
        <w:rPr>
          <w:b w:val="0"/>
          <w:sz w:val="28"/>
          <w:szCs w:val="28"/>
        </w:rPr>
        <w:t xml:space="preserve"> vacancies by occupation</w:t>
      </w:r>
      <w:bookmarkEnd w:id="37"/>
      <w:r>
        <w:rPr>
          <w:b w:val="0"/>
          <w:sz w:val="28"/>
          <w:szCs w:val="28"/>
        </w:rPr>
        <w:t xml:space="preserve"> in most recent recruitment round</w:t>
      </w:r>
      <w:bookmarkEnd w:id="38"/>
      <w:bookmarkEnd w:id="39"/>
      <w:bookmarkEnd w:id="40"/>
    </w:p>
    <w:p w:rsidR="0033715B" w:rsidRPr="00B7507B" w:rsidRDefault="0033715B" w:rsidP="0033715B">
      <w:pPr>
        <w:spacing w:before="0" w:after="0" w:line="240" w:lineRule="auto"/>
        <w:ind w:right="54"/>
        <w:contextualSpacing/>
        <w:jc w:val="both"/>
        <w:rPr>
          <w:rFonts w:cstheme="minorHAnsi"/>
          <w:szCs w:val="22"/>
        </w:rPr>
      </w:pPr>
      <w:r>
        <w:rPr>
          <w:noProof/>
        </w:rPr>
        <w:drawing>
          <wp:inline distT="0" distB="0" distL="0" distR="0" wp14:anchorId="17F3EECB" wp14:editId="041CA2DD">
            <wp:extent cx="5657850" cy="3581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3715B" w:rsidRDefault="0033715B" w:rsidP="0033715B">
      <w:pPr>
        <w:spacing w:before="0" w:after="200" w:line="240" w:lineRule="auto"/>
        <w:ind w:left="360"/>
        <w:contextualSpacing/>
        <w:jc w:val="both"/>
        <w:rPr>
          <w:rFonts w:eastAsiaTheme="minorEastAsia" w:cstheme="minorBidi"/>
          <w:sz w:val="24"/>
          <w:lang w:eastAsia="en-US" w:bidi="en-US"/>
        </w:rPr>
      </w:pPr>
    </w:p>
    <w:p w:rsidR="0033715B" w:rsidRDefault="0033715B" w:rsidP="00BB0DDF">
      <w:pPr>
        <w:spacing w:before="0" w:after="200" w:line="240" w:lineRule="auto"/>
        <w:contextualSpacing/>
        <w:rPr>
          <w:rFonts w:eastAsiaTheme="minorEastAsia" w:cstheme="minorBidi"/>
          <w:sz w:val="24"/>
          <w:lang w:eastAsia="en-US" w:bidi="en-US"/>
        </w:rPr>
      </w:pPr>
      <w:r w:rsidRPr="00003A96">
        <w:rPr>
          <w:rFonts w:eastAsiaTheme="minorEastAsia" w:cstheme="minorBidi"/>
          <w:sz w:val="24"/>
          <w:lang w:eastAsia="en-US" w:bidi="en-US"/>
        </w:rPr>
        <w:t>The</w:t>
      </w:r>
      <w:r w:rsidR="00DE1001">
        <w:rPr>
          <w:rFonts w:eastAsiaTheme="minorEastAsia" w:cstheme="minorBidi"/>
          <w:sz w:val="24"/>
          <w:lang w:eastAsia="en-US" w:bidi="en-US"/>
        </w:rPr>
        <w:t>re were fewer applicants and suitable applicants for vacancies than in previous surveys</w:t>
      </w:r>
      <w:r w:rsidR="00BB0DDF">
        <w:rPr>
          <w:rFonts w:eastAsiaTheme="minorEastAsia" w:cstheme="minorBidi"/>
          <w:sz w:val="24"/>
          <w:lang w:eastAsia="en-US" w:bidi="en-US"/>
        </w:rPr>
        <w:t>.</w:t>
      </w:r>
      <w:r w:rsidR="00DE1001">
        <w:rPr>
          <w:rFonts w:eastAsiaTheme="minorEastAsia" w:cstheme="minorBidi"/>
          <w:sz w:val="24"/>
          <w:lang w:eastAsia="en-US" w:bidi="en-US"/>
        </w:rPr>
        <w:t xml:space="preserve"> Despite the apparent low competition for vacancies, the survey results indicate that there may be a </w:t>
      </w:r>
      <w:r w:rsidR="00C94CCD">
        <w:rPr>
          <w:rFonts w:eastAsiaTheme="minorEastAsia" w:cstheme="minorBidi"/>
          <w:sz w:val="24"/>
          <w:lang w:eastAsia="en-US" w:bidi="en-US"/>
        </w:rPr>
        <w:t>discrepancy</w:t>
      </w:r>
      <w:r w:rsidR="00DE1001">
        <w:rPr>
          <w:rFonts w:eastAsiaTheme="minorEastAsia" w:cstheme="minorBidi"/>
          <w:sz w:val="24"/>
          <w:lang w:eastAsia="en-US" w:bidi="en-US"/>
        </w:rPr>
        <w:t xml:space="preserve"> between those skills and attributes sought by employers and</w:t>
      </w:r>
      <w:r w:rsidR="00C94CCD">
        <w:rPr>
          <w:rFonts w:eastAsiaTheme="minorEastAsia" w:cstheme="minorBidi"/>
          <w:sz w:val="24"/>
          <w:lang w:eastAsia="en-US" w:bidi="en-US"/>
        </w:rPr>
        <w:t xml:space="preserve"> those which applicants possess</w:t>
      </w:r>
      <w:r w:rsidR="003213DE">
        <w:rPr>
          <w:rFonts w:eastAsiaTheme="minorEastAsia" w:cstheme="minorBidi"/>
          <w:sz w:val="24"/>
          <w:lang w:eastAsia="en-US" w:bidi="en-US"/>
        </w:rPr>
        <w:t xml:space="preserve">. </w:t>
      </w:r>
      <w:r w:rsidR="00C94CCD">
        <w:rPr>
          <w:rFonts w:eastAsiaTheme="minorEastAsia" w:cstheme="minorBidi"/>
          <w:sz w:val="24"/>
          <w:lang w:eastAsia="en-US" w:bidi="en-US"/>
        </w:rPr>
        <w:t xml:space="preserve"> </w:t>
      </w:r>
    </w:p>
    <w:p w:rsidR="00BB0DDF" w:rsidRPr="00FD3BE0" w:rsidRDefault="00DE1001" w:rsidP="00BB0DDF">
      <w:pPr>
        <w:numPr>
          <w:ilvl w:val="0"/>
          <w:numId w:val="35"/>
        </w:numPr>
        <w:spacing w:before="0" w:after="200" w:line="240" w:lineRule="auto"/>
        <w:contextualSpacing/>
        <w:rPr>
          <w:rFonts w:eastAsiaTheme="minorEastAsia" w:cstheme="minorBidi"/>
          <w:b/>
          <w:sz w:val="24"/>
          <w:lang w:eastAsia="en-US" w:bidi="en-US"/>
        </w:rPr>
      </w:pPr>
      <w:r w:rsidRPr="00FD3BE0">
        <w:rPr>
          <w:rFonts w:eastAsiaTheme="minorEastAsia" w:cstheme="minorBidi"/>
          <w:sz w:val="24"/>
          <w:lang w:eastAsia="en-US" w:bidi="en-US"/>
        </w:rPr>
        <w:t>The average number of applicants per vacancy (5.2) was low</w:t>
      </w:r>
      <w:r w:rsidR="00581540">
        <w:rPr>
          <w:rFonts w:eastAsiaTheme="minorEastAsia" w:cstheme="minorBidi"/>
          <w:sz w:val="24"/>
          <w:lang w:eastAsia="en-US" w:bidi="en-US"/>
        </w:rPr>
        <w:t>er</w:t>
      </w:r>
      <w:r w:rsidRPr="00FD3BE0">
        <w:rPr>
          <w:rFonts w:eastAsiaTheme="minorEastAsia" w:cstheme="minorBidi"/>
          <w:sz w:val="24"/>
          <w:lang w:eastAsia="en-US" w:bidi="en-US"/>
        </w:rPr>
        <w:t xml:space="preserve"> </w:t>
      </w:r>
      <w:r w:rsidR="00581540">
        <w:rPr>
          <w:rFonts w:eastAsiaTheme="minorEastAsia" w:cstheme="minorBidi"/>
          <w:sz w:val="24"/>
          <w:lang w:eastAsia="en-US" w:bidi="en-US"/>
        </w:rPr>
        <w:t>than</w:t>
      </w:r>
      <w:r w:rsidRPr="00FD3BE0">
        <w:rPr>
          <w:rFonts w:eastAsiaTheme="minorEastAsia" w:cstheme="minorBidi"/>
          <w:sz w:val="24"/>
          <w:lang w:eastAsia="en-US" w:bidi="en-US"/>
        </w:rPr>
        <w:t xml:space="preserve"> </w:t>
      </w:r>
      <w:r w:rsidR="00581540">
        <w:rPr>
          <w:rFonts w:eastAsiaTheme="minorEastAsia" w:cstheme="minorBidi"/>
          <w:sz w:val="24"/>
          <w:lang w:eastAsia="en-US" w:bidi="en-US"/>
        </w:rPr>
        <w:t>in</w:t>
      </w:r>
      <w:r w:rsidRPr="00FD3BE0">
        <w:rPr>
          <w:rFonts w:eastAsiaTheme="minorEastAsia" w:cstheme="minorBidi"/>
          <w:sz w:val="24"/>
          <w:lang w:eastAsia="en-US" w:bidi="en-US"/>
        </w:rPr>
        <w:t xml:space="preserve"> the 2011 survey (7.8), although this varied substantially by occupation group.</w:t>
      </w:r>
      <w:r w:rsidR="00FD3BE0" w:rsidRPr="00FD3BE0">
        <w:rPr>
          <w:rFonts w:eastAsiaTheme="minorEastAsia" w:cstheme="minorBidi"/>
          <w:sz w:val="24"/>
          <w:lang w:eastAsia="en-US" w:bidi="en-US"/>
        </w:rPr>
        <w:t xml:space="preserve"> In addition, a</w:t>
      </w:r>
      <w:r w:rsidR="005948D3" w:rsidRPr="00FD3BE0">
        <w:rPr>
          <w:rFonts w:eastAsiaTheme="minorEastAsia" w:cstheme="minorBidi"/>
          <w:sz w:val="24"/>
          <w:lang w:eastAsia="en-US" w:bidi="en-US"/>
        </w:rPr>
        <w:t xml:space="preserve"> low</w:t>
      </w:r>
      <w:r w:rsidR="00581540">
        <w:rPr>
          <w:rFonts w:eastAsiaTheme="minorEastAsia" w:cstheme="minorBidi"/>
          <w:sz w:val="24"/>
          <w:lang w:eastAsia="en-US" w:bidi="en-US"/>
        </w:rPr>
        <w:t>er</w:t>
      </w:r>
      <w:r w:rsidR="00BB0DDF" w:rsidRPr="00FD3BE0">
        <w:rPr>
          <w:rFonts w:eastAsiaTheme="minorEastAsia" w:cstheme="minorBidi"/>
          <w:sz w:val="24"/>
          <w:lang w:eastAsia="en-US" w:bidi="en-US"/>
        </w:rPr>
        <w:t xml:space="preserve"> average number of</w:t>
      </w:r>
      <w:r w:rsidR="00581540">
        <w:rPr>
          <w:rFonts w:eastAsiaTheme="minorEastAsia" w:cstheme="minorBidi"/>
          <w:sz w:val="24"/>
          <w:lang w:eastAsia="en-US" w:bidi="en-US"/>
        </w:rPr>
        <w:t xml:space="preserve"> applicants </w:t>
      </w:r>
      <w:r w:rsidR="005948D3" w:rsidRPr="00FD3BE0">
        <w:rPr>
          <w:rFonts w:eastAsiaTheme="minorEastAsia" w:cstheme="minorBidi"/>
          <w:sz w:val="24"/>
          <w:lang w:eastAsia="en-US" w:bidi="en-US"/>
        </w:rPr>
        <w:t>were considered suitable by employers</w:t>
      </w:r>
      <w:r w:rsidR="00BB0DDF" w:rsidRPr="00FD3BE0">
        <w:rPr>
          <w:rFonts w:eastAsiaTheme="minorEastAsia" w:cstheme="minorBidi"/>
          <w:sz w:val="24"/>
          <w:lang w:eastAsia="en-US" w:bidi="en-US"/>
        </w:rPr>
        <w:t xml:space="preserve"> </w:t>
      </w:r>
      <w:r w:rsidR="00581540">
        <w:rPr>
          <w:rFonts w:eastAsiaTheme="minorEastAsia" w:cstheme="minorBidi"/>
          <w:sz w:val="24"/>
          <w:lang w:eastAsia="en-US" w:bidi="en-US"/>
        </w:rPr>
        <w:t>than</w:t>
      </w:r>
      <w:r w:rsidR="005948D3" w:rsidRPr="00FD3BE0">
        <w:rPr>
          <w:rFonts w:eastAsiaTheme="minorEastAsia" w:cstheme="minorBidi"/>
          <w:sz w:val="24"/>
          <w:lang w:eastAsia="en-US" w:bidi="en-US"/>
        </w:rPr>
        <w:t xml:space="preserve"> the previous survey (</w:t>
      </w:r>
      <w:r w:rsidR="00581540">
        <w:rPr>
          <w:rFonts w:eastAsiaTheme="minorEastAsia" w:cstheme="minorBidi"/>
          <w:sz w:val="24"/>
          <w:lang w:eastAsia="en-US" w:bidi="en-US"/>
        </w:rPr>
        <w:t xml:space="preserve">1.7 and </w:t>
      </w:r>
      <w:r w:rsidR="005948D3" w:rsidRPr="00FD3BE0">
        <w:rPr>
          <w:rFonts w:eastAsiaTheme="minorEastAsia" w:cstheme="minorBidi"/>
          <w:sz w:val="24"/>
          <w:lang w:eastAsia="en-US" w:bidi="en-US"/>
        </w:rPr>
        <w:t>2.3</w:t>
      </w:r>
      <w:r w:rsidR="00581540">
        <w:rPr>
          <w:rFonts w:eastAsiaTheme="minorEastAsia" w:cstheme="minorBidi"/>
          <w:sz w:val="24"/>
          <w:lang w:eastAsia="en-US" w:bidi="en-US"/>
        </w:rPr>
        <w:t xml:space="preserve"> respectively</w:t>
      </w:r>
      <w:r w:rsidR="00BB0DDF" w:rsidRPr="00FD3BE0">
        <w:rPr>
          <w:rFonts w:eastAsiaTheme="minorEastAsia" w:cstheme="minorBidi"/>
          <w:sz w:val="24"/>
          <w:lang w:eastAsia="en-US" w:bidi="en-US"/>
        </w:rPr>
        <w:t>).</w:t>
      </w:r>
    </w:p>
    <w:p w:rsidR="00ED0A0C" w:rsidRPr="00DE1001" w:rsidRDefault="00ED0A0C" w:rsidP="00ED0A0C">
      <w:pPr>
        <w:numPr>
          <w:ilvl w:val="0"/>
          <w:numId w:val="35"/>
        </w:numPr>
        <w:spacing w:before="0" w:after="0" w:line="240" w:lineRule="auto"/>
        <w:contextualSpacing/>
        <w:rPr>
          <w:rFonts w:cstheme="minorHAnsi"/>
          <w:bCs/>
          <w:iCs/>
          <w:sz w:val="24"/>
        </w:rPr>
      </w:pPr>
      <w:r w:rsidRPr="00DE1001">
        <w:rPr>
          <w:rFonts w:cstheme="minorHAnsi"/>
          <w:bCs/>
          <w:iCs/>
          <w:sz w:val="24"/>
        </w:rPr>
        <w:t>Low suitability of applicants was reported for Labourers</w:t>
      </w:r>
      <w:r>
        <w:rPr>
          <w:rFonts w:cstheme="minorHAnsi"/>
          <w:bCs/>
          <w:iCs/>
          <w:sz w:val="24"/>
        </w:rPr>
        <w:t>, Technicians and Trades Workers and Community and Personal Service Workers.</w:t>
      </w:r>
    </w:p>
    <w:p w:rsidR="00BB0DDF" w:rsidRPr="00ED0A0C" w:rsidRDefault="0033715B" w:rsidP="00DE1001">
      <w:pPr>
        <w:numPr>
          <w:ilvl w:val="0"/>
          <w:numId w:val="35"/>
        </w:numPr>
        <w:spacing w:before="0" w:after="0" w:line="240" w:lineRule="auto"/>
        <w:contextualSpacing/>
        <w:rPr>
          <w:rFonts w:cstheme="minorHAnsi"/>
          <w:b/>
          <w:bCs/>
          <w:iCs/>
          <w:sz w:val="12"/>
          <w:szCs w:val="12"/>
        </w:rPr>
      </w:pPr>
      <w:r w:rsidRPr="0025435B">
        <w:rPr>
          <w:rFonts w:eastAsiaTheme="minorEastAsia" w:cstheme="minorBidi"/>
          <w:sz w:val="24"/>
          <w:lang w:eastAsia="en-US" w:bidi="en-US"/>
        </w:rPr>
        <w:t xml:space="preserve">Employers most commonly considered applicants unsuitable due to insufficient experience to perform </w:t>
      </w:r>
      <w:r w:rsidR="00581540">
        <w:rPr>
          <w:rFonts w:eastAsiaTheme="minorEastAsia" w:cstheme="minorBidi"/>
          <w:sz w:val="24"/>
          <w:lang w:eastAsia="en-US" w:bidi="en-US"/>
        </w:rPr>
        <w:t>the</w:t>
      </w:r>
      <w:r w:rsidRPr="0025435B">
        <w:rPr>
          <w:rFonts w:eastAsiaTheme="minorEastAsia" w:cstheme="minorBidi"/>
          <w:sz w:val="24"/>
          <w:lang w:eastAsia="en-US" w:bidi="en-US"/>
        </w:rPr>
        <w:t xml:space="preserve"> duties</w:t>
      </w:r>
      <w:r w:rsidR="00581540">
        <w:rPr>
          <w:rFonts w:eastAsiaTheme="minorEastAsia" w:cstheme="minorBidi"/>
          <w:sz w:val="24"/>
          <w:lang w:eastAsia="en-US" w:bidi="en-US"/>
        </w:rPr>
        <w:t xml:space="preserve"> of the job</w:t>
      </w:r>
      <w:r w:rsidRPr="0025435B">
        <w:rPr>
          <w:rFonts w:eastAsiaTheme="minorEastAsia" w:cstheme="minorBidi"/>
          <w:sz w:val="24"/>
          <w:lang w:eastAsia="en-US" w:bidi="en-US"/>
        </w:rPr>
        <w:t xml:space="preserve"> (57 per cent</w:t>
      </w:r>
      <w:r w:rsidR="00581540">
        <w:rPr>
          <w:rFonts w:eastAsiaTheme="minorEastAsia" w:cstheme="minorBidi"/>
          <w:sz w:val="24"/>
          <w:lang w:eastAsia="en-US" w:bidi="en-US"/>
        </w:rPr>
        <w:t xml:space="preserve"> of employers</w:t>
      </w:r>
      <w:r w:rsidRPr="0025435B">
        <w:rPr>
          <w:rFonts w:eastAsiaTheme="minorEastAsia" w:cstheme="minorBidi"/>
          <w:sz w:val="24"/>
          <w:lang w:eastAsia="en-US" w:bidi="en-US"/>
        </w:rPr>
        <w:t>), employability skills or personal characteristics</w:t>
      </w:r>
      <w:r w:rsidRPr="00003A96">
        <w:rPr>
          <w:rFonts w:eastAsiaTheme="minorEastAsia" w:cstheme="minorBidi"/>
          <w:sz w:val="24"/>
          <w:vertAlign w:val="superscript"/>
          <w:lang w:eastAsia="en-US" w:bidi="en-US"/>
        </w:rPr>
        <w:footnoteReference w:id="5"/>
      </w:r>
      <w:r w:rsidRPr="0025435B">
        <w:rPr>
          <w:rFonts w:eastAsiaTheme="minorEastAsia" w:cstheme="minorBidi"/>
          <w:sz w:val="24"/>
          <w:lang w:eastAsia="en-US" w:bidi="en-US"/>
        </w:rPr>
        <w:t xml:space="preserve"> (37 per cent) and insufficient qualifications or training (27 per cent).</w:t>
      </w:r>
    </w:p>
    <w:p w:rsidR="00ED0A0C" w:rsidRDefault="00ED0A0C" w:rsidP="00ED0A0C">
      <w:pPr>
        <w:spacing w:before="0" w:after="0" w:line="240" w:lineRule="auto"/>
        <w:ind w:left="360"/>
        <w:contextualSpacing/>
        <w:rPr>
          <w:rFonts w:eastAsiaTheme="minorEastAsia" w:cstheme="minorBidi"/>
          <w:sz w:val="24"/>
          <w:lang w:eastAsia="en-US" w:bidi="en-US"/>
        </w:rPr>
      </w:pPr>
    </w:p>
    <w:p w:rsidR="00ED0A0C" w:rsidRPr="00ED0A0C" w:rsidRDefault="00ED0A0C" w:rsidP="00ED0A0C">
      <w:pPr>
        <w:spacing w:before="0" w:after="0" w:line="240" w:lineRule="auto"/>
        <w:ind w:left="360"/>
        <w:contextualSpacing/>
        <w:rPr>
          <w:rFonts w:cstheme="minorHAnsi"/>
          <w:b/>
          <w:bCs/>
          <w:iCs/>
          <w:sz w:val="12"/>
          <w:szCs w:val="12"/>
        </w:rPr>
      </w:pPr>
    </w:p>
    <w:p w:rsidR="00ED0A0C" w:rsidRDefault="00ED0A0C" w:rsidP="00ED0A0C">
      <w:pPr>
        <w:spacing w:before="0" w:after="0" w:line="240" w:lineRule="auto"/>
        <w:ind w:left="360"/>
        <w:contextualSpacing/>
        <w:rPr>
          <w:rFonts w:cstheme="minorHAnsi"/>
          <w:b/>
          <w:bCs/>
          <w:iCs/>
          <w:sz w:val="12"/>
          <w:szCs w:val="12"/>
        </w:rPr>
      </w:pPr>
    </w:p>
    <w:p w:rsidR="00BB0DDF" w:rsidRPr="0025435B" w:rsidRDefault="00BB0DDF" w:rsidP="00BB0DDF">
      <w:pPr>
        <w:spacing w:before="0" w:after="0" w:line="240" w:lineRule="auto"/>
        <w:contextualSpacing/>
        <w:rPr>
          <w:rFonts w:cstheme="minorHAnsi"/>
          <w:b/>
          <w:bCs/>
          <w:iCs/>
          <w:sz w:val="12"/>
          <w:szCs w:val="12"/>
        </w:rPr>
      </w:pPr>
    </w:p>
    <w:p w:rsidR="0033715B" w:rsidRDefault="0033715B" w:rsidP="0033715B">
      <w:pPr>
        <w:pStyle w:val="Heading2"/>
        <w:rPr>
          <w:b w:val="0"/>
          <w:sz w:val="28"/>
          <w:szCs w:val="28"/>
        </w:rPr>
      </w:pPr>
      <w:bookmarkStart w:id="41" w:name="_Toc339462205"/>
      <w:bookmarkStart w:id="42" w:name="_Toc345508541"/>
      <w:bookmarkStart w:id="43" w:name="_Toc346195472"/>
      <w:bookmarkStart w:id="44" w:name="_Toc346529985"/>
      <w:bookmarkStart w:id="45" w:name="_Toc346611110"/>
      <w:bookmarkStart w:id="46" w:name="_Toc348428589"/>
      <w:r w:rsidRPr="00714603">
        <w:rPr>
          <w:b w:val="0"/>
          <w:sz w:val="28"/>
          <w:szCs w:val="28"/>
        </w:rPr>
        <w:lastRenderedPageBreak/>
        <w:t xml:space="preserve">Figure </w:t>
      </w:r>
      <w:r>
        <w:rPr>
          <w:b w:val="0"/>
          <w:sz w:val="28"/>
          <w:szCs w:val="28"/>
        </w:rPr>
        <w:t>2</w:t>
      </w:r>
      <w:r w:rsidRPr="00714603">
        <w:rPr>
          <w:b w:val="0"/>
          <w:sz w:val="28"/>
          <w:szCs w:val="28"/>
        </w:rPr>
        <w:t>: Competition for vacancies by occupation</w:t>
      </w:r>
      <w:bookmarkEnd w:id="41"/>
      <w:bookmarkEnd w:id="42"/>
      <w:bookmarkEnd w:id="43"/>
      <w:bookmarkEnd w:id="44"/>
      <w:bookmarkEnd w:id="45"/>
      <w:bookmarkEnd w:id="46"/>
    </w:p>
    <w:p w:rsidR="0033715B" w:rsidRPr="004C6FD4" w:rsidRDefault="0033715B" w:rsidP="0033715B">
      <w:pPr>
        <w:pStyle w:val="Figure"/>
        <w:spacing w:before="60"/>
        <w:ind w:right="54"/>
        <w:jc w:val="both"/>
      </w:pPr>
      <w:r w:rsidRPr="00137660">
        <w:rPr>
          <w:noProof/>
          <w:sz w:val="16"/>
          <w:szCs w:val="16"/>
        </w:rPr>
        <w:drawing>
          <wp:inline distT="0" distB="0" distL="0" distR="0" wp14:anchorId="59A0A5D7" wp14:editId="030713BC">
            <wp:extent cx="5657850" cy="36576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76640" w:rsidRDefault="00276640" w:rsidP="00276640">
      <w:pPr>
        <w:spacing w:before="0" w:after="0" w:line="240" w:lineRule="auto"/>
        <w:ind w:right="54"/>
        <w:contextualSpacing/>
        <w:rPr>
          <w:rFonts w:eastAsiaTheme="minorEastAsia" w:cstheme="minorBidi"/>
          <w:b/>
          <w:sz w:val="24"/>
          <w:lang w:eastAsia="en-US" w:bidi="en-US"/>
        </w:rPr>
      </w:pPr>
    </w:p>
    <w:p w:rsidR="00276640" w:rsidRDefault="00276640" w:rsidP="00276640">
      <w:pPr>
        <w:spacing w:before="0" w:after="0" w:line="240" w:lineRule="auto"/>
        <w:ind w:right="54"/>
        <w:contextualSpacing/>
        <w:rPr>
          <w:rFonts w:eastAsiaTheme="minorEastAsia" w:cstheme="minorBidi"/>
          <w:sz w:val="24"/>
          <w:lang w:eastAsia="en-US" w:bidi="en-US"/>
        </w:rPr>
      </w:pPr>
      <w:r>
        <w:rPr>
          <w:rFonts w:eastAsiaTheme="minorEastAsia" w:cstheme="minorBidi"/>
          <w:sz w:val="24"/>
          <w:lang w:eastAsia="en-US" w:bidi="en-US"/>
        </w:rPr>
        <w:t xml:space="preserve">While the recruitment methods used by employers in the region were similar to those used by employers across all regions surveyed, </w:t>
      </w:r>
      <w:r w:rsidR="00FE5821">
        <w:rPr>
          <w:rFonts w:eastAsiaTheme="minorEastAsia" w:cstheme="minorBidi"/>
          <w:sz w:val="24"/>
          <w:lang w:eastAsia="en-US" w:bidi="en-US"/>
        </w:rPr>
        <w:t>employers</w:t>
      </w:r>
      <w:r>
        <w:rPr>
          <w:rFonts w:eastAsiaTheme="minorEastAsia" w:cstheme="minorBidi"/>
          <w:sz w:val="24"/>
          <w:lang w:eastAsia="en-US" w:bidi="en-US"/>
        </w:rPr>
        <w:t xml:space="preserve"> in the Central Victoria PEA were much more likely to use newspapers/magazines and less likely to use the internet.</w:t>
      </w:r>
    </w:p>
    <w:p w:rsidR="00227EC7" w:rsidRPr="00227EC7" w:rsidRDefault="00AF2869" w:rsidP="00227EC7">
      <w:pPr>
        <w:pStyle w:val="ListParagraph"/>
        <w:numPr>
          <w:ilvl w:val="0"/>
          <w:numId w:val="46"/>
        </w:numPr>
        <w:spacing w:after="0" w:line="240" w:lineRule="auto"/>
        <w:ind w:left="426" w:hanging="426"/>
        <w:jc w:val="both"/>
        <w:rPr>
          <w:rFonts w:asciiTheme="minorHAnsi" w:eastAsiaTheme="minorEastAsia" w:hAnsiTheme="minorHAnsi" w:cstheme="minorHAnsi"/>
          <w:color w:val="auto"/>
        </w:rPr>
      </w:pPr>
      <w:r w:rsidRPr="00227EC7">
        <w:rPr>
          <w:rFonts w:asciiTheme="minorHAnsi" w:eastAsiaTheme="minorEastAsia" w:hAnsiTheme="minorHAnsi" w:cstheme="minorHAnsi"/>
          <w:color w:val="auto"/>
          <w:lang w:val="en-AU"/>
        </w:rPr>
        <w:t>Some 42 per cent of employers used newspapers/magazines to recruit (compared with 32 per cent for all regions surveyed)</w:t>
      </w:r>
      <w:r w:rsidR="00793169" w:rsidRPr="00227EC7">
        <w:rPr>
          <w:rFonts w:asciiTheme="minorHAnsi" w:eastAsiaTheme="minorEastAsia" w:hAnsiTheme="minorHAnsi" w:cstheme="minorHAnsi"/>
          <w:color w:val="auto"/>
          <w:lang w:val="en-AU"/>
        </w:rPr>
        <w:t>,</w:t>
      </w:r>
      <w:r w:rsidRPr="00227EC7">
        <w:rPr>
          <w:rFonts w:asciiTheme="minorHAnsi" w:eastAsiaTheme="minorEastAsia" w:hAnsiTheme="minorHAnsi" w:cstheme="minorHAnsi"/>
          <w:color w:val="auto"/>
          <w:lang w:val="en-AU"/>
        </w:rPr>
        <w:t xml:space="preserve"> while a </w:t>
      </w:r>
      <w:r w:rsidR="00FE5821">
        <w:rPr>
          <w:rFonts w:asciiTheme="minorHAnsi" w:eastAsiaTheme="minorEastAsia" w:hAnsiTheme="minorHAnsi" w:cstheme="minorHAnsi"/>
          <w:color w:val="auto"/>
          <w:lang w:val="en-AU"/>
        </w:rPr>
        <w:t>much</w:t>
      </w:r>
      <w:r w:rsidR="00793169" w:rsidRPr="00227EC7">
        <w:rPr>
          <w:rFonts w:asciiTheme="minorHAnsi" w:eastAsiaTheme="minorEastAsia" w:hAnsiTheme="minorHAnsi" w:cstheme="minorHAnsi"/>
          <w:color w:val="auto"/>
          <w:lang w:val="en-AU"/>
        </w:rPr>
        <w:t xml:space="preserve"> </w:t>
      </w:r>
      <w:r w:rsidRPr="00227EC7">
        <w:rPr>
          <w:rFonts w:asciiTheme="minorHAnsi" w:eastAsiaTheme="minorEastAsia" w:hAnsiTheme="minorHAnsi" w:cstheme="minorHAnsi"/>
          <w:color w:val="auto"/>
          <w:lang w:val="en-AU"/>
        </w:rPr>
        <w:t>low</w:t>
      </w:r>
      <w:r w:rsidR="00FE5821">
        <w:rPr>
          <w:rFonts w:asciiTheme="minorHAnsi" w:eastAsiaTheme="minorEastAsia" w:hAnsiTheme="minorHAnsi" w:cstheme="minorHAnsi"/>
          <w:color w:val="auto"/>
          <w:lang w:val="en-AU"/>
        </w:rPr>
        <w:t>er</w:t>
      </w:r>
      <w:r w:rsidRPr="00227EC7">
        <w:rPr>
          <w:rFonts w:asciiTheme="minorHAnsi" w:eastAsiaTheme="minorEastAsia" w:hAnsiTheme="minorHAnsi" w:cstheme="minorHAnsi"/>
          <w:color w:val="auto"/>
          <w:lang w:val="en-AU"/>
        </w:rPr>
        <w:t xml:space="preserve"> proportion (20 per cent) used the internet (compared with 30 per cent for all regions surveyed).</w:t>
      </w:r>
    </w:p>
    <w:p w:rsidR="00793169" w:rsidRPr="00227EC7" w:rsidRDefault="00227EC7" w:rsidP="00227EC7">
      <w:pPr>
        <w:spacing w:after="0" w:line="240" w:lineRule="auto"/>
        <w:jc w:val="both"/>
        <w:rPr>
          <w:rFonts w:eastAsiaTheme="minorEastAsia" w:cstheme="minorHAnsi"/>
          <w:sz w:val="24"/>
        </w:rPr>
      </w:pPr>
      <w:r>
        <w:rPr>
          <w:rFonts w:eastAsiaTheme="minorEastAsia" w:cstheme="minorHAnsi"/>
          <w:sz w:val="24"/>
        </w:rPr>
        <w:t>E</w:t>
      </w:r>
      <w:r w:rsidR="00793169" w:rsidRPr="00227EC7">
        <w:rPr>
          <w:rFonts w:eastAsiaTheme="minorEastAsia" w:cstheme="minorHAnsi"/>
          <w:sz w:val="24"/>
        </w:rPr>
        <w:t xml:space="preserve">mployers </w:t>
      </w:r>
      <w:r>
        <w:rPr>
          <w:rFonts w:eastAsiaTheme="minorEastAsia" w:cstheme="minorHAnsi"/>
          <w:sz w:val="24"/>
        </w:rPr>
        <w:t>e</w:t>
      </w:r>
      <w:r w:rsidR="00793169" w:rsidRPr="00227EC7">
        <w:rPr>
          <w:rFonts w:eastAsiaTheme="minorEastAsia" w:cstheme="minorHAnsi"/>
          <w:sz w:val="24"/>
        </w:rPr>
        <w:t>xperiencing difficulty recruiting</w:t>
      </w:r>
      <w:r>
        <w:rPr>
          <w:rFonts w:eastAsiaTheme="minorEastAsia" w:cstheme="minorHAnsi"/>
          <w:sz w:val="24"/>
        </w:rPr>
        <w:t>, particularly</w:t>
      </w:r>
      <w:r w:rsidR="00793169" w:rsidRPr="00227EC7">
        <w:rPr>
          <w:rFonts w:eastAsiaTheme="minorEastAsia" w:cstheme="minorHAnsi"/>
          <w:sz w:val="24"/>
        </w:rPr>
        <w:t xml:space="preserve"> in areas of skill shortage</w:t>
      </w:r>
      <w:r>
        <w:rPr>
          <w:rFonts w:eastAsiaTheme="minorEastAsia" w:cstheme="minorHAnsi"/>
          <w:sz w:val="24"/>
        </w:rPr>
        <w:t>,</w:t>
      </w:r>
      <w:r w:rsidR="00793169" w:rsidRPr="00227EC7">
        <w:rPr>
          <w:rFonts w:eastAsiaTheme="minorEastAsia" w:cstheme="minorHAnsi"/>
          <w:sz w:val="24"/>
        </w:rPr>
        <w:t xml:space="preserve"> </w:t>
      </w:r>
      <w:r w:rsidR="00FE5821">
        <w:rPr>
          <w:rFonts w:eastAsiaTheme="minorEastAsia" w:cstheme="minorBidi"/>
          <w:sz w:val="24"/>
          <w:lang w:eastAsia="en-US" w:bidi="en-US"/>
        </w:rPr>
        <w:t>may be able to gain access to a wider pool of labour by making greater use of the internet when recruiting</w:t>
      </w:r>
      <w:r w:rsidR="00793169" w:rsidRPr="00227EC7">
        <w:rPr>
          <w:rFonts w:eastAsiaTheme="minorEastAsia" w:cstheme="minorHAnsi"/>
          <w:sz w:val="24"/>
        </w:rPr>
        <w:t xml:space="preserve">, together with developing stronger links with </w:t>
      </w:r>
      <w:r w:rsidR="00FE5821">
        <w:rPr>
          <w:rFonts w:eastAsiaTheme="minorEastAsia" w:cstheme="minorHAnsi"/>
          <w:sz w:val="24"/>
        </w:rPr>
        <w:t>Jobs Services Australia</w:t>
      </w:r>
      <w:r w:rsidRPr="00227EC7">
        <w:rPr>
          <w:rFonts w:eastAsiaTheme="minorEastAsia" w:cstheme="minorHAnsi"/>
          <w:sz w:val="24"/>
        </w:rPr>
        <w:t xml:space="preserve"> providers</w:t>
      </w:r>
      <w:r w:rsidR="00652E71">
        <w:rPr>
          <w:rFonts w:eastAsiaTheme="minorEastAsia" w:cstheme="minorHAnsi"/>
          <w:sz w:val="24"/>
        </w:rPr>
        <w:t xml:space="preserve">. </w:t>
      </w:r>
      <w:r w:rsidRPr="00227EC7">
        <w:rPr>
          <w:rFonts w:eastAsiaTheme="minorEastAsia" w:cstheme="minorHAnsi"/>
          <w:sz w:val="24"/>
        </w:rPr>
        <w:t xml:space="preserve"> </w:t>
      </w:r>
    </w:p>
    <w:p w:rsidR="0033715B" w:rsidRPr="00C74722" w:rsidRDefault="00C74722" w:rsidP="00C74722">
      <w:pPr>
        <w:pStyle w:val="Heading1"/>
        <w:rPr>
          <w:sz w:val="28"/>
        </w:rPr>
      </w:pPr>
      <w:bookmarkStart w:id="47" w:name="_Toc348428590"/>
      <w:r w:rsidRPr="00CD25F5">
        <w:rPr>
          <w:sz w:val="28"/>
        </w:rPr>
        <w:t>The Future</w:t>
      </w:r>
      <w:bookmarkEnd w:id="47"/>
      <w:r w:rsidRPr="00CD25F5">
        <w:rPr>
          <w:sz w:val="28"/>
        </w:rPr>
        <w:t xml:space="preserve"> </w:t>
      </w:r>
    </w:p>
    <w:p w:rsidR="003D653C" w:rsidRPr="003D653C" w:rsidRDefault="003D653C" w:rsidP="003D653C">
      <w:pPr>
        <w:spacing w:before="0" w:after="0" w:line="240" w:lineRule="auto"/>
        <w:ind w:right="54"/>
        <w:contextualSpacing/>
        <w:rPr>
          <w:rFonts w:cstheme="minorHAnsi"/>
          <w:sz w:val="24"/>
        </w:rPr>
      </w:pPr>
      <w:r>
        <w:rPr>
          <w:rFonts w:cstheme="minorHAnsi"/>
          <w:sz w:val="24"/>
        </w:rPr>
        <w:t xml:space="preserve">Future recruitment expectations were </w:t>
      </w:r>
      <w:r w:rsidR="00FE5821">
        <w:rPr>
          <w:rFonts w:cstheme="minorHAnsi"/>
          <w:sz w:val="24"/>
        </w:rPr>
        <w:t>moderate</w:t>
      </w:r>
      <w:r w:rsidR="00FD635C">
        <w:rPr>
          <w:rFonts w:cstheme="minorHAnsi"/>
          <w:sz w:val="24"/>
        </w:rPr>
        <w:t xml:space="preserve"> yet indicate</w:t>
      </w:r>
      <w:r>
        <w:rPr>
          <w:rFonts w:cstheme="minorHAnsi"/>
          <w:sz w:val="24"/>
        </w:rPr>
        <w:t xml:space="preserve"> that </w:t>
      </w:r>
      <w:proofErr w:type="gramStart"/>
      <w:r>
        <w:rPr>
          <w:rFonts w:cstheme="minorHAnsi"/>
          <w:sz w:val="24"/>
        </w:rPr>
        <w:t>employers</w:t>
      </w:r>
      <w:proofErr w:type="gramEnd"/>
      <w:r>
        <w:rPr>
          <w:rFonts w:cstheme="minorHAnsi"/>
          <w:sz w:val="24"/>
        </w:rPr>
        <w:t xml:space="preserve"> expectations for the year following the survey were more cautious</w:t>
      </w:r>
      <w:r w:rsidR="00AF2869">
        <w:rPr>
          <w:rFonts w:cstheme="minorHAnsi"/>
          <w:sz w:val="24"/>
        </w:rPr>
        <w:t xml:space="preserve"> than </w:t>
      </w:r>
      <w:r w:rsidR="00A26ADF">
        <w:rPr>
          <w:rFonts w:cstheme="minorHAnsi"/>
          <w:sz w:val="24"/>
        </w:rPr>
        <w:t>in 2011.</w:t>
      </w:r>
    </w:p>
    <w:p w:rsidR="003D653C" w:rsidRDefault="003D653C" w:rsidP="003D653C">
      <w:pPr>
        <w:numPr>
          <w:ilvl w:val="0"/>
          <w:numId w:val="38"/>
        </w:numPr>
        <w:spacing w:before="0" w:after="200" w:line="240" w:lineRule="auto"/>
        <w:contextualSpacing/>
        <w:jc w:val="both"/>
        <w:rPr>
          <w:rFonts w:eastAsiaTheme="minorEastAsia" w:cstheme="minorBidi"/>
          <w:sz w:val="24"/>
          <w:lang w:eastAsia="en-US" w:bidi="en-US"/>
        </w:rPr>
      </w:pPr>
      <w:r w:rsidRPr="003D653C">
        <w:rPr>
          <w:rFonts w:eastAsiaTheme="minorEastAsia" w:cstheme="minorBidi"/>
          <w:sz w:val="24"/>
          <w:lang w:eastAsia="en-US" w:bidi="en-US"/>
        </w:rPr>
        <w:t xml:space="preserve">A lower proportion of employers expected to recruit in the year following the survey </w:t>
      </w:r>
      <w:r w:rsidR="00FD635C">
        <w:rPr>
          <w:rFonts w:eastAsiaTheme="minorEastAsia" w:cstheme="minorBidi"/>
          <w:sz w:val="24"/>
          <w:lang w:eastAsia="en-US" w:bidi="en-US"/>
        </w:rPr>
        <w:t xml:space="preserve">  </w:t>
      </w:r>
      <w:r w:rsidRPr="003D653C">
        <w:rPr>
          <w:rFonts w:eastAsiaTheme="minorEastAsia" w:cstheme="minorBidi"/>
          <w:sz w:val="24"/>
          <w:lang w:eastAsia="en-US" w:bidi="en-US"/>
        </w:rPr>
        <w:t>(46 per cent) compared with 57 per cent in 2011 and a lower proportion expected to increase staff numbers (23 per cent, compared with 31 per cent in 2011).</w:t>
      </w:r>
    </w:p>
    <w:p w:rsidR="00276640" w:rsidRPr="003D653C" w:rsidRDefault="00FE5821" w:rsidP="003D653C">
      <w:pPr>
        <w:numPr>
          <w:ilvl w:val="0"/>
          <w:numId w:val="38"/>
        </w:numPr>
        <w:spacing w:before="0" w:after="200" w:line="240" w:lineRule="auto"/>
        <w:contextualSpacing/>
        <w:jc w:val="both"/>
        <w:rPr>
          <w:rFonts w:eastAsiaTheme="minorEastAsia" w:cstheme="minorBidi"/>
          <w:sz w:val="24"/>
          <w:lang w:eastAsia="en-US" w:bidi="en-US"/>
        </w:rPr>
      </w:pPr>
      <w:r>
        <w:rPr>
          <w:rFonts w:eastAsiaTheme="minorEastAsia" w:cstheme="minorBidi"/>
          <w:sz w:val="24"/>
          <w:lang w:eastAsia="en-US" w:bidi="en-US"/>
        </w:rPr>
        <w:t>There was, however, an increase in the proportion of employers expecting to have difficulty recruiting</w:t>
      </w:r>
      <w:r w:rsidR="007261A3">
        <w:rPr>
          <w:rFonts w:eastAsiaTheme="minorEastAsia" w:cstheme="minorBidi"/>
          <w:sz w:val="24"/>
          <w:lang w:eastAsia="en-US" w:bidi="en-US"/>
        </w:rPr>
        <w:t xml:space="preserve"> (</w:t>
      </w:r>
      <w:r w:rsidR="00C87865">
        <w:rPr>
          <w:rFonts w:eastAsiaTheme="minorEastAsia" w:cstheme="minorBidi"/>
          <w:sz w:val="24"/>
          <w:lang w:eastAsia="en-US" w:bidi="en-US"/>
        </w:rPr>
        <w:t xml:space="preserve">43 per cent compared with </w:t>
      </w:r>
      <w:r w:rsidR="007261A3">
        <w:rPr>
          <w:rFonts w:eastAsiaTheme="minorEastAsia" w:cstheme="minorBidi"/>
          <w:sz w:val="24"/>
          <w:lang w:eastAsia="en-US" w:bidi="en-US"/>
        </w:rPr>
        <w:t>38 per cent).</w:t>
      </w:r>
      <w:r w:rsidR="0004101C">
        <w:rPr>
          <w:rFonts w:eastAsiaTheme="minorEastAsia" w:cstheme="minorBidi"/>
          <w:sz w:val="24"/>
          <w:lang w:eastAsia="en-US" w:bidi="en-US"/>
        </w:rPr>
        <w:t xml:space="preserve"> </w:t>
      </w:r>
      <w:r w:rsidR="00C87865">
        <w:rPr>
          <w:rFonts w:eastAsiaTheme="minorEastAsia" w:cstheme="minorBidi"/>
          <w:sz w:val="24"/>
          <w:lang w:eastAsia="en-US" w:bidi="en-US"/>
        </w:rPr>
        <w:t>This</w:t>
      </w:r>
      <w:r w:rsidR="0004101C">
        <w:rPr>
          <w:rFonts w:eastAsiaTheme="minorEastAsia" w:cstheme="minorBidi"/>
          <w:sz w:val="24"/>
          <w:lang w:eastAsia="en-US" w:bidi="en-US"/>
        </w:rPr>
        <w:t xml:space="preserve"> increase in </w:t>
      </w:r>
      <w:r w:rsidR="00C87865">
        <w:rPr>
          <w:rFonts w:eastAsiaTheme="minorEastAsia" w:cstheme="minorBidi"/>
          <w:sz w:val="24"/>
          <w:lang w:eastAsia="en-US" w:bidi="en-US"/>
        </w:rPr>
        <w:t xml:space="preserve">expected </w:t>
      </w:r>
      <w:r w:rsidR="0004101C">
        <w:rPr>
          <w:rFonts w:eastAsiaTheme="minorEastAsia" w:cstheme="minorBidi"/>
          <w:sz w:val="24"/>
          <w:lang w:eastAsia="en-US" w:bidi="en-US"/>
        </w:rPr>
        <w:t>recruitme</w:t>
      </w:r>
      <w:r w:rsidR="00C87865">
        <w:rPr>
          <w:rFonts w:eastAsiaTheme="minorEastAsia" w:cstheme="minorBidi"/>
          <w:sz w:val="24"/>
          <w:lang w:eastAsia="en-US" w:bidi="en-US"/>
        </w:rPr>
        <w:t>nt difficulty may reflect skill</w:t>
      </w:r>
      <w:r w:rsidR="0004101C">
        <w:rPr>
          <w:rFonts w:eastAsiaTheme="minorEastAsia" w:cstheme="minorBidi"/>
          <w:sz w:val="24"/>
          <w:lang w:eastAsia="en-US" w:bidi="en-US"/>
        </w:rPr>
        <w:t xml:space="preserve"> shortages</w:t>
      </w:r>
      <w:r w:rsidR="00FD635C">
        <w:rPr>
          <w:rFonts w:eastAsiaTheme="minorEastAsia" w:cstheme="minorBidi"/>
          <w:sz w:val="24"/>
          <w:lang w:eastAsia="en-US" w:bidi="en-US"/>
        </w:rPr>
        <w:t xml:space="preserve"> or </w:t>
      </w:r>
      <w:r w:rsidR="0004101C">
        <w:rPr>
          <w:rFonts w:eastAsiaTheme="minorEastAsia" w:cstheme="minorBidi"/>
          <w:sz w:val="24"/>
          <w:lang w:eastAsia="en-US" w:bidi="en-US"/>
        </w:rPr>
        <w:t>gaps rather than a strengthening in the labour market outlook.</w:t>
      </w:r>
    </w:p>
    <w:p w:rsidR="00387781" w:rsidRDefault="00387781" w:rsidP="00E47816">
      <w:pPr>
        <w:spacing w:before="0" w:after="200" w:line="240" w:lineRule="auto"/>
        <w:contextualSpacing/>
        <w:jc w:val="both"/>
        <w:rPr>
          <w:rFonts w:eastAsiaTheme="minorEastAsia" w:cstheme="minorBidi"/>
          <w:szCs w:val="22"/>
          <w:lang w:eastAsia="en-US" w:bidi="en-US"/>
        </w:rPr>
      </w:pPr>
    </w:p>
    <w:p w:rsidR="00B14132" w:rsidRPr="00245E38" w:rsidRDefault="00B14132" w:rsidP="00E47816">
      <w:pPr>
        <w:spacing w:before="0" w:after="200" w:line="240" w:lineRule="auto"/>
        <w:contextualSpacing/>
        <w:jc w:val="both"/>
        <w:rPr>
          <w:rFonts w:eastAsiaTheme="minorEastAsia" w:cstheme="minorBidi"/>
          <w:szCs w:val="22"/>
          <w:lang w:eastAsia="en-US" w:bidi="en-US"/>
        </w:rPr>
      </w:pPr>
      <w:bookmarkStart w:id="48" w:name="_GoBack"/>
      <w:bookmarkEnd w:id="48"/>
    </w:p>
    <w:p w:rsidR="005948D3" w:rsidRDefault="005948D3" w:rsidP="00276640">
      <w:pPr>
        <w:spacing w:before="0" w:after="0" w:line="240" w:lineRule="auto"/>
        <w:rPr>
          <w:sz w:val="28"/>
          <w:szCs w:val="28"/>
        </w:rPr>
      </w:pPr>
      <w:bookmarkStart w:id="49" w:name="_Toc345508546"/>
      <w:bookmarkStart w:id="50" w:name="_Toc346195476"/>
      <w:bookmarkStart w:id="51" w:name="_Toc346529988"/>
      <w:bookmarkStart w:id="52" w:name="_Toc346611112"/>
      <w:bookmarkStart w:id="53" w:name="_Toc339462210"/>
      <w:bookmarkEnd w:id="30"/>
    </w:p>
    <w:p w:rsidR="001969D0" w:rsidRDefault="001969D0" w:rsidP="00276640">
      <w:pPr>
        <w:spacing w:before="0" w:after="0" w:line="240" w:lineRule="auto"/>
        <w:rPr>
          <w:b/>
          <w:sz w:val="28"/>
          <w:szCs w:val="28"/>
        </w:rPr>
      </w:pPr>
      <w:r w:rsidRPr="00714603">
        <w:rPr>
          <w:sz w:val="28"/>
          <w:szCs w:val="28"/>
        </w:rPr>
        <w:lastRenderedPageBreak/>
        <w:t xml:space="preserve">Table </w:t>
      </w:r>
      <w:r w:rsidR="00584F6F">
        <w:rPr>
          <w:sz w:val="28"/>
          <w:szCs w:val="28"/>
        </w:rPr>
        <w:t>2</w:t>
      </w:r>
      <w:r w:rsidRPr="00714603">
        <w:rPr>
          <w:sz w:val="28"/>
          <w:szCs w:val="28"/>
        </w:rPr>
        <w:t>: Future recruitment expectations</w:t>
      </w:r>
      <w:bookmarkEnd w:id="49"/>
      <w:bookmarkEnd w:id="50"/>
      <w:bookmarkEnd w:id="51"/>
      <w:bookmarkEnd w:id="52"/>
    </w:p>
    <w:tbl>
      <w:tblPr>
        <w:tblW w:w="91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660"/>
        <w:gridCol w:w="1921"/>
        <w:gridCol w:w="1906"/>
        <w:gridCol w:w="2693"/>
      </w:tblGrid>
      <w:tr w:rsidR="003D653C" w:rsidRPr="00EF6DA1" w:rsidTr="005948D3">
        <w:trPr>
          <w:cantSplit/>
          <w:trHeight w:val="873"/>
          <w:tblHeader/>
        </w:trPr>
        <w:tc>
          <w:tcPr>
            <w:tcW w:w="2660" w:type="dxa"/>
            <w:tcBorders>
              <w:bottom w:val="single" w:sz="4" w:space="0" w:color="A6A6A6"/>
            </w:tcBorders>
            <w:shd w:val="clear" w:color="auto" w:fill="165788"/>
          </w:tcPr>
          <w:p w:rsidR="003D653C" w:rsidRPr="006C6F4D" w:rsidRDefault="003D653C" w:rsidP="006C6F4D">
            <w:pPr>
              <w:pStyle w:val="TableHeading"/>
              <w:spacing w:line="240" w:lineRule="auto"/>
              <w:jc w:val="center"/>
              <w:rPr>
                <w:sz w:val="24"/>
              </w:rPr>
            </w:pPr>
            <w:r w:rsidRPr="006C6F4D">
              <w:rPr>
                <w:sz w:val="24"/>
              </w:rPr>
              <w:t>Key Indicators</w:t>
            </w:r>
          </w:p>
        </w:tc>
        <w:tc>
          <w:tcPr>
            <w:tcW w:w="1921" w:type="dxa"/>
            <w:shd w:val="clear" w:color="auto" w:fill="165788"/>
            <w:vAlign w:val="center"/>
          </w:tcPr>
          <w:p w:rsidR="003D653C" w:rsidRPr="006C6F4D" w:rsidRDefault="003D653C" w:rsidP="006C6F4D">
            <w:pPr>
              <w:pStyle w:val="TableHeading"/>
              <w:spacing w:after="0" w:afterAutospacing="0" w:line="240" w:lineRule="auto"/>
              <w:contextualSpacing/>
              <w:jc w:val="center"/>
              <w:rPr>
                <w:sz w:val="24"/>
                <w:lang w:bidi="en-US"/>
              </w:rPr>
            </w:pPr>
            <w:r w:rsidRPr="006C6F4D">
              <w:rPr>
                <w:sz w:val="24"/>
                <w:lang w:bidi="en-US"/>
              </w:rPr>
              <w:t>Central Victoria PEA</w:t>
            </w:r>
          </w:p>
          <w:p w:rsidR="003D653C" w:rsidRPr="006C6F4D" w:rsidRDefault="003D653C" w:rsidP="006C6F4D">
            <w:pPr>
              <w:pStyle w:val="TableHeading"/>
              <w:spacing w:after="0" w:afterAutospacing="0" w:line="240" w:lineRule="auto"/>
              <w:contextualSpacing/>
              <w:jc w:val="center"/>
              <w:rPr>
                <w:sz w:val="24"/>
                <w:lang w:bidi="en-US"/>
              </w:rPr>
            </w:pPr>
            <w:r w:rsidRPr="006C6F4D">
              <w:rPr>
                <w:sz w:val="24"/>
                <w:lang w:bidi="en-US"/>
              </w:rPr>
              <w:t>Oct 2012</w:t>
            </w:r>
          </w:p>
        </w:tc>
        <w:tc>
          <w:tcPr>
            <w:tcW w:w="1906" w:type="dxa"/>
            <w:shd w:val="clear" w:color="auto" w:fill="165788"/>
            <w:vAlign w:val="center"/>
          </w:tcPr>
          <w:p w:rsidR="003D653C" w:rsidRPr="006C6F4D" w:rsidRDefault="003D653C" w:rsidP="006C6F4D">
            <w:pPr>
              <w:pStyle w:val="TableHeading"/>
              <w:spacing w:after="0" w:afterAutospacing="0" w:line="240" w:lineRule="auto"/>
              <w:contextualSpacing/>
              <w:jc w:val="center"/>
              <w:rPr>
                <w:sz w:val="24"/>
                <w:lang w:bidi="en-US"/>
              </w:rPr>
            </w:pPr>
            <w:r w:rsidRPr="006C6F4D">
              <w:rPr>
                <w:sz w:val="24"/>
                <w:lang w:bidi="en-US"/>
              </w:rPr>
              <w:t>Central Victoria PEA</w:t>
            </w:r>
          </w:p>
          <w:p w:rsidR="003D653C" w:rsidRPr="006C6F4D" w:rsidRDefault="003D653C" w:rsidP="006C6F4D">
            <w:pPr>
              <w:pStyle w:val="TableHeading"/>
              <w:spacing w:after="0" w:afterAutospacing="0" w:line="240" w:lineRule="auto"/>
              <w:contextualSpacing/>
              <w:jc w:val="center"/>
              <w:rPr>
                <w:sz w:val="24"/>
                <w:lang w:bidi="en-US"/>
              </w:rPr>
            </w:pPr>
            <w:r w:rsidRPr="006C6F4D">
              <w:rPr>
                <w:sz w:val="24"/>
                <w:lang w:bidi="en-US"/>
              </w:rPr>
              <w:t>Sep 2011</w:t>
            </w:r>
          </w:p>
        </w:tc>
        <w:tc>
          <w:tcPr>
            <w:tcW w:w="2693" w:type="dxa"/>
            <w:shd w:val="clear" w:color="auto" w:fill="165788"/>
            <w:vAlign w:val="center"/>
          </w:tcPr>
          <w:p w:rsidR="003D653C" w:rsidRPr="006C6F4D" w:rsidRDefault="003D653C" w:rsidP="006C6F4D">
            <w:pPr>
              <w:pStyle w:val="TableHeading"/>
              <w:spacing w:after="0" w:afterAutospacing="0" w:line="240" w:lineRule="auto"/>
              <w:contextualSpacing/>
              <w:jc w:val="center"/>
              <w:rPr>
                <w:sz w:val="24"/>
                <w:lang w:bidi="en-US"/>
              </w:rPr>
            </w:pPr>
            <w:r w:rsidRPr="006C6F4D">
              <w:rPr>
                <w:sz w:val="24"/>
                <w:lang w:bidi="en-US"/>
              </w:rPr>
              <w:t>All Regions Surveyed</w:t>
            </w:r>
          </w:p>
          <w:p w:rsidR="003D653C" w:rsidRPr="006C6F4D" w:rsidRDefault="003D653C" w:rsidP="006C6F4D">
            <w:pPr>
              <w:pStyle w:val="TableHeading"/>
              <w:spacing w:after="0" w:afterAutospacing="0" w:line="240" w:lineRule="auto"/>
              <w:contextualSpacing/>
              <w:jc w:val="center"/>
              <w:rPr>
                <w:sz w:val="24"/>
                <w:lang w:bidi="en-US"/>
              </w:rPr>
            </w:pPr>
            <w:r w:rsidRPr="006C6F4D">
              <w:rPr>
                <w:sz w:val="24"/>
                <w:lang w:bidi="en-US"/>
              </w:rPr>
              <w:t>12 Months to September 2012</w:t>
            </w:r>
          </w:p>
        </w:tc>
      </w:tr>
      <w:tr w:rsidR="003D653C" w:rsidRPr="00EF6DA1" w:rsidTr="005948D3">
        <w:trPr>
          <w:trHeight w:val="402"/>
        </w:trPr>
        <w:tc>
          <w:tcPr>
            <w:tcW w:w="2660" w:type="dxa"/>
            <w:tcBorders>
              <w:bottom w:val="single" w:sz="4" w:space="0" w:color="A6A6A6"/>
            </w:tcBorders>
            <w:shd w:val="clear" w:color="auto" w:fill="auto"/>
            <w:vAlign w:val="center"/>
          </w:tcPr>
          <w:p w:rsidR="003D653C" w:rsidRPr="006C6F4D" w:rsidRDefault="003D653C" w:rsidP="006C6F4D">
            <w:pPr>
              <w:keepNext/>
              <w:spacing w:line="240" w:lineRule="auto"/>
              <w:contextualSpacing/>
              <w:rPr>
                <w:rFonts w:cstheme="minorHAnsi"/>
                <w:b/>
                <w:sz w:val="24"/>
              </w:rPr>
            </w:pPr>
            <w:r w:rsidRPr="006C6F4D">
              <w:rPr>
                <w:rFonts w:cstheme="minorHAnsi"/>
                <w:b/>
                <w:sz w:val="24"/>
              </w:rPr>
              <w:t xml:space="preserve">Will recruit </w:t>
            </w:r>
          </w:p>
        </w:tc>
        <w:tc>
          <w:tcPr>
            <w:tcW w:w="1921" w:type="dxa"/>
            <w:vAlign w:val="center"/>
          </w:tcPr>
          <w:p w:rsidR="003D653C" w:rsidRPr="006C6F4D" w:rsidRDefault="003D653C" w:rsidP="006C6F4D">
            <w:pPr>
              <w:keepNext/>
              <w:spacing w:line="240" w:lineRule="auto"/>
              <w:contextualSpacing/>
              <w:jc w:val="center"/>
              <w:rPr>
                <w:rFonts w:cstheme="minorHAnsi"/>
                <w:b/>
                <w:sz w:val="24"/>
              </w:rPr>
            </w:pPr>
            <w:r w:rsidRPr="006C6F4D">
              <w:rPr>
                <w:rFonts w:cstheme="minorHAnsi"/>
                <w:b/>
                <w:sz w:val="24"/>
              </w:rPr>
              <w:t>46%</w:t>
            </w:r>
          </w:p>
        </w:tc>
        <w:tc>
          <w:tcPr>
            <w:tcW w:w="1906" w:type="dxa"/>
            <w:shd w:val="clear" w:color="auto" w:fill="auto"/>
            <w:vAlign w:val="center"/>
          </w:tcPr>
          <w:p w:rsidR="003D653C" w:rsidRPr="006C6F4D" w:rsidRDefault="003D653C" w:rsidP="006C6F4D">
            <w:pPr>
              <w:keepNext/>
              <w:spacing w:line="240" w:lineRule="auto"/>
              <w:contextualSpacing/>
              <w:jc w:val="center"/>
              <w:rPr>
                <w:rFonts w:cstheme="minorHAnsi"/>
                <w:b/>
                <w:sz w:val="24"/>
              </w:rPr>
            </w:pPr>
            <w:r w:rsidRPr="006C6F4D">
              <w:rPr>
                <w:rFonts w:cstheme="minorHAnsi"/>
                <w:b/>
                <w:sz w:val="24"/>
              </w:rPr>
              <w:t>57%</w:t>
            </w:r>
          </w:p>
        </w:tc>
        <w:tc>
          <w:tcPr>
            <w:tcW w:w="2693" w:type="dxa"/>
            <w:vAlign w:val="center"/>
          </w:tcPr>
          <w:p w:rsidR="003D653C" w:rsidRPr="006C6F4D" w:rsidRDefault="003D653C" w:rsidP="006C6F4D">
            <w:pPr>
              <w:keepNext/>
              <w:spacing w:line="240" w:lineRule="auto"/>
              <w:contextualSpacing/>
              <w:jc w:val="center"/>
              <w:rPr>
                <w:rFonts w:cstheme="minorHAnsi"/>
                <w:b/>
                <w:sz w:val="24"/>
              </w:rPr>
            </w:pPr>
            <w:r w:rsidRPr="006C6F4D">
              <w:rPr>
                <w:rFonts w:cstheme="minorHAnsi"/>
                <w:b/>
                <w:sz w:val="24"/>
              </w:rPr>
              <w:t>47%</w:t>
            </w:r>
          </w:p>
        </w:tc>
      </w:tr>
      <w:tr w:rsidR="005948D3" w:rsidRPr="00EF6DA1" w:rsidTr="005948D3">
        <w:trPr>
          <w:cantSplit/>
          <w:trHeight w:val="357"/>
        </w:trPr>
        <w:tc>
          <w:tcPr>
            <w:tcW w:w="2660" w:type="dxa"/>
            <w:shd w:val="clear" w:color="auto" w:fill="auto"/>
            <w:vAlign w:val="center"/>
          </w:tcPr>
          <w:p w:rsidR="005948D3" w:rsidRPr="006C6F4D" w:rsidRDefault="005948D3" w:rsidP="006B238E">
            <w:pPr>
              <w:keepNext/>
              <w:spacing w:line="240" w:lineRule="auto"/>
              <w:contextualSpacing/>
              <w:rPr>
                <w:rFonts w:cstheme="minorHAnsi"/>
                <w:b/>
                <w:sz w:val="24"/>
              </w:rPr>
            </w:pPr>
            <w:r w:rsidRPr="006C6F4D">
              <w:rPr>
                <w:rFonts w:cstheme="minorHAnsi"/>
                <w:b/>
                <w:sz w:val="24"/>
              </w:rPr>
              <w:t>Expect to increase staff</w:t>
            </w:r>
          </w:p>
        </w:tc>
        <w:tc>
          <w:tcPr>
            <w:tcW w:w="1921" w:type="dxa"/>
            <w:vAlign w:val="center"/>
          </w:tcPr>
          <w:p w:rsidR="005948D3" w:rsidRPr="006C6F4D" w:rsidRDefault="005948D3" w:rsidP="006B238E">
            <w:pPr>
              <w:keepNext/>
              <w:spacing w:line="240" w:lineRule="auto"/>
              <w:contextualSpacing/>
              <w:jc w:val="center"/>
              <w:rPr>
                <w:rFonts w:cstheme="minorHAnsi"/>
                <w:b/>
                <w:sz w:val="24"/>
              </w:rPr>
            </w:pPr>
            <w:r w:rsidRPr="006C6F4D">
              <w:rPr>
                <w:rFonts w:cstheme="minorHAnsi"/>
                <w:b/>
                <w:sz w:val="24"/>
              </w:rPr>
              <w:t>23%</w:t>
            </w:r>
          </w:p>
        </w:tc>
        <w:tc>
          <w:tcPr>
            <w:tcW w:w="1906" w:type="dxa"/>
            <w:shd w:val="clear" w:color="auto" w:fill="auto"/>
            <w:vAlign w:val="center"/>
          </w:tcPr>
          <w:p w:rsidR="005948D3" w:rsidRPr="006C6F4D" w:rsidRDefault="005948D3" w:rsidP="006B238E">
            <w:pPr>
              <w:keepNext/>
              <w:spacing w:line="240" w:lineRule="auto"/>
              <w:contextualSpacing/>
              <w:jc w:val="center"/>
              <w:rPr>
                <w:rFonts w:cstheme="minorHAnsi"/>
                <w:b/>
                <w:sz w:val="24"/>
              </w:rPr>
            </w:pPr>
            <w:r w:rsidRPr="006C6F4D">
              <w:rPr>
                <w:rFonts w:cstheme="minorHAnsi"/>
                <w:b/>
                <w:sz w:val="24"/>
              </w:rPr>
              <w:t>31%</w:t>
            </w:r>
          </w:p>
        </w:tc>
        <w:tc>
          <w:tcPr>
            <w:tcW w:w="2693" w:type="dxa"/>
            <w:vAlign w:val="center"/>
          </w:tcPr>
          <w:p w:rsidR="005948D3" w:rsidRPr="006C6F4D" w:rsidRDefault="005948D3" w:rsidP="006B238E">
            <w:pPr>
              <w:keepNext/>
              <w:spacing w:line="240" w:lineRule="auto"/>
              <w:contextualSpacing/>
              <w:jc w:val="center"/>
              <w:rPr>
                <w:rFonts w:cstheme="minorHAnsi"/>
                <w:b/>
                <w:sz w:val="24"/>
              </w:rPr>
            </w:pPr>
            <w:r>
              <w:rPr>
                <w:rFonts w:cstheme="minorHAnsi"/>
                <w:b/>
                <w:sz w:val="24"/>
              </w:rPr>
              <w:t>25</w:t>
            </w:r>
            <w:r w:rsidRPr="006C6F4D">
              <w:rPr>
                <w:rFonts w:cstheme="minorHAnsi"/>
                <w:b/>
                <w:sz w:val="24"/>
              </w:rPr>
              <w:t>%</w:t>
            </w:r>
          </w:p>
        </w:tc>
      </w:tr>
      <w:tr w:rsidR="003D653C" w:rsidRPr="00EF6DA1" w:rsidTr="005948D3">
        <w:trPr>
          <w:cantSplit/>
          <w:trHeight w:val="363"/>
        </w:trPr>
        <w:tc>
          <w:tcPr>
            <w:tcW w:w="2660" w:type="dxa"/>
            <w:shd w:val="clear" w:color="auto" w:fill="auto"/>
            <w:vAlign w:val="center"/>
          </w:tcPr>
          <w:p w:rsidR="003D653C" w:rsidRPr="006C6F4D" w:rsidRDefault="003D653C" w:rsidP="006C6F4D">
            <w:pPr>
              <w:keepNext/>
              <w:spacing w:line="240" w:lineRule="auto"/>
              <w:contextualSpacing/>
              <w:rPr>
                <w:rFonts w:cstheme="minorHAnsi"/>
                <w:b/>
                <w:sz w:val="24"/>
              </w:rPr>
            </w:pPr>
            <w:r w:rsidRPr="006C6F4D">
              <w:rPr>
                <w:rFonts w:cstheme="minorHAnsi"/>
                <w:b/>
                <w:sz w:val="24"/>
              </w:rPr>
              <w:t>Expect difficulty</w:t>
            </w:r>
          </w:p>
        </w:tc>
        <w:tc>
          <w:tcPr>
            <w:tcW w:w="1921" w:type="dxa"/>
            <w:vAlign w:val="center"/>
          </w:tcPr>
          <w:p w:rsidR="003D653C" w:rsidRPr="006C6F4D" w:rsidRDefault="003D653C" w:rsidP="006C6F4D">
            <w:pPr>
              <w:keepNext/>
              <w:spacing w:line="240" w:lineRule="auto"/>
              <w:contextualSpacing/>
              <w:jc w:val="center"/>
              <w:rPr>
                <w:rFonts w:cstheme="minorHAnsi"/>
                <w:b/>
                <w:sz w:val="24"/>
              </w:rPr>
            </w:pPr>
            <w:r w:rsidRPr="006C6F4D">
              <w:rPr>
                <w:rFonts w:cstheme="minorHAnsi"/>
                <w:b/>
                <w:sz w:val="24"/>
              </w:rPr>
              <w:t>43%</w:t>
            </w:r>
          </w:p>
        </w:tc>
        <w:tc>
          <w:tcPr>
            <w:tcW w:w="1906" w:type="dxa"/>
            <w:shd w:val="clear" w:color="auto" w:fill="auto"/>
            <w:vAlign w:val="center"/>
          </w:tcPr>
          <w:p w:rsidR="003D653C" w:rsidRPr="006C6F4D" w:rsidRDefault="003D653C" w:rsidP="006C6F4D">
            <w:pPr>
              <w:keepNext/>
              <w:spacing w:line="240" w:lineRule="auto"/>
              <w:contextualSpacing/>
              <w:jc w:val="center"/>
              <w:rPr>
                <w:rFonts w:cstheme="minorHAnsi"/>
                <w:b/>
                <w:sz w:val="24"/>
              </w:rPr>
            </w:pPr>
            <w:r w:rsidRPr="006C6F4D">
              <w:rPr>
                <w:rFonts w:cstheme="minorHAnsi"/>
                <w:b/>
                <w:sz w:val="24"/>
              </w:rPr>
              <w:t>38%</w:t>
            </w:r>
          </w:p>
        </w:tc>
        <w:tc>
          <w:tcPr>
            <w:tcW w:w="2693" w:type="dxa"/>
            <w:vAlign w:val="center"/>
          </w:tcPr>
          <w:p w:rsidR="003D653C" w:rsidRPr="006C6F4D" w:rsidRDefault="003D653C" w:rsidP="006C6F4D">
            <w:pPr>
              <w:keepNext/>
              <w:spacing w:line="240" w:lineRule="auto"/>
              <w:contextualSpacing/>
              <w:jc w:val="center"/>
              <w:rPr>
                <w:rFonts w:cstheme="minorHAnsi"/>
                <w:b/>
                <w:sz w:val="24"/>
              </w:rPr>
            </w:pPr>
            <w:r w:rsidRPr="006C6F4D">
              <w:rPr>
                <w:rFonts w:cstheme="minorHAnsi"/>
                <w:b/>
                <w:sz w:val="24"/>
              </w:rPr>
              <w:t>43%</w:t>
            </w:r>
          </w:p>
        </w:tc>
      </w:tr>
    </w:tbl>
    <w:p w:rsidR="00C74722" w:rsidRPr="00CD25F5" w:rsidRDefault="00C74722" w:rsidP="00C74722">
      <w:pPr>
        <w:pStyle w:val="Heading1"/>
        <w:rPr>
          <w:sz w:val="28"/>
        </w:rPr>
      </w:pPr>
      <w:bookmarkStart w:id="54" w:name="_Toc348428591"/>
      <w:bookmarkEnd w:id="53"/>
      <w:r>
        <w:rPr>
          <w:sz w:val="28"/>
        </w:rPr>
        <w:t>Where are the jobs?</w:t>
      </w:r>
      <w:bookmarkEnd w:id="54"/>
      <w:r w:rsidRPr="00CD25F5">
        <w:rPr>
          <w:sz w:val="28"/>
        </w:rPr>
        <w:t xml:space="preserve"> </w:t>
      </w:r>
    </w:p>
    <w:p w:rsidR="00E47816" w:rsidRPr="0007347D" w:rsidRDefault="00AF2869" w:rsidP="00E47816">
      <w:pPr>
        <w:spacing w:before="0" w:after="200" w:line="240" w:lineRule="auto"/>
        <w:contextualSpacing/>
        <w:jc w:val="both"/>
        <w:rPr>
          <w:rFonts w:eastAsiaTheme="minorEastAsia" w:cstheme="minorBidi"/>
          <w:sz w:val="24"/>
          <w:lang w:eastAsia="en-US" w:bidi="en-US"/>
        </w:rPr>
      </w:pPr>
      <w:r w:rsidRPr="0007347D">
        <w:rPr>
          <w:rFonts w:cstheme="minorHAnsi"/>
          <w:iCs/>
          <w:sz w:val="24"/>
        </w:rPr>
        <w:t>There are many o</w:t>
      </w:r>
      <w:r w:rsidR="00E47816" w:rsidRPr="0007347D">
        <w:rPr>
          <w:rFonts w:cstheme="minorHAnsi"/>
          <w:iCs/>
          <w:sz w:val="24"/>
        </w:rPr>
        <w:t xml:space="preserve">pportunities for job seekers of various skill levels, despite the </w:t>
      </w:r>
      <w:r w:rsidRPr="0007347D">
        <w:rPr>
          <w:rFonts w:cstheme="minorHAnsi"/>
          <w:iCs/>
          <w:sz w:val="24"/>
        </w:rPr>
        <w:t>softening in</w:t>
      </w:r>
      <w:r w:rsidR="00E47816" w:rsidRPr="0007347D">
        <w:rPr>
          <w:rFonts w:cstheme="minorHAnsi"/>
          <w:iCs/>
          <w:sz w:val="24"/>
        </w:rPr>
        <w:t xml:space="preserve"> demand for </w:t>
      </w:r>
      <w:r w:rsidR="00E47816" w:rsidRPr="0007347D">
        <w:rPr>
          <w:rFonts w:eastAsiaTheme="minorEastAsia" w:cstheme="minorBidi"/>
          <w:sz w:val="24"/>
          <w:lang w:eastAsia="en-US" w:bidi="en-US"/>
        </w:rPr>
        <w:t>labour across the region.</w:t>
      </w:r>
    </w:p>
    <w:p w:rsidR="00E47816" w:rsidRPr="0007347D" w:rsidRDefault="00E47816" w:rsidP="00E47816">
      <w:pPr>
        <w:numPr>
          <w:ilvl w:val="0"/>
          <w:numId w:val="38"/>
        </w:numPr>
        <w:spacing w:before="0" w:after="200" w:line="240" w:lineRule="auto"/>
        <w:contextualSpacing/>
        <w:jc w:val="both"/>
        <w:rPr>
          <w:rFonts w:eastAsiaTheme="minorEastAsia" w:cstheme="minorBidi"/>
          <w:sz w:val="24"/>
          <w:lang w:eastAsia="en-US" w:bidi="en-US"/>
        </w:rPr>
      </w:pPr>
      <w:r w:rsidRPr="0007347D">
        <w:rPr>
          <w:rFonts w:eastAsiaTheme="minorEastAsia" w:cstheme="minorBidi"/>
          <w:sz w:val="24"/>
          <w:lang w:eastAsia="en-US" w:bidi="en-US"/>
        </w:rPr>
        <w:t xml:space="preserve">Employers reported high </w:t>
      </w:r>
      <w:proofErr w:type="spellStart"/>
      <w:r w:rsidRPr="0007347D">
        <w:rPr>
          <w:rFonts w:eastAsiaTheme="minorEastAsia" w:cstheme="minorBidi"/>
          <w:sz w:val="24"/>
          <w:lang w:eastAsia="en-US" w:bidi="en-US"/>
        </w:rPr>
        <w:t>unfill</w:t>
      </w:r>
      <w:proofErr w:type="spellEnd"/>
      <w:r w:rsidRPr="0007347D">
        <w:rPr>
          <w:rFonts w:eastAsiaTheme="minorEastAsia" w:cstheme="minorBidi"/>
          <w:sz w:val="24"/>
          <w:lang w:eastAsia="en-US" w:bidi="en-US"/>
        </w:rPr>
        <w:t xml:space="preserve"> rates and high recruitment difficulty for a number of skilled occupations, </w:t>
      </w:r>
      <w:r w:rsidR="0007347D" w:rsidRPr="0007347D">
        <w:rPr>
          <w:rFonts w:eastAsiaTheme="minorEastAsia" w:cstheme="minorBidi"/>
          <w:sz w:val="24"/>
          <w:lang w:eastAsia="en-US" w:bidi="en-US"/>
        </w:rPr>
        <w:t xml:space="preserve">suggesting a shortage of skilled job seekers for occupations </w:t>
      </w:r>
      <w:r w:rsidRPr="0007347D">
        <w:rPr>
          <w:rFonts w:eastAsiaTheme="minorEastAsia" w:cstheme="minorBidi"/>
          <w:sz w:val="24"/>
          <w:lang w:eastAsia="en-US" w:bidi="en-US"/>
        </w:rPr>
        <w:t xml:space="preserve">such as Technicians and Trades Workers </w:t>
      </w:r>
      <w:r w:rsidRPr="0007347D">
        <w:rPr>
          <w:rFonts w:cstheme="minorHAnsi"/>
          <w:sz w:val="24"/>
        </w:rPr>
        <w:t>(Chefs, Motor Mechanics, Structural Steel and Welding Trades Workers) and Community and Personal Service Worker (Child Carers).</w:t>
      </w:r>
    </w:p>
    <w:p w:rsidR="00E47816" w:rsidRPr="0007347D" w:rsidRDefault="00E47816" w:rsidP="00E47816">
      <w:pPr>
        <w:numPr>
          <w:ilvl w:val="0"/>
          <w:numId w:val="38"/>
        </w:numPr>
        <w:spacing w:before="0" w:after="200" w:line="240" w:lineRule="auto"/>
        <w:contextualSpacing/>
        <w:jc w:val="both"/>
        <w:rPr>
          <w:rFonts w:eastAsiaTheme="minorEastAsia" w:cstheme="minorBidi"/>
          <w:sz w:val="24"/>
          <w:lang w:eastAsia="en-US" w:bidi="en-US"/>
        </w:rPr>
      </w:pPr>
      <w:r w:rsidRPr="0007347D">
        <w:rPr>
          <w:rFonts w:eastAsiaTheme="minorEastAsia" w:cstheme="minorBidi"/>
          <w:sz w:val="24"/>
          <w:lang w:eastAsia="en-US" w:bidi="en-US"/>
        </w:rPr>
        <w:t xml:space="preserve">Employers expected to recruit for a range of occupations in the 12 months following the survey, including a range of skilled occupations (such as Motor Mechanics, Structural Steel and Welding Trades Workers and Chefs) and entry-level occupations (Sales Assistants (General), Housekeepers and </w:t>
      </w:r>
      <w:proofErr w:type="spellStart"/>
      <w:r w:rsidRPr="0007347D">
        <w:rPr>
          <w:rFonts w:eastAsiaTheme="minorEastAsia" w:cstheme="minorBidi"/>
          <w:sz w:val="24"/>
          <w:lang w:eastAsia="en-US" w:bidi="en-US"/>
        </w:rPr>
        <w:t>Kitchenhands</w:t>
      </w:r>
      <w:proofErr w:type="spellEnd"/>
      <w:r w:rsidRPr="0007347D">
        <w:rPr>
          <w:rFonts w:eastAsiaTheme="minorEastAsia" w:cstheme="minorBidi"/>
          <w:sz w:val="24"/>
          <w:lang w:eastAsia="en-US" w:bidi="en-US"/>
        </w:rPr>
        <w:t xml:space="preserve">). These </w:t>
      </w:r>
      <w:r w:rsidR="00C87865" w:rsidRPr="0007347D">
        <w:rPr>
          <w:rFonts w:eastAsiaTheme="minorEastAsia" w:cstheme="minorBidi"/>
          <w:sz w:val="24"/>
          <w:lang w:eastAsia="en-US" w:bidi="en-US"/>
        </w:rPr>
        <w:t>vacancies</w:t>
      </w:r>
      <w:r w:rsidRPr="0007347D">
        <w:rPr>
          <w:rFonts w:eastAsiaTheme="minorEastAsia" w:cstheme="minorBidi"/>
          <w:sz w:val="24"/>
          <w:lang w:eastAsia="en-US" w:bidi="en-US"/>
        </w:rPr>
        <w:t xml:space="preserve"> in entry-level occupations may provide job seekers </w:t>
      </w:r>
      <w:r w:rsidR="0077463D" w:rsidRPr="0007347D">
        <w:rPr>
          <w:rFonts w:eastAsiaTheme="minorEastAsia" w:cstheme="minorBidi"/>
          <w:sz w:val="24"/>
          <w:lang w:eastAsia="en-US" w:bidi="en-US"/>
        </w:rPr>
        <w:t xml:space="preserve">with good employability skills, but </w:t>
      </w:r>
      <w:r w:rsidRPr="0007347D">
        <w:rPr>
          <w:rFonts w:eastAsiaTheme="minorEastAsia" w:cstheme="minorBidi"/>
          <w:sz w:val="24"/>
          <w:lang w:eastAsia="en-US" w:bidi="en-US"/>
        </w:rPr>
        <w:t>w</w:t>
      </w:r>
      <w:r w:rsidR="00ED0A0C" w:rsidRPr="0007347D">
        <w:rPr>
          <w:rFonts w:eastAsiaTheme="minorEastAsia" w:cstheme="minorBidi"/>
          <w:sz w:val="24"/>
          <w:lang w:eastAsia="en-US" w:bidi="en-US"/>
        </w:rPr>
        <w:t>ith</w:t>
      </w:r>
      <w:r w:rsidRPr="0007347D">
        <w:rPr>
          <w:rFonts w:eastAsiaTheme="minorEastAsia" w:cstheme="minorBidi"/>
          <w:sz w:val="24"/>
          <w:lang w:eastAsia="en-US" w:bidi="en-US"/>
        </w:rPr>
        <w:t xml:space="preserve"> minimal work experience</w:t>
      </w:r>
      <w:r w:rsidR="0077463D" w:rsidRPr="0007347D">
        <w:rPr>
          <w:rFonts w:eastAsiaTheme="minorEastAsia" w:cstheme="minorBidi"/>
          <w:sz w:val="24"/>
          <w:lang w:eastAsia="en-US" w:bidi="en-US"/>
        </w:rPr>
        <w:t>,</w:t>
      </w:r>
      <w:r w:rsidRPr="0007347D">
        <w:rPr>
          <w:rFonts w:eastAsiaTheme="minorEastAsia" w:cstheme="minorBidi"/>
          <w:sz w:val="24"/>
          <w:lang w:eastAsia="en-US" w:bidi="en-US"/>
        </w:rPr>
        <w:t xml:space="preserve"> </w:t>
      </w:r>
      <w:r w:rsidR="0077463D" w:rsidRPr="0007347D">
        <w:rPr>
          <w:rFonts w:eastAsiaTheme="minorEastAsia" w:cstheme="minorBidi"/>
          <w:sz w:val="24"/>
          <w:lang w:eastAsia="en-US" w:bidi="en-US"/>
        </w:rPr>
        <w:t xml:space="preserve">an opportunity </w:t>
      </w:r>
      <w:r w:rsidRPr="0007347D">
        <w:rPr>
          <w:rFonts w:eastAsiaTheme="minorEastAsia" w:cstheme="minorBidi"/>
          <w:sz w:val="24"/>
          <w:lang w:eastAsia="en-US" w:bidi="en-US"/>
        </w:rPr>
        <w:t>to enter the labour market.</w:t>
      </w:r>
    </w:p>
    <w:p w:rsidR="00234E21" w:rsidRPr="00E47816" w:rsidRDefault="00234E21" w:rsidP="00FE5821">
      <w:pPr>
        <w:spacing w:before="0" w:after="200" w:line="240" w:lineRule="auto"/>
        <w:contextualSpacing/>
        <w:jc w:val="both"/>
        <w:rPr>
          <w:rFonts w:eastAsiaTheme="minorEastAsia" w:cstheme="minorBidi"/>
          <w:sz w:val="24"/>
          <w:lang w:eastAsia="en-US" w:bidi="en-US"/>
        </w:rPr>
      </w:pPr>
    </w:p>
    <w:p w:rsidR="005801CC" w:rsidRDefault="005801CC" w:rsidP="00A249D4">
      <w:pPr>
        <w:spacing w:before="240" w:after="60" w:line="240" w:lineRule="auto"/>
        <w:ind w:right="57"/>
        <w:jc w:val="both"/>
        <w:rPr>
          <w:rFonts w:ascii="Book Antiqua" w:hAnsi="Book Antiqua"/>
        </w:rPr>
      </w:pPr>
    </w:p>
    <w:p w:rsidR="004B1A2D" w:rsidRPr="007F36DA" w:rsidRDefault="001D51EA" w:rsidP="0010049B">
      <w:pPr>
        <w:pStyle w:val="Heading1"/>
        <w:spacing w:before="0" w:line="276" w:lineRule="auto"/>
        <w:rPr>
          <w:sz w:val="36"/>
          <w:szCs w:val="36"/>
        </w:rPr>
      </w:pPr>
      <w:bookmarkStart w:id="55" w:name="_Toc346611114"/>
      <w:bookmarkStart w:id="56" w:name="_Toc348428592"/>
      <w:r w:rsidRPr="007F36DA">
        <w:rPr>
          <w:sz w:val="36"/>
          <w:szCs w:val="36"/>
        </w:rPr>
        <w:t>More Information</w:t>
      </w:r>
      <w:bookmarkEnd w:id="55"/>
      <w:bookmarkEnd w:id="56"/>
    </w:p>
    <w:p w:rsidR="000F4437" w:rsidRDefault="000F4437" w:rsidP="0010049B">
      <w:pPr>
        <w:spacing w:before="0" w:line="276" w:lineRule="auto"/>
        <w:contextualSpacing/>
        <w:jc w:val="both"/>
        <w:rPr>
          <w:rFonts w:cstheme="minorHAnsi"/>
          <w:b/>
          <w:color w:val="00529C"/>
        </w:rPr>
      </w:pPr>
    </w:p>
    <w:p w:rsidR="007F36DA" w:rsidRPr="00217C2B" w:rsidRDefault="007F36DA" w:rsidP="0010049B">
      <w:pPr>
        <w:numPr>
          <w:ilvl w:val="0"/>
          <w:numId w:val="15"/>
        </w:numPr>
        <w:spacing w:before="60" w:line="276" w:lineRule="auto"/>
        <w:ind w:left="0" w:firstLine="0"/>
        <w:contextualSpacing/>
        <w:jc w:val="both"/>
        <w:rPr>
          <w:rFonts w:cstheme="minorHAnsi"/>
          <w:sz w:val="24"/>
        </w:rPr>
      </w:pPr>
      <w:r w:rsidRPr="00217C2B">
        <w:rPr>
          <w:rFonts w:cstheme="minorHAnsi"/>
          <w:sz w:val="24"/>
        </w:rPr>
        <w:t>Survey of Employers’ Recruitment Experiences</w:t>
      </w:r>
    </w:p>
    <w:p w:rsidR="007F36DA" w:rsidRPr="0010049B" w:rsidRDefault="001B270A" w:rsidP="00D5310A">
      <w:pPr>
        <w:tabs>
          <w:tab w:val="left" w:pos="720"/>
        </w:tabs>
        <w:spacing w:after="240" w:line="276" w:lineRule="auto"/>
        <w:ind w:firstLine="426"/>
        <w:contextualSpacing/>
        <w:rPr>
          <w:rFonts w:cstheme="minorHAnsi"/>
          <w:b/>
          <w:color w:val="00529C"/>
          <w:sz w:val="24"/>
          <w:u w:val="single"/>
        </w:rPr>
      </w:pPr>
      <w:r w:rsidRPr="006C6F4D">
        <w:rPr>
          <w:rStyle w:val="Hyperlink"/>
          <w:b/>
          <w:color w:val="00529C"/>
          <w:sz w:val="24"/>
        </w:rPr>
        <w:t>www.deewr.gov.au/regional-reports-employers-recruitment-experiences</w:t>
      </w:r>
    </w:p>
    <w:p w:rsidR="00AF2869" w:rsidRPr="00AF2869" w:rsidRDefault="00AF2869" w:rsidP="00AF2869">
      <w:pPr>
        <w:spacing w:before="240" w:line="276" w:lineRule="auto"/>
        <w:contextualSpacing/>
        <w:jc w:val="both"/>
        <w:rPr>
          <w:sz w:val="12"/>
          <w:szCs w:val="12"/>
        </w:rPr>
      </w:pPr>
    </w:p>
    <w:p w:rsidR="000F4437" w:rsidRPr="00AF2869" w:rsidRDefault="000F4437" w:rsidP="00AF2869">
      <w:pPr>
        <w:numPr>
          <w:ilvl w:val="0"/>
          <w:numId w:val="15"/>
        </w:numPr>
        <w:spacing w:before="240" w:line="276" w:lineRule="auto"/>
        <w:ind w:left="0" w:firstLine="0"/>
        <w:contextualSpacing/>
        <w:jc w:val="both"/>
        <w:rPr>
          <w:rStyle w:val="Hyperlink"/>
          <w:color w:val="auto"/>
          <w:sz w:val="24"/>
          <w:u w:val="none"/>
        </w:rPr>
      </w:pPr>
      <w:r w:rsidRPr="00AF2869">
        <w:rPr>
          <w:rFonts w:cstheme="minorHAnsi"/>
          <w:sz w:val="24"/>
        </w:rPr>
        <w:t>Labour Market Information Portal</w:t>
      </w:r>
      <w:r w:rsidR="00AF2869">
        <w:rPr>
          <w:rFonts w:cstheme="minorHAnsi"/>
          <w:sz w:val="24"/>
        </w:rPr>
        <w:t xml:space="preserve"> </w:t>
      </w:r>
      <w:hyperlink r:id="rId31" w:history="1">
        <w:r w:rsidRPr="00AF2869">
          <w:rPr>
            <w:rStyle w:val="Hyperlink"/>
            <w:rFonts w:cstheme="minorHAnsi"/>
            <w:b/>
            <w:color w:val="00529C"/>
            <w:sz w:val="24"/>
          </w:rPr>
          <w:t>www.deewr.gov.au/lmip</w:t>
        </w:r>
      </w:hyperlink>
    </w:p>
    <w:p w:rsidR="00AF2869" w:rsidRPr="00AF2869" w:rsidRDefault="00AF2869" w:rsidP="00AF2869">
      <w:pPr>
        <w:spacing w:before="240" w:line="276" w:lineRule="auto"/>
        <w:contextualSpacing/>
        <w:jc w:val="both"/>
        <w:rPr>
          <w:sz w:val="12"/>
          <w:szCs w:val="12"/>
        </w:rPr>
      </w:pPr>
    </w:p>
    <w:p w:rsidR="000F4437" w:rsidRPr="00217C2B" w:rsidRDefault="000F4437" w:rsidP="0010049B">
      <w:pPr>
        <w:numPr>
          <w:ilvl w:val="0"/>
          <w:numId w:val="15"/>
        </w:numPr>
        <w:spacing w:before="60" w:line="276" w:lineRule="auto"/>
        <w:ind w:left="0" w:firstLine="0"/>
        <w:contextualSpacing/>
        <w:jc w:val="both"/>
        <w:rPr>
          <w:rFonts w:cstheme="minorHAnsi"/>
          <w:sz w:val="24"/>
        </w:rPr>
      </w:pPr>
      <w:r w:rsidRPr="00217C2B">
        <w:rPr>
          <w:rFonts w:cstheme="minorHAnsi"/>
          <w:sz w:val="24"/>
        </w:rPr>
        <w:t xml:space="preserve">Skill Shortages </w:t>
      </w:r>
      <w:r w:rsidR="00E23DCD" w:rsidRPr="00217C2B">
        <w:rPr>
          <w:rFonts w:cstheme="minorHAnsi"/>
          <w:i/>
          <w:sz w:val="24"/>
        </w:rPr>
        <w:t>including the</w:t>
      </w:r>
      <w:r w:rsidRPr="00217C2B">
        <w:rPr>
          <w:rFonts w:cstheme="minorHAnsi"/>
          <w:i/>
          <w:sz w:val="24"/>
        </w:rPr>
        <w:t xml:space="preserve"> publication</w:t>
      </w:r>
      <w:r w:rsidRPr="00217C2B">
        <w:rPr>
          <w:rFonts w:cstheme="minorHAnsi"/>
          <w:sz w:val="24"/>
        </w:rPr>
        <w:t xml:space="preserve"> Skill Shortages Australia</w:t>
      </w:r>
    </w:p>
    <w:p w:rsidR="000F4437" w:rsidRDefault="000F4437" w:rsidP="00D5310A">
      <w:pPr>
        <w:tabs>
          <w:tab w:val="left" w:pos="720"/>
        </w:tabs>
        <w:spacing w:line="276" w:lineRule="auto"/>
        <w:ind w:firstLine="426"/>
        <w:contextualSpacing/>
        <w:rPr>
          <w:rStyle w:val="Hyperlink"/>
          <w:rFonts w:cstheme="minorHAnsi"/>
          <w:b/>
          <w:color w:val="00529C"/>
          <w:sz w:val="24"/>
        </w:rPr>
      </w:pPr>
      <w:r w:rsidRPr="006C6F4D">
        <w:rPr>
          <w:rStyle w:val="Hyperlink"/>
          <w:rFonts w:cstheme="minorHAnsi"/>
          <w:b/>
          <w:color w:val="00529C"/>
          <w:sz w:val="24"/>
        </w:rPr>
        <w:t>www.deewr.gov.au/skillshortages</w:t>
      </w:r>
    </w:p>
    <w:p w:rsidR="00AF2869" w:rsidRPr="008672D3" w:rsidRDefault="00AF2869" w:rsidP="0010049B">
      <w:pPr>
        <w:tabs>
          <w:tab w:val="left" w:pos="720"/>
        </w:tabs>
        <w:spacing w:line="276" w:lineRule="auto"/>
        <w:contextualSpacing/>
        <w:rPr>
          <w:rStyle w:val="Hyperlink"/>
          <w:rFonts w:cstheme="minorHAnsi"/>
          <w:b/>
          <w:color w:val="00529C"/>
          <w:sz w:val="12"/>
          <w:szCs w:val="12"/>
        </w:rPr>
      </w:pPr>
    </w:p>
    <w:p w:rsidR="000F4437" w:rsidRPr="00AF2869" w:rsidRDefault="000F4437" w:rsidP="0010049B">
      <w:pPr>
        <w:numPr>
          <w:ilvl w:val="0"/>
          <w:numId w:val="15"/>
        </w:numPr>
        <w:spacing w:before="60" w:line="276" w:lineRule="auto"/>
        <w:ind w:left="0" w:firstLine="0"/>
        <w:contextualSpacing/>
        <w:jc w:val="both"/>
        <w:rPr>
          <w:rStyle w:val="Hyperlink"/>
          <w:b/>
          <w:color w:val="00529C"/>
          <w:sz w:val="24"/>
        </w:rPr>
      </w:pPr>
      <w:r w:rsidRPr="00AF2869">
        <w:rPr>
          <w:rFonts w:cstheme="minorHAnsi"/>
          <w:sz w:val="24"/>
        </w:rPr>
        <w:t>Australian Jobs 2012</w:t>
      </w:r>
      <w:r w:rsidR="00AF2869">
        <w:rPr>
          <w:rFonts w:cstheme="minorHAnsi"/>
          <w:sz w:val="24"/>
        </w:rPr>
        <w:t xml:space="preserve"> </w:t>
      </w:r>
      <w:r w:rsidRPr="00AF2869">
        <w:rPr>
          <w:rStyle w:val="Hyperlink"/>
          <w:b/>
          <w:color w:val="00529C"/>
          <w:sz w:val="24"/>
        </w:rPr>
        <w:t xml:space="preserve">www.deewr.gov.au/AustralianJobs </w:t>
      </w:r>
    </w:p>
    <w:p w:rsidR="008672D3" w:rsidRPr="008672D3" w:rsidRDefault="008672D3" w:rsidP="008672D3">
      <w:pPr>
        <w:spacing w:before="60" w:line="276" w:lineRule="auto"/>
        <w:contextualSpacing/>
        <w:jc w:val="both"/>
        <w:rPr>
          <w:b/>
          <w:color w:val="00529C"/>
          <w:sz w:val="12"/>
          <w:szCs w:val="12"/>
          <w:u w:val="single"/>
        </w:rPr>
      </w:pPr>
    </w:p>
    <w:p w:rsidR="000F4437" w:rsidRPr="00AF2869" w:rsidRDefault="000F4437" w:rsidP="0010049B">
      <w:pPr>
        <w:numPr>
          <w:ilvl w:val="0"/>
          <w:numId w:val="15"/>
        </w:numPr>
        <w:spacing w:before="60" w:line="276" w:lineRule="auto"/>
        <w:ind w:left="0" w:firstLine="0"/>
        <w:contextualSpacing/>
        <w:jc w:val="both"/>
        <w:rPr>
          <w:rStyle w:val="Hyperlink"/>
          <w:b/>
          <w:color w:val="00529C"/>
          <w:sz w:val="24"/>
        </w:rPr>
      </w:pPr>
      <w:r w:rsidRPr="00AF2869">
        <w:rPr>
          <w:rFonts w:cstheme="minorHAnsi"/>
          <w:sz w:val="24"/>
        </w:rPr>
        <w:t>Job Outlook</w:t>
      </w:r>
      <w:r w:rsidR="00AF2869" w:rsidRPr="00AF2869">
        <w:rPr>
          <w:rFonts w:cstheme="minorHAnsi"/>
          <w:sz w:val="24"/>
        </w:rPr>
        <w:t xml:space="preserve"> </w:t>
      </w:r>
      <w:hyperlink r:id="rId32" w:history="1">
        <w:r w:rsidRPr="00AF2869">
          <w:rPr>
            <w:rStyle w:val="Hyperlink"/>
            <w:b/>
            <w:color w:val="00529C"/>
            <w:sz w:val="24"/>
          </w:rPr>
          <w:t>www.joboutlook.gov.au</w:t>
        </w:r>
      </w:hyperlink>
    </w:p>
    <w:p w:rsidR="008672D3" w:rsidRPr="008672D3" w:rsidRDefault="008672D3" w:rsidP="008672D3">
      <w:pPr>
        <w:spacing w:before="0" w:after="0" w:line="276" w:lineRule="auto"/>
        <w:contextualSpacing/>
        <w:jc w:val="both"/>
        <w:rPr>
          <w:rFonts w:cs="Arial"/>
          <w:sz w:val="12"/>
          <w:szCs w:val="12"/>
        </w:rPr>
      </w:pPr>
    </w:p>
    <w:p w:rsidR="00690AB6" w:rsidRPr="008672D3" w:rsidRDefault="000F4437" w:rsidP="008672D3">
      <w:pPr>
        <w:numPr>
          <w:ilvl w:val="0"/>
          <w:numId w:val="15"/>
        </w:numPr>
        <w:spacing w:before="0" w:after="0" w:line="276" w:lineRule="auto"/>
        <w:ind w:left="0" w:firstLine="0"/>
        <w:contextualSpacing/>
        <w:jc w:val="both"/>
        <w:rPr>
          <w:rStyle w:val="Hyperlink"/>
          <w:rFonts w:cs="Arial"/>
          <w:color w:val="auto"/>
          <w:szCs w:val="22"/>
          <w:u w:val="none"/>
        </w:rPr>
      </w:pPr>
      <w:proofErr w:type="spellStart"/>
      <w:r w:rsidRPr="00AF2869">
        <w:rPr>
          <w:rFonts w:cstheme="minorHAnsi"/>
          <w:sz w:val="24"/>
        </w:rPr>
        <w:t>SkillsInfo</w:t>
      </w:r>
      <w:proofErr w:type="spellEnd"/>
      <w:r w:rsidR="00AF2869">
        <w:rPr>
          <w:rFonts w:cstheme="minorHAnsi"/>
          <w:sz w:val="24"/>
        </w:rPr>
        <w:t xml:space="preserve"> </w:t>
      </w:r>
      <w:hyperlink r:id="rId33" w:history="1">
        <w:r w:rsidRPr="00AF2869">
          <w:rPr>
            <w:rStyle w:val="Hyperlink"/>
            <w:rFonts w:cstheme="minorHAnsi"/>
            <w:b/>
            <w:color w:val="00529C"/>
            <w:sz w:val="24"/>
          </w:rPr>
          <w:t>www.skillsinfo.gov.au</w:t>
        </w:r>
      </w:hyperlink>
    </w:p>
    <w:p w:rsidR="008672D3" w:rsidRPr="008672D3" w:rsidRDefault="008672D3" w:rsidP="008672D3">
      <w:pPr>
        <w:spacing w:before="0" w:after="0" w:line="276" w:lineRule="auto"/>
        <w:contextualSpacing/>
        <w:jc w:val="both"/>
        <w:rPr>
          <w:rFonts w:cs="Arial"/>
          <w:sz w:val="12"/>
          <w:szCs w:val="12"/>
        </w:rPr>
      </w:pPr>
    </w:p>
    <w:p w:rsidR="001E1498" w:rsidRPr="008672D3" w:rsidRDefault="008672D3" w:rsidP="008672D3">
      <w:pPr>
        <w:numPr>
          <w:ilvl w:val="0"/>
          <w:numId w:val="15"/>
        </w:numPr>
        <w:spacing w:before="0" w:after="180" w:line="276" w:lineRule="auto"/>
        <w:ind w:left="0" w:right="379" w:firstLine="0"/>
        <w:contextualSpacing/>
        <w:rPr>
          <w:szCs w:val="22"/>
        </w:rPr>
        <w:sectPr w:rsidR="001E1498" w:rsidRPr="008672D3" w:rsidSect="005C4183">
          <w:headerReference w:type="default" r:id="rId34"/>
          <w:footerReference w:type="default" r:id="rId35"/>
          <w:pgSz w:w="11906" w:h="16838"/>
          <w:pgMar w:top="709" w:right="1440" w:bottom="1440" w:left="1440" w:header="709" w:footer="709" w:gutter="0"/>
          <w:pgNumType w:start="1"/>
          <w:cols w:space="708"/>
          <w:titlePg/>
          <w:docGrid w:linePitch="360"/>
        </w:sectPr>
      </w:pPr>
      <w:r>
        <w:rPr>
          <w:rFonts w:cstheme="minorHAnsi"/>
          <w:sz w:val="24"/>
        </w:rPr>
        <w:t xml:space="preserve">Aussie Jobs </w:t>
      </w:r>
      <w:r>
        <w:rPr>
          <w:rStyle w:val="Hyperlink"/>
          <w:b/>
          <w:color w:val="00529C"/>
          <w:sz w:val="24"/>
        </w:rPr>
        <w:t>www.deewr.gov.au/Aussie</w:t>
      </w:r>
      <w:r w:rsidRPr="00AF2869">
        <w:rPr>
          <w:rStyle w:val="Hyperlink"/>
          <w:b/>
          <w:color w:val="00529C"/>
          <w:sz w:val="24"/>
        </w:rPr>
        <w:t xml:space="preserve">Jobs </w:t>
      </w:r>
      <w:r w:rsidR="004B1A2D" w:rsidRPr="008672D3">
        <w:rPr>
          <w:rFonts w:ascii="Book Antiqua" w:hAnsi="Book Antiqua"/>
          <w:b/>
          <w:szCs w:val="22"/>
        </w:rPr>
        <w:br w:type="page"/>
      </w:r>
    </w:p>
    <w:p w:rsidR="00AF1D21" w:rsidRPr="00AF01BD" w:rsidRDefault="00AF01BD" w:rsidP="00DA39EB">
      <w:pPr>
        <w:spacing w:before="0" w:after="0"/>
        <w:rPr>
          <w:sz w:val="28"/>
          <w:szCs w:val="28"/>
        </w:rPr>
      </w:pPr>
      <w:r w:rsidRPr="00AF01BD">
        <w:rPr>
          <w:noProof/>
          <w:sz w:val="28"/>
          <w:szCs w:val="28"/>
        </w:rPr>
        <w:lastRenderedPageBreak/>
        <w:drawing>
          <wp:anchor distT="0" distB="0" distL="114300" distR="114300" simplePos="0" relativeHeight="251662336" behindDoc="1" locked="0" layoutInCell="1" allowOverlap="1">
            <wp:simplePos x="0" y="0"/>
            <wp:positionH relativeFrom="column">
              <wp:posOffset>-1207077</wp:posOffset>
            </wp:positionH>
            <wp:positionV relativeFrom="paragraph">
              <wp:posOffset>4191866</wp:posOffset>
            </wp:positionV>
            <wp:extent cx="7735050" cy="3837709"/>
            <wp:effectExtent l="19050" t="0" r="0" b="0"/>
            <wp:wrapNone/>
            <wp:docPr id="1"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35050" cy="3837709"/>
                    </a:xfrm>
                    <a:prstGeom prst="rect">
                      <a:avLst/>
                    </a:prstGeom>
                    <a:noFill/>
                    <a:ln>
                      <a:noFill/>
                    </a:ln>
                  </pic:spPr>
                </pic:pic>
              </a:graphicData>
            </a:graphic>
          </wp:anchor>
        </w:drawing>
      </w:r>
      <w:r w:rsidR="001E1498" w:rsidRPr="00AF01BD">
        <w:rPr>
          <w:noProof/>
          <w:sz w:val="28"/>
          <w:szCs w:val="28"/>
        </w:rPr>
        <w:drawing>
          <wp:anchor distT="0" distB="0" distL="114300" distR="114300" simplePos="0" relativeHeight="251664384" behindDoc="1" locked="0" layoutInCell="1" allowOverlap="1">
            <wp:simplePos x="0" y="0"/>
            <wp:positionH relativeFrom="column">
              <wp:posOffset>-1220932</wp:posOffset>
            </wp:positionH>
            <wp:positionV relativeFrom="paragraph">
              <wp:posOffset>2487757</wp:posOffset>
            </wp:positionV>
            <wp:extent cx="7739496" cy="1870363"/>
            <wp:effectExtent l="19050" t="0" r="0" b="0"/>
            <wp:wrapNone/>
            <wp:docPr id="5"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739496" cy="1870363"/>
                    </a:xfrm>
                    <a:prstGeom prst="rect">
                      <a:avLst/>
                    </a:prstGeom>
                    <a:noFill/>
                    <a:ln>
                      <a:noFill/>
                    </a:ln>
                  </pic:spPr>
                </pic:pic>
              </a:graphicData>
            </a:graphic>
          </wp:anchor>
        </w:drawing>
      </w:r>
    </w:p>
    <w:sectPr w:rsidR="00AF1D21" w:rsidRPr="00AF01BD" w:rsidSect="00AF01BD">
      <w:type w:val="continuous"/>
      <w:pgSz w:w="11906" w:h="16838"/>
      <w:pgMar w:top="4395"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31B" w:rsidRDefault="0077131B" w:rsidP="006D0101">
      <w:pPr>
        <w:spacing w:before="0" w:after="0" w:line="240" w:lineRule="auto"/>
      </w:pPr>
      <w:r>
        <w:separator/>
      </w:r>
    </w:p>
  </w:endnote>
  <w:endnote w:type="continuationSeparator" w:id="0">
    <w:p w:rsidR="0077131B" w:rsidRDefault="0077131B" w:rsidP="006D01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1B" w:rsidRDefault="00771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72"/>
      <w:docPartObj>
        <w:docPartGallery w:val="Page Numbers (Bottom of Page)"/>
        <w:docPartUnique/>
      </w:docPartObj>
    </w:sdtPr>
    <w:sdtEndPr/>
    <w:sdtContent>
      <w:p w:rsidR="0077131B" w:rsidRDefault="0077131B" w:rsidP="009557F3">
        <w:pPr>
          <w:pStyle w:val="Footer"/>
          <w:pBdr>
            <w:top w:val="single" w:sz="4" w:space="1" w:color="auto"/>
          </w:pBdr>
          <w:spacing w:before="0" w:after="0" w:line="240" w:lineRule="auto"/>
        </w:pPr>
        <w:r>
          <w:t>Labour Market Research and Analysis Branch</w:t>
        </w:r>
      </w:p>
      <w:p w:rsidR="0077131B" w:rsidRPr="00B32455" w:rsidRDefault="008E26FC" w:rsidP="009557F3">
        <w:pPr>
          <w:pStyle w:val="Footer"/>
          <w:spacing w:before="0" w:after="0" w:line="240" w:lineRule="auto"/>
        </w:pPr>
        <w:r>
          <w:t>October</w:t>
        </w:r>
        <w:r w:rsidR="00757DA7">
          <w:t xml:space="preserve"> 201</w:t>
        </w:r>
        <w:r>
          <w:t>2</w:t>
        </w:r>
        <w:r w:rsidR="0077131B">
          <w:ptab w:relativeTo="margin" w:alignment="right" w:leader="none"/>
        </w:r>
        <w:r w:rsidR="0077131B">
          <w:t xml:space="preserve"> </w:t>
        </w:r>
        <w:r w:rsidR="0077131B">
          <w:fldChar w:fldCharType="begin"/>
        </w:r>
        <w:r w:rsidR="0077131B">
          <w:instrText xml:space="preserve"> PAGE </w:instrText>
        </w:r>
        <w:r w:rsidR="0077131B">
          <w:fldChar w:fldCharType="separate"/>
        </w:r>
        <w:r w:rsidR="00652E71">
          <w:rPr>
            <w:noProof/>
          </w:rPr>
          <w:t>iii</w:t>
        </w:r>
        <w:r w:rsidR="0077131B">
          <w:rPr>
            <w:noProof/>
          </w:rPr>
          <w:fldChar w:fldCharType="end"/>
        </w:r>
      </w:p>
      <w:p w:rsidR="0077131B" w:rsidRDefault="00B14132" w:rsidP="009557F3">
        <w:pPr>
          <w:pStyle w:val="Footer"/>
          <w:jc w:val="right"/>
        </w:pPr>
      </w:p>
    </w:sdtContent>
  </w:sdt>
  <w:p w:rsidR="0077131B" w:rsidRDefault="007713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80096"/>
      <w:docPartObj>
        <w:docPartGallery w:val="Page Numbers (Bottom of Page)"/>
        <w:docPartUnique/>
      </w:docPartObj>
    </w:sdtPr>
    <w:sdtEndPr/>
    <w:sdtContent>
      <w:p w:rsidR="0077131B" w:rsidRDefault="0077131B" w:rsidP="009557F3">
        <w:pPr>
          <w:pStyle w:val="Footer"/>
          <w:pBdr>
            <w:top w:val="single" w:sz="4" w:space="1" w:color="auto"/>
          </w:pBdr>
          <w:spacing w:before="0" w:after="0" w:line="240" w:lineRule="auto"/>
        </w:pPr>
        <w:r>
          <w:t>Labour Market Research and Analysis Branch</w:t>
        </w:r>
      </w:p>
      <w:p w:rsidR="0077131B" w:rsidRPr="00B32455" w:rsidRDefault="008E26FC" w:rsidP="009557F3">
        <w:pPr>
          <w:pStyle w:val="Footer"/>
          <w:spacing w:before="0" w:after="0" w:line="240" w:lineRule="auto"/>
        </w:pPr>
        <w:r>
          <w:t>October</w:t>
        </w:r>
        <w:r w:rsidR="00FD6F84">
          <w:t xml:space="preserve"> 201</w:t>
        </w:r>
        <w:r>
          <w:t>2</w:t>
        </w:r>
        <w:r w:rsidR="0077131B">
          <w:ptab w:relativeTo="margin" w:alignment="right" w:leader="none"/>
        </w:r>
        <w:r w:rsidR="0077131B">
          <w:t xml:space="preserve"> </w:t>
        </w:r>
        <w:r w:rsidR="0077131B">
          <w:fldChar w:fldCharType="begin"/>
        </w:r>
        <w:r w:rsidR="0077131B">
          <w:instrText xml:space="preserve"> PAGE </w:instrText>
        </w:r>
        <w:r w:rsidR="0077131B">
          <w:fldChar w:fldCharType="separate"/>
        </w:r>
        <w:r w:rsidR="00B14132">
          <w:rPr>
            <w:noProof/>
          </w:rPr>
          <w:t>6</w:t>
        </w:r>
        <w:r w:rsidR="0077131B">
          <w:rPr>
            <w:noProof/>
          </w:rPr>
          <w:fldChar w:fldCharType="end"/>
        </w:r>
      </w:p>
      <w:p w:rsidR="0077131B" w:rsidRDefault="00B14132" w:rsidP="00C571AA">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A8" w:rsidRDefault="007C7AA8" w:rsidP="007C7AA8">
    <w:pPr>
      <w:pStyle w:val="Footer"/>
      <w:pBdr>
        <w:top w:val="single" w:sz="4" w:space="1" w:color="auto"/>
      </w:pBdr>
      <w:spacing w:before="0" w:after="0" w:line="240" w:lineRule="auto"/>
    </w:pPr>
    <w:r>
      <w:t>Labour Market Research and Analysis Branch</w:t>
    </w:r>
  </w:p>
  <w:p w:rsidR="0077131B" w:rsidRPr="00B32455" w:rsidRDefault="007C7AA8" w:rsidP="007C7AA8">
    <w:pPr>
      <w:pStyle w:val="Footer"/>
      <w:spacing w:before="0" w:after="0" w:line="240" w:lineRule="auto"/>
    </w:pPr>
    <w:r>
      <w:t>October 2012</w:t>
    </w:r>
    <w:r w:rsidR="0077131B">
      <w:ptab w:relativeTo="margin" w:alignment="right" w:leader="none"/>
    </w:r>
    <w:r w:rsidR="0077131B">
      <w:t xml:space="preserve"> </w:t>
    </w:r>
    <w:r w:rsidR="0077131B">
      <w:fldChar w:fldCharType="begin"/>
    </w:r>
    <w:r w:rsidR="0077131B">
      <w:instrText xml:space="preserve"> PAGE </w:instrText>
    </w:r>
    <w:r w:rsidR="0077131B">
      <w:fldChar w:fldCharType="separate"/>
    </w:r>
    <w:r w:rsidR="00B14132">
      <w:rPr>
        <w:noProof/>
      </w:rPr>
      <w:t>5</w:t>
    </w:r>
    <w:r w:rsidR="0077131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31B" w:rsidRDefault="0077131B" w:rsidP="006D0101">
      <w:pPr>
        <w:spacing w:before="0" w:after="0" w:line="240" w:lineRule="auto"/>
      </w:pPr>
      <w:r>
        <w:separator/>
      </w:r>
    </w:p>
  </w:footnote>
  <w:footnote w:type="continuationSeparator" w:id="0">
    <w:p w:rsidR="0077131B" w:rsidRDefault="0077131B" w:rsidP="006D0101">
      <w:pPr>
        <w:spacing w:before="0" w:after="0" w:line="240" w:lineRule="auto"/>
      </w:pPr>
      <w:r>
        <w:continuationSeparator/>
      </w:r>
    </w:p>
  </w:footnote>
  <w:footnote w:id="1">
    <w:p w:rsidR="0077131B" w:rsidRPr="00953BA2" w:rsidRDefault="0077131B" w:rsidP="00C34028">
      <w:pPr>
        <w:pStyle w:val="FootnoteText"/>
        <w:spacing w:after="0"/>
        <w:contextualSpacing/>
      </w:pPr>
      <w:r w:rsidRPr="00953BA2">
        <w:rPr>
          <w:rFonts w:ascii="Calibri" w:hAnsi="Calibri" w:cs="Calibri"/>
        </w:rPr>
        <w:footnoteRef/>
      </w:r>
      <w:r w:rsidRPr="00953BA2">
        <w:rPr>
          <w:rFonts w:ascii="Calibri" w:hAnsi="Calibri" w:cs="Calibri"/>
        </w:rPr>
        <w:t xml:space="preserve"> ABS Estimated Resident Population, 2011</w:t>
      </w:r>
    </w:p>
  </w:footnote>
  <w:footnote w:id="2">
    <w:p w:rsidR="0077131B" w:rsidRPr="00953BA2" w:rsidRDefault="0077131B" w:rsidP="00C34028">
      <w:pPr>
        <w:pStyle w:val="FootnoteText"/>
        <w:spacing w:after="0"/>
        <w:contextualSpacing/>
        <w:rPr>
          <w:rFonts w:ascii="Calibri" w:hAnsi="Calibri" w:cs="Calibri"/>
        </w:rPr>
      </w:pPr>
      <w:r w:rsidRPr="00953BA2">
        <w:rPr>
          <w:rStyle w:val="FootnoteReference"/>
          <w:rFonts w:ascii="Calibri" w:hAnsi="Calibri" w:cs="Calibri"/>
          <w:vertAlign w:val="baseline"/>
        </w:rPr>
        <w:footnoteRef/>
      </w:r>
      <w:r w:rsidRPr="00953BA2">
        <w:rPr>
          <w:rFonts w:ascii="Calibri" w:hAnsi="Calibri" w:cs="Calibri"/>
        </w:rPr>
        <w:t xml:space="preserve"> </w:t>
      </w:r>
      <w:r w:rsidR="00F1418B">
        <w:rPr>
          <w:rFonts w:ascii="Calibri" w:hAnsi="Calibri" w:cs="Calibri"/>
        </w:rPr>
        <w:t>Ibid.</w:t>
      </w:r>
    </w:p>
  </w:footnote>
  <w:footnote w:id="3">
    <w:p w:rsidR="0077131B" w:rsidRPr="00953BA2" w:rsidRDefault="0077131B" w:rsidP="00C34028">
      <w:pPr>
        <w:pStyle w:val="FootnoteText"/>
        <w:spacing w:after="0"/>
      </w:pPr>
      <w:r w:rsidRPr="00953BA2">
        <w:rPr>
          <w:rFonts w:ascii="Calibri" w:hAnsi="Calibri" w:cs="Calibri"/>
        </w:rPr>
        <w:footnoteRef/>
      </w:r>
      <w:r w:rsidRPr="00953BA2">
        <w:rPr>
          <w:rFonts w:ascii="Calibri" w:hAnsi="Calibri" w:cs="Calibri"/>
        </w:rPr>
        <w:t xml:space="preserve"> ABS Census of Population and Housing, 2011</w:t>
      </w:r>
    </w:p>
  </w:footnote>
  <w:footnote w:id="4">
    <w:p w:rsidR="008D7038" w:rsidRPr="00953BA2" w:rsidRDefault="008D7038" w:rsidP="008D7038">
      <w:pPr>
        <w:pStyle w:val="FootnoteText"/>
        <w:spacing w:after="0"/>
        <w:contextualSpacing/>
        <w:rPr>
          <w:rFonts w:ascii="Calibri" w:hAnsi="Calibri" w:cs="Calibri"/>
        </w:rPr>
      </w:pPr>
      <w:r w:rsidRPr="00953BA2">
        <w:rPr>
          <w:rStyle w:val="FootnoteReference"/>
          <w:rFonts w:ascii="Calibri" w:hAnsi="Calibri" w:cs="Calibri"/>
          <w:vertAlign w:val="baseline"/>
        </w:rPr>
        <w:footnoteRef/>
      </w:r>
      <w:r w:rsidRPr="00953BA2">
        <w:rPr>
          <w:rFonts w:ascii="Calibri" w:hAnsi="Calibri" w:cs="Calibri"/>
        </w:rPr>
        <w:t xml:space="preserve"> DEEWR, Small Area </w:t>
      </w:r>
      <w:proofErr w:type="spellStart"/>
      <w:r w:rsidRPr="00953BA2">
        <w:rPr>
          <w:rFonts w:ascii="Calibri" w:hAnsi="Calibri" w:cs="Calibri"/>
        </w:rPr>
        <w:t>Labour</w:t>
      </w:r>
      <w:proofErr w:type="spellEnd"/>
      <w:r w:rsidRPr="00953BA2">
        <w:rPr>
          <w:rFonts w:ascii="Calibri" w:hAnsi="Calibri" w:cs="Calibri"/>
        </w:rPr>
        <w:t xml:space="preserve"> M</w:t>
      </w:r>
      <w:r>
        <w:rPr>
          <w:rFonts w:ascii="Calibri" w:hAnsi="Calibri" w:cs="Calibri"/>
        </w:rPr>
        <w:t>arket, September</w:t>
      </w:r>
      <w:r w:rsidRPr="00953BA2">
        <w:rPr>
          <w:rFonts w:ascii="Calibri" w:hAnsi="Calibri" w:cs="Calibri"/>
        </w:rPr>
        <w:t xml:space="preserve"> 2012</w:t>
      </w:r>
    </w:p>
  </w:footnote>
  <w:footnote w:id="5">
    <w:p w:rsidR="0033715B" w:rsidRPr="00B402D0" w:rsidRDefault="0033715B" w:rsidP="0033715B">
      <w:pPr>
        <w:pStyle w:val="FootnoteText"/>
        <w:rPr>
          <w:lang w:val="en-AU"/>
        </w:rPr>
      </w:pPr>
      <w:r w:rsidRPr="00E2379B">
        <w:rPr>
          <w:rStyle w:val="FootnoteReference"/>
          <w:color w:val="auto"/>
        </w:rPr>
        <w:footnoteRef/>
      </w:r>
      <w:r w:rsidRPr="00E2379B">
        <w:rPr>
          <w:color w:val="auto"/>
        </w:rPr>
        <w:t xml:space="preserve"> </w:t>
      </w:r>
      <w:r w:rsidRPr="00E2379B">
        <w:rPr>
          <w:rFonts w:cstheme="minorHAnsi"/>
          <w:color w:val="auto"/>
          <w:sz w:val="18"/>
          <w:szCs w:val="18"/>
          <w:lang w:val="en-AU"/>
        </w:rPr>
        <w:t>The proportion of employers (with at least one unsuitable applicant) who stated at least one of the following reasons for applicant unsuitability</w:t>
      </w:r>
      <w:r w:rsidRPr="001160EB">
        <w:rPr>
          <w:rFonts w:cstheme="minorHAnsi"/>
          <w:color w:val="auto"/>
          <w:sz w:val="18"/>
          <w:szCs w:val="18"/>
          <w:lang w:val="en-AU"/>
        </w:rPr>
        <w:t>: applicant personality did not fit with the organization, lack of soft skills</w:t>
      </w:r>
      <w:r>
        <w:rPr>
          <w:rFonts w:cstheme="minorHAnsi"/>
          <w:color w:val="auto"/>
          <w:sz w:val="18"/>
          <w:szCs w:val="18"/>
          <w:lang w:val="en-AU"/>
        </w:rPr>
        <w:t xml:space="preserve"> and a</w:t>
      </w:r>
      <w:r w:rsidRPr="00E2379B">
        <w:rPr>
          <w:rFonts w:cstheme="minorHAnsi"/>
          <w:color w:val="auto"/>
          <w:sz w:val="18"/>
          <w:szCs w:val="18"/>
          <w:lang w:val="en-AU"/>
        </w:rPr>
        <w:t>pplicant not interested in the work</w:t>
      </w:r>
      <w:r>
        <w:rPr>
          <w:rFonts w:cstheme="minorHAnsi"/>
          <w:color w:val="auto"/>
          <w:sz w:val="18"/>
          <w:szCs w:val="18"/>
          <w:lang w:val="en-AU"/>
        </w:rPr>
        <w:t>.</w:t>
      </w:r>
      <w:r w:rsidRPr="001160EB">
        <w:rPr>
          <w:rFonts w:cstheme="minorHAnsi"/>
          <w:color w:val="auto"/>
          <w:sz w:val="18"/>
          <w:szCs w:val="18"/>
          <w:lang w:val="en-AU"/>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1B" w:rsidRDefault="00771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1B" w:rsidRPr="00F1256C" w:rsidRDefault="0077131B" w:rsidP="00F1256C">
    <w:pPr>
      <w:pStyle w:val="BodyText"/>
      <w:jc w:val="right"/>
      <w:rPr>
        <w:color w:val="808080" w:themeColor="background1" w:themeShade="80"/>
      </w:rPr>
    </w:pPr>
    <w:r>
      <w:rPr>
        <w:color w:val="808080" w:themeColor="background1" w:themeShade="80"/>
      </w:rPr>
      <w:t xml:space="preserve">Central Victoria Priority Employment Area Report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1B" w:rsidRPr="002C1FDF" w:rsidRDefault="0077131B" w:rsidP="002C1F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1B" w:rsidRPr="00F1256C" w:rsidRDefault="0077131B" w:rsidP="00690AB6">
    <w:pPr>
      <w:pStyle w:val="BodyText"/>
      <w:jc w:val="right"/>
      <w:rPr>
        <w:color w:val="808080" w:themeColor="background1" w:themeShade="80"/>
      </w:rPr>
    </w:pPr>
    <w:r>
      <w:rPr>
        <w:color w:val="808080" w:themeColor="background1" w:themeShade="80"/>
      </w:rPr>
      <w:t>C</w:t>
    </w:r>
    <w:r w:rsidR="007F771D">
      <w:rPr>
        <w:color w:val="808080" w:themeColor="background1" w:themeShade="80"/>
      </w:rPr>
      <w:t>entral Victoria</w:t>
    </w:r>
    <w:r>
      <w:rPr>
        <w:color w:val="808080" w:themeColor="background1" w:themeShade="80"/>
      </w:rPr>
      <w:t xml:space="preserve"> Priority Employment Area Report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5D4F640"/>
    <w:lvl w:ilvl="0">
      <w:start w:val="1"/>
      <w:numFmt w:val="decimal"/>
      <w:pStyle w:val="ListNumber"/>
      <w:lvlText w:val="%1."/>
      <w:lvlJc w:val="left"/>
      <w:pPr>
        <w:tabs>
          <w:tab w:val="num" w:pos="360"/>
        </w:tabs>
        <w:ind w:left="360" w:hanging="360"/>
      </w:pPr>
    </w:lvl>
  </w:abstractNum>
  <w:abstractNum w:abstractNumId="1">
    <w:nsid w:val="FFFFFF89"/>
    <w:multiLevelType w:val="singleLevel"/>
    <w:tmpl w:val="D6DEAEC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AB0377"/>
    <w:multiLevelType w:val="hybridMultilevel"/>
    <w:tmpl w:val="9E9C3F62"/>
    <w:lvl w:ilvl="0" w:tplc="E2380726">
      <w:start w:val="6"/>
      <w:numFmt w:val="bullet"/>
      <w:lvlText w:val="-"/>
      <w:lvlJc w:val="left"/>
      <w:pPr>
        <w:ind w:left="1080" w:hanging="360"/>
      </w:pPr>
      <w:rPr>
        <w:rFonts w:ascii="Corbel" w:eastAsia="Corbel" w:hAnsi="Corbel"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AAA5AE5"/>
    <w:multiLevelType w:val="hybridMultilevel"/>
    <w:tmpl w:val="8110D112"/>
    <w:lvl w:ilvl="0" w:tplc="4FCA46C0">
      <w:start w:val="1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CF314F"/>
    <w:multiLevelType w:val="hybridMultilevel"/>
    <w:tmpl w:val="E68081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E271F71"/>
    <w:multiLevelType w:val="hybridMultilevel"/>
    <w:tmpl w:val="B7329E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9F715F"/>
    <w:multiLevelType w:val="hybridMultilevel"/>
    <w:tmpl w:val="45EAB0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nsid w:val="1D7C5113"/>
    <w:multiLevelType w:val="hybridMultilevel"/>
    <w:tmpl w:val="F8AEF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1D27B4"/>
    <w:multiLevelType w:val="hybridMultilevel"/>
    <w:tmpl w:val="D66218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16552DE"/>
    <w:multiLevelType w:val="hybridMultilevel"/>
    <w:tmpl w:val="A6D021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1BD0CC0"/>
    <w:multiLevelType w:val="hybridMultilevel"/>
    <w:tmpl w:val="A4389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237437B"/>
    <w:multiLevelType w:val="hybridMultilevel"/>
    <w:tmpl w:val="EFCC2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5770023"/>
    <w:multiLevelType w:val="hybridMultilevel"/>
    <w:tmpl w:val="F8685A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5817C8E"/>
    <w:multiLevelType w:val="hybridMultilevel"/>
    <w:tmpl w:val="450C47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77270F6"/>
    <w:multiLevelType w:val="hybridMultilevel"/>
    <w:tmpl w:val="CEB8FF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C5F6898"/>
    <w:multiLevelType w:val="hybridMultilevel"/>
    <w:tmpl w:val="87B0D368"/>
    <w:lvl w:ilvl="0" w:tplc="D1E4C956">
      <w:start w:val="1"/>
      <w:numFmt w:val="bullet"/>
      <w:lvlText w:val=""/>
      <w:lvlJc w:val="left"/>
      <w:pPr>
        <w:ind w:left="360" w:hanging="360"/>
      </w:pPr>
      <w:rPr>
        <w:rFonts w:ascii="Symbol" w:hAnsi="Symbol" w:hint="default"/>
        <w:color w:val="auto"/>
        <w:sz w:val="24"/>
        <w:szCs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CC25B93"/>
    <w:multiLevelType w:val="multilevel"/>
    <w:tmpl w:val="072C9B8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06C6457"/>
    <w:multiLevelType w:val="hybridMultilevel"/>
    <w:tmpl w:val="92F402EE"/>
    <w:lvl w:ilvl="0" w:tplc="E1285C6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19D11EF"/>
    <w:multiLevelType w:val="hybridMultilevel"/>
    <w:tmpl w:val="73B8E8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2017D53"/>
    <w:multiLevelType w:val="hybridMultilevel"/>
    <w:tmpl w:val="4800A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5B6529C"/>
    <w:multiLevelType w:val="hybridMultilevel"/>
    <w:tmpl w:val="E514C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6A400E3"/>
    <w:multiLevelType w:val="hybridMultilevel"/>
    <w:tmpl w:val="50B48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D52261A"/>
    <w:multiLevelType w:val="hybridMultilevel"/>
    <w:tmpl w:val="45984E74"/>
    <w:lvl w:ilvl="0" w:tplc="A268067C">
      <w:start w:val="6"/>
      <w:numFmt w:val="bullet"/>
      <w:lvlText w:val="-"/>
      <w:lvlJc w:val="left"/>
      <w:pPr>
        <w:ind w:left="720" w:hanging="360"/>
      </w:pPr>
      <w:rPr>
        <w:rFonts w:ascii="Corbel" w:eastAsia="Corbel" w:hAnsi="Corbel" w:cstheme="minorHAnsi" w:hint="default"/>
        <w:color w:val="5A5A5A"/>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E03185"/>
    <w:multiLevelType w:val="hybridMultilevel"/>
    <w:tmpl w:val="5BAE9E12"/>
    <w:lvl w:ilvl="0" w:tplc="FA842FC8">
      <w:start w:val="6"/>
      <w:numFmt w:val="bullet"/>
      <w:lvlText w:val="-"/>
      <w:lvlJc w:val="left"/>
      <w:pPr>
        <w:ind w:left="720" w:hanging="360"/>
      </w:pPr>
      <w:rPr>
        <w:rFonts w:ascii="Corbel" w:eastAsia="Corbel" w:hAnsi="Corbel" w:cstheme="minorHAnsi" w:hint="default"/>
        <w:color w:val="5A5A5A"/>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040D45"/>
    <w:multiLevelType w:val="hybridMultilevel"/>
    <w:tmpl w:val="9EC45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872129C"/>
    <w:multiLevelType w:val="hybridMultilevel"/>
    <w:tmpl w:val="2228A7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A9F7927"/>
    <w:multiLevelType w:val="hybridMultilevel"/>
    <w:tmpl w:val="8BA0F2C0"/>
    <w:lvl w:ilvl="0" w:tplc="35EC242A">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F8F763D"/>
    <w:multiLevelType w:val="hybridMultilevel"/>
    <w:tmpl w:val="D35266CC"/>
    <w:lvl w:ilvl="0" w:tplc="E1FE50DE">
      <w:start w:val="1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937DCC"/>
    <w:multiLevelType w:val="hybridMultilevel"/>
    <w:tmpl w:val="9124AEA2"/>
    <w:lvl w:ilvl="0" w:tplc="E1285C6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1DE06A1"/>
    <w:multiLevelType w:val="hybridMultilevel"/>
    <w:tmpl w:val="388CB0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3313CDE"/>
    <w:multiLevelType w:val="hybridMultilevel"/>
    <w:tmpl w:val="B874BB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4E52423"/>
    <w:multiLevelType w:val="hybridMultilevel"/>
    <w:tmpl w:val="CE588C18"/>
    <w:lvl w:ilvl="0" w:tplc="463A8878">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D3E6A10"/>
    <w:multiLevelType w:val="hybridMultilevel"/>
    <w:tmpl w:val="68E48252"/>
    <w:lvl w:ilvl="0" w:tplc="2230EBF8">
      <w:start w:val="1"/>
      <w:numFmt w:val="bullet"/>
      <w:pStyle w:val="Shaded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F0879F9"/>
    <w:multiLevelType w:val="hybridMultilevel"/>
    <w:tmpl w:val="A146931C"/>
    <w:lvl w:ilvl="0" w:tplc="F9CC99E0">
      <w:numFmt w:val="bullet"/>
      <w:lvlText w:val=""/>
      <w:lvlJc w:val="left"/>
      <w:pPr>
        <w:ind w:left="720" w:hanging="360"/>
      </w:pPr>
      <w:rPr>
        <w:rFonts w:ascii="Symbol" w:eastAsiaTheme="minorEastAs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B4575A"/>
    <w:multiLevelType w:val="hybridMultilevel"/>
    <w:tmpl w:val="E35E37C8"/>
    <w:lvl w:ilvl="0" w:tplc="44003316">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6FA3FA7"/>
    <w:multiLevelType w:val="hybridMultilevel"/>
    <w:tmpl w:val="764A72F4"/>
    <w:lvl w:ilvl="0" w:tplc="547ECCAC">
      <w:start w:val="6"/>
      <w:numFmt w:val="bullet"/>
      <w:lvlText w:val="-"/>
      <w:lvlJc w:val="left"/>
      <w:pPr>
        <w:ind w:left="720" w:hanging="360"/>
      </w:pPr>
      <w:rPr>
        <w:rFonts w:ascii="Corbel" w:eastAsia="Corbel" w:hAnsi="Corbel" w:cstheme="minorHAnsi" w:hint="default"/>
        <w:color w:val="5A5A5A"/>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8EE49E4"/>
    <w:multiLevelType w:val="hybridMultilevel"/>
    <w:tmpl w:val="E6BC4398"/>
    <w:lvl w:ilvl="0" w:tplc="7B446190">
      <w:start w:val="1"/>
      <w:numFmt w:val="bullet"/>
      <w:lvlText w:val=""/>
      <w:lvlJc w:val="left"/>
      <w:pPr>
        <w:ind w:left="720" w:hanging="360"/>
      </w:pPr>
      <w:rPr>
        <w:rFonts w:asciiTheme="minorHAnsi" w:hAnsiTheme="minorHAnsi" w:cstheme="minorHAns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AF50096"/>
    <w:multiLevelType w:val="hybridMultilevel"/>
    <w:tmpl w:val="3E3AC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B3A6F60"/>
    <w:multiLevelType w:val="hybridMultilevel"/>
    <w:tmpl w:val="2BB8ADA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0">
    <w:nsid w:val="6D2274E0"/>
    <w:multiLevelType w:val="hybridMultilevel"/>
    <w:tmpl w:val="1ABCE4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6D7F759E"/>
    <w:multiLevelType w:val="hybridMultilevel"/>
    <w:tmpl w:val="E62A8E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E283F33"/>
    <w:multiLevelType w:val="hybridMultilevel"/>
    <w:tmpl w:val="A5E615DE"/>
    <w:lvl w:ilvl="0" w:tplc="6AC8116A">
      <w:start w:val="1"/>
      <w:numFmt w:val="bullet"/>
      <w:lvlText w:val=""/>
      <w:lvlJc w:val="left"/>
      <w:pPr>
        <w:tabs>
          <w:tab w:val="num" w:pos="360"/>
        </w:tabs>
        <w:ind w:left="360" w:hanging="360"/>
      </w:pPr>
      <w:rPr>
        <w:rFonts w:ascii="Symbol" w:hAnsi="Symbol" w:hint="default"/>
        <w:color w:val="00529C"/>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57A12E6"/>
    <w:multiLevelType w:val="hybridMultilevel"/>
    <w:tmpl w:val="14821452"/>
    <w:lvl w:ilvl="0" w:tplc="AB94E2AA">
      <w:start w:val="1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C24393C"/>
    <w:multiLevelType w:val="hybridMultilevel"/>
    <w:tmpl w:val="831E79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3"/>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9"/>
  </w:num>
  <w:num w:numId="8">
    <w:abstractNumId w:val="44"/>
  </w:num>
  <w:num w:numId="9">
    <w:abstractNumId w:val="4"/>
  </w:num>
  <w:num w:numId="10">
    <w:abstractNumId w:val="19"/>
  </w:num>
  <w:num w:numId="11">
    <w:abstractNumId w:val="9"/>
  </w:num>
  <w:num w:numId="12">
    <w:abstractNumId w:val="40"/>
  </w:num>
  <w:num w:numId="13">
    <w:abstractNumId w:val="26"/>
  </w:num>
  <w:num w:numId="14">
    <w:abstractNumId w:val="38"/>
  </w:num>
  <w:num w:numId="15">
    <w:abstractNumId w:val="42"/>
  </w:num>
  <w:num w:numId="16">
    <w:abstractNumId w:val="7"/>
  </w:num>
  <w:num w:numId="17">
    <w:abstractNumId w:val="22"/>
  </w:num>
  <w:num w:numId="18">
    <w:abstractNumId w:val="13"/>
  </w:num>
  <w:num w:numId="19">
    <w:abstractNumId w:val="34"/>
  </w:num>
  <w:num w:numId="20">
    <w:abstractNumId w:val="16"/>
  </w:num>
  <w:num w:numId="21">
    <w:abstractNumId w:val="25"/>
  </w:num>
  <w:num w:numId="22">
    <w:abstractNumId w:val="11"/>
  </w:num>
  <w:num w:numId="23">
    <w:abstractNumId w:val="12"/>
  </w:num>
  <w:num w:numId="24">
    <w:abstractNumId w:val="18"/>
  </w:num>
  <w:num w:numId="25">
    <w:abstractNumId w:val="39"/>
  </w:num>
  <w:num w:numId="26">
    <w:abstractNumId w:val="41"/>
  </w:num>
  <w:num w:numId="27">
    <w:abstractNumId w:val="10"/>
  </w:num>
  <w:num w:numId="28">
    <w:abstractNumId w:val="30"/>
  </w:num>
  <w:num w:numId="29">
    <w:abstractNumId w:val="15"/>
  </w:num>
  <w:num w:numId="30">
    <w:abstractNumId w:val="31"/>
  </w:num>
  <w:num w:numId="31">
    <w:abstractNumId w:val="3"/>
  </w:num>
  <w:num w:numId="32">
    <w:abstractNumId w:val="28"/>
  </w:num>
  <w:num w:numId="33">
    <w:abstractNumId w:val="43"/>
  </w:num>
  <w:num w:numId="34">
    <w:abstractNumId w:val="14"/>
  </w:num>
  <w:num w:numId="35">
    <w:abstractNumId w:val="27"/>
  </w:num>
  <w:num w:numId="36">
    <w:abstractNumId w:val="6"/>
  </w:num>
  <w:num w:numId="37">
    <w:abstractNumId w:val="5"/>
  </w:num>
  <w:num w:numId="38">
    <w:abstractNumId w:val="35"/>
  </w:num>
  <w:num w:numId="39">
    <w:abstractNumId w:val="32"/>
  </w:num>
  <w:num w:numId="40">
    <w:abstractNumId w:val="2"/>
  </w:num>
  <w:num w:numId="41">
    <w:abstractNumId w:val="36"/>
  </w:num>
  <w:num w:numId="42">
    <w:abstractNumId w:val="23"/>
  </w:num>
  <w:num w:numId="43">
    <w:abstractNumId w:val="24"/>
  </w:num>
  <w:num w:numId="44">
    <w:abstractNumId w:val="37"/>
  </w:num>
  <w:num w:numId="45">
    <w:abstractNumId w:val="8"/>
  </w:num>
  <w:num w:numId="46">
    <w:abstractNumId w:val="20"/>
  </w:num>
  <w:num w:numId="4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2268"/>
  <w:drawingGridHorizontalSpacing w:val="110"/>
  <w:displayHorizontalDrawingGridEvery w:val="2"/>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860A9"/>
    <w:rsid w:val="00003A96"/>
    <w:rsid w:val="000078B6"/>
    <w:rsid w:val="000127B6"/>
    <w:rsid w:val="00032567"/>
    <w:rsid w:val="0004034C"/>
    <w:rsid w:val="0004101C"/>
    <w:rsid w:val="0004294B"/>
    <w:rsid w:val="00055FBE"/>
    <w:rsid w:val="00067ED7"/>
    <w:rsid w:val="00072253"/>
    <w:rsid w:val="0007347D"/>
    <w:rsid w:val="000A2103"/>
    <w:rsid w:val="000A407C"/>
    <w:rsid w:val="000C41FD"/>
    <w:rsid w:val="000D32F8"/>
    <w:rsid w:val="000D73FB"/>
    <w:rsid w:val="000D78C0"/>
    <w:rsid w:val="000F0F54"/>
    <w:rsid w:val="000F4437"/>
    <w:rsid w:val="000F4F89"/>
    <w:rsid w:val="001000CD"/>
    <w:rsid w:val="0010049B"/>
    <w:rsid w:val="00111482"/>
    <w:rsid w:val="00112DB9"/>
    <w:rsid w:val="001160EB"/>
    <w:rsid w:val="001207F1"/>
    <w:rsid w:val="001267B1"/>
    <w:rsid w:val="00126AE0"/>
    <w:rsid w:val="00142F51"/>
    <w:rsid w:val="001439D9"/>
    <w:rsid w:val="00146B6E"/>
    <w:rsid w:val="00172DD5"/>
    <w:rsid w:val="001745BD"/>
    <w:rsid w:val="001778DC"/>
    <w:rsid w:val="00184742"/>
    <w:rsid w:val="001906F0"/>
    <w:rsid w:val="00190E2E"/>
    <w:rsid w:val="001969D0"/>
    <w:rsid w:val="001972D5"/>
    <w:rsid w:val="0019736B"/>
    <w:rsid w:val="001A4A25"/>
    <w:rsid w:val="001A71DC"/>
    <w:rsid w:val="001B270A"/>
    <w:rsid w:val="001B2E59"/>
    <w:rsid w:val="001B3A5A"/>
    <w:rsid w:val="001C08B6"/>
    <w:rsid w:val="001D2646"/>
    <w:rsid w:val="001D51EA"/>
    <w:rsid w:val="001E1498"/>
    <w:rsid w:val="001E4EB3"/>
    <w:rsid w:val="001F4B9B"/>
    <w:rsid w:val="002105B1"/>
    <w:rsid w:val="00214486"/>
    <w:rsid w:val="00217C2B"/>
    <w:rsid w:val="0022116C"/>
    <w:rsid w:val="00222483"/>
    <w:rsid w:val="00223EB5"/>
    <w:rsid w:val="00225B62"/>
    <w:rsid w:val="00227EC7"/>
    <w:rsid w:val="00233F73"/>
    <w:rsid w:val="00234E21"/>
    <w:rsid w:val="002374E1"/>
    <w:rsid w:val="00242EBE"/>
    <w:rsid w:val="002459D3"/>
    <w:rsid w:val="00245E38"/>
    <w:rsid w:val="0025435B"/>
    <w:rsid w:val="00262EA6"/>
    <w:rsid w:val="00264AAD"/>
    <w:rsid w:val="00276640"/>
    <w:rsid w:val="00277E54"/>
    <w:rsid w:val="00284C50"/>
    <w:rsid w:val="002923D5"/>
    <w:rsid w:val="002966E7"/>
    <w:rsid w:val="002B121C"/>
    <w:rsid w:val="002B49FA"/>
    <w:rsid w:val="002C1FDF"/>
    <w:rsid w:val="002C57CD"/>
    <w:rsid w:val="002E300D"/>
    <w:rsid w:val="002F0DFC"/>
    <w:rsid w:val="002F699A"/>
    <w:rsid w:val="002F76D9"/>
    <w:rsid w:val="002F7D71"/>
    <w:rsid w:val="003058B1"/>
    <w:rsid w:val="003175DF"/>
    <w:rsid w:val="003213DE"/>
    <w:rsid w:val="00322D0A"/>
    <w:rsid w:val="0032332A"/>
    <w:rsid w:val="003249FF"/>
    <w:rsid w:val="0033715B"/>
    <w:rsid w:val="00342340"/>
    <w:rsid w:val="00387781"/>
    <w:rsid w:val="003B2FC2"/>
    <w:rsid w:val="003B37D6"/>
    <w:rsid w:val="003D004B"/>
    <w:rsid w:val="003D35DB"/>
    <w:rsid w:val="003D56DB"/>
    <w:rsid w:val="003D653C"/>
    <w:rsid w:val="003E0B71"/>
    <w:rsid w:val="003E387D"/>
    <w:rsid w:val="003F134A"/>
    <w:rsid w:val="00403900"/>
    <w:rsid w:val="004062CB"/>
    <w:rsid w:val="00417AD7"/>
    <w:rsid w:val="00421C94"/>
    <w:rsid w:val="004319E6"/>
    <w:rsid w:val="00440945"/>
    <w:rsid w:val="00441371"/>
    <w:rsid w:val="00444473"/>
    <w:rsid w:val="00444DB7"/>
    <w:rsid w:val="00455077"/>
    <w:rsid w:val="004622B0"/>
    <w:rsid w:val="00465B8E"/>
    <w:rsid w:val="004661CD"/>
    <w:rsid w:val="00466200"/>
    <w:rsid w:val="00472951"/>
    <w:rsid w:val="004822CA"/>
    <w:rsid w:val="00485223"/>
    <w:rsid w:val="00486696"/>
    <w:rsid w:val="00491613"/>
    <w:rsid w:val="004924D7"/>
    <w:rsid w:val="00492AB6"/>
    <w:rsid w:val="00492EF0"/>
    <w:rsid w:val="00497B0B"/>
    <w:rsid w:val="004A67FA"/>
    <w:rsid w:val="004B032A"/>
    <w:rsid w:val="004B1A2D"/>
    <w:rsid w:val="004C62AE"/>
    <w:rsid w:val="004C6FD4"/>
    <w:rsid w:val="004E7D6E"/>
    <w:rsid w:val="004F1D29"/>
    <w:rsid w:val="00505489"/>
    <w:rsid w:val="00514D35"/>
    <w:rsid w:val="00515E5C"/>
    <w:rsid w:val="0053380C"/>
    <w:rsid w:val="00546211"/>
    <w:rsid w:val="005578D6"/>
    <w:rsid w:val="005640B6"/>
    <w:rsid w:val="00577029"/>
    <w:rsid w:val="005801CC"/>
    <w:rsid w:val="00581540"/>
    <w:rsid w:val="00584F6F"/>
    <w:rsid w:val="00586DBB"/>
    <w:rsid w:val="005874C9"/>
    <w:rsid w:val="005948D3"/>
    <w:rsid w:val="005B0245"/>
    <w:rsid w:val="005B0FE4"/>
    <w:rsid w:val="005B4457"/>
    <w:rsid w:val="005C4183"/>
    <w:rsid w:val="005C4C20"/>
    <w:rsid w:val="005C76D2"/>
    <w:rsid w:val="005D63F2"/>
    <w:rsid w:val="005E2E45"/>
    <w:rsid w:val="005E6B70"/>
    <w:rsid w:val="005F19A4"/>
    <w:rsid w:val="006144EF"/>
    <w:rsid w:val="006220BE"/>
    <w:rsid w:val="00623289"/>
    <w:rsid w:val="006300F9"/>
    <w:rsid w:val="0063531A"/>
    <w:rsid w:val="006503D7"/>
    <w:rsid w:val="00650AB3"/>
    <w:rsid w:val="00652E71"/>
    <w:rsid w:val="00657ED7"/>
    <w:rsid w:val="00663686"/>
    <w:rsid w:val="0066661B"/>
    <w:rsid w:val="00676E3A"/>
    <w:rsid w:val="0068504B"/>
    <w:rsid w:val="00685068"/>
    <w:rsid w:val="00687FEC"/>
    <w:rsid w:val="00690AB6"/>
    <w:rsid w:val="006940C8"/>
    <w:rsid w:val="00694856"/>
    <w:rsid w:val="006C32D8"/>
    <w:rsid w:val="006C6F4D"/>
    <w:rsid w:val="006C7EFD"/>
    <w:rsid w:val="006D0101"/>
    <w:rsid w:val="006D24B7"/>
    <w:rsid w:val="006D521D"/>
    <w:rsid w:val="006E4573"/>
    <w:rsid w:val="00700ACA"/>
    <w:rsid w:val="00700BA4"/>
    <w:rsid w:val="007023CE"/>
    <w:rsid w:val="00711B61"/>
    <w:rsid w:val="00712E11"/>
    <w:rsid w:val="00714603"/>
    <w:rsid w:val="00715031"/>
    <w:rsid w:val="00720595"/>
    <w:rsid w:val="007261A3"/>
    <w:rsid w:val="007309AE"/>
    <w:rsid w:val="00741377"/>
    <w:rsid w:val="00742C0A"/>
    <w:rsid w:val="007459C7"/>
    <w:rsid w:val="00750BEF"/>
    <w:rsid w:val="007519A5"/>
    <w:rsid w:val="00757DA7"/>
    <w:rsid w:val="0077131B"/>
    <w:rsid w:val="0077463D"/>
    <w:rsid w:val="00775F54"/>
    <w:rsid w:val="007858E9"/>
    <w:rsid w:val="00790B92"/>
    <w:rsid w:val="00793116"/>
    <w:rsid w:val="00793169"/>
    <w:rsid w:val="00793E26"/>
    <w:rsid w:val="007A73EB"/>
    <w:rsid w:val="007C61E6"/>
    <w:rsid w:val="007C6E0F"/>
    <w:rsid w:val="007C7AA8"/>
    <w:rsid w:val="007D1BE8"/>
    <w:rsid w:val="007D372A"/>
    <w:rsid w:val="007E25A2"/>
    <w:rsid w:val="007F36DA"/>
    <w:rsid w:val="007F4073"/>
    <w:rsid w:val="007F6A60"/>
    <w:rsid w:val="007F771D"/>
    <w:rsid w:val="00812446"/>
    <w:rsid w:val="00822942"/>
    <w:rsid w:val="00834551"/>
    <w:rsid w:val="008349BC"/>
    <w:rsid w:val="00834BAA"/>
    <w:rsid w:val="008356E1"/>
    <w:rsid w:val="00844989"/>
    <w:rsid w:val="00845565"/>
    <w:rsid w:val="0086685D"/>
    <w:rsid w:val="008672D3"/>
    <w:rsid w:val="00871FA2"/>
    <w:rsid w:val="00872D6E"/>
    <w:rsid w:val="008765FF"/>
    <w:rsid w:val="008823C4"/>
    <w:rsid w:val="00883D5E"/>
    <w:rsid w:val="00887E9C"/>
    <w:rsid w:val="008939B0"/>
    <w:rsid w:val="008A1AC3"/>
    <w:rsid w:val="008A6E76"/>
    <w:rsid w:val="008B316E"/>
    <w:rsid w:val="008B5A30"/>
    <w:rsid w:val="008C724C"/>
    <w:rsid w:val="008D00C6"/>
    <w:rsid w:val="008D30C5"/>
    <w:rsid w:val="008D7038"/>
    <w:rsid w:val="008E0809"/>
    <w:rsid w:val="008E26FC"/>
    <w:rsid w:val="008E4642"/>
    <w:rsid w:val="008E4DA0"/>
    <w:rsid w:val="008F0CC3"/>
    <w:rsid w:val="00900096"/>
    <w:rsid w:val="009203A6"/>
    <w:rsid w:val="00922822"/>
    <w:rsid w:val="00924595"/>
    <w:rsid w:val="0092685F"/>
    <w:rsid w:val="00927C00"/>
    <w:rsid w:val="00936382"/>
    <w:rsid w:val="00936D35"/>
    <w:rsid w:val="009419A5"/>
    <w:rsid w:val="00941E9C"/>
    <w:rsid w:val="009424D7"/>
    <w:rsid w:val="00944C6B"/>
    <w:rsid w:val="0095065C"/>
    <w:rsid w:val="00951F2A"/>
    <w:rsid w:val="009528B9"/>
    <w:rsid w:val="00953BA2"/>
    <w:rsid w:val="009557F3"/>
    <w:rsid w:val="0095643C"/>
    <w:rsid w:val="009658D1"/>
    <w:rsid w:val="00971F92"/>
    <w:rsid w:val="0097493D"/>
    <w:rsid w:val="0098616D"/>
    <w:rsid w:val="009A5A1D"/>
    <w:rsid w:val="009B754D"/>
    <w:rsid w:val="009C4E05"/>
    <w:rsid w:val="009D1163"/>
    <w:rsid w:val="009D4220"/>
    <w:rsid w:val="009D5AE8"/>
    <w:rsid w:val="009E0A7B"/>
    <w:rsid w:val="009E2717"/>
    <w:rsid w:val="009F15D5"/>
    <w:rsid w:val="009F1AE2"/>
    <w:rsid w:val="009F77C5"/>
    <w:rsid w:val="00A144B2"/>
    <w:rsid w:val="00A147F3"/>
    <w:rsid w:val="00A2366C"/>
    <w:rsid w:val="00A249D4"/>
    <w:rsid w:val="00A26ADF"/>
    <w:rsid w:val="00A309CC"/>
    <w:rsid w:val="00A355FD"/>
    <w:rsid w:val="00A528D1"/>
    <w:rsid w:val="00A53C45"/>
    <w:rsid w:val="00A542C6"/>
    <w:rsid w:val="00A54BF3"/>
    <w:rsid w:val="00A63B27"/>
    <w:rsid w:val="00A814FD"/>
    <w:rsid w:val="00AC00A0"/>
    <w:rsid w:val="00AE66D5"/>
    <w:rsid w:val="00AF01BD"/>
    <w:rsid w:val="00AF1D21"/>
    <w:rsid w:val="00AF2869"/>
    <w:rsid w:val="00B137CC"/>
    <w:rsid w:val="00B14132"/>
    <w:rsid w:val="00B162F1"/>
    <w:rsid w:val="00B17D9B"/>
    <w:rsid w:val="00B32455"/>
    <w:rsid w:val="00B32505"/>
    <w:rsid w:val="00B36EE2"/>
    <w:rsid w:val="00B41F2F"/>
    <w:rsid w:val="00B47EFE"/>
    <w:rsid w:val="00B52422"/>
    <w:rsid w:val="00B546DD"/>
    <w:rsid w:val="00B570EC"/>
    <w:rsid w:val="00B65989"/>
    <w:rsid w:val="00B71E16"/>
    <w:rsid w:val="00B7507B"/>
    <w:rsid w:val="00B76D59"/>
    <w:rsid w:val="00B840C6"/>
    <w:rsid w:val="00B93EC3"/>
    <w:rsid w:val="00B974CF"/>
    <w:rsid w:val="00BA455A"/>
    <w:rsid w:val="00BA4FB6"/>
    <w:rsid w:val="00BA64D0"/>
    <w:rsid w:val="00BA7342"/>
    <w:rsid w:val="00BB08E6"/>
    <w:rsid w:val="00BB0DDF"/>
    <w:rsid w:val="00BB0E53"/>
    <w:rsid w:val="00BB4BF7"/>
    <w:rsid w:val="00BC456C"/>
    <w:rsid w:val="00BC5A49"/>
    <w:rsid w:val="00BC6289"/>
    <w:rsid w:val="00BC7B04"/>
    <w:rsid w:val="00BD269A"/>
    <w:rsid w:val="00BD569F"/>
    <w:rsid w:val="00BD69AE"/>
    <w:rsid w:val="00BE142F"/>
    <w:rsid w:val="00BE5669"/>
    <w:rsid w:val="00BF2639"/>
    <w:rsid w:val="00BF27F7"/>
    <w:rsid w:val="00BF4B61"/>
    <w:rsid w:val="00C00EF8"/>
    <w:rsid w:val="00C34028"/>
    <w:rsid w:val="00C353F1"/>
    <w:rsid w:val="00C431F9"/>
    <w:rsid w:val="00C43DD1"/>
    <w:rsid w:val="00C47489"/>
    <w:rsid w:val="00C571AA"/>
    <w:rsid w:val="00C6227E"/>
    <w:rsid w:val="00C6601F"/>
    <w:rsid w:val="00C74722"/>
    <w:rsid w:val="00C85BD1"/>
    <w:rsid w:val="00C87865"/>
    <w:rsid w:val="00C94CCD"/>
    <w:rsid w:val="00C97903"/>
    <w:rsid w:val="00CB60CF"/>
    <w:rsid w:val="00CC7471"/>
    <w:rsid w:val="00CD7EC2"/>
    <w:rsid w:val="00CE18B7"/>
    <w:rsid w:val="00CE353D"/>
    <w:rsid w:val="00CE75D2"/>
    <w:rsid w:val="00CE7D18"/>
    <w:rsid w:val="00CF032A"/>
    <w:rsid w:val="00D039ED"/>
    <w:rsid w:val="00D05827"/>
    <w:rsid w:val="00D0622C"/>
    <w:rsid w:val="00D1426C"/>
    <w:rsid w:val="00D171F5"/>
    <w:rsid w:val="00D347DF"/>
    <w:rsid w:val="00D405D3"/>
    <w:rsid w:val="00D516FD"/>
    <w:rsid w:val="00D52055"/>
    <w:rsid w:val="00D5310A"/>
    <w:rsid w:val="00D571C0"/>
    <w:rsid w:val="00D70208"/>
    <w:rsid w:val="00D7050F"/>
    <w:rsid w:val="00D76419"/>
    <w:rsid w:val="00D771E2"/>
    <w:rsid w:val="00D860A9"/>
    <w:rsid w:val="00D86FB7"/>
    <w:rsid w:val="00D91210"/>
    <w:rsid w:val="00D94417"/>
    <w:rsid w:val="00D95529"/>
    <w:rsid w:val="00DA2981"/>
    <w:rsid w:val="00DA39EB"/>
    <w:rsid w:val="00DA450A"/>
    <w:rsid w:val="00DB0902"/>
    <w:rsid w:val="00DB0ECE"/>
    <w:rsid w:val="00DB5845"/>
    <w:rsid w:val="00DC264F"/>
    <w:rsid w:val="00DC6B5D"/>
    <w:rsid w:val="00DD62B2"/>
    <w:rsid w:val="00DE1001"/>
    <w:rsid w:val="00E12A49"/>
    <w:rsid w:val="00E153CA"/>
    <w:rsid w:val="00E17370"/>
    <w:rsid w:val="00E202B8"/>
    <w:rsid w:val="00E2379B"/>
    <w:rsid w:val="00E23DCD"/>
    <w:rsid w:val="00E30192"/>
    <w:rsid w:val="00E30764"/>
    <w:rsid w:val="00E362C6"/>
    <w:rsid w:val="00E36A03"/>
    <w:rsid w:val="00E378AE"/>
    <w:rsid w:val="00E41C46"/>
    <w:rsid w:val="00E42431"/>
    <w:rsid w:val="00E47816"/>
    <w:rsid w:val="00E70BFA"/>
    <w:rsid w:val="00E83B95"/>
    <w:rsid w:val="00E90710"/>
    <w:rsid w:val="00EA42AE"/>
    <w:rsid w:val="00EB4AFE"/>
    <w:rsid w:val="00EC4337"/>
    <w:rsid w:val="00EC6217"/>
    <w:rsid w:val="00ED0A0C"/>
    <w:rsid w:val="00ED112D"/>
    <w:rsid w:val="00ED3BB1"/>
    <w:rsid w:val="00ED48E4"/>
    <w:rsid w:val="00EE47DF"/>
    <w:rsid w:val="00EE6CB7"/>
    <w:rsid w:val="00F02700"/>
    <w:rsid w:val="00F078B8"/>
    <w:rsid w:val="00F07F96"/>
    <w:rsid w:val="00F1256C"/>
    <w:rsid w:val="00F1418B"/>
    <w:rsid w:val="00F27E42"/>
    <w:rsid w:val="00F31C18"/>
    <w:rsid w:val="00F440E7"/>
    <w:rsid w:val="00F5042E"/>
    <w:rsid w:val="00F62E7F"/>
    <w:rsid w:val="00F6374D"/>
    <w:rsid w:val="00F66D94"/>
    <w:rsid w:val="00F72874"/>
    <w:rsid w:val="00F809B5"/>
    <w:rsid w:val="00F83833"/>
    <w:rsid w:val="00F9577B"/>
    <w:rsid w:val="00FA280E"/>
    <w:rsid w:val="00FA3F92"/>
    <w:rsid w:val="00FC011C"/>
    <w:rsid w:val="00FC1A29"/>
    <w:rsid w:val="00FC288E"/>
    <w:rsid w:val="00FD3BE0"/>
    <w:rsid w:val="00FD434B"/>
    <w:rsid w:val="00FD513E"/>
    <w:rsid w:val="00FD635C"/>
    <w:rsid w:val="00FD6F84"/>
    <w:rsid w:val="00FE5821"/>
    <w:rsid w:val="00FF3ED5"/>
    <w:rsid w:val="00FF67AE"/>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Figure">
    <w:name w:val="Figure"/>
    <w:basedOn w:val="Normal"/>
    <w:rsid w:val="001D2646"/>
    <w:pPr>
      <w:widowControl w:val="0"/>
      <w:spacing w:before="0" w:after="0" w:line="240" w:lineRule="auto"/>
      <w:jc w:val="center"/>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Figure">
    <w:name w:val="Figure"/>
    <w:basedOn w:val="Normal"/>
    <w:rsid w:val="001D2646"/>
    <w:pPr>
      <w:widowControl w:val="0"/>
      <w:spacing w:before="0" w:after="0" w:line="240" w:lineRule="auto"/>
      <w:jc w:val="center"/>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0440">
      <w:bodyDiv w:val="1"/>
      <w:marLeft w:val="0"/>
      <w:marRight w:val="0"/>
      <w:marTop w:val="0"/>
      <w:marBottom w:val="0"/>
      <w:divBdr>
        <w:top w:val="none" w:sz="0" w:space="0" w:color="auto"/>
        <w:left w:val="none" w:sz="0" w:space="0" w:color="auto"/>
        <w:bottom w:val="none" w:sz="0" w:space="0" w:color="auto"/>
        <w:right w:val="none" w:sz="0" w:space="0" w:color="auto"/>
      </w:divBdr>
    </w:div>
    <w:div w:id="669455574">
      <w:bodyDiv w:val="1"/>
      <w:marLeft w:val="0"/>
      <w:marRight w:val="0"/>
      <w:marTop w:val="0"/>
      <w:marBottom w:val="0"/>
      <w:divBdr>
        <w:top w:val="none" w:sz="0" w:space="0" w:color="auto"/>
        <w:left w:val="none" w:sz="0" w:space="0" w:color="auto"/>
        <w:bottom w:val="none" w:sz="0" w:space="0" w:color="auto"/>
        <w:right w:val="none" w:sz="0" w:space="0" w:color="auto"/>
      </w:divBdr>
    </w:div>
    <w:div w:id="698967941">
      <w:bodyDiv w:val="1"/>
      <w:marLeft w:val="0"/>
      <w:marRight w:val="0"/>
      <w:marTop w:val="0"/>
      <w:marBottom w:val="0"/>
      <w:divBdr>
        <w:top w:val="none" w:sz="0" w:space="0" w:color="auto"/>
        <w:left w:val="none" w:sz="0" w:space="0" w:color="auto"/>
        <w:bottom w:val="none" w:sz="0" w:space="0" w:color="auto"/>
        <w:right w:val="none" w:sz="0" w:space="0" w:color="auto"/>
      </w:divBdr>
    </w:div>
    <w:div w:id="810288954">
      <w:bodyDiv w:val="1"/>
      <w:marLeft w:val="0"/>
      <w:marRight w:val="0"/>
      <w:marTop w:val="0"/>
      <w:marBottom w:val="0"/>
      <w:divBdr>
        <w:top w:val="none" w:sz="0" w:space="0" w:color="auto"/>
        <w:left w:val="none" w:sz="0" w:space="0" w:color="auto"/>
        <w:bottom w:val="none" w:sz="0" w:space="0" w:color="auto"/>
        <w:right w:val="none" w:sz="0" w:space="0" w:color="auto"/>
      </w:divBdr>
    </w:div>
    <w:div w:id="1500189839">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creativecommons.org/licenses/by/3.0/a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image" Target="cid:image001.png@01CC5B5E.C6C84990" TargetMode="External"/><Relationship Id="rId33" Type="http://schemas.openxmlformats.org/officeDocument/2006/relationships/hyperlink" Target="http://www.skillsinfo.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png"/><Relationship Id="rId32" Type="http://schemas.openxmlformats.org/officeDocument/2006/relationships/hyperlink" Target="http://www.joboutlook.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28" Type="http://schemas.openxmlformats.org/officeDocument/2006/relationships/hyperlink" Target="mailto:recruitmentsurveys@deewr.gov.au" TargetMode="External"/><Relationship Id="rId36" Type="http://schemas.openxmlformats.org/officeDocument/2006/relationships/image" Target="media/image5.jpeg"/><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hyperlink" Target="http://www.deewr.gov.au/lm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hyperlink" Target="http://creativecommons.org/licenses/by/3.0/au/legalcode" TargetMode="External"/><Relationship Id="rId30" Type="http://schemas.openxmlformats.org/officeDocument/2006/relationships/chart" Target="charts/chart2.xml"/><Relationship Id="rId35"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2\DBYU\DAS\12%2012-13%20Regional%20Survey%20files%20(by%20survey%20no.)\163.%20Central%20Victoria%20PEA%20(Ballarat%20-%20Bendigo)\04.%20Data%20output%20and%20admin\b.%20Survey%20data\Output%20-%20Central%20Vic%20-%20October%20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2\DBYU\DAS\12%2012-13%20Regional%20Survey%20files%20(by%20survey%20no.)\163.%20Central%20Victoria%20PEA%20(Ballarat%20-%20Bendigo)\04.%20Data%20output%20and%20admin\b.%20Survey%20data\Output%20-%20Central%20Vic%20-%20October%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accent1">
                <a:lumMod val="40000"/>
                <a:lumOff val="60000"/>
              </a:schemeClr>
            </a:solidFill>
            <a:ln>
              <a:solidFill>
                <a:schemeClr val="tx1"/>
              </a:solidFill>
            </a:ln>
          </c:spPr>
          <c:invertIfNegative val="0"/>
          <c:dPt>
            <c:idx val="0"/>
            <c:invertIfNegative val="0"/>
            <c:bubble3D val="0"/>
            <c:spPr>
              <a:solidFill>
                <a:schemeClr val="accent6">
                  <a:lumMod val="60000"/>
                  <a:lumOff val="40000"/>
                </a:schemeClr>
              </a:solidFill>
              <a:ln>
                <a:solidFill>
                  <a:schemeClr val="tx1"/>
                </a:solidFill>
              </a:ln>
            </c:spPr>
          </c:dPt>
          <c:dPt>
            <c:idx val="1"/>
            <c:invertIfNegative val="0"/>
            <c:bubble3D val="0"/>
            <c:spPr>
              <a:solidFill>
                <a:srgbClr val="92D050"/>
              </a:solidFill>
              <a:ln>
                <a:solidFill>
                  <a:schemeClr val="tx1"/>
                </a:solidFill>
              </a:ln>
            </c:spPr>
          </c:dPt>
          <c:dPt>
            <c:idx val="2"/>
            <c:invertIfNegative val="0"/>
            <c:bubble3D val="0"/>
            <c:spPr>
              <a:solidFill>
                <a:srgbClr val="92D050"/>
              </a:solidFill>
              <a:ln>
                <a:solidFill>
                  <a:schemeClr val="tx1"/>
                </a:solidFill>
              </a:ln>
            </c:spPr>
          </c:dPt>
          <c:dPt>
            <c:idx val="3"/>
            <c:invertIfNegative val="0"/>
            <c:bubble3D val="0"/>
            <c:spPr>
              <a:solidFill>
                <a:srgbClr val="92D050"/>
              </a:solidFill>
              <a:ln>
                <a:solidFill>
                  <a:schemeClr val="tx1"/>
                </a:solidFill>
              </a:ln>
            </c:spPr>
          </c:dPt>
          <c:dLbls>
            <c:txPr>
              <a:bodyPr/>
              <a:lstStyle/>
              <a:p>
                <a:pPr>
                  <a:defRPr sz="800"/>
                </a:pPr>
                <a:endParaRPr lang="en-US"/>
              </a:p>
            </c:txPr>
            <c:showLegendKey val="0"/>
            <c:showVal val="1"/>
            <c:showCatName val="0"/>
            <c:showSerName val="0"/>
            <c:showPercent val="0"/>
            <c:showBubbleSize val="0"/>
            <c:showLeaderLines val="0"/>
          </c:dLbls>
          <c:cat>
            <c:strRef>
              <c:f>'Unfilled vacancies'!$A$15:$A$25</c:f>
              <c:strCache>
                <c:ptCount val="11"/>
                <c:pt idx="0">
                  <c:v>All regions surveyed, 12 months to September 2012</c:v>
                </c:pt>
                <c:pt idx="1">
                  <c:v>Central Vic PEA, May 2010</c:v>
                </c:pt>
                <c:pt idx="2">
                  <c:v>Central Vic PEA, September 2011</c:v>
                </c:pt>
                <c:pt idx="3">
                  <c:v>Central Vic PEA, October 2012</c:v>
                </c:pt>
                <c:pt idx="4">
                  <c:v>Labourers</c:v>
                </c:pt>
                <c:pt idx="5">
                  <c:v>Sales Workers</c:v>
                </c:pt>
                <c:pt idx="6">
                  <c:v>Machinery Operators and Drivers</c:v>
                </c:pt>
                <c:pt idx="7">
                  <c:v>Clerical and Administrative Workers</c:v>
                </c:pt>
                <c:pt idx="8">
                  <c:v>Community and Personal Service Workers</c:v>
                </c:pt>
                <c:pt idx="9">
                  <c:v>Technicians and Trades Workers</c:v>
                </c:pt>
                <c:pt idx="10">
                  <c:v>Managers and Professionals</c:v>
                </c:pt>
              </c:strCache>
            </c:strRef>
          </c:cat>
          <c:val>
            <c:numRef>
              <c:f>'Unfilled vacancies'!$B$15:$B$25</c:f>
              <c:numCache>
                <c:formatCode>0.0%</c:formatCode>
                <c:ptCount val="11"/>
                <c:pt idx="0">
                  <c:v>7.1999999999999995E-2</c:v>
                </c:pt>
                <c:pt idx="1">
                  <c:v>0.06</c:v>
                </c:pt>
                <c:pt idx="2">
                  <c:v>0.11700000000000001</c:v>
                </c:pt>
                <c:pt idx="3">
                  <c:v>6.8649885583524028E-2</c:v>
                </c:pt>
                <c:pt idx="4">
                  <c:v>2.0202020202020204E-2</c:v>
                </c:pt>
                <c:pt idx="5">
                  <c:v>1.1627906976744186E-2</c:v>
                </c:pt>
                <c:pt idx="6">
                  <c:v>8.3333333333333329E-2</c:v>
                </c:pt>
                <c:pt idx="7">
                  <c:v>0</c:v>
                </c:pt>
                <c:pt idx="8">
                  <c:v>0.13235294117647059</c:v>
                </c:pt>
                <c:pt idx="9">
                  <c:v>0.18292682926829268</c:v>
                </c:pt>
                <c:pt idx="10">
                  <c:v>0</c:v>
                </c:pt>
              </c:numCache>
            </c:numRef>
          </c:val>
        </c:ser>
        <c:dLbls>
          <c:showLegendKey val="0"/>
          <c:showVal val="0"/>
          <c:showCatName val="0"/>
          <c:showSerName val="0"/>
          <c:showPercent val="0"/>
          <c:showBubbleSize val="0"/>
        </c:dLbls>
        <c:gapWidth val="150"/>
        <c:axId val="162943744"/>
        <c:axId val="162945280"/>
      </c:barChart>
      <c:catAx>
        <c:axId val="162943744"/>
        <c:scaling>
          <c:orientation val="minMax"/>
        </c:scaling>
        <c:delete val="0"/>
        <c:axPos val="l"/>
        <c:majorTickMark val="out"/>
        <c:minorTickMark val="none"/>
        <c:tickLblPos val="nextTo"/>
        <c:txPr>
          <a:bodyPr/>
          <a:lstStyle/>
          <a:p>
            <a:pPr>
              <a:defRPr sz="800"/>
            </a:pPr>
            <a:endParaRPr lang="en-US"/>
          </a:p>
        </c:txPr>
        <c:crossAx val="162945280"/>
        <c:crosses val="autoZero"/>
        <c:auto val="1"/>
        <c:lblAlgn val="ctr"/>
        <c:lblOffset val="100"/>
        <c:noMultiLvlLbl val="0"/>
      </c:catAx>
      <c:valAx>
        <c:axId val="162945280"/>
        <c:scaling>
          <c:orientation val="minMax"/>
        </c:scaling>
        <c:delete val="0"/>
        <c:axPos val="b"/>
        <c:numFmt formatCode="0%" sourceLinked="0"/>
        <c:majorTickMark val="out"/>
        <c:minorTickMark val="none"/>
        <c:tickLblPos val="nextTo"/>
        <c:txPr>
          <a:bodyPr/>
          <a:lstStyle/>
          <a:p>
            <a:pPr>
              <a:defRPr sz="800"/>
            </a:pPr>
            <a:endParaRPr lang="en-US"/>
          </a:p>
        </c:txPr>
        <c:crossAx val="1629437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'[1]Applicants and Suitability'!$B$16</c:f>
              <c:strCache>
                <c:ptCount val="1"/>
                <c:pt idx="0">
                  <c:v>Average no. of suitable applicants per vacancy</c:v>
                </c:pt>
              </c:strCache>
            </c:strRef>
          </c:tx>
          <c:spPr>
            <a:solidFill>
              <a:srgbClr val="0070C0"/>
            </a:solidFill>
            <a:ln>
              <a:solidFill>
                <a:schemeClr val="tx1"/>
              </a:solidFill>
            </a:ln>
          </c:spPr>
          <c:invertIfNegative val="0"/>
          <c:dPt>
            <c:idx val="0"/>
            <c:invertIfNegative val="0"/>
            <c:bubble3D val="0"/>
            <c:spPr>
              <a:solidFill>
                <a:schemeClr val="accent6">
                  <a:lumMod val="75000"/>
                </a:schemeClr>
              </a:solidFill>
              <a:ln>
                <a:solidFill>
                  <a:schemeClr val="tx1"/>
                </a:solidFill>
              </a:ln>
            </c:spPr>
          </c:dPt>
          <c:dPt>
            <c:idx val="1"/>
            <c:invertIfNegative val="0"/>
            <c:bubble3D val="0"/>
            <c:spPr>
              <a:solidFill>
                <a:srgbClr val="00B050"/>
              </a:solidFill>
              <a:ln>
                <a:solidFill>
                  <a:schemeClr val="tx1"/>
                </a:solidFill>
              </a:ln>
            </c:spPr>
          </c:dPt>
          <c:dPt>
            <c:idx val="2"/>
            <c:invertIfNegative val="0"/>
            <c:bubble3D val="0"/>
            <c:spPr>
              <a:solidFill>
                <a:srgbClr val="00B050"/>
              </a:solidFill>
              <a:ln>
                <a:solidFill>
                  <a:schemeClr val="tx1"/>
                </a:solidFill>
              </a:ln>
            </c:spPr>
          </c:dPt>
          <c:dPt>
            <c:idx val="3"/>
            <c:invertIfNegative val="0"/>
            <c:bubble3D val="0"/>
            <c:spPr>
              <a:solidFill>
                <a:srgbClr val="00B050"/>
              </a:solidFill>
              <a:ln>
                <a:solidFill>
                  <a:schemeClr val="tx1"/>
                </a:solidFill>
              </a:ln>
            </c:spPr>
          </c:dPt>
          <c:dLbls>
            <c:showLegendKey val="0"/>
            <c:showVal val="1"/>
            <c:showCatName val="0"/>
            <c:showSerName val="0"/>
            <c:showPercent val="0"/>
            <c:showBubbleSize val="0"/>
            <c:showLeaderLines val="0"/>
          </c:dLbls>
          <c:cat>
            <c:strRef>
              <c:f>'[1]Applicants and Suitability'!$A$17:$A$27</c:f>
              <c:strCache>
                <c:ptCount val="11"/>
                <c:pt idx="0">
                  <c:v>All regions surveyed, 12 months to September 2012</c:v>
                </c:pt>
                <c:pt idx="1">
                  <c:v>Central Vic PEA, May 2010</c:v>
                </c:pt>
                <c:pt idx="2">
                  <c:v>Central Vic PEA, September 2011</c:v>
                </c:pt>
                <c:pt idx="3">
                  <c:v>Central Vic PEA, October 2012</c:v>
                </c:pt>
                <c:pt idx="4">
                  <c:v>Labourers</c:v>
                </c:pt>
                <c:pt idx="5">
                  <c:v>Sales Workers</c:v>
                </c:pt>
                <c:pt idx="6">
                  <c:v>Machinery Operators and Drivers</c:v>
                </c:pt>
                <c:pt idx="7">
                  <c:v>Clerical and Administrative Workers</c:v>
                </c:pt>
                <c:pt idx="8">
                  <c:v>Community and Personal Service Workers</c:v>
                </c:pt>
                <c:pt idx="9">
                  <c:v>Technicians and Trades Workers</c:v>
                </c:pt>
                <c:pt idx="10">
                  <c:v>Managers and Professionals</c:v>
                </c:pt>
              </c:strCache>
            </c:strRef>
          </c:cat>
          <c:val>
            <c:numRef>
              <c:f>'[1]Applicants and Suitability'!$B$17:$B$27</c:f>
              <c:numCache>
                <c:formatCode>0.0</c:formatCode>
                <c:ptCount val="11"/>
                <c:pt idx="0">
                  <c:v>2.2999999999999998</c:v>
                </c:pt>
                <c:pt idx="1">
                  <c:v>2.2999999999999998</c:v>
                </c:pt>
                <c:pt idx="2">
                  <c:v>2.3081081081081081</c:v>
                </c:pt>
                <c:pt idx="3">
                  <c:v>1.7353629976580796</c:v>
                </c:pt>
                <c:pt idx="4">
                  <c:v>1.2857142857142858</c:v>
                </c:pt>
                <c:pt idx="5">
                  <c:v>1.558139534883721</c:v>
                </c:pt>
                <c:pt idx="6">
                  <c:v>2.7142857142857144</c:v>
                </c:pt>
                <c:pt idx="7">
                  <c:v>2.0714285714285716</c:v>
                </c:pt>
                <c:pt idx="8">
                  <c:v>1.6176470588235294</c:v>
                </c:pt>
                <c:pt idx="9">
                  <c:v>1.7820512820512822</c:v>
                </c:pt>
                <c:pt idx="10">
                  <c:v>2.3235294117647061</c:v>
                </c:pt>
              </c:numCache>
            </c:numRef>
          </c:val>
        </c:ser>
        <c:ser>
          <c:idx val="1"/>
          <c:order val="1"/>
          <c:tx>
            <c:strRef>
              <c:f>'[1]Applicants and Suitability'!$C$16</c:f>
              <c:strCache>
                <c:ptCount val="1"/>
                <c:pt idx="0">
                  <c:v>Average no. of applicants per vacancy</c:v>
                </c:pt>
              </c:strCache>
            </c:strRef>
          </c:tx>
          <c:spPr>
            <a:solidFill>
              <a:schemeClr val="accent1">
                <a:lumMod val="40000"/>
                <a:lumOff val="60000"/>
              </a:schemeClr>
            </a:solidFill>
            <a:ln>
              <a:solidFill>
                <a:schemeClr val="tx1"/>
              </a:solidFill>
            </a:ln>
          </c:spPr>
          <c:invertIfNegative val="0"/>
          <c:dPt>
            <c:idx val="0"/>
            <c:invertIfNegative val="0"/>
            <c:bubble3D val="0"/>
            <c:spPr>
              <a:solidFill>
                <a:schemeClr val="accent6">
                  <a:lumMod val="40000"/>
                  <a:lumOff val="60000"/>
                </a:schemeClr>
              </a:solidFill>
              <a:ln>
                <a:solidFill>
                  <a:schemeClr val="tx1"/>
                </a:solidFill>
              </a:ln>
            </c:spPr>
          </c:dPt>
          <c:dPt>
            <c:idx val="1"/>
            <c:invertIfNegative val="0"/>
            <c:bubble3D val="0"/>
            <c:spPr>
              <a:solidFill>
                <a:schemeClr val="accent3">
                  <a:lumMod val="40000"/>
                  <a:lumOff val="60000"/>
                </a:schemeClr>
              </a:solidFill>
              <a:ln>
                <a:solidFill>
                  <a:schemeClr val="tx1"/>
                </a:solidFill>
              </a:ln>
            </c:spPr>
          </c:dPt>
          <c:dPt>
            <c:idx val="2"/>
            <c:invertIfNegative val="0"/>
            <c:bubble3D val="0"/>
            <c:spPr>
              <a:solidFill>
                <a:schemeClr val="accent3">
                  <a:lumMod val="40000"/>
                  <a:lumOff val="60000"/>
                </a:schemeClr>
              </a:solidFill>
              <a:ln>
                <a:solidFill>
                  <a:schemeClr val="tx1"/>
                </a:solidFill>
              </a:ln>
            </c:spPr>
          </c:dPt>
          <c:dPt>
            <c:idx val="3"/>
            <c:invertIfNegative val="0"/>
            <c:bubble3D val="0"/>
            <c:spPr>
              <a:solidFill>
                <a:schemeClr val="accent3">
                  <a:lumMod val="40000"/>
                  <a:lumOff val="60000"/>
                </a:schemeClr>
              </a:solidFill>
              <a:ln>
                <a:solidFill>
                  <a:schemeClr val="tx1"/>
                </a:solidFill>
              </a:ln>
            </c:spPr>
          </c:dPt>
          <c:dLbls>
            <c:showLegendKey val="0"/>
            <c:showVal val="1"/>
            <c:showCatName val="0"/>
            <c:showSerName val="0"/>
            <c:showPercent val="0"/>
            <c:showBubbleSize val="0"/>
            <c:showLeaderLines val="0"/>
          </c:dLbls>
          <c:cat>
            <c:strRef>
              <c:f>'[1]Applicants and Suitability'!$A$17:$A$27</c:f>
              <c:strCache>
                <c:ptCount val="11"/>
                <c:pt idx="0">
                  <c:v>All regions surveyed, 12 months to September 2012</c:v>
                </c:pt>
                <c:pt idx="1">
                  <c:v>Central Vic PEA, May 2010</c:v>
                </c:pt>
                <c:pt idx="2">
                  <c:v>Central Vic PEA, September 2011</c:v>
                </c:pt>
                <c:pt idx="3">
                  <c:v>Central Vic PEA, October 2012</c:v>
                </c:pt>
                <c:pt idx="4">
                  <c:v>Labourers</c:v>
                </c:pt>
                <c:pt idx="5">
                  <c:v>Sales Workers</c:v>
                </c:pt>
                <c:pt idx="6">
                  <c:v>Machinery Operators and Drivers</c:v>
                </c:pt>
                <c:pt idx="7">
                  <c:v>Clerical and Administrative Workers</c:v>
                </c:pt>
                <c:pt idx="8">
                  <c:v>Community and Personal Service Workers</c:v>
                </c:pt>
                <c:pt idx="9">
                  <c:v>Technicians and Trades Workers</c:v>
                </c:pt>
                <c:pt idx="10">
                  <c:v>Managers and Professionals</c:v>
                </c:pt>
              </c:strCache>
            </c:strRef>
          </c:cat>
          <c:val>
            <c:numRef>
              <c:f>'[1]Applicants and Suitability'!$C$17:$C$27</c:f>
              <c:numCache>
                <c:formatCode>0.0</c:formatCode>
                <c:ptCount val="11"/>
                <c:pt idx="0">
                  <c:v>8.1999999999999993</c:v>
                </c:pt>
                <c:pt idx="1">
                  <c:v>6.1</c:v>
                </c:pt>
                <c:pt idx="2">
                  <c:v>7.8027027027027023</c:v>
                </c:pt>
                <c:pt idx="3">
                  <c:v>5.2412177985948478</c:v>
                </c:pt>
                <c:pt idx="4">
                  <c:v>2.4285714285714284</c:v>
                </c:pt>
                <c:pt idx="5">
                  <c:v>4.3023255813953485</c:v>
                </c:pt>
                <c:pt idx="6">
                  <c:v>8.6285714285714281</c:v>
                </c:pt>
                <c:pt idx="7">
                  <c:v>9.1785714285714288</c:v>
                </c:pt>
                <c:pt idx="8">
                  <c:v>5</c:v>
                </c:pt>
                <c:pt idx="9">
                  <c:v>5.1538461538461542</c:v>
                </c:pt>
                <c:pt idx="10">
                  <c:v>9.6764705882352935</c:v>
                </c:pt>
              </c:numCache>
            </c:numRef>
          </c:val>
        </c:ser>
        <c:dLbls>
          <c:showLegendKey val="0"/>
          <c:showVal val="0"/>
          <c:showCatName val="0"/>
          <c:showSerName val="0"/>
          <c:showPercent val="0"/>
          <c:showBubbleSize val="0"/>
        </c:dLbls>
        <c:gapWidth val="150"/>
        <c:axId val="173718528"/>
        <c:axId val="176100864"/>
      </c:barChart>
      <c:catAx>
        <c:axId val="173718528"/>
        <c:scaling>
          <c:orientation val="minMax"/>
        </c:scaling>
        <c:delete val="0"/>
        <c:axPos val="l"/>
        <c:majorTickMark val="out"/>
        <c:minorTickMark val="none"/>
        <c:tickLblPos val="nextTo"/>
        <c:crossAx val="176100864"/>
        <c:crosses val="autoZero"/>
        <c:auto val="1"/>
        <c:lblAlgn val="ctr"/>
        <c:lblOffset val="100"/>
        <c:noMultiLvlLbl val="0"/>
      </c:catAx>
      <c:valAx>
        <c:axId val="176100864"/>
        <c:scaling>
          <c:orientation val="minMax"/>
        </c:scaling>
        <c:delete val="0"/>
        <c:axPos val="b"/>
        <c:numFmt formatCode="0.0" sourceLinked="1"/>
        <c:majorTickMark val="out"/>
        <c:minorTickMark val="none"/>
        <c:tickLblPos val="nextTo"/>
        <c:crossAx val="173718528"/>
        <c:crosses val="autoZero"/>
        <c:crossBetween val="between"/>
      </c:valAx>
    </c:plotArea>
    <c:legend>
      <c:legendPos val="r"/>
      <c:layout>
        <c:manualLayout>
          <c:xMode val="edge"/>
          <c:yMode val="edge"/>
          <c:x val="0.65091121185609369"/>
          <c:y val="0.43553360375407618"/>
          <c:w val="0.34691941285117145"/>
          <c:h val="0.16125570667302952"/>
        </c:manualLayout>
      </c:layout>
      <c:overlay val="1"/>
    </c:legend>
    <c:plotVisOnly val="1"/>
    <c:dispBlanksAs val="gap"/>
    <c:showDLblsOverMax val="0"/>
  </c:chart>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Insert the document abstract here. The abstract should describe the purpose of the policy/guide, and is a document metadata field that is used to help establish relevance for search engines, etc. The abstract is also used to populate library cards for any documents publishable under the Information Publication Scheme. You cannot use paragraphs in the abstract so keep it brief.</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26B08DF205FC2F479E17486463F9ACA8" ma:contentTypeVersion="11" ma:contentTypeDescription="Ddocs' Word Content Type" ma:contentTypeScope="" ma:versionID="59e736296bbe3d93632163566f51bc98">
  <xsd:schema xmlns:xsd="http://www.w3.org/2001/XMLSchema" xmlns:p="http://schemas.microsoft.com/office/2006/metadata/properties" xmlns:ns2="http://schemas.microsoft.com/sharepoint/v3/fields" xmlns:ns3="4ff5bc6b-1238-418a-b0ee-f48830a30d62" targetNamespace="http://schemas.microsoft.com/office/2006/metadata/properties" ma:root="true" ma:fieldsID="dc64026ba537ae81b4e4f7ba51bda4c7"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ternalName="DNetUniqueId" ma:readOnly="true">
      <xsd:simpleType>
        <xsd:restriction base="dms:Text"/>
      </xsd:simpleType>
    </xsd:element>
  </xsd:schema>
  <xsd:schema xmlns:xsd="http://www.w3.org/2001/XMLSchema" xmlns:dms="http://schemas.microsoft.com/office/2006/documentManagement/types" targetNamespace="4ff5bc6b-1238-418a-b0ee-f48830a30d62" elementFormDefault="qualified">
    <xsd:import namespace="http://schemas.microsoft.com/office/2006/documentManagement/type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docsSearchTerms xmlns="http://schemas.microsoft.com/sharepoint/v3/fields" xsi:nil="true"/>
    <_dlc_ExpireDateSaved xmlns="4ff5bc6b-1238-418a-b0ee-f48830a30d62" xsi:nil="true"/>
    <_dlc_ExpireDate xmlns="4ff5bc6b-1238-418a-b0ee-f48830a30d62" xsi:nil="true"/>
  </documentManagement>
</p:propertie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5.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C9F18-AFFC-4553-9323-FC66C3EA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CE93746-C7CB-47C7-9427-5E12F449EAC1}">
  <ds:schemaRefs>
    <ds:schemaRef ds:uri="http://schemas.openxmlformats.org/package/2006/metadata/core-properties"/>
    <ds:schemaRef ds:uri="http://purl.org/dc/dcmitype/"/>
    <ds:schemaRef ds:uri="http://schemas.microsoft.com/office/2006/documentManagement/types"/>
    <ds:schemaRef ds:uri="http://purl.org/dc/terms/"/>
    <ds:schemaRef ds:uri="4ff5bc6b-1238-418a-b0ee-f48830a30d62"/>
    <ds:schemaRef ds:uri="http://www.w3.org/XML/1998/namespace"/>
    <ds:schemaRef ds:uri="http://schemas.microsoft.com/sharepoint/v3/field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3794BD5-7DF6-498B-A624-D85A92467193}">
  <ds:schemaRefs>
    <ds:schemaRef ds:uri="office.server.policy"/>
  </ds:schemaRefs>
</ds:datastoreItem>
</file>

<file path=customXml/itemProps5.xml><?xml version="1.0" encoding="utf-8"?>
<ds:datastoreItem xmlns:ds="http://schemas.openxmlformats.org/officeDocument/2006/customXml" ds:itemID="{75C0D125-9778-4CCD-859F-AD89FBA8A7F8}">
  <ds:schemaRefs>
    <ds:schemaRef ds:uri="http://schemas.microsoft.com/sharepoint/events"/>
  </ds:schemaRefs>
</ds:datastoreItem>
</file>

<file path=customXml/itemProps6.xml><?xml version="1.0" encoding="utf-8"?>
<ds:datastoreItem xmlns:ds="http://schemas.openxmlformats.org/officeDocument/2006/customXml" ds:itemID="{94C9AD48-EC67-48F4-9261-BDACE71A1547}">
  <ds:schemaRefs>
    <ds:schemaRef ds:uri="http://schemas.openxmlformats.org/officeDocument/2006/bibliography"/>
  </ds:schemaRefs>
</ds:datastoreItem>
</file>

<file path=customXml/itemProps7.xml><?xml version="1.0" encoding="utf-8"?>
<ds:datastoreItem xmlns:ds="http://schemas.openxmlformats.org/officeDocument/2006/customXml" ds:itemID="{111D6CA5-2E9A-4E9D-9D90-11ED7D92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1371</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Pacey</dc:creator>
  <cp:lastModifiedBy>Sandra Taylor-Steele</cp:lastModifiedBy>
  <cp:revision>10</cp:revision>
  <cp:lastPrinted>2013-03-01T00:51:00Z</cp:lastPrinted>
  <dcterms:created xsi:type="dcterms:W3CDTF">2013-03-01T00:02:00Z</dcterms:created>
  <dcterms:modified xsi:type="dcterms:W3CDTF">2013-03-01T02:25:00Z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0x0101009EDC4876AF524A70BD125A9D2C0D191E0C0026B08DF205FC2F479E17486463F9ACA8</vt:lpwstr>
  </property>
  <property fmtid="{D5CDD505-2E9C-101B-9397-08002B2CF9AE}" pid="3" name="_dlc_ExpireDate">
    <vt:lpwstr>2016-09-15T00:04:33+00:00</vt:lpwstr>
  </property>
  <property fmtid="{D5CDD505-2E9C-101B-9397-08002B2CF9AE}" pid="4" name="_dlc_policyId">
    <vt:lpwstr/>
  </property>
  <property fmtid="{D5CDD505-2E9C-101B-9397-08002B2CF9AE}" pid="5" name="ItemRetentionFormula">
    <vt:lpwstr/>
  </property>
</Properties>
</file>