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Default="00C24DFD" w:rsidP="00C24DFD">
      <w:pPr>
        <w:spacing w:line="360" w:lineRule="auto"/>
      </w:pPr>
      <w:r>
        <w:t>Slide 1</w:t>
      </w:r>
    </w:p>
    <w:p w:rsidR="00C24DFD" w:rsidRDefault="00C24DFD" w:rsidP="00C24DFD">
      <w:pPr>
        <w:spacing w:line="360" w:lineRule="auto"/>
      </w:pPr>
    </w:p>
    <w:p w:rsidR="00C24DFD" w:rsidRDefault="00C24DFD" w:rsidP="00C24DFD">
      <w:pPr>
        <w:spacing w:line="360" w:lineRule="auto"/>
        <w:jc w:val="center"/>
      </w:pPr>
      <w:r>
        <w:object w:dxaOrig="7212" w:dyaOrig="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pt;height:202.8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33941430" r:id="rId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Overview of the Ipswich-Logan Priority Employment Area</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Overview of the Labour Market</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Presenter: Ivan Neville, Branch Manager, Labour Market Research and Analysis Branch</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w:t>
      </w:r>
    </w:p>
    <w:p w:rsidR="00C24DFD" w:rsidRDefault="00C24DFD" w:rsidP="00C24DFD">
      <w:pPr>
        <w:spacing w:line="360" w:lineRule="auto"/>
      </w:pPr>
    </w:p>
    <w:p w:rsidR="00C24DFD" w:rsidRDefault="00C24DFD" w:rsidP="00C24DFD">
      <w:pPr>
        <w:spacing w:line="360" w:lineRule="auto"/>
        <w:jc w:val="center"/>
      </w:pPr>
      <w:r>
        <w:object w:dxaOrig="7212" w:dyaOrig="5411">
          <v:shape id="_x0000_i1030" type="#_x0000_t75" style="width:270.7pt;height:202.8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33941431" r:id="rId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szCs w:val="22"/>
          <w:u w:val="single"/>
          <w:lang w:eastAsia="en-AU"/>
        </w:rPr>
      </w:pPr>
      <w:r>
        <w:rPr>
          <w:rFonts w:ascii="Calibri" w:hAnsi="Calibri" w:cs="Calibri"/>
          <w:b/>
          <w:bCs/>
          <w:color w:val="000000"/>
          <w:szCs w:val="22"/>
          <w:u w:val="single"/>
          <w:lang w:eastAsia="en-AU"/>
        </w:rPr>
        <w:t>Ipswich-Logan Priority Employment Area (PEA)</w:t>
      </w:r>
    </w:p>
    <w:p w:rsidR="00C24DFD" w:rsidRDefault="00C24DFD" w:rsidP="00C24DFD">
      <w:pPr>
        <w:autoSpaceDE w:val="0"/>
        <w:autoSpaceDN w:val="0"/>
        <w:adjustRightInd w:val="0"/>
        <w:rPr>
          <w:rFonts w:ascii="Calibri" w:hAnsi="Calibri" w:cs="Calibri"/>
          <w:color w:val="000000"/>
          <w:szCs w:val="22"/>
          <w:lang w:eastAsia="en-AU"/>
        </w:rPr>
      </w:pP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 xml:space="preserve">This map shows the Ipswich-Logan PEA (based on 2006 </w:t>
      </w:r>
      <w:proofErr w:type="spellStart"/>
      <w:r>
        <w:rPr>
          <w:rFonts w:ascii="Calibri" w:hAnsi="Calibri" w:cs="Calibri"/>
          <w:color w:val="000000"/>
          <w:szCs w:val="22"/>
          <w:lang w:eastAsia="en-AU"/>
        </w:rPr>
        <w:t>ASGC</w:t>
      </w:r>
      <w:proofErr w:type="spellEnd"/>
      <w:r>
        <w:rPr>
          <w:rFonts w:ascii="Calibri" w:hAnsi="Calibri" w:cs="Calibri"/>
          <w:color w:val="000000"/>
          <w:szCs w:val="22"/>
          <w:lang w:eastAsia="en-AU"/>
        </w:rPr>
        <w:t>)</w:t>
      </w:r>
    </w:p>
    <w:p w:rsidR="00C24DFD" w:rsidRDefault="00C24DFD" w:rsidP="00C24DFD">
      <w:pPr>
        <w:autoSpaceDE w:val="0"/>
        <w:autoSpaceDN w:val="0"/>
        <w:adjustRightInd w:val="0"/>
        <w:rPr>
          <w:rFonts w:ascii="Calibri" w:hAnsi="Calibri" w:cs="Calibri"/>
          <w:color w:val="000000"/>
          <w:szCs w:val="22"/>
          <w:lang w:eastAsia="en-AU"/>
        </w:rPr>
      </w:pP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 xml:space="preserve">The PEA consists of two </w:t>
      </w:r>
      <w:proofErr w:type="spellStart"/>
      <w:r>
        <w:rPr>
          <w:rFonts w:ascii="Calibri" w:hAnsi="Calibri" w:cs="Calibri"/>
          <w:color w:val="000000"/>
          <w:szCs w:val="22"/>
          <w:lang w:eastAsia="en-AU"/>
        </w:rPr>
        <w:t>LGAs</w:t>
      </w:r>
      <w:proofErr w:type="spellEnd"/>
      <w:r>
        <w:rPr>
          <w:rFonts w:ascii="Calibri" w:hAnsi="Calibri" w:cs="Calibri"/>
          <w:color w:val="000000"/>
          <w:szCs w:val="22"/>
          <w:lang w:eastAsia="en-AU"/>
        </w:rPr>
        <w:t xml:space="preserve">: Ipswich (represents 100 per cent of the Ipswich City </w:t>
      </w:r>
      <w:proofErr w:type="spellStart"/>
      <w:r>
        <w:rPr>
          <w:rFonts w:ascii="Calibri" w:hAnsi="Calibri" w:cs="Calibri"/>
          <w:color w:val="000000"/>
          <w:szCs w:val="22"/>
          <w:lang w:eastAsia="en-AU"/>
        </w:rPr>
        <w:t>LFR</w:t>
      </w:r>
      <w:proofErr w:type="spellEnd"/>
      <w:r>
        <w:rPr>
          <w:rFonts w:ascii="Calibri" w:hAnsi="Calibri" w:cs="Calibri"/>
          <w:color w:val="000000"/>
          <w:szCs w:val="22"/>
          <w:lang w:eastAsia="en-AU"/>
        </w:rPr>
        <w:t xml:space="preserve">) and Logan (represents 50 per cent of the South and East BSD Balance </w:t>
      </w:r>
      <w:proofErr w:type="spellStart"/>
      <w:r>
        <w:rPr>
          <w:rFonts w:ascii="Calibri" w:hAnsi="Calibri" w:cs="Calibri"/>
          <w:color w:val="000000"/>
          <w:szCs w:val="22"/>
          <w:lang w:eastAsia="en-AU"/>
        </w:rPr>
        <w:t>LFR</w:t>
      </w:r>
      <w:proofErr w:type="spellEnd"/>
      <w:r>
        <w:rPr>
          <w:rFonts w:ascii="Calibri" w:hAnsi="Calibri" w:cs="Calibri"/>
          <w:color w:val="000000"/>
          <w:szCs w:val="22"/>
          <w:lang w:eastAsia="en-AU"/>
        </w:rPr>
        <w:t>).</w:t>
      </w:r>
    </w:p>
    <w:p w:rsidR="00C24DFD" w:rsidRDefault="00C24DFD" w:rsidP="00C24DFD">
      <w:pPr>
        <w:autoSpaceDE w:val="0"/>
        <w:autoSpaceDN w:val="0"/>
        <w:adjustRightInd w:val="0"/>
        <w:rPr>
          <w:rFonts w:ascii="Calibri" w:hAnsi="Calibri" w:cs="Calibri"/>
          <w:color w:val="000000"/>
          <w:szCs w:val="22"/>
          <w:lang w:eastAsia="en-AU"/>
        </w:rPr>
      </w:pPr>
    </w:p>
    <w:p w:rsidR="00C24DFD" w:rsidRDefault="00C24DFD" w:rsidP="00C24DFD">
      <w:pPr>
        <w:autoSpaceDE w:val="0"/>
        <w:autoSpaceDN w:val="0"/>
        <w:adjustRightInd w:val="0"/>
        <w:rPr>
          <w:rFonts w:ascii="Calibri" w:hAnsi="Calibri" w:cs="Calibri"/>
          <w:b/>
          <w:bCs/>
          <w:color w:val="000000"/>
          <w:szCs w:val="22"/>
          <w:lang w:eastAsia="en-AU"/>
        </w:rPr>
      </w:pPr>
      <w:r>
        <w:rPr>
          <w:rFonts w:ascii="Calibri" w:hAnsi="Calibri" w:cs="Calibri"/>
          <w:b/>
          <w:bCs/>
          <w:color w:val="000000"/>
          <w:szCs w:val="22"/>
          <w:lang w:eastAsia="en-AU"/>
        </w:rPr>
        <w:t xml:space="preserve">The </w:t>
      </w:r>
      <w:proofErr w:type="spellStart"/>
      <w:r>
        <w:rPr>
          <w:rFonts w:ascii="Calibri" w:hAnsi="Calibri" w:cs="Calibri"/>
          <w:b/>
          <w:bCs/>
          <w:color w:val="000000"/>
          <w:szCs w:val="22"/>
          <w:lang w:eastAsia="en-AU"/>
        </w:rPr>
        <w:t>LGA</w:t>
      </w:r>
      <w:proofErr w:type="spellEnd"/>
      <w:r>
        <w:rPr>
          <w:rFonts w:ascii="Calibri" w:hAnsi="Calibri" w:cs="Calibri"/>
          <w:b/>
          <w:bCs/>
          <w:color w:val="000000"/>
          <w:szCs w:val="22"/>
          <w:lang w:eastAsia="en-AU"/>
        </w:rPr>
        <w:t xml:space="preserve"> of Ipswich contains the following </w:t>
      </w:r>
      <w:proofErr w:type="spellStart"/>
      <w:r>
        <w:rPr>
          <w:rFonts w:ascii="Calibri" w:hAnsi="Calibri" w:cs="Calibri"/>
          <w:b/>
          <w:bCs/>
          <w:color w:val="000000"/>
          <w:szCs w:val="22"/>
          <w:lang w:eastAsia="en-AU"/>
        </w:rPr>
        <w:t>SLAs</w:t>
      </w:r>
      <w:proofErr w:type="spellEnd"/>
      <w:r>
        <w:rPr>
          <w:rFonts w:ascii="Calibri" w:hAnsi="Calibri" w:cs="Calibri"/>
          <w:b/>
          <w:bCs/>
          <w:color w:val="000000"/>
          <w:szCs w:val="22"/>
          <w:lang w:eastAsia="en-AU"/>
        </w:rPr>
        <w:t>:</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Ipswich – Central</w:t>
      </w:r>
      <w:r>
        <w:rPr>
          <w:rFonts w:ascii="Calibri" w:hAnsi="Calibri" w:cs="Calibri"/>
          <w:color w:val="000000"/>
          <w:szCs w:val="22"/>
          <w:lang w:eastAsia="en-AU"/>
        </w:rPr>
        <w:tab/>
        <w:t>Ipswich – East</w:t>
      </w:r>
      <w:r>
        <w:rPr>
          <w:rFonts w:ascii="Calibri" w:hAnsi="Calibri" w:cs="Calibri"/>
          <w:color w:val="000000"/>
          <w:szCs w:val="22"/>
          <w:lang w:eastAsia="en-AU"/>
        </w:rPr>
        <w:tab/>
        <w:t>Ipswich – North</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Ipswich – South-West</w:t>
      </w:r>
      <w:r>
        <w:rPr>
          <w:rFonts w:ascii="Calibri" w:hAnsi="Calibri" w:cs="Calibri"/>
          <w:color w:val="000000"/>
          <w:szCs w:val="22"/>
          <w:lang w:eastAsia="en-AU"/>
        </w:rPr>
        <w:tab/>
        <w:t>Ipswich – West</w:t>
      </w:r>
    </w:p>
    <w:p w:rsidR="00C24DFD" w:rsidRDefault="00C24DFD" w:rsidP="00C24DFD">
      <w:pPr>
        <w:autoSpaceDE w:val="0"/>
        <w:autoSpaceDN w:val="0"/>
        <w:adjustRightInd w:val="0"/>
        <w:rPr>
          <w:rFonts w:ascii="Calibri" w:hAnsi="Calibri" w:cs="Calibri"/>
          <w:color w:val="000000"/>
          <w:szCs w:val="22"/>
          <w:lang w:eastAsia="en-AU"/>
        </w:rPr>
      </w:pPr>
    </w:p>
    <w:p w:rsidR="00C24DFD" w:rsidRDefault="00C24DFD" w:rsidP="00C24DFD">
      <w:pPr>
        <w:autoSpaceDE w:val="0"/>
        <w:autoSpaceDN w:val="0"/>
        <w:adjustRightInd w:val="0"/>
        <w:rPr>
          <w:rFonts w:ascii="Calibri" w:hAnsi="Calibri" w:cs="Calibri"/>
          <w:b/>
          <w:bCs/>
          <w:color w:val="000000"/>
          <w:szCs w:val="22"/>
          <w:lang w:eastAsia="en-AU"/>
        </w:rPr>
      </w:pPr>
      <w:r>
        <w:rPr>
          <w:rFonts w:ascii="Calibri" w:hAnsi="Calibri" w:cs="Calibri"/>
          <w:b/>
          <w:bCs/>
          <w:color w:val="000000"/>
          <w:szCs w:val="22"/>
          <w:lang w:eastAsia="en-AU"/>
        </w:rPr>
        <w:t xml:space="preserve">The </w:t>
      </w:r>
      <w:proofErr w:type="spellStart"/>
      <w:r>
        <w:rPr>
          <w:rFonts w:ascii="Calibri" w:hAnsi="Calibri" w:cs="Calibri"/>
          <w:b/>
          <w:bCs/>
          <w:color w:val="000000"/>
          <w:szCs w:val="22"/>
          <w:lang w:eastAsia="en-AU"/>
        </w:rPr>
        <w:t>LGA</w:t>
      </w:r>
      <w:proofErr w:type="spellEnd"/>
      <w:r>
        <w:rPr>
          <w:rFonts w:ascii="Calibri" w:hAnsi="Calibri" w:cs="Calibri"/>
          <w:b/>
          <w:bCs/>
          <w:color w:val="000000"/>
          <w:szCs w:val="22"/>
          <w:lang w:eastAsia="en-AU"/>
        </w:rPr>
        <w:t xml:space="preserve"> of Logan contains the following </w:t>
      </w:r>
      <w:proofErr w:type="spellStart"/>
      <w:r>
        <w:rPr>
          <w:rFonts w:ascii="Calibri" w:hAnsi="Calibri" w:cs="Calibri"/>
          <w:b/>
          <w:bCs/>
          <w:color w:val="000000"/>
          <w:szCs w:val="22"/>
          <w:lang w:eastAsia="en-AU"/>
        </w:rPr>
        <w:t>SLAs</w:t>
      </w:r>
      <w:proofErr w:type="spellEnd"/>
      <w:r>
        <w:rPr>
          <w:rFonts w:ascii="Calibri" w:hAnsi="Calibri" w:cs="Calibri"/>
          <w:b/>
          <w:bCs/>
          <w:color w:val="000000"/>
          <w:szCs w:val="22"/>
          <w:lang w:eastAsia="en-AU"/>
        </w:rPr>
        <w:t>:</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Brown Plains</w:t>
      </w:r>
      <w:r>
        <w:rPr>
          <w:rFonts w:ascii="Calibri" w:hAnsi="Calibri" w:cs="Calibri"/>
          <w:color w:val="000000"/>
          <w:szCs w:val="22"/>
          <w:lang w:eastAsia="en-AU"/>
        </w:rPr>
        <w:tab/>
      </w:r>
      <w:r>
        <w:rPr>
          <w:rFonts w:ascii="Calibri" w:hAnsi="Calibri" w:cs="Calibri"/>
          <w:color w:val="000000"/>
          <w:szCs w:val="22"/>
          <w:lang w:eastAsia="en-AU"/>
        </w:rPr>
        <w:tab/>
        <w:t>Carbrook-Cornubia</w:t>
      </w:r>
      <w:r>
        <w:rPr>
          <w:rFonts w:ascii="Calibri" w:hAnsi="Calibri" w:cs="Calibri"/>
          <w:color w:val="000000"/>
          <w:szCs w:val="22"/>
          <w:lang w:eastAsia="en-AU"/>
        </w:rPr>
        <w:tab/>
        <w:t>Daisy Hill-Priestdale</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 xml:space="preserve"> Greenbank-Boronia Heights</w:t>
      </w:r>
      <w:r>
        <w:rPr>
          <w:rFonts w:ascii="Calibri" w:hAnsi="Calibri" w:cs="Calibri"/>
          <w:color w:val="000000"/>
          <w:szCs w:val="22"/>
          <w:lang w:eastAsia="en-AU"/>
        </w:rPr>
        <w:tab/>
        <w:t>Kingston</w:t>
      </w:r>
      <w:r>
        <w:rPr>
          <w:rFonts w:ascii="Calibri" w:hAnsi="Calibri" w:cs="Calibri"/>
          <w:color w:val="000000"/>
          <w:szCs w:val="22"/>
          <w:lang w:eastAsia="en-AU"/>
        </w:rPr>
        <w:tab/>
      </w:r>
      <w:r>
        <w:rPr>
          <w:rFonts w:ascii="Calibri" w:hAnsi="Calibri" w:cs="Calibri"/>
          <w:color w:val="000000"/>
          <w:szCs w:val="22"/>
          <w:lang w:eastAsia="en-AU"/>
        </w:rPr>
        <w:tab/>
        <w:t xml:space="preserve">Logan Balance </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Loganholme</w:t>
      </w:r>
      <w:r>
        <w:rPr>
          <w:rFonts w:ascii="Calibri" w:hAnsi="Calibri" w:cs="Calibri"/>
          <w:color w:val="000000"/>
          <w:szCs w:val="22"/>
          <w:lang w:eastAsia="en-AU"/>
        </w:rPr>
        <w:tab/>
      </w:r>
      <w:r>
        <w:rPr>
          <w:rFonts w:ascii="Calibri" w:hAnsi="Calibri" w:cs="Calibri"/>
          <w:color w:val="000000"/>
          <w:szCs w:val="22"/>
          <w:lang w:eastAsia="en-AU"/>
        </w:rPr>
        <w:tab/>
        <w:t>Loganlea</w:t>
      </w:r>
      <w:r>
        <w:rPr>
          <w:rFonts w:ascii="Calibri" w:hAnsi="Calibri" w:cs="Calibri"/>
          <w:color w:val="000000"/>
          <w:szCs w:val="22"/>
          <w:lang w:eastAsia="en-AU"/>
        </w:rPr>
        <w:tab/>
      </w:r>
      <w:r>
        <w:rPr>
          <w:rFonts w:ascii="Calibri" w:hAnsi="Calibri" w:cs="Calibri"/>
          <w:color w:val="000000"/>
          <w:szCs w:val="22"/>
          <w:lang w:eastAsia="en-AU"/>
        </w:rPr>
        <w:tab/>
        <w:t xml:space="preserve">Marsden </w:t>
      </w:r>
      <w:r>
        <w:rPr>
          <w:rFonts w:ascii="Calibri" w:hAnsi="Calibri" w:cs="Calibri"/>
          <w:color w:val="000000"/>
          <w:szCs w:val="22"/>
          <w:lang w:eastAsia="en-AU"/>
        </w:rPr>
        <w:tab/>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Rochedale South</w:t>
      </w:r>
      <w:r>
        <w:rPr>
          <w:rFonts w:ascii="Calibri" w:hAnsi="Calibri" w:cs="Calibri"/>
          <w:color w:val="000000"/>
          <w:szCs w:val="22"/>
          <w:lang w:eastAsia="en-AU"/>
        </w:rPr>
        <w:tab/>
        <w:t>Shailer Park</w:t>
      </w:r>
      <w:r>
        <w:rPr>
          <w:rFonts w:ascii="Calibri" w:hAnsi="Calibri" w:cs="Calibri"/>
          <w:color w:val="000000"/>
          <w:szCs w:val="22"/>
          <w:lang w:eastAsia="en-AU"/>
        </w:rPr>
        <w:tab/>
      </w:r>
      <w:r>
        <w:rPr>
          <w:rFonts w:ascii="Calibri" w:hAnsi="Calibri" w:cs="Calibri"/>
          <w:color w:val="000000"/>
          <w:szCs w:val="22"/>
          <w:lang w:eastAsia="en-AU"/>
        </w:rPr>
        <w:tab/>
        <w:t>Slacks Creek</w:t>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Springwood</w:t>
      </w:r>
      <w:r>
        <w:rPr>
          <w:rFonts w:ascii="Calibri" w:hAnsi="Calibri" w:cs="Calibri"/>
          <w:color w:val="000000"/>
          <w:szCs w:val="22"/>
          <w:lang w:eastAsia="en-AU"/>
        </w:rPr>
        <w:tab/>
      </w:r>
      <w:r>
        <w:rPr>
          <w:rFonts w:ascii="Calibri" w:hAnsi="Calibri" w:cs="Calibri"/>
          <w:color w:val="000000"/>
          <w:szCs w:val="22"/>
          <w:lang w:eastAsia="en-AU"/>
        </w:rPr>
        <w:tab/>
        <w:t xml:space="preserve">Tanah </w:t>
      </w:r>
      <w:proofErr w:type="spellStart"/>
      <w:r>
        <w:rPr>
          <w:rFonts w:ascii="Calibri" w:hAnsi="Calibri" w:cs="Calibri"/>
          <w:color w:val="000000"/>
          <w:szCs w:val="22"/>
          <w:lang w:eastAsia="en-AU"/>
        </w:rPr>
        <w:t>Merah</w:t>
      </w:r>
      <w:proofErr w:type="spellEnd"/>
      <w:r>
        <w:rPr>
          <w:rFonts w:ascii="Calibri" w:hAnsi="Calibri" w:cs="Calibri"/>
          <w:color w:val="000000"/>
          <w:szCs w:val="22"/>
          <w:lang w:eastAsia="en-AU"/>
        </w:rPr>
        <w:tab/>
      </w:r>
      <w:r>
        <w:rPr>
          <w:rFonts w:ascii="Calibri" w:hAnsi="Calibri" w:cs="Calibri"/>
          <w:color w:val="000000"/>
          <w:szCs w:val="22"/>
          <w:lang w:eastAsia="en-AU"/>
        </w:rPr>
        <w:tab/>
        <w:t>Underwood</w:t>
      </w:r>
      <w:r>
        <w:rPr>
          <w:rFonts w:ascii="Calibri" w:hAnsi="Calibri" w:cs="Calibri"/>
          <w:color w:val="000000"/>
          <w:szCs w:val="22"/>
          <w:lang w:eastAsia="en-AU"/>
        </w:rPr>
        <w:tab/>
      </w: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Waterford West</w:t>
      </w:r>
      <w:r>
        <w:rPr>
          <w:rFonts w:ascii="Calibri" w:hAnsi="Calibri" w:cs="Calibri"/>
          <w:color w:val="000000"/>
          <w:szCs w:val="22"/>
          <w:lang w:eastAsia="en-AU"/>
        </w:rPr>
        <w:tab/>
        <w:t>Woodridge</w:t>
      </w:r>
    </w:p>
    <w:p w:rsidR="00C24DFD" w:rsidRDefault="00C24DFD" w:rsidP="00C24DFD">
      <w:pPr>
        <w:autoSpaceDE w:val="0"/>
        <w:autoSpaceDN w:val="0"/>
        <w:adjustRightInd w:val="0"/>
        <w:rPr>
          <w:rFonts w:ascii="Calibri" w:hAnsi="Calibri" w:cs="Calibri"/>
          <w:color w:val="000000"/>
          <w:szCs w:val="22"/>
          <w:lang w:eastAsia="en-AU"/>
        </w:rPr>
      </w:pPr>
    </w:p>
    <w:p w:rsidR="00C24DFD" w:rsidRDefault="00C24DFD" w:rsidP="00C24DFD">
      <w:pPr>
        <w:autoSpaceDE w:val="0"/>
        <w:autoSpaceDN w:val="0"/>
        <w:adjustRightInd w:val="0"/>
        <w:rPr>
          <w:rFonts w:ascii="Calibri" w:hAnsi="Calibri" w:cs="Calibri"/>
          <w:color w:val="000000"/>
          <w:szCs w:val="22"/>
          <w:lang w:eastAsia="en-AU"/>
        </w:rPr>
      </w:pPr>
      <w:r>
        <w:rPr>
          <w:rFonts w:ascii="Calibri" w:hAnsi="Calibri" w:cs="Calibri"/>
          <w:color w:val="000000"/>
          <w:szCs w:val="22"/>
          <w:lang w:eastAsia="en-AU"/>
        </w:rPr>
        <w:t xml:space="preserve">The Logan </w:t>
      </w:r>
      <w:proofErr w:type="spellStart"/>
      <w:r>
        <w:rPr>
          <w:rFonts w:ascii="Calibri" w:hAnsi="Calibri" w:cs="Calibri"/>
          <w:color w:val="000000"/>
          <w:szCs w:val="22"/>
          <w:lang w:eastAsia="en-AU"/>
        </w:rPr>
        <w:t>LGA</w:t>
      </w:r>
      <w:proofErr w:type="spellEnd"/>
      <w:r>
        <w:rPr>
          <w:rFonts w:ascii="Calibri" w:hAnsi="Calibri" w:cs="Calibri"/>
          <w:color w:val="000000"/>
          <w:szCs w:val="22"/>
          <w:lang w:eastAsia="en-AU"/>
        </w:rPr>
        <w:t xml:space="preserve"> boundaries changed since the formation of the PEA in 2009. The Logan </w:t>
      </w:r>
      <w:proofErr w:type="spellStart"/>
      <w:r>
        <w:rPr>
          <w:rFonts w:ascii="Calibri" w:hAnsi="Calibri" w:cs="Calibri"/>
          <w:color w:val="000000"/>
          <w:szCs w:val="22"/>
          <w:lang w:eastAsia="en-AU"/>
        </w:rPr>
        <w:t>LGA</w:t>
      </w:r>
      <w:proofErr w:type="spellEnd"/>
      <w:r>
        <w:rPr>
          <w:rFonts w:ascii="Calibri" w:hAnsi="Calibri" w:cs="Calibri"/>
          <w:color w:val="000000"/>
          <w:szCs w:val="22"/>
          <w:lang w:eastAsia="en-AU"/>
        </w:rPr>
        <w:t xml:space="preserve"> (as it was at the time of the 2006 Census) makes up 68 per cent of the working age population of the current Logan </w:t>
      </w:r>
      <w:proofErr w:type="spellStart"/>
      <w:r>
        <w:rPr>
          <w:rFonts w:ascii="Calibri" w:hAnsi="Calibri" w:cs="Calibri"/>
          <w:color w:val="000000"/>
          <w:szCs w:val="22"/>
          <w:lang w:eastAsia="en-AU"/>
        </w:rPr>
        <w:t>LGA</w:t>
      </w:r>
      <w:proofErr w:type="spellEnd"/>
      <w:r>
        <w:rPr>
          <w:rFonts w:ascii="Calibri" w:hAnsi="Calibri" w:cs="Calibri"/>
          <w:color w:val="000000"/>
          <w:szCs w:val="22"/>
          <w:lang w:eastAsia="en-AU"/>
        </w:rPr>
        <w:t xml:space="preserve">. The current Logan </w:t>
      </w:r>
      <w:proofErr w:type="spellStart"/>
      <w:r>
        <w:rPr>
          <w:rFonts w:ascii="Calibri" w:hAnsi="Calibri" w:cs="Calibri"/>
          <w:color w:val="000000"/>
          <w:szCs w:val="22"/>
          <w:lang w:eastAsia="en-AU"/>
        </w:rPr>
        <w:t>LGA</w:t>
      </w:r>
      <w:proofErr w:type="spellEnd"/>
      <w:r>
        <w:rPr>
          <w:rFonts w:ascii="Calibri" w:hAnsi="Calibri" w:cs="Calibri"/>
          <w:color w:val="000000"/>
          <w:szCs w:val="22"/>
          <w:lang w:eastAsia="en-AU"/>
        </w:rPr>
        <w:t xml:space="preserve"> also includes parts of what were previously the Gold Coast and Beaudesert </w:t>
      </w:r>
      <w:proofErr w:type="spellStart"/>
      <w:r>
        <w:rPr>
          <w:rFonts w:ascii="Calibri" w:hAnsi="Calibri" w:cs="Calibri"/>
          <w:color w:val="000000"/>
          <w:szCs w:val="22"/>
          <w:lang w:eastAsia="en-AU"/>
        </w:rPr>
        <w:t>LGAs</w:t>
      </w:r>
      <w:proofErr w:type="spellEnd"/>
      <w:r>
        <w:rPr>
          <w:rFonts w:ascii="Calibri" w:hAnsi="Calibri" w:cs="Calibri"/>
          <w:color w:val="000000"/>
          <w:szCs w:val="22"/>
          <w:lang w:eastAsia="en-AU"/>
        </w:rPr>
        <w: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w:t>
      </w:r>
    </w:p>
    <w:p w:rsidR="00C24DFD" w:rsidRDefault="00C24DFD" w:rsidP="00C24DFD">
      <w:pPr>
        <w:spacing w:line="360" w:lineRule="auto"/>
      </w:pPr>
    </w:p>
    <w:p w:rsidR="00C24DFD" w:rsidRDefault="00C24DFD" w:rsidP="00C24DFD">
      <w:pPr>
        <w:spacing w:line="360" w:lineRule="auto"/>
        <w:jc w:val="center"/>
      </w:pPr>
      <w:r>
        <w:object w:dxaOrig="7212" w:dyaOrig="5411">
          <v:shape id="_x0000_i1035" type="#_x0000_t75" style="width:270.7pt;height:202.8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33941432" r:id="rId1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 xml:space="preserve">What has </w:t>
      </w:r>
      <w:proofErr w:type="gramStart"/>
      <w:r>
        <w:rPr>
          <w:rFonts w:ascii="Calibri" w:hAnsi="Calibri" w:cs="Calibri"/>
          <w:b/>
          <w:bCs/>
          <w:color w:val="000000"/>
          <w:kern w:val="24"/>
          <w:sz w:val="24"/>
          <w:szCs w:val="24"/>
          <w:u w:val="single"/>
          <w:lang w:eastAsia="en-AU"/>
        </w:rPr>
        <w:t>Changed</w:t>
      </w:r>
      <w:proofErr w:type="gramEnd"/>
      <w:r>
        <w:rPr>
          <w:rFonts w:ascii="Calibri" w:hAnsi="Calibri" w:cs="Calibri"/>
          <w:b/>
          <w:bCs/>
          <w:color w:val="000000"/>
          <w:kern w:val="24"/>
          <w:sz w:val="24"/>
          <w:szCs w:val="24"/>
          <w:u w:val="single"/>
          <w:lang w:eastAsia="en-AU"/>
        </w:rPr>
        <w:t xml:space="preserve">? </w:t>
      </w:r>
      <w:r>
        <w:rPr>
          <w:rFonts w:ascii="Calibri" w:hAnsi="Calibri" w:cs="Calibri"/>
          <w:color w:val="000000"/>
          <w:kern w:val="24"/>
          <w:sz w:val="24"/>
          <w:szCs w:val="24"/>
          <w:lang w:eastAsia="en-AU"/>
        </w:rPr>
        <w:t>(</w:t>
      </w:r>
      <w:proofErr w:type="gramStart"/>
      <w:r>
        <w:rPr>
          <w:rFonts w:ascii="Calibri" w:hAnsi="Calibri" w:cs="Calibri"/>
          <w:color w:val="000000"/>
          <w:kern w:val="24"/>
          <w:sz w:val="24"/>
          <w:szCs w:val="24"/>
          <w:lang w:eastAsia="en-AU"/>
        </w:rPr>
        <w:t>since</w:t>
      </w:r>
      <w:proofErr w:type="gramEnd"/>
      <w:r>
        <w:rPr>
          <w:rFonts w:ascii="Calibri" w:hAnsi="Calibri" w:cs="Calibri"/>
          <w:color w:val="000000"/>
          <w:kern w:val="24"/>
          <w:sz w:val="24"/>
          <w:szCs w:val="24"/>
          <w:lang w:eastAsia="en-AU"/>
        </w:rPr>
        <w:t xml:space="preserve"> last presentation on 14 June 2012)</w:t>
      </w: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and 2006; ABS Labour Market, April 2013; DEEWR, Small Area Labour Markets, December 2012, </w:t>
      </w:r>
      <w:r>
        <w:rPr>
          <w:rFonts w:ascii="Calibri" w:hAnsi="Times New Roman" w:cs="Calibri"/>
          <w:i/>
          <w:iCs/>
          <w:color w:val="000000"/>
          <w:kern w:val="24"/>
          <w:sz w:val="24"/>
          <w:szCs w:val="24"/>
          <w:lang w:eastAsia="en-AU"/>
        </w:rPr>
        <w:t>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January 2012 and February 2013</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Labour market conditions in the PEA remain subdued, and results from the February 2013 suggest further softening in the labour market.</w:t>
      </w: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xml:space="preserve">The unemployment rate </w:t>
      </w:r>
      <w:r>
        <w:rPr>
          <w:rFonts w:ascii="Calibri" w:hAnsi="Calibri" w:cs="Calibri"/>
          <w:color w:val="000000"/>
          <w:kern w:val="24"/>
          <w:sz w:val="24"/>
          <w:szCs w:val="24"/>
          <w:lang w:eastAsia="en-AU"/>
        </w:rPr>
        <w:t>dropped to 6.2 per cent in June 2012, but returned to 6.7 per cent in the December quarter 2012 (the same as in the December quarter 2011) (DEEWR, Small Area Labour Markets, December 2012).</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xml:space="preserve">Working age participation rate </w:t>
      </w:r>
      <w:r>
        <w:rPr>
          <w:rFonts w:ascii="Calibri" w:hAnsi="Calibri" w:cs="Calibri"/>
          <w:color w:val="000000"/>
          <w:kern w:val="24"/>
          <w:sz w:val="24"/>
          <w:szCs w:val="24"/>
          <w:lang w:eastAsia="en-AU"/>
        </w:rPr>
        <w:t>was 75.1 per cent</w:t>
      </w:r>
      <w:r>
        <w:rPr>
          <w:rFonts w:ascii="Calibri" w:hAnsi="Calibri" w:cs="Calibri"/>
          <w:b/>
          <w:bCs/>
          <w:color w:val="000000"/>
          <w:kern w:val="24"/>
          <w:sz w:val="24"/>
          <w:szCs w:val="24"/>
          <w:lang w:eastAsia="en-AU"/>
        </w:rPr>
        <w:t xml:space="preserve"> </w:t>
      </w:r>
      <w:r>
        <w:rPr>
          <w:rFonts w:ascii="Calibri" w:hAnsi="Calibri" w:cs="Calibri"/>
          <w:color w:val="000000"/>
          <w:kern w:val="24"/>
          <w:sz w:val="24"/>
          <w:szCs w:val="24"/>
          <w:lang w:eastAsia="en-AU"/>
        </w:rPr>
        <w:t>(15-64 years old), similar to the previous rate of 74.7 per cent (ABS Census of Population and Housing, 2006 and 2011).</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Increase in the number of 25-34 year olds who had </w:t>
      </w:r>
      <w:r>
        <w:rPr>
          <w:rFonts w:ascii="Calibri" w:hAnsi="Calibri" w:cs="Calibri"/>
          <w:b/>
          <w:bCs/>
          <w:color w:val="000000"/>
          <w:kern w:val="24"/>
          <w:sz w:val="24"/>
          <w:szCs w:val="24"/>
          <w:lang w:eastAsia="en-AU"/>
        </w:rPr>
        <w:t>completed Year 12</w:t>
      </w:r>
      <w:r>
        <w:rPr>
          <w:rFonts w:ascii="Calibri" w:hAnsi="Calibri" w:cs="Calibri"/>
          <w:color w:val="000000"/>
          <w:kern w:val="24"/>
          <w:sz w:val="24"/>
          <w:szCs w:val="24"/>
          <w:lang w:eastAsia="en-AU"/>
        </w:rPr>
        <w:t xml:space="preserve"> (from 61 to 68 per cent) (ABS Census of Population and Housing, 2006 and 2011).</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Proportion of </w:t>
      </w:r>
      <w:r>
        <w:rPr>
          <w:rFonts w:ascii="Calibri" w:hAnsi="Calibri" w:cs="Calibri"/>
          <w:b/>
          <w:bCs/>
          <w:color w:val="000000"/>
          <w:kern w:val="24"/>
          <w:sz w:val="24"/>
          <w:szCs w:val="24"/>
          <w:lang w:eastAsia="en-AU"/>
        </w:rPr>
        <w:t xml:space="preserve">disengaged youth </w:t>
      </w:r>
      <w:r>
        <w:rPr>
          <w:rFonts w:ascii="Calibri" w:hAnsi="Calibri" w:cs="Calibri"/>
          <w:color w:val="000000"/>
          <w:kern w:val="24"/>
          <w:sz w:val="24"/>
          <w:szCs w:val="24"/>
          <w:lang w:eastAsia="en-AU"/>
        </w:rPr>
        <w:t>(20-24 years old) was similar (ABS Census of Population and Housing, 2006 and 2011).</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Reliance on </w:t>
      </w:r>
      <w:r>
        <w:rPr>
          <w:rFonts w:ascii="Calibri" w:hAnsi="Calibri" w:cs="Calibri"/>
          <w:b/>
          <w:bCs/>
          <w:color w:val="000000"/>
          <w:kern w:val="24"/>
          <w:sz w:val="24"/>
          <w:szCs w:val="24"/>
          <w:lang w:eastAsia="en-AU"/>
        </w:rPr>
        <w:t xml:space="preserve">income support payments </w:t>
      </w:r>
      <w:r>
        <w:rPr>
          <w:rFonts w:ascii="Calibri" w:hAnsi="Calibri" w:cs="Calibri"/>
          <w:color w:val="000000"/>
          <w:kern w:val="24"/>
          <w:sz w:val="24"/>
          <w:szCs w:val="24"/>
          <w:lang w:eastAsia="en-AU"/>
        </w:rPr>
        <w:t>was similar (DEEWR administrative data, March 2013).</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survey showed a decrease in recruitment activity</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Employment in manufacturing (one of the largest employers in the PEA) fell by 11 per cent in the combined Ipswich and Logan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(ABS Census of Population and Housing, 2006 and 2011).</w:t>
      </w:r>
    </w:p>
    <w:p w:rsidR="00C24DFD" w:rsidRDefault="00C24DFD" w:rsidP="00C24DFD">
      <w:pPr>
        <w:numPr>
          <w:ilvl w:val="0"/>
          <w:numId w:val="1"/>
        </w:numPr>
        <w:autoSpaceDE w:val="0"/>
        <w:autoSpaceDN w:val="0"/>
        <w:adjustRightInd w:val="0"/>
        <w:ind w:left="560" w:hanging="560"/>
        <w:rPr>
          <w:rFonts w:ascii="Calibri" w:hAnsi="Calibri" w:cs="Calibri"/>
          <w:b/>
          <w:bCs/>
          <w:color w:val="000000"/>
          <w:kern w:val="24"/>
          <w:sz w:val="24"/>
          <w:szCs w:val="24"/>
          <w:lang w:eastAsia="en-AU"/>
        </w:rPr>
      </w:pPr>
      <w:r>
        <w:rPr>
          <w:rFonts w:ascii="Calibri" w:hAnsi="Calibri" w:cs="Calibri"/>
          <w:color w:val="000000"/>
          <w:kern w:val="24"/>
          <w:sz w:val="24"/>
          <w:szCs w:val="24"/>
          <w:lang w:eastAsia="en-AU"/>
        </w:rPr>
        <w:t xml:space="preserve">Fewer </w:t>
      </w:r>
      <w:r>
        <w:rPr>
          <w:rFonts w:ascii="Calibri" w:hAnsi="Calibri" w:cs="Calibri"/>
          <w:b/>
          <w:bCs/>
          <w:color w:val="000000"/>
          <w:kern w:val="24"/>
          <w:sz w:val="24"/>
          <w:szCs w:val="24"/>
          <w:lang w:eastAsia="en-AU"/>
        </w:rPr>
        <w:t xml:space="preserve">teenage full-time unemployed </w:t>
      </w:r>
      <w:r>
        <w:rPr>
          <w:rFonts w:ascii="Calibri" w:hAnsi="Calibri" w:cs="Calibri"/>
          <w:color w:val="000000"/>
          <w:kern w:val="24"/>
          <w:sz w:val="24"/>
          <w:szCs w:val="24"/>
          <w:lang w:eastAsia="en-AU"/>
        </w:rPr>
        <w:t xml:space="preserve">in the Ipswich City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(ABS Labour Force Survey, April 2013)</w:t>
      </w:r>
    </w:p>
    <w:p w:rsidR="00C24DFD" w:rsidRDefault="00C24DFD" w:rsidP="00C24DFD">
      <w:pPr>
        <w:numPr>
          <w:ilvl w:val="0"/>
          <w:numId w:val="1"/>
        </w:numPr>
        <w:autoSpaceDE w:val="0"/>
        <w:autoSpaceDN w:val="0"/>
        <w:adjustRightInd w:val="0"/>
        <w:ind w:left="560" w:hanging="56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number of </w:t>
      </w:r>
      <w:r>
        <w:rPr>
          <w:rFonts w:ascii="Calibri" w:hAnsi="Calibri" w:cs="Calibri"/>
          <w:b/>
          <w:bCs/>
          <w:color w:val="000000"/>
          <w:kern w:val="24"/>
          <w:sz w:val="24"/>
          <w:szCs w:val="24"/>
          <w:lang w:eastAsia="en-AU"/>
        </w:rPr>
        <w:t xml:space="preserve">jobless families </w:t>
      </w:r>
      <w:r>
        <w:rPr>
          <w:rFonts w:ascii="Calibri" w:hAnsi="Calibri" w:cs="Calibri"/>
          <w:color w:val="000000"/>
          <w:kern w:val="24"/>
          <w:sz w:val="24"/>
          <w:szCs w:val="24"/>
          <w:lang w:eastAsia="en-AU"/>
        </w:rPr>
        <w:t>was similar (ABS Census of Population and Housing, 2006 and 2011).</w:t>
      </w: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4</w:t>
      </w:r>
    </w:p>
    <w:p w:rsidR="00C24DFD" w:rsidRDefault="00C24DFD" w:rsidP="00C24DFD">
      <w:pPr>
        <w:spacing w:line="360" w:lineRule="auto"/>
      </w:pPr>
    </w:p>
    <w:p w:rsidR="00C24DFD" w:rsidRDefault="00C24DFD" w:rsidP="00C24DFD">
      <w:pPr>
        <w:spacing w:line="360" w:lineRule="auto"/>
        <w:jc w:val="center"/>
      </w:pPr>
      <w:r>
        <w:object w:dxaOrig="7212" w:dyaOrig="5411">
          <v:shape id="_x0000_i1040" type="#_x0000_t75" style="width:270.7pt;height:202.8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33941433" r:id="rId1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Population Profile of the Ipswich-Logan PEA</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Population Estimates by Age and Sex, 2006 and 2011; ABS, 2006 Census of Population and Housing</w:t>
      </w:r>
      <w:r>
        <w:rPr>
          <w:rFonts w:ascii="Calibri" w:hAnsi="Calibri" w:cs="Calibri"/>
          <w:color w:val="000000"/>
          <w:kern w:val="24"/>
          <w:sz w:val="24"/>
          <w:szCs w:val="24"/>
          <w:lang w:eastAsia="en-AU"/>
        </w:rPr>
        <w:tab/>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adult population of the Ipswich-Logan PEA grew by 15 per cent between 2006 and 2011, substantially higher compared with both Queensland (10 per cent) and Australia (9 per cent).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Growth in the 15-24 year age group was particularly high (13 per cent), especially in the Ipswich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(23 per cent).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Likewise, the median age in the PEA (32) is low compared with Queensland (36) and Australia (37).</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sz w:val="20"/>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5</w:t>
      </w:r>
    </w:p>
    <w:p w:rsidR="00C24DFD" w:rsidRDefault="00C24DFD" w:rsidP="00C24DFD">
      <w:pPr>
        <w:spacing w:line="360" w:lineRule="auto"/>
      </w:pPr>
    </w:p>
    <w:p w:rsidR="00C24DFD" w:rsidRDefault="00C24DFD" w:rsidP="00C24DFD">
      <w:pPr>
        <w:spacing w:line="360" w:lineRule="auto"/>
        <w:jc w:val="center"/>
      </w:pPr>
      <w:r>
        <w:object w:dxaOrig="7212" w:dyaOrig="5411">
          <v:shape id="_x0000_i1045" type="#_x0000_t75" style="width:270.7pt;height:202.8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33941434" r:id="rId1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Migration over 5 years (total population)</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the five years to the 2011 Census, 74,500 people (25 per cent of the population) moved to the Ipswich-Logan PEA. Over the same period, 56,100 people moved from the PEA to elsewhere in Australia.</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majority of people came from the following localities: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Region</w:t>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People</w:t>
      </w:r>
      <w:r>
        <w:rPr>
          <w:rFonts w:ascii="Calibri" w:hAnsi="Calibri" w:cs="Calibri"/>
          <w:b/>
          <w:bCs/>
          <w:color w:val="000000"/>
          <w:kern w:val="24"/>
          <w:sz w:val="24"/>
          <w:szCs w:val="24"/>
          <w:lang w:eastAsia="en-AU"/>
        </w:rPr>
        <w:tab/>
        <w:t>% of people who moved to the PEA</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Brisbane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 xml:space="preserve">23,300 </w:t>
      </w:r>
      <w:r>
        <w:rPr>
          <w:rFonts w:ascii="Calibri" w:hAnsi="Calibri" w:cs="Calibri"/>
          <w:color w:val="000000"/>
          <w:kern w:val="24"/>
          <w:sz w:val="24"/>
          <w:szCs w:val="24"/>
          <w:lang w:eastAsia="en-AU"/>
        </w:rPr>
        <w:tab/>
        <w:t>(31%)</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Overseas</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18,300</w:t>
      </w:r>
      <w:r>
        <w:rPr>
          <w:rFonts w:ascii="Calibri" w:hAnsi="Calibri" w:cs="Calibri"/>
          <w:color w:val="000000"/>
          <w:kern w:val="24"/>
          <w:sz w:val="24"/>
          <w:szCs w:val="24"/>
          <w:lang w:eastAsia="en-AU"/>
        </w:rPr>
        <w:tab/>
        <w:t>(25%)</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New South Wales </w:t>
      </w:r>
      <w:r>
        <w:rPr>
          <w:rFonts w:ascii="Calibri" w:hAnsi="Calibri" w:cs="Calibri"/>
          <w:color w:val="000000"/>
          <w:kern w:val="24"/>
          <w:sz w:val="24"/>
          <w:szCs w:val="24"/>
          <w:lang w:eastAsia="en-AU"/>
        </w:rPr>
        <w:tab/>
        <w:t>7,000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(9%)</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Gold Coast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 xml:space="preserve">4,700 </w:t>
      </w:r>
      <w:r>
        <w:rPr>
          <w:rFonts w:ascii="Calibri" w:hAnsi="Calibri" w:cs="Calibri"/>
          <w:color w:val="000000"/>
          <w:kern w:val="24"/>
          <w:sz w:val="24"/>
          <w:szCs w:val="24"/>
          <w:lang w:eastAsia="en-AU"/>
        </w:rPr>
        <w:tab/>
        <w:t>(6%)</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Beaudesert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2,900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(4%)</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Redland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t>2,000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(3%)</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Region</w:t>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ab/>
      </w:r>
      <w:r>
        <w:rPr>
          <w:rFonts w:ascii="Calibri" w:hAnsi="Calibri" w:cs="Calibri"/>
          <w:b/>
          <w:bCs/>
          <w:color w:val="000000"/>
          <w:kern w:val="24"/>
          <w:sz w:val="24"/>
          <w:szCs w:val="24"/>
          <w:lang w:eastAsia="en-AU"/>
        </w:rPr>
        <w:t>People</w:t>
      </w:r>
      <w:r>
        <w:rPr>
          <w:rFonts w:ascii="Calibri" w:hAnsi="Calibri" w:cs="Calibri"/>
          <w:b/>
          <w:bCs/>
          <w:color w:val="000000"/>
          <w:kern w:val="24"/>
          <w:sz w:val="24"/>
          <w:szCs w:val="24"/>
          <w:lang w:eastAsia="en-AU"/>
        </w:rPr>
        <w:tab/>
        <w:t>% of people who moved from the PEA</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Brisbane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t>14,700</w:t>
      </w:r>
      <w:r>
        <w:rPr>
          <w:rFonts w:ascii="Calibri" w:hAnsi="Calibri" w:cs="Calibri"/>
          <w:color w:val="000000"/>
          <w:kern w:val="24"/>
          <w:sz w:val="24"/>
          <w:szCs w:val="24"/>
          <w:lang w:eastAsia="en-AU"/>
        </w:rPr>
        <w:tab/>
        <w:t>(26%)</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Gold Coast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7,900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t>(14%)</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Beaudesert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t>5,200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(9%)</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New South Wales</w:t>
      </w:r>
      <w:r>
        <w:rPr>
          <w:rFonts w:ascii="Calibri" w:hAnsi="Calibri" w:cs="Calibri"/>
          <w:color w:val="000000"/>
          <w:kern w:val="24"/>
          <w:sz w:val="24"/>
          <w:szCs w:val="24"/>
          <w:lang w:eastAsia="en-AU"/>
        </w:rPr>
        <w:tab/>
        <w:t>4,400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(8%)</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Redland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t>2,300</w:t>
      </w:r>
      <w:r>
        <w:rPr>
          <w:rFonts w:ascii="Calibri" w:hAnsi="Calibri" w:cs="Calibri"/>
          <w:color w:val="000000"/>
          <w:kern w:val="24"/>
          <w:sz w:val="24"/>
          <w:szCs w:val="24"/>
          <w:lang w:eastAsia="en-AU"/>
        </w:rPr>
        <w:tab/>
      </w:r>
      <w:r>
        <w:rPr>
          <w:rFonts w:ascii="Calibri" w:hAnsi="Calibri" w:cs="Calibri"/>
          <w:color w:val="000000"/>
          <w:kern w:val="24"/>
          <w:sz w:val="24"/>
          <w:szCs w:val="24"/>
          <w:lang w:eastAsia="en-AU"/>
        </w:rPr>
        <w:tab/>
      </w:r>
      <w:bookmarkStart w:id="0" w:name="_GoBack"/>
      <w:bookmarkEnd w:id="0"/>
      <w:r>
        <w:rPr>
          <w:rFonts w:ascii="Calibri" w:hAnsi="Calibri" w:cs="Calibri"/>
          <w:color w:val="000000"/>
          <w:kern w:val="24"/>
          <w:sz w:val="24"/>
          <w:szCs w:val="24"/>
          <w:lang w:eastAsia="en-AU"/>
        </w:rPr>
        <w:t>(4%)</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6</w:t>
      </w:r>
    </w:p>
    <w:p w:rsidR="00C24DFD" w:rsidRDefault="00C24DFD" w:rsidP="00C24DFD">
      <w:pPr>
        <w:spacing w:line="360" w:lineRule="auto"/>
      </w:pPr>
    </w:p>
    <w:p w:rsidR="00C24DFD" w:rsidRDefault="00C24DFD" w:rsidP="00C24DFD">
      <w:pPr>
        <w:spacing w:line="360" w:lineRule="auto"/>
        <w:jc w:val="center"/>
      </w:pPr>
      <w:r>
        <w:object w:dxaOrig="7212" w:dyaOrig="5411">
          <v:shape id="_x0000_i1050" type="#_x0000_t75" style="width:270.7pt;height:202.8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33941435" r:id="rId1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Unemployment Varies by Region</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Small Area Labour Markets, December quarter 2012</w:t>
      </w:r>
    </w:p>
    <w:p w:rsidR="00C24DFD" w:rsidRDefault="00C24DFD" w:rsidP="00C24DFD">
      <w:pPr>
        <w:autoSpaceDE w:val="0"/>
        <w:autoSpaceDN w:val="0"/>
        <w:adjustRightInd w:val="0"/>
        <w:rPr>
          <w:rFonts w:ascii="Calibri" w:hAnsi="Calibri" w:cs="Calibri"/>
          <w:i/>
          <w:iCs/>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While unemployment in the Ipswich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has generally remained close to or </w:t>
      </w:r>
      <w:proofErr w:type="gramStart"/>
      <w:r>
        <w:rPr>
          <w:rFonts w:ascii="Calibri" w:hAnsi="Calibri" w:cs="Calibri"/>
          <w:color w:val="000000"/>
          <w:kern w:val="24"/>
          <w:sz w:val="24"/>
          <w:szCs w:val="24"/>
          <w:lang w:eastAsia="en-AU"/>
        </w:rPr>
        <w:t>lower</w:t>
      </w:r>
      <w:proofErr w:type="gramEnd"/>
      <w:r>
        <w:rPr>
          <w:rFonts w:ascii="Calibri" w:hAnsi="Calibri" w:cs="Calibri"/>
          <w:color w:val="000000"/>
          <w:kern w:val="24"/>
          <w:sz w:val="24"/>
          <w:szCs w:val="24"/>
          <w:lang w:eastAsia="en-AU"/>
        </w:rPr>
        <w:t xml:space="preserve"> than the comparable rate for Queensland, unemployment in Logan has been consistently high.</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7</w:t>
      </w:r>
    </w:p>
    <w:p w:rsidR="00C24DFD" w:rsidRDefault="00C24DFD" w:rsidP="00C24DFD">
      <w:pPr>
        <w:spacing w:line="360" w:lineRule="auto"/>
      </w:pPr>
    </w:p>
    <w:p w:rsidR="00C24DFD" w:rsidRDefault="00C24DFD" w:rsidP="00C24DFD">
      <w:pPr>
        <w:spacing w:line="360" w:lineRule="auto"/>
        <w:jc w:val="center"/>
      </w:pPr>
      <w:r>
        <w:object w:dxaOrig="7212" w:dyaOrig="5411">
          <v:shape id="_x0000_i1055" type="#_x0000_t75" style="width:270.7pt;height:202.8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33941436" r:id="rId1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Diverse Labour Market Conditions in the Region</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Small Area Labour Markets, December quarter 2012, smoothed series; ABS Census of Population and Housing 2011, ABS Labour Force Data, April 2013, seasonally adjusted data</w:t>
      </w:r>
    </w:p>
    <w:p w:rsidR="00C24DFD" w:rsidRDefault="00C24DFD" w:rsidP="00C24DFD">
      <w:pPr>
        <w:autoSpaceDE w:val="0"/>
        <w:autoSpaceDN w:val="0"/>
        <w:adjustRightInd w:val="0"/>
        <w:rPr>
          <w:rFonts w:ascii="Calibri" w:hAnsi="Calibri" w:cs="Calibri"/>
          <w:i/>
          <w:iCs/>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Unemployment in the PEA (6.7 per cent) has consistently remained above the state and national levels. Despite this, the participation rate in the PEA is similar to the national rate (75.8 per cent).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Ipswich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labour market is generally the stronger of the two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with the unemployment rate (5.6 per cent) being substantially lower than that of the Logan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(7.6 per cent).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Logan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is home to areas of persistent disadvantage. Unemployment is particularly high in the Kingston (18.0 per cent) and Woodridge (18.1 per cent) </w:t>
      </w: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and participation is low (63.8 and 62.3 per cent respectively).</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ab/>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8</w:t>
      </w:r>
    </w:p>
    <w:p w:rsidR="00C24DFD" w:rsidRDefault="00C24DFD" w:rsidP="00C24DFD">
      <w:pPr>
        <w:spacing w:line="360" w:lineRule="auto"/>
      </w:pPr>
    </w:p>
    <w:p w:rsidR="00C24DFD" w:rsidRDefault="00C24DFD" w:rsidP="00C24DFD">
      <w:pPr>
        <w:spacing w:line="360" w:lineRule="auto"/>
        <w:jc w:val="center"/>
      </w:pPr>
      <w:r>
        <w:object w:dxaOrig="7212" w:dyaOrig="5411">
          <v:shape id="_x0000_i1060" type="#_x0000_t75" style="width:270.7pt;height:202.8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33941437" r:id="rId2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Teenage Labour Market</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Labour Force Data, April 2013, 12 month averages of original data</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Due to their lack of skills and experience, teenagers in the full-time labour market can be particularly vulnerable during a labour market downturn. The teenage full-time unemployment rate is based on people aged 15 – 19 years old who are searching for full-time employment.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Teen full-time unemployment in the Ipswich City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(13.8 per cent) is lower compared with the state (25.5 per cent) and national (24.4 per cent) levels.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Teen full-time unemployment in the South and East BSD Balance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(30.2 per cent) was higher compared with both the state and national levels. The percentage of the 15 to 19 year old population that was full-time unemployed (5.7 per cent) was also high compared with Queensland (5.4 per cent) and Australia (4.2 per cent).</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9</w:t>
      </w:r>
    </w:p>
    <w:p w:rsidR="00C24DFD" w:rsidRDefault="00C24DFD" w:rsidP="00C24DFD">
      <w:pPr>
        <w:spacing w:line="360" w:lineRule="auto"/>
      </w:pPr>
    </w:p>
    <w:p w:rsidR="00C24DFD" w:rsidRDefault="00C24DFD" w:rsidP="00C24DFD">
      <w:pPr>
        <w:spacing w:line="360" w:lineRule="auto"/>
        <w:jc w:val="center"/>
      </w:pPr>
      <w:r>
        <w:object w:dxaOrig="7212" w:dyaOrig="5411">
          <v:shape id="_x0000_i1065" type="#_x0000_t75" style="width:270.7pt;height:202.8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33941438" r:id="rId2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High Levels of Income Support</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DEEWR administrative data, March 2013; ABS Estimated Resident Population 2011</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 high proportion of the working age population in the Ipswich and Logan PEA (22 per cent) are recipients of income support compared with the state (17 per cent). The proportion receiving an unemployment benefit (7 per cent) is also higher compared with the state (6 per cent).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the working age population in receipt of income support is particularly high in the Kingston (36 per cent) and Woodridge (35 per cent) </w:t>
      </w: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as is the proportion receiving an unemployment benefit (both 13 per cent).</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10</w:t>
      </w:r>
    </w:p>
    <w:p w:rsidR="00C24DFD" w:rsidRDefault="00C24DFD" w:rsidP="00C24DFD">
      <w:pPr>
        <w:spacing w:line="360" w:lineRule="auto"/>
      </w:pPr>
    </w:p>
    <w:p w:rsidR="00C24DFD" w:rsidRDefault="00C24DFD" w:rsidP="00C24DFD">
      <w:pPr>
        <w:spacing w:line="360" w:lineRule="auto"/>
        <w:jc w:val="center"/>
      </w:pPr>
      <w:r>
        <w:object w:dxaOrig="7212" w:dyaOrig="5411">
          <v:shape id="_x0000_i1070" type="#_x0000_t75" style="width:270.7pt;height:202.8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33941439" r:id="rId2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Jobless Families</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of Housing, 2011</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jobless families with children under 15 in the Ipswich-Logan PEA (19 per cent) is higher compared with the state (14 per cent).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jobless families with children is significantly higher in the Kingston (38 per cent) and Woodridge (40 per cent) </w:t>
      </w: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11</w:t>
      </w:r>
    </w:p>
    <w:p w:rsidR="00C24DFD" w:rsidRDefault="00C24DFD" w:rsidP="00C24DFD">
      <w:pPr>
        <w:spacing w:line="360" w:lineRule="auto"/>
      </w:pPr>
    </w:p>
    <w:p w:rsidR="00C24DFD" w:rsidRDefault="00C24DFD" w:rsidP="00C24DFD">
      <w:pPr>
        <w:spacing w:line="360" w:lineRule="auto"/>
        <w:jc w:val="center"/>
      </w:pPr>
      <w:r>
        <w:object w:dxaOrig="7212" w:dyaOrig="5411">
          <v:shape id="_x0000_i1075" type="#_x0000_t75" style="width:270.7pt;height:202.8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33941440" r:id="rId2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val="en-US" w:eastAsia="en-AU"/>
        </w:rPr>
        <w:t>Proportion of 20-24 year olds neither working nor studying</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val="en-US" w:eastAsia="en-AU"/>
        </w:rPr>
        <w:t>Source: ABS 2011, Census of Population and Housing</w:t>
      </w:r>
    </w:p>
    <w:p w:rsidR="00C24DFD" w:rsidRDefault="00C24DFD" w:rsidP="00C24DFD">
      <w:pPr>
        <w:autoSpaceDE w:val="0"/>
        <w:autoSpaceDN w:val="0"/>
        <w:adjustRightInd w:val="0"/>
        <w:rPr>
          <w:rFonts w:ascii="Calibri" w:hAnsi="Calibri" w:cs="Calibri"/>
          <w:color w:val="000000"/>
          <w:kern w:val="24"/>
          <w:sz w:val="24"/>
          <w:szCs w:val="24"/>
          <w:lang w:val="en-US" w:eastAsia="en-AU"/>
        </w:rPr>
      </w:pPr>
    </w:p>
    <w:p w:rsidR="00C24DFD" w:rsidRDefault="00C24DFD" w:rsidP="00C24DFD">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The proportion of those aged 20-24 and neither working nor studying was higher in the Ipswich-Logan PEA compared with Queensland.</w:t>
      </w:r>
    </w:p>
    <w:p w:rsidR="00C24DFD" w:rsidRDefault="00C24DFD" w:rsidP="00C24DFD">
      <w:pPr>
        <w:autoSpaceDE w:val="0"/>
        <w:autoSpaceDN w:val="0"/>
        <w:adjustRightInd w:val="0"/>
        <w:rPr>
          <w:rFonts w:ascii="Calibri" w:hAnsi="Calibri" w:cs="Calibri"/>
          <w:color w:val="000000"/>
          <w:kern w:val="24"/>
          <w:sz w:val="24"/>
          <w:szCs w:val="24"/>
          <w:lang w:val="en-US"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val="en-US" w:eastAsia="en-AU"/>
        </w:rPr>
        <w:t xml:space="preserve">There was a particularly high proportion of youth neither working nor studying in the Kingston and Woodridge </w:t>
      </w:r>
      <w:proofErr w:type="spellStart"/>
      <w:r>
        <w:rPr>
          <w:rFonts w:ascii="Calibri" w:hAnsi="Calibri" w:cs="Calibri"/>
          <w:color w:val="000000"/>
          <w:kern w:val="24"/>
          <w:sz w:val="24"/>
          <w:szCs w:val="24"/>
          <w:lang w:val="en-US" w:eastAsia="en-AU"/>
        </w:rPr>
        <w:t>SLAs</w:t>
      </w:r>
      <w:proofErr w:type="spellEnd"/>
      <w:r>
        <w:rPr>
          <w:rFonts w:ascii="Calibri" w:hAnsi="Calibri" w:cs="Calibri"/>
          <w:color w:val="000000"/>
          <w:kern w:val="24"/>
          <w:sz w:val="24"/>
          <w:szCs w:val="24"/>
          <w:lang w:val="en-US" w:eastAsia="en-AU"/>
        </w:rPr>
        <w:t xml:space="preserve">, particularly among the female population.  </w:t>
      </w:r>
    </w:p>
    <w:p w:rsidR="00C24DFD" w:rsidRDefault="00C24DFD" w:rsidP="00C24DFD">
      <w:pPr>
        <w:autoSpaceDE w:val="0"/>
        <w:autoSpaceDN w:val="0"/>
        <w:adjustRightInd w:val="0"/>
        <w:rPr>
          <w:rFonts w:ascii="Calibri" w:hAnsi="Calibri" w:cs="Calibri"/>
          <w:color w:val="000000"/>
          <w:kern w:val="24"/>
          <w:sz w:val="24"/>
          <w:szCs w:val="24"/>
          <w:lang w:val="en-US" w:eastAsia="en-AU"/>
        </w:rPr>
      </w:pPr>
    </w:p>
    <w:p w:rsidR="00C24DFD" w:rsidRDefault="00C24DFD" w:rsidP="00C24DFD">
      <w:pPr>
        <w:autoSpaceDE w:val="0"/>
        <w:autoSpaceDN w:val="0"/>
        <w:adjustRightInd w:val="0"/>
        <w:rPr>
          <w:rFonts w:ascii="Calibri" w:hAnsi="Calibri" w:cs="Calibri"/>
          <w:color w:val="000000"/>
          <w:kern w:val="24"/>
          <w:sz w:val="24"/>
          <w:szCs w:val="24"/>
          <w:lang w:val="en-US"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12</w:t>
      </w:r>
    </w:p>
    <w:p w:rsidR="00C24DFD" w:rsidRDefault="00C24DFD" w:rsidP="00C24DFD">
      <w:pPr>
        <w:spacing w:line="360" w:lineRule="auto"/>
      </w:pPr>
    </w:p>
    <w:p w:rsidR="00C24DFD" w:rsidRDefault="00C24DFD" w:rsidP="00C24DFD">
      <w:pPr>
        <w:spacing w:line="360" w:lineRule="auto"/>
        <w:jc w:val="center"/>
      </w:pPr>
      <w:r>
        <w:object w:dxaOrig="7212" w:dyaOrig="5411">
          <v:shape id="_x0000_i1080" type="#_x0000_t75" style="width:270.7pt;height:202.8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33941441" r:id="rId2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Young females are more likely to be at risk:</w:t>
      </w:r>
    </w:p>
    <w:p w:rsidR="00C24DFD" w:rsidRDefault="00C24DFD" w:rsidP="00C24DFD">
      <w:pPr>
        <w:autoSpaceDE w:val="0"/>
        <w:autoSpaceDN w:val="0"/>
        <w:adjustRightInd w:val="0"/>
        <w:rPr>
          <w:rFonts w:ascii="Calibri" w:hAnsi="Times New Roman" w:cs="Calibri"/>
          <w:color w:val="000000"/>
          <w:kern w:val="24"/>
          <w:sz w:val="24"/>
          <w:szCs w:val="24"/>
          <w:u w:val="single"/>
          <w:lang w:val="en-US" w:eastAsia="en-AU"/>
        </w:rPr>
      </w:pPr>
      <w:r>
        <w:rPr>
          <w:rFonts w:ascii="Calibri" w:hAnsi="Times New Roman" w:cs="Calibri"/>
          <w:i/>
          <w:iCs/>
          <w:color w:val="000000"/>
          <w:kern w:val="24"/>
          <w:sz w:val="24"/>
          <w:szCs w:val="24"/>
          <w:lang w:val="en-US" w:eastAsia="en-AU"/>
        </w:rPr>
        <w:t>Source: ABS Census of Population and Housing, 2011</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70 per cent (11,880) of females in the Ipswich-Logan PEA, aged 18 to 24 years old, are not currently studying and may experience difficulty entering or staying in the labour market, particularly those who have not completed Year 12.</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color w:val="000000"/>
          <w:kern w:val="24"/>
          <w:sz w:val="24"/>
          <w:szCs w:val="24"/>
          <w:lang w:eastAsia="en-AU"/>
        </w:rPr>
        <w:t xml:space="preserve">In particular, more than one third (34 per cent, 5,810 people) of females are either </w:t>
      </w:r>
      <w:r>
        <w:rPr>
          <w:rFonts w:ascii="Calibri" w:hAnsi="Calibri" w:cs="Calibri"/>
          <w:color w:val="000000"/>
          <w:kern w:val="24"/>
          <w:sz w:val="24"/>
          <w:szCs w:val="24"/>
          <w:u w:val="single"/>
          <w:lang w:eastAsia="en-AU"/>
        </w:rPr>
        <w:t>not studying and not employed</w:t>
      </w:r>
      <w:r>
        <w:rPr>
          <w:rFonts w:ascii="Calibri" w:hAnsi="Calibri" w:cs="Calibri"/>
          <w:color w:val="000000"/>
          <w:kern w:val="24"/>
          <w:sz w:val="24"/>
          <w:szCs w:val="24"/>
          <w:lang w:eastAsia="en-AU"/>
        </w:rPr>
        <w:t xml:space="preserve"> or, if employed, are </w:t>
      </w:r>
      <w:r>
        <w:rPr>
          <w:rFonts w:ascii="Calibri" w:hAnsi="Calibri" w:cs="Calibri"/>
          <w:color w:val="000000"/>
          <w:kern w:val="24"/>
          <w:sz w:val="24"/>
          <w:szCs w:val="24"/>
          <w:u w:val="single"/>
          <w:lang w:eastAsia="en-AU"/>
        </w:rPr>
        <w:t>not studying and have not completed Year 12</w:t>
      </w:r>
      <w:r>
        <w:rPr>
          <w:rFonts w:ascii="Calibri" w:hAnsi="Calibri" w:cs="Calibri"/>
          <w:color w:val="000000"/>
          <w:kern w:val="24"/>
          <w:sz w:val="24"/>
          <w:szCs w:val="24"/>
          <w:lang w:eastAsia="en-AU"/>
        </w:rPr>
        <w:t>, much higher compared with Queensland (25 per cent, 47,720 people). This group are especially at risk given their lack of Year 12 Certificate and level of disengagement within the labour market.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xml:space="preserve">Note: </w:t>
      </w:r>
      <w:r>
        <w:rPr>
          <w:rFonts w:ascii="Calibri" w:hAnsi="Calibri" w:cs="Calibri"/>
          <w:color w:val="000000"/>
          <w:kern w:val="24"/>
          <w:sz w:val="24"/>
          <w:szCs w:val="24"/>
          <w:lang w:eastAsia="en-AU"/>
        </w:rPr>
        <w:t>Not stated records for FT/PT Student Status, Labour Force Status and Highest Year of School Completed have not been included.</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13</w:t>
      </w:r>
    </w:p>
    <w:p w:rsidR="00C24DFD" w:rsidRDefault="00C24DFD" w:rsidP="00C24DFD">
      <w:pPr>
        <w:spacing w:line="360" w:lineRule="auto"/>
      </w:pPr>
    </w:p>
    <w:p w:rsidR="00C24DFD" w:rsidRDefault="00C24DFD" w:rsidP="00C24DFD">
      <w:pPr>
        <w:spacing w:line="360" w:lineRule="auto"/>
        <w:jc w:val="center"/>
      </w:pPr>
      <w:r>
        <w:object w:dxaOrig="7212" w:dyaOrig="5411">
          <v:shape id="_x0000_i1085" type="#_x0000_t75" style="width:270.7pt;height:202.8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33941442" r:id="rId3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Educational Attainment</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of Housing, 2011</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level of educational attainment is strongly linked with labour market performance and the ability of a region (or its population) to respond flexibly to an economic shock. Accordingly, regions with relatively low levels of educational attainment tend, on average, to be less flexible in the face of economic slowdowns and face greater labour market difficulties. For example, upon retrenchment, those with lower educational attainment will find it significantly more difficult to find subsequent employment than their higher skilled counterparts.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Educational attainment in the Ipswich-Logan PEA is generally low, with a lower proportion of those aged 25 to 34 years (68 per cent) having completed year 12 compared with Queensland (74 per cent) and Australia (75 per cent). While the proportion with an advanced diploma, diploma or certificate III/IV is higher (34 per cent), the proportion with a bachelor degree or higher (18 per cent) was low.</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Educational attainment is particularly low in the Kingston and Woodridge </w:t>
      </w: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where the proportion who completed year 12 was 58 per cent and 60 per cent respectively.</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14</w:t>
      </w:r>
    </w:p>
    <w:p w:rsidR="00C24DFD" w:rsidRDefault="00C24DFD" w:rsidP="00C24DFD">
      <w:pPr>
        <w:spacing w:line="360" w:lineRule="auto"/>
      </w:pPr>
    </w:p>
    <w:p w:rsidR="00C24DFD" w:rsidRDefault="00C24DFD" w:rsidP="00C24DFD">
      <w:pPr>
        <w:spacing w:line="360" w:lineRule="auto"/>
        <w:jc w:val="center"/>
      </w:pPr>
      <w:r>
        <w:object w:dxaOrig="7212" w:dyaOrig="5411">
          <v:shape id="_x0000_i1090" type="#_x0000_t75" style="width:270.7pt;height:202.8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33941443" r:id="rId3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Education and Labour Market Outcomes</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is a strong relationship between educational attainment and employment outcomes.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emphasises the importance of continuing education in helping job seekers obtain employment and participate in the labour market.</w:t>
      </w:r>
    </w:p>
    <w:p w:rsidR="00C24DFD" w:rsidRDefault="00C24DFD" w:rsidP="00C24DFD">
      <w:pPr>
        <w:autoSpaceDE w:val="0"/>
        <w:autoSpaceDN w:val="0"/>
        <w:adjustRightInd w:val="0"/>
        <w:rPr>
          <w:rFonts w:ascii="Calibri" w:hAnsi="Calibri" w:cs="Calibri"/>
          <w:b/>
          <w:bCs/>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15</w:t>
      </w:r>
    </w:p>
    <w:p w:rsidR="00C24DFD" w:rsidRDefault="00C24DFD" w:rsidP="00C24DFD">
      <w:pPr>
        <w:spacing w:line="360" w:lineRule="auto"/>
      </w:pPr>
    </w:p>
    <w:p w:rsidR="00C24DFD" w:rsidRDefault="00C24DFD" w:rsidP="00C24DFD">
      <w:pPr>
        <w:spacing w:line="360" w:lineRule="auto"/>
        <w:jc w:val="center"/>
      </w:pPr>
      <w:r>
        <w:object w:dxaOrig="7212" w:dyaOrig="5411">
          <v:shape id="_x0000_i1095" type="#_x0000_t75" style="width:270.7pt;height:202.8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33941444" r:id="rId3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Literacy and Numeracy</w:t>
      </w: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http://www.myschool.edu.au 2011</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Figures for Australia and Queensland represent proportions of all Year 9 students who did not meet minimum standards for literacy and numeracy.</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This slide shows the proportion of Year 9 students at selected government high schools in the Ipswich-Logan PEA who did not meet minimum standards for literacy and numeracy in 2012, compared with the proportions of Year 9 students who did not meet minimum standards for literacy and numeracy in Queensland and Australia.</w:t>
      </w: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While the selected government schools</w:t>
      </w:r>
      <w:r>
        <w:rPr>
          <w:rFonts w:ascii="Calibri" w:hAnsi="Times New Roman" w:cs="Calibri"/>
          <w:color w:val="000000"/>
          <w:kern w:val="24"/>
          <w:sz w:val="24"/>
          <w:szCs w:val="24"/>
          <w:lang w:eastAsia="en-AU"/>
        </w:rPr>
        <w:t>’</w:t>
      </w:r>
      <w:r>
        <w:rPr>
          <w:rFonts w:ascii="Calibri" w:hAnsi="Times New Roman" w:cs="Calibri"/>
          <w:color w:val="000000"/>
          <w:kern w:val="24"/>
          <w:sz w:val="24"/>
          <w:szCs w:val="24"/>
          <w:lang w:eastAsia="en-AU"/>
        </w:rPr>
        <w:t xml:space="preserve"> data is not necessarily representative of all Year 9 students in the SLA, it demonstrates that there are at least pockets of disadvantage within these SLA.</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16</w:t>
      </w:r>
    </w:p>
    <w:p w:rsidR="00C24DFD" w:rsidRDefault="00C24DFD" w:rsidP="00C24DFD">
      <w:pPr>
        <w:spacing w:line="360" w:lineRule="auto"/>
      </w:pPr>
    </w:p>
    <w:p w:rsidR="00C24DFD" w:rsidRDefault="00C24DFD" w:rsidP="00C24DFD">
      <w:pPr>
        <w:spacing w:line="360" w:lineRule="auto"/>
        <w:jc w:val="center"/>
      </w:pPr>
      <w:r>
        <w:object w:dxaOrig="7212" w:dyaOrig="5411">
          <v:shape id="_x0000_i1100" type="#_x0000_t75" style="width:270.7pt;height:202.8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33941445" r:id="rId3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u w:val="single"/>
          <w:lang w:eastAsia="en-AU"/>
        </w:rPr>
      </w:pPr>
      <w:r>
        <w:rPr>
          <w:rFonts w:ascii="Calibri" w:hAnsi="Times New Roman" w:cs="Calibri"/>
          <w:b/>
          <w:bCs/>
          <w:color w:val="000000"/>
          <w:kern w:val="24"/>
          <w:sz w:val="24"/>
          <w:szCs w:val="24"/>
          <w:u w:val="single"/>
          <w:lang w:eastAsia="en-AU"/>
        </w:rPr>
        <w:t>Indigenous and Non-Indigenous</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ABS Census of Population and Housing, 2011</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the working age population who identify as Indigenous in the Ipswich-Logan </w:t>
      </w:r>
      <w:proofErr w:type="gramStart"/>
      <w:r>
        <w:rPr>
          <w:rFonts w:ascii="Calibri" w:hAnsi="Calibri" w:cs="Calibri"/>
          <w:color w:val="000000"/>
          <w:kern w:val="24"/>
          <w:sz w:val="24"/>
          <w:szCs w:val="24"/>
          <w:lang w:eastAsia="en-AU"/>
        </w:rPr>
        <w:t>PEA(</w:t>
      </w:r>
      <w:proofErr w:type="gramEnd"/>
      <w:r>
        <w:rPr>
          <w:rFonts w:ascii="Calibri" w:hAnsi="Calibri" w:cs="Calibri"/>
          <w:color w:val="000000"/>
          <w:kern w:val="24"/>
          <w:sz w:val="24"/>
          <w:szCs w:val="24"/>
          <w:lang w:eastAsia="en-AU"/>
        </w:rPr>
        <w:t>2 per cent) is similar to Queensland, however this is higher in some areas, particularly the Kingston SLA (5 per cent).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Overall, labour market conditions for Indigenous people in the Ipswich-Logan PEA are similar to Queensland.</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b/>
          <w:bCs/>
          <w:color w:val="000000"/>
          <w:kern w:val="24"/>
          <w:sz w:val="24"/>
          <w:szCs w:val="24"/>
          <w:lang w:eastAsia="en-AU"/>
        </w:rPr>
      </w:pPr>
    </w:p>
    <w:p w:rsidR="00C24DFD" w:rsidRDefault="00C24DFD" w:rsidP="00C24DFD">
      <w:pPr>
        <w:autoSpaceDE w:val="0"/>
        <w:autoSpaceDN w:val="0"/>
        <w:adjustRightInd w:val="0"/>
        <w:rPr>
          <w:rFonts w:ascii="Calibri" w:hAnsi="Times New Roman" w:cs="Calibri"/>
          <w:b/>
          <w:bCs/>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17</w:t>
      </w:r>
    </w:p>
    <w:p w:rsidR="00C24DFD" w:rsidRDefault="00C24DFD" w:rsidP="00C24DFD">
      <w:pPr>
        <w:spacing w:line="360" w:lineRule="auto"/>
      </w:pPr>
    </w:p>
    <w:p w:rsidR="00C24DFD" w:rsidRDefault="00C24DFD" w:rsidP="00C24DFD">
      <w:pPr>
        <w:spacing w:line="360" w:lineRule="auto"/>
        <w:jc w:val="center"/>
      </w:pPr>
      <w:r>
        <w:object w:dxaOrig="7212" w:dyaOrig="5411">
          <v:shape id="_x0000_i1105" type="#_x0000_t75" style="width:270.7pt;height:202.8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33941446" r:id="rId3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Migrants Experience Weaker Labour Market Outcomes</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C24DFD" w:rsidRDefault="00C24DFD" w:rsidP="00C24DFD">
      <w:pPr>
        <w:autoSpaceDE w:val="0"/>
        <w:autoSpaceDN w:val="0"/>
        <w:adjustRightInd w:val="0"/>
        <w:rPr>
          <w:rFonts w:ascii="Calibri" w:hAnsi="Calibri" w:cs="Calibri"/>
          <w:i/>
          <w:iCs/>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Labour market outcomes for those from an Other Than Mainly English Speaking Countries (</w:t>
      </w:r>
      <w:proofErr w:type="spellStart"/>
      <w:r>
        <w:rPr>
          <w:rFonts w:ascii="Calibri" w:hAnsi="Calibri" w:cs="Calibri"/>
          <w:color w:val="000000"/>
          <w:kern w:val="24"/>
          <w:sz w:val="24"/>
          <w:szCs w:val="24"/>
          <w:lang w:eastAsia="en-AU"/>
        </w:rPr>
        <w:t>OTMESC</w:t>
      </w:r>
      <w:proofErr w:type="spellEnd"/>
      <w:r>
        <w:rPr>
          <w:rFonts w:ascii="Calibri" w:hAnsi="Calibri" w:cs="Calibri"/>
          <w:color w:val="000000"/>
          <w:kern w:val="24"/>
          <w:sz w:val="24"/>
          <w:szCs w:val="24"/>
          <w:lang w:eastAsia="en-AU"/>
        </w:rPr>
        <w:t>) are generally weaker than those from Mainly English Speaking Countries (MESC).</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the working age population from an </w:t>
      </w:r>
      <w:proofErr w:type="spellStart"/>
      <w:r>
        <w:rPr>
          <w:rFonts w:ascii="Calibri" w:hAnsi="Calibri" w:cs="Calibri"/>
          <w:color w:val="000000"/>
          <w:kern w:val="24"/>
          <w:sz w:val="24"/>
          <w:szCs w:val="24"/>
          <w:lang w:eastAsia="en-AU"/>
        </w:rPr>
        <w:t>OTMESC</w:t>
      </w:r>
      <w:proofErr w:type="spellEnd"/>
      <w:r>
        <w:rPr>
          <w:rFonts w:ascii="Calibri" w:hAnsi="Calibri" w:cs="Calibri"/>
          <w:color w:val="000000"/>
          <w:kern w:val="24"/>
          <w:sz w:val="24"/>
          <w:szCs w:val="24"/>
          <w:lang w:eastAsia="en-AU"/>
        </w:rPr>
        <w:t xml:space="preserve"> background in the Logan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(17 per cent) is high compared with Queensland (12 per cent), and is particularly high in the Kingston (22 per cent) and Woodridge (32 per cent) </w:t>
      </w: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Those from an </w:t>
      </w:r>
      <w:proofErr w:type="spellStart"/>
      <w:r>
        <w:rPr>
          <w:rFonts w:ascii="Calibri" w:hAnsi="Calibri" w:cs="Calibri"/>
          <w:color w:val="000000"/>
          <w:kern w:val="24"/>
          <w:sz w:val="24"/>
          <w:szCs w:val="24"/>
          <w:lang w:eastAsia="en-AU"/>
        </w:rPr>
        <w:t>OTMESC</w:t>
      </w:r>
      <w:proofErr w:type="spellEnd"/>
      <w:r>
        <w:rPr>
          <w:rFonts w:ascii="Calibri" w:hAnsi="Calibri" w:cs="Calibri"/>
          <w:color w:val="000000"/>
          <w:kern w:val="24"/>
          <w:sz w:val="24"/>
          <w:szCs w:val="24"/>
          <w:lang w:eastAsia="en-AU"/>
        </w:rPr>
        <w:t xml:space="preserve"> background in the Logan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have higher rates of unemployment (9.7 per cent) compared with MESC (7.2 per cent) and lower rates of participation (66.7 per cent compared with 77.0 per cent for MESC).</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18</w:t>
      </w:r>
    </w:p>
    <w:p w:rsidR="00C24DFD" w:rsidRDefault="00C24DFD" w:rsidP="00C24DFD">
      <w:pPr>
        <w:spacing w:line="360" w:lineRule="auto"/>
      </w:pPr>
    </w:p>
    <w:p w:rsidR="00C24DFD" w:rsidRDefault="00C24DFD" w:rsidP="00C24DFD">
      <w:pPr>
        <w:spacing w:line="360" w:lineRule="auto"/>
        <w:jc w:val="center"/>
      </w:pPr>
      <w:r>
        <w:object w:dxaOrig="7212" w:dyaOrig="5411">
          <v:shape id="_x0000_i1110" type="#_x0000_t75" style="width:270.7pt;height:202.8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110" DrawAspect="Content" ObjectID="_1433941447" r:id="rId4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Calibri" w:cs="Calibri"/>
          <w:b/>
          <w:bCs/>
          <w:color w:val="000000"/>
          <w:sz w:val="24"/>
          <w:szCs w:val="24"/>
          <w:u w:val="single"/>
          <w:lang w:eastAsia="en-AU"/>
        </w:rPr>
        <w:t xml:space="preserve">Many Humanitarian Entrants in Logan </w:t>
      </w:r>
      <w:proofErr w:type="spellStart"/>
      <w:r>
        <w:rPr>
          <w:rFonts w:ascii="Calibri" w:hAnsi="Calibri" w:cs="Calibri"/>
          <w:b/>
          <w:bCs/>
          <w:color w:val="000000"/>
          <w:sz w:val="24"/>
          <w:szCs w:val="24"/>
          <w:u w:val="single"/>
          <w:lang w:eastAsia="en-AU"/>
        </w:rPr>
        <w:t>LGA</w:t>
      </w:r>
      <w:proofErr w:type="spellEnd"/>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Department of Immigratiohttp://www.immi.gov.au/settlement and Citizenship. Settlement reporting: May 2008 to May 2013</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Between May 2008 and May 2013, there were 6,055 migrant arrivals to the Logan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Of these, 2,191 arrived as part of the humanitarian stream, which is 3.1 per cent of the total humanitarian entrants to Australia over the same period.</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19</w:t>
      </w:r>
    </w:p>
    <w:p w:rsidR="00C24DFD" w:rsidRDefault="00C24DFD" w:rsidP="00C24DFD">
      <w:pPr>
        <w:spacing w:line="360" w:lineRule="auto"/>
      </w:pPr>
    </w:p>
    <w:p w:rsidR="00C24DFD" w:rsidRDefault="00C24DFD" w:rsidP="00C24DFD">
      <w:pPr>
        <w:spacing w:line="360" w:lineRule="auto"/>
        <w:jc w:val="center"/>
      </w:pPr>
      <w:r>
        <w:object w:dxaOrig="7212" w:dyaOrig="5411">
          <v:shape id="_x0000_i1115" type="#_x0000_t75" style="width:270.7pt;height:202.8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115" DrawAspect="Content" ObjectID="_1433941448" r:id="rId4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 xml:space="preserve">Migrant Underutilisation- </w:t>
      </w:r>
      <w:proofErr w:type="gramStart"/>
      <w:r>
        <w:rPr>
          <w:rFonts w:ascii="Calibri" w:hAnsi="Calibri" w:cs="Calibri"/>
          <w:b/>
          <w:bCs/>
          <w:color w:val="000000"/>
          <w:kern w:val="24"/>
          <w:sz w:val="24"/>
          <w:szCs w:val="24"/>
          <w:u w:val="single"/>
          <w:lang w:eastAsia="en-AU"/>
        </w:rPr>
        <w:t>For</w:t>
      </w:r>
      <w:proofErr w:type="gramEnd"/>
      <w:r>
        <w:rPr>
          <w:rFonts w:ascii="Calibri" w:hAnsi="Calibri" w:cs="Calibri"/>
          <w:b/>
          <w:bCs/>
          <w:color w:val="000000"/>
          <w:kern w:val="24"/>
          <w:sz w:val="24"/>
          <w:szCs w:val="24"/>
          <w:u w:val="single"/>
          <w:lang w:eastAsia="en-AU"/>
        </w:rPr>
        <w:t xml:space="preserve"> Persons with a Bachelor Degree or higher</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C24DFD" w:rsidRDefault="00C24DFD" w:rsidP="00C24DFD">
      <w:pPr>
        <w:autoSpaceDE w:val="0"/>
        <w:autoSpaceDN w:val="0"/>
        <w:adjustRightInd w:val="0"/>
        <w:rPr>
          <w:rFonts w:ascii="Calibri" w:hAnsi="Calibri"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This chart illustrates migrant underutilisation by comparing labour market participation of those with a Bachelor Degree or higher by whether they were a migrant from an Other Than Main English Speaking Country (</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or not.</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Overall, 21 per cent of the </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xml:space="preserve"> working age population in the Logan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 xml:space="preserve"> have obtained a Bachelor Degree or higher qualification, compared with 10 per cent for the non-</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xml:space="preserve"> population. </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There was a lower level of labour market participation for highly qualified </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xml:space="preserve"> persons compared with the non-</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xml:space="preserve"> population. For </w:t>
      </w:r>
      <w:proofErr w:type="gramStart"/>
      <w:r>
        <w:rPr>
          <w:rFonts w:ascii="Calibri" w:hAnsi="Times New Roman" w:cs="Calibri"/>
          <w:color w:val="000000"/>
          <w:kern w:val="24"/>
          <w:sz w:val="24"/>
          <w:szCs w:val="24"/>
          <w:lang w:eastAsia="en-AU"/>
        </w:rPr>
        <w:t>both males</w:t>
      </w:r>
      <w:proofErr w:type="gramEnd"/>
      <w:r>
        <w:rPr>
          <w:rFonts w:ascii="Calibri" w:hAnsi="Times New Roman" w:cs="Calibri"/>
          <w:color w:val="000000"/>
          <w:kern w:val="24"/>
          <w:sz w:val="24"/>
          <w:szCs w:val="24"/>
          <w:lang w:eastAsia="en-AU"/>
        </w:rPr>
        <w:t xml:space="preserve"> and females, a higher proportion of the </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 xml:space="preserve"> population with a Bachelor Degree or higher were either not in the labour force, unemployed or employer in a low skilled occupation.</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i/>
          <w:iCs/>
          <w:color w:val="000000"/>
          <w:kern w:val="24"/>
          <w:sz w:val="24"/>
          <w:szCs w:val="24"/>
          <w:lang w:eastAsia="en-AU"/>
        </w:rPr>
        <w:t>Lower Skilled Occupation</w:t>
      </w:r>
      <w:r>
        <w:rPr>
          <w:rFonts w:ascii="Calibri" w:hAnsi="Times New Roman" w:cs="Calibri"/>
          <w:color w:val="000000"/>
          <w:kern w:val="24"/>
          <w:sz w:val="24"/>
          <w:szCs w:val="24"/>
          <w:lang w:eastAsia="en-AU"/>
        </w:rPr>
        <w:t xml:space="preserve"> refers to those in the Machinery Operators and Drivers, Sales Workers and Labourers occupation groups.</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20</w:t>
      </w:r>
    </w:p>
    <w:p w:rsidR="00C24DFD" w:rsidRDefault="00C24DFD" w:rsidP="00C24DFD">
      <w:pPr>
        <w:spacing w:line="360" w:lineRule="auto"/>
      </w:pPr>
    </w:p>
    <w:p w:rsidR="00C24DFD" w:rsidRDefault="00C24DFD" w:rsidP="00C24DFD">
      <w:pPr>
        <w:spacing w:line="360" w:lineRule="auto"/>
        <w:jc w:val="center"/>
      </w:pPr>
      <w:r>
        <w:object w:dxaOrig="7212" w:dyaOrig="5411">
          <v:shape id="_x0000_i1120" type="#_x0000_t75" style="width:270.7pt;height:202.8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120" DrawAspect="Content" ObjectID="_1433941449" r:id="rId4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Relationship between English Proficiency and Unemployment (</w:t>
      </w:r>
      <w:proofErr w:type="spellStart"/>
      <w:r>
        <w:rPr>
          <w:rFonts w:ascii="Calibri" w:hAnsi="Calibri" w:cs="Calibri"/>
          <w:b/>
          <w:bCs/>
          <w:color w:val="000000"/>
          <w:kern w:val="24"/>
          <w:sz w:val="24"/>
          <w:szCs w:val="24"/>
          <w:u w:val="single"/>
          <w:lang w:eastAsia="en-AU"/>
        </w:rPr>
        <w:t>WAP</w:t>
      </w:r>
      <w:proofErr w:type="spellEnd"/>
      <w:r>
        <w:rPr>
          <w:rFonts w:ascii="Calibri" w:hAnsi="Calibri" w:cs="Calibri"/>
          <w:b/>
          <w:bCs/>
          <w:color w:val="000000"/>
          <w:kern w:val="24"/>
          <w:sz w:val="24"/>
          <w:szCs w:val="24"/>
          <w:u w:val="single"/>
          <w:lang w:eastAsia="en-AU"/>
        </w:rPr>
        <w:t xml:space="preserve"> – Ipswich-Logan PEA Only)</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is a strong relationship between English proficiency and employment outcomes in the labour market.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persons in the Ipswich-Logan PEA with lower levels of English proficiency were less likely to be successful in the labour market. People with low English proficiency are far more likely to be unemployed or not participating in the labour market.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People who speak other languages but still speak English well are also likely to have poorer labour force outcomes than those who only speak English.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 the Ipswich-Logan PEA, the unemployment rate for working age persons with poor English proficiency was 15.9 per cent and the participation rate was 42.8 per cent.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For working age persons who only spoke English, the unemployment rate (7.0 per cent) and participation rate (76.7 per cent) were considerably better. </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21</w:t>
      </w:r>
    </w:p>
    <w:p w:rsidR="00C24DFD" w:rsidRDefault="00C24DFD" w:rsidP="00C24DFD">
      <w:pPr>
        <w:spacing w:line="360" w:lineRule="auto"/>
      </w:pPr>
    </w:p>
    <w:p w:rsidR="00C24DFD" w:rsidRDefault="00C24DFD" w:rsidP="00C24DFD">
      <w:pPr>
        <w:spacing w:line="360" w:lineRule="auto"/>
        <w:jc w:val="center"/>
      </w:pPr>
      <w:r>
        <w:object w:dxaOrig="7212" w:dyaOrig="5411">
          <v:shape id="_x0000_i1125" type="#_x0000_t75" style="width:270.7pt;height:202.8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125" DrawAspect="Content" ObjectID="_1433941450" r:id="rId4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Largest Employing Industries</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2011 Census of Population and Housing (place of work, 2011 </w:t>
      </w:r>
      <w:proofErr w:type="spellStart"/>
      <w:r>
        <w:rPr>
          <w:rFonts w:ascii="Calibri" w:hAnsi="Calibri" w:cs="Calibri"/>
          <w:i/>
          <w:iCs/>
          <w:color w:val="000000"/>
          <w:kern w:val="24"/>
          <w:sz w:val="24"/>
          <w:szCs w:val="24"/>
          <w:lang w:eastAsia="en-AU"/>
        </w:rPr>
        <w:t>LGA</w:t>
      </w:r>
      <w:proofErr w:type="spellEnd"/>
      <w:r>
        <w:rPr>
          <w:rFonts w:ascii="Calibri" w:hAnsi="Calibri" w:cs="Calibri"/>
          <w:i/>
          <w:iCs/>
          <w:color w:val="000000"/>
          <w:kern w:val="24"/>
          <w:sz w:val="24"/>
          <w:szCs w:val="24"/>
          <w:lang w:eastAsia="en-AU"/>
        </w:rPr>
        <w:t xml:space="preserve"> boundaries)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i/>
          <w:iCs/>
          <w:color w:val="000000"/>
          <w:kern w:val="24"/>
          <w:sz w:val="24"/>
          <w:szCs w:val="24"/>
          <w:lang w:eastAsia="en-AU"/>
        </w:rPr>
        <w:t>Expressed as a proportion of the working age population (15-64 years) who are employed.</w:t>
      </w:r>
      <w:proofErr w:type="gramEnd"/>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largest employing industries in the combined Ipswich and Logan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are Retail Trade, Manufacturing and Health Care and Social Assistance.</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22</w:t>
      </w:r>
    </w:p>
    <w:p w:rsidR="00C24DFD" w:rsidRDefault="00C24DFD" w:rsidP="00C24DFD">
      <w:pPr>
        <w:spacing w:line="360" w:lineRule="auto"/>
      </w:pPr>
    </w:p>
    <w:p w:rsidR="00C24DFD" w:rsidRDefault="00C24DFD" w:rsidP="00C24DFD">
      <w:pPr>
        <w:spacing w:line="360" w:lineRule="auto"/>
        <w:jc w:val="center"/>
      </w:pPr>
      <w:r>
        <w:object w:dxaOrig="7212" w:dyaOrig="5411">
          <v:shape id="_x0000_i1130" type="#_x0000_t75" style="width:270.7pt;height:202.8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130" DrawAspect="Content" ObjectID="_1433941451" r:id="rId4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Largest Employing Industries</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2011 Census of Population and Housing;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i/>
          <w:iCs/>
          <w:color w:val="000000"/>
          <w:kern w:val="24"/>
          <w:sz w:val="24"/>
          <w:szCs w:val="24"/>
          <w:lang w:eastAsia="en-AU"/>
        </w:rPr>
        <w:t>Expressed as a proportion of the working age population (15-64 years) who are employed.</w:t>
      </w:r>
      <w:proofErr w:type="gramEnd"/>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Large increases in employment occurred in the Health Care and Social Assistance (27 per cent) and Public Administration and Safety (18 per cent) industries over the 5 years from 2006 to 2011.</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Health Care and Social Assistance accounted for almost half (49 per cent) of the increase in total employment between 2006 and 2011</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By contrast, employment decreased substantially in the Manufacturing industry.</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23</w:t>
      </w:r>
    </w:p>
    <w:p w:rsidR="00C24DFD" w:rsidRDefault="00C24DFD" w:rsidP="00C24DFD">
      <w:pPr>
        <w:spacing w:line="360" w:lineRule="auto"/>
      </w:pPr>
    </w:p>
    <w:p w:rsidR="00C24DFD" w:rsidRDefault="00C24DFD" w:rsidP="00C24DFD">
      <w:pPr>
        <w:spacing w:line="360" w:lineRule="auto"/>
        <w:jc w:val="center"/>
      </w:pPr>
      <w:r>
        <w:object w:dxaOrig="7212" w:dyaOrig="5411">
          <v:shape id="_x0000_i1135" type="#_x0000_t75" style="width:270.7pt;height:202.8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135" DrawAspect="Content" ObjectID="_1433941452" r:id="rId5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Employers not employing local job seekers – Employed Working Age Population (15-64)</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(place of work, 2011 </w:t>
      </w:r>
      <w:proofErr w:type="spellStart"/>
      <w:r>
        <w:rPr>
          <w:rFonts w:ascii="Calibri" w:hAnsi="Calibri" w:cs="Calibri"/>
          <w:i/>
          <w:iCs/>
          <w:color w:val="000000"/>
          <w:kern w:val="24"/>
          <w:sz w:val="24"/>
          <w:szCs w:val="24"/>
          <w:lang w:eastAsia="en-AU"/>
        </w:rPr>
        <w:t>LGA</w:t>
      </w:r>
      <w:proofErr w:type="spellEnd"/>
      <w:r>
        <w:rPr>
          <w:rFonts w:ascii="Calibri" w:hAnsi="Calibri" w:cs="Calibri"/>
          <w:i/>
          <w:iCs/>
          <w:color w:val="000000"/>
          <w:kern w:val="24"/>
          <w:sz w:val="24"/>
          <w:szCs w:val="24"/>
          <w:lang w:eastAsia="en-AU"/>
        </w:rPr>
        <w:t xml:space="preserve"> boundaries)</w:t>
      </w:r>
    </w:p>
    <w:p w:rsidR="00C24DFD" w:rsidRDefault="00C24DFD" w:rsidP="00C24DFD">
      <w:pPr>
        <w:autoSpaceDE w:val="0"/>
        <w:autoSpaceDN w:val="0"/>
        <w:adjustRightInd w:val="0"/>
        <w:rPr>
          <w:rFonts w:ascii="Calibri" w:hAnsi="Calibri" w:cs="Calibri"/>
          <w:i/>
          <w:iCs/>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 xml:space="preserve">A large proportion (51 per cent) of the employed working age population living in the Ipswich and Logan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travel outside these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for work.</w:t>
      </w:r>
      <w:proofErr w:type="gramEnd"/>
      <w:r>
        <w:rPr>
          <w:rFonts w:ascii="Calibri" w:hAnsi="Calibri" w:cs="Calibri"/>
          <w:color w:val="000000"/>
          <w:kern w:val="24"/>
          <w:sz w:val="24"/>
          <w:szCs w:val="24"/>
          <w:lang w:eastAsia="en-AU"/>
        </w:rPr>
        <w:t xml:space="preserve"> The most common destinations are the Brisbane (72,000 people), Gold Coast (6,600 people) and Redland (2,000)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Some 33 per cent of the employed working age population who work within the Ipswich and Logan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travel from outside these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for work. These people most commonly come from the Brisbane (22,500 people)</w:t>
      </w:r>
      <w:proofErr w:type="gramStart"/>
      <w:r>
        <w:rPr>
          <w:rFonts w:ascii="Calibri" w:hAnsi="Calibri" w:cs="Calibri"/>
          <w:color w:val="000000"/>
          <w:kern w:val="24"/>
          <w:sz w:val="24"/>
          <w:szCs w:val="24"/>
          <w:lang w:eastAsia="en-AU"/>
        </w:rPr>
        <w:t>,  Gold</w:t>
      </w:r>
      <w:proofErr w:type="gramEnd"/>
      <w:r>
        <w:rPr>
          <w:rFonts w:ascii="Calibri" w:hAnsi="Calibri" w:cs="Calibri"/>
          <w:color w:val="000000"/>
          <w:kern w:val="24"/>
          <w:sz w:val="24"/>
          <w:szCs w:val="24"/>
          <w:lang w:eastAsia="en-AU"/>
        </w:rPr>
        <w:t xml:space="preserve"> Coast (7,100 people) and Redland (3,300 people)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24</w:t>
      </w:r>
    </w:p>
    <w:p w:rsidR="00C24DFD" w:rsidRDefault="00C24DFD" w:rsidP="00C24DFD">
      <w:pPr>
        <w:spacing w:line="360" w:lineRule="auto"/>
      </w:pPr>
    </w:p>
    <w:p w:rsidR="00C24DFD" w:rsidRDefault="00C24DFD" w:rsidP="00C24DFD">
      <w:pPr>
        <w:spacing w:line="360" w:lineRule="auto"/>
        <w:jc w:val="center"/>
      </w:pPr>
      <w:r>
        <w:object w:dxaOrig="7212" w:dyaOrig="5411">
          <v:shape id="_x0000_i1140" type="#_x0000_t75" style="width:270.7pt;height:202.8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140" DrawAspect="Content" ObjectID="_1433941453" r:id="rId5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Who Is Coming and Going?</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A large proportion of people travel out of the PEA for work.</w:t>
      </w:r>
      <w:proofErr w:type="gramEnd"/>
      <w:r>
        <w:rPr>
          <w:rFonts w:ascii="Calibri" w:hAnsi="Calibri" w:cs="Calibri"/>
          <w:color w:val="000000"/>
          <w:kern w:val="24"/>
          <w:sz w:val="24"/>
          <w:szCs w:val="24"/>
          <w:lang w:eastAsia="en-AU"/>
        </w:rPr>
        <w:t xml:space="preserve"> This slide shows the breakdown of the people coming in to the PEA for work and leaving the PEA for work by occupation.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Higher skilled occupations make up 40 per cent of the 39,300 people who travel to the PEA for work. This is followed by 36 per cent for medium skilled occupations. </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Medium skilled occupations make up 45 per cent of the 84,900 people who travel out of the PEA for work. This is followed by 29 per cent for </w:t>
      </w:r>
      <w:r>
        <w:rPr>
          <w:rFonts w:cs="Arial"/>
          <w:color w:val="000000"/>
          <w:kern w:val="24"/>
          <w:sz w:val="24"/>
          <w:szCs w:val="24"/>
          <w:lang w:eastAsia="en-AU"/>
        </w:rPr>
        <w:t>lower skilled occupations</w:t>
      </w:r>
      <w:r>
        <w:rPr>
          <w:rFonts w:ascii="Calibri" w:hAnsi="Calibri" w:cs="Calibri"/>
          <w:color w:val="000000"/>
          <w:kern w:val="24"/>
          <w:sz w:val="24"/>
          <w:szCs w:val="24"/>
          <w:lang w:eastAsia="en-AU"/>
        </w:rPr>
        <w:t>.</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25</w:t>
      </w:r>
    </w:p>
    <w:p w:rsidR="00C24DFD" w:rsidRDefault="00C24DFD" w:rsidP="00C24DFD">
      <w:pPr>
        <w:spacing w:line="360" w:lineRule="auto"/>
      </w:pPr>
    </w:p>
    <w:p w:rsidR="00C24DFD" w:rsidRDefault="00C24DFD" w:rsidP="00C24DFD">
      <w:pPr>
        <w:spacing w:line="360" w:lineRule="auto"/>
        <w:jc w:val="center"/>
      </w:pPr>
      <w:r>
        <w:object w:dxaOrig="7212" w:dyaOrig="5411">
          <v:shape id="_x0000_i1145" type="#_x0000_t75" style="width:270.7pt;height:202.8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145" DrawAspect="Content" ObjectID="_1433941454" r:id="rId5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szCs w:val="22"/>
          <w:lang w:eastAsia="en-AU"/>
        </w:rPr>
      </w:pPr>
      <w:r>
        <w:rPr>
          <w:rFonts w:ascii="Calibri" w:hAnsi="Times New Roman" w:cs="Calibri"/>
          <w:b/>
          <w:bCs/>
          <w:color w:val="000000"/>
          <w:szCs w:val="22"/>
          <w:u w:val="single"/>
          <w:lang w:eastAsia="en-AU"/>
        </w:rPr>
        <w:t>Recruitment Activity Softening</w:t>
      </w:r>
      <w:r>
        <w:rPr>
          <w:rFonts w:ascii="Calibri" w:hAnsi="Times New Roman" w:cs="Calibri"/>
          <w:color w:val="000000"/>
          <w:szCs w:val="22"/>
          <w:lang w:eastAsia="en-AU"/>
        </w:rPr>
        <w:br/>
      </w:r>
      <w:r>
        <w:rPr>
          <w:rFonts w:ascii="Calibri" w:hAnsi="Times New Roman" w:cs="Calibri"/>
          <w:i/>
          <w:iCs/>
          <w:color w:val="000000"/>
          <w:szCs w:val="22"/>
          <w:lang w:eastAsia="en-AU"/>
        </w:rPr>
        <w:t>Source: DEEWR, Survey of Employers</w:t>
      </w:r>
      <w:r>
        <w:rPr>
          <w:rFonts w:ascii="Calibri" w:hAnsi="Times New Roman" w:cs="Calibri"/>
          <w:i/>
          <w:iCs/>
          <w:color w:val="000000"/>
          <w:szCs w:val="22"/>
          <w:lang w:eastAsia="en-AU"/>
        </w:rPr>
        <w:t>’</w:t>
      </w:r>
      <w:r>
        <w:rPr>
          <w:rFonts w:ascii="Calibri" w:hAnsi="Times New Roman" w:cs="Calibri"/>
          <w:i/>
          <w:iCs/>
          <w:color w:val="000000"/>
          <w:szCs w:val="22"/>
          <w:lang w:eastAsia="en-AU"/>
        </w:rPr>
        <w:t xml:space="preserve"> Recruitment Experiences, Ipswich-Logan PEA January 2012 and February 2013, </w:t>
      </w:r>
      <w:proofErr w:type="gramStart"/>
      <w:r>
        <w:rPr>
          <w:rFonts w:ascii="Calibri" w:hAnsi="Times New Roman" w:cs="Calibri"/>
          <w:i/>
          <w:iCs/>
          <w:color w:val="000000"/>
          <w:szCs w:val="22"/>
          <w:lang w:eastAsia="en-AU"/>
        </w:rPr>
        <w:t>all</w:t>
      </w:r>
      <w:proofErr w:type="gramEnd"/>
      <w:r>
        <w:rPr>
          <w:rFonts w:ascii="Calibri" w:hAnsi="Times New Roman" w:cs="Calibri"/>
          <w:i/>
          <w:iCs/>
          <w:color w:val="000000"/>
          <w:szCs w:val="22"/>
          <w:lang w:eastAsia="en-AU"/>
        </w:rPr>
        <w:t xml:space="preserve"> regions surveyed 12 months to March 2013 </w:t>
      </w:r>
    </w:p>
    <w:p w:rsidR="00C24DFD" w:rsidRDefault="00C24DFD" w:rsidP="00C24DFD">
      <w:pPr>
        <w:autoSpaceDE w:val="0"/>
        <w:autoSpaceDN w:val="0"/>
        <w:adjustRightInd w:val="0"/>
        <w:ind w:left="93"/>
        <w:rPr>
          <w:rFonts w:ascii="Calibri" w:hAnsi="Times New Roman" w:cs="Calibri"/>
          <w:color w:val="000000"/>
          <w:szCs w:val="22"/>
          <w:lang w:eastAsia="en-AU"/>
        </w:rPr>
      </w:pPr>
      <w:r>
        <w:rPr>
          <w:rFonts w:ascii="Calibri" w:hAnsi="Times New Roman" w:cs="Calibri"/>
          <w:color w:val="000000"/>
          <w:szCs w:val="22"/>
          <w:lang w:eastAsia="en-AU"/>
        </w:rPr>
        <w:t>Survey results for the Ipswich-Logan PEA suggest a softening in labour demand between January 2012 and February 2013</w:t>
      </w:r>
    </w:p>
    <w:p w:rsidR="00C24DFD" w:rsidRDefault="00C24DFD" w:rsidP="00C24DFD">
      <w:pPr>
        <w:numPr>
          <w:ilvl w:val="0"/>
          <w:numId w:val="2"/>
        </w:numPr>
        <w:autoSpaceDE w:val="0"/>
        <w:autoSpaceDN w:val="0"/>
        <w:adjustRightInd w:val="0"/>
        <w:rPr>
          <w:rFonts w:ascii="Calibri" w:hAnsi="Times New Roman" w:cs="Calibri"/>
          <w:color w:val="000000"/>
          <w:szCs w:val="22"/>
          <w:lang w:eastAsia="en-AU"/>
        </w:rPr>
      </w:pPr>
      <w:r>
        <w:rPr>
          <w:rFonts w:ascii="Calibri" w:hAnsi="Times New Roman" w:cs="Calibri"/>
          <w:color w:val="000000"/>
          <w:szCs w:val="22"/>
          <w:lang w:eastAsia="en-AU"/>
        </w:rPr>
        <w:t>The proportion of employers who recruited decreased from 66 per cent to 50 per cent</w:t>
      </w:r>
    </w:p>
    <w:p w:rsidR="00C24DFD" w:rsidRDefault="00C24DFD" w:rsidP="00C24DFD">
      <w:pPr>
        <w:numPr>
          <w:ilvl w:val="0"/>
          <w:numId w:val="2"/>
        </w:numPr>
        <w:autoSpaceDE w:val="0"/>
        <w:autoSpaceDN w:val="0"/>
        <w:adjustRightInd w:val="0"/>
        <w:rPr>
          <w:rFonts w:ascii="Calibri" w:hAnsi="Times New Roman" w:cs="Calibri"/>
          <w:color w:val="000000"/>
          <w:szCs w:val="22"/>
          <w:lang w:eastAsia="en-AU"/>
        </w:rPr>
      </w:pPr>
      <w:r>
        <w:rPr>
          <w:rFonts w:ascii="Calibri" w:hAnsi="Times New Roman" w:cs="Calibri"/>
          <w:color w:val="000000"/>
          <w:szCs w:val="22"/>
          <w:lang w:eastAsia="en-AU"/>
        </w:rPr>
        <w:t xml:space="preserve">Recruitment activity had softened in both the Ipswich and Logan </w:t>
      </w:r>
      <w:proofErr w:type="spellStart"/>
      <w:r>
        <w:rPr>
          <w:rFonts w:ascii="Calibri" w:hAnsi="Times New Roman" w:cs="Calibri"/>
          <w:color w:val="000000"/>
          <w:szCs w:val="22"/>
          <w:lang w:eastAsia="en-AU"/>
        </w:rPr>
        <w:t>LGAs</w:t>
      </w:r>
      <w:proofErr w:type="spellEnd"/>
      <w:r>
        <w:rPr>
          <w:rFonts w:ascii="Calibri" w:hAnsi="Times New Roman" w:cs="Calibri"/>
          <w:color w:val="000000"/>
          <w:szCs w:val="22"/>
          <w:lang w:eastAsia="en-AU"/>
        </w:rPr>
        <w:t>.</w:t>
      </w:r>
    </w:p>
    <w:p w:rsidR="00C24DFD" w:rsidRDefault="00C24DFD" w:rsidP="00C24DFD">
      <w:pPr>
        <w:numPr>
          <w:ilvl w:val="0"/>
          <w:numId w:val="2"/>
        </w:numPr>
        <w:autoSpaceDE w:val="0"/>
        <w:autoSpaceDN w:val="0"/>
        <w:adjustRightInd w:val="0"/>
        <w:rPr>
          <w:rFonts w:ascii="Calibri" w:hAnsi="Times New Roman" w:cs="Calibri"/>
          <w:color w:val="000000"/>
          <w:szCs w:val="22"/>
          <w:lang w:eastAsia="en-AU"/>
        </w:rPr>
      </w:pPr>
      <w:r>
        <w:rPr>
          <w:rFonts w:ascii="Calibri" w:hAnsi="Times New Roman" w:cs="Calibri"/>
          <w:color w:val="000000"/>
          <w:szCs w:val="22"/>
          <w:lang w:eastAsia="en-AU"/>
        </w:rPr>
        <w:t>Proportion of unfilled vacancies and employers reporting recruitment difficulty both lower</w:t>
      </w:r>
    </w:p>
    <w:p w:rsidR="00C24DFD" w:rsidRDefault="00C24DFD" w:rsidP="00C24DFD">
      <w:pPr>
        <w:autoSpaceDE w:val="0"/>
        <w:autoSpaceDN w:val="0"/>
        <w:adjustRightInd w:val="0"/>
        <w:rPr>
          <w:rFonts w:ascii="Calibri" w:hAnsi="Times New Roman" w:cs="Calibri"/>
          <w:color w:val="000000"/>
          <w:szCs w:val="22"/>
          <w:lang w:eastAsia="en-AU"/>
        </w:rPr>
      </w:pPr>
      <w:r>
        <w:rPr>
          <w:rFonts w:ascii="Calibri" w:hAnsi="Times New Roman" w:cs="Calibri"/>
          <w:color w:val="000000"/>
          <w:szCs w:val="22"/>
          <w:lang w:eastAsia="en-AU"/>
        </w:rPr>
        <w:t xml:space="preserve">Recruitment activity was also soft compared with the average of all </w:t>
      </w:r>
      <w:proofErr w:type="spellStart"/>
      <w:r>
        <w:rPr>
          <w:rFonts w:ascii="Calibri" w:hAnsi="Times New Roman" w:cs="Calibri"/>
          <w:color w:val="000000"/>
          <w:szCs w:val="22"/>
          <w:lang w:eastAsia="en-AU"/>
        </w:rPr>
        <w:t>PEAs</w:t>
      </w:r>
      <w:proofErr w:type="spellEnd"/>
      <w:r>
        <w:rPr>
          <w:rFonts w:ascii="Calibri" w:hAnsi="Times New Roman" w:cs="Calibri"/>
          <w:color w:val="000000"/>
          <w:szCs w:val="22"/>
          <w:lang w:eastAsia="en-AU"/>
        </w:rPr>
        <w:t xml:space="preserve"> surveyed in the 12 months to March 2013</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26</w:t>
      </w:r>
    </w:p>
    <w:p w:rsidR="00C24DFD" w:rsidRDefault="00C24DFD" w:rsidP="00C24DFD">
      <w:pPr>
        <w:spacing w:line="360" w:lineRule="auto"/>
      </w:pPr>
    </w:p>
    <w:p w:rsidR="00C24DFD" w:rsidRDefault="00C24DFD" w:rsidP="00C24DFD">
      <w:pPr>
        <w:spacing w:line="360" w:lineRule="auto"/>
        <w:jc w:val="center"/>
      </w:pPr>
      <w:r>
        <w:object w:dxaOrig="7212" w:dyaOrig="5411">
          <v:shape id="_x0000_i1150" type="#_x0000_t75" style="width:270.7pt;height:202.8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150" DrawAspect="Content" ObjectID="_1433941455" r:id="rId5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Times New Roman" w:cs="Calibri"/>
          <w:b/>
          <w:bCs/>
          <w:color w:val="000000"/>
          <w:kern w:val="24"/>
          <w:sz w:val="24"/>
          <w:szCs w:val="24"/>
          <w:u w:val="single"/>
          <w:lang w:eastAsia="en-AU"/>
        </w:rPr>
        <w:t>Recruitment activity down in key industries</w:t>
      </w:r>
      <w:r>
        <w:rPr>
          <w:rFonts w:ascii="Calibri" w:hAnsi="Times New Roman" w:cs="Calibri"/>
          <w:color w:val="000000"/>
          <w:kern w:val="24"/>
          <w:sz w:val="24"/>
          <w:szCs w:val="24"/>
          <w:lang w:eastAsia="en-AU"/>
        </w:rPr>
        <w:br/>
      </w:r>
      <w:r>
        <w:rPr>
          <w:rFonts w:ascii="Calibri" w:hAnsi="Calibri" w:cs="Calibri"/>
          <w:i/>
          <w:iCs/>
          <w:color w:val="000000"/>
          <w:kern w:val="24"/>
          <w:sz w:val="24"/>
          <w:szCs w:val="24"/>
          <w:lang w:eastAsia="en-AU"/>
        </w:rPr>
        <w:t>Source: DEEWR, Survey of Employers’ Recruitment Experiences, Ipswich-Logan PEA January 2012 and February 2013</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The proportion of employers who recruited in the 12 months preceding the survey decreased between the January 2012 and February 2013 surveys in a number of key industries within the PEA, even in those where recruitment activity was relatively strong (such as Health Care and Social Assistance and Accommodation and Food Services).</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sz w:val="20"/>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27</w:t>
      </w:r>
    </w:p>
    <w:p w:rsidR="00C24DFD" w:rsidRDefault="00C24DFD" w:rsidP="00C24DFD">
      <w:pPr>
        <w:spacing w:line="360" w:lineRule="auto"/>
      </w:pPr>
    </w:p>
    <w:p w:rsidR="00C24DFD" w:rsidRDefault="00C24DFD" w:rsidP="00C24DFD">
      <w:pPr>
        <w:spacing w:line="360" w:lineRule="auto"/>
        <w:jc w:val="center"/>
      </w:pPr>
      <w:r>
        <w:object w:dxaOrig="7212" w:dyaOrig="5411">
          <v:shape id="_x0000_i1155" type="#_x0000_t75" style="width:270.7pt;height:202.8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155" DrawAspect="Content" ObjectID="_1433941456" r:id="rId5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u w:val="single"/>
          <w:lang w:eastAsia="en-AU"/>
        </w:rPr>
      </w:pPr>
      <w:r>
        <w:rPr>
          <w:rFonts w:ascii="Calibri" w:hAnsi="Times New Roman" w:cs="Calibri"/>
          <w:b/>
          <w:bCs/>
          <w:color w:val="000000"/>
          <w:kern w:val="24"/>
          <w:sz w:val="24"/>
          <w:szCs w:val="24"/>
          <w:u w:val="single"/>
          <w:lang w:eastAsia="en-AU"/>
        </w:rPr>
        <w:t>Higher competition for vacancies</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January 2012 and February 2013, </w:t>
      </w:r>
      <w:proofErr w:type="gramStart"/>
      <w:r>
        <w:rPr>
          <w:rFonts w:ascii="Calibri" w:hAnsi="Times New Roman" w:cs="Calibri"/>
          <w:i/>
          <w:iCs/>
          <w:color w:val="000000"/>
          <w:kern w:val="24"/>
          <w:sz w:val="24"/>
          <w:szCs w:val="24"/>
          <w:lang w:eastAsia="en-AU"/>
        </w:rPr>
        <w:t>all</w:t>
      </w:r>
      <w:proofErr w:type="gramEnd"/>
      <w:r>
        <w:rPr>
          <w:rFonts w:ascii="Calibri" w:hAnsi="Times New Roman" w:cs="Calibri"/>
          <w:i/>
          <w:iCs/>
          <w:color w:val="000000"/>
          <w:kern w:val="24"/>
          <w:sz w:val="24"/>
          <w:szCs w:val="24"/>
          <w:lang w:eastAsia="en-AU"/>
        </w:rPr>
        <w:t xml:space="preserve"> regions surveyed 12 months to March 2013 </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Consistent with a softer labour market, competition for vacancies was very high, as indicated by the high average number of applicants per vacancy (16.1). By contrast, the average number of applicants was substantially lower in the January 2012 survey (11.2).</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There was a particularly high average number of applicants for Clerical and Administrative Worker (36.7) and Sales Worker (20.7) vacancies. By contrast, the average number of applicants was relatively low for Labourer (7.6) and Community and Personal Service Worker (8.2) vacancies, while employers recruiting for Technician and Trades Worker vacancies reported very few suitable applicants (an average of 1.9).</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28</w:t>
      </w:r>
    </w:p>
    <w:p w:rsidR="00C24DFD" w:rsidRDefault="00C24DFD" w:rsidP="00C24DFD">
      <w:pPr>
        <w:spacing w:line="360" w:lineRule="auto"/>
      </w:pPr>
    </w:p>
    <w:p w:rsidR="00C24DFD" w:rsidRDefault="00C24DFD" w:rsidP="00C24DFD">
      <w:pPr>
        <w:spacing w:line="360" w:lineRule="auto"/>
        <w:jc w:val="center"/>
      </w:pPr>
      <w:r>
        <w:object w:dxaOrig="7212" w:dyaOrig="5411">
          <v:shape id="_x0000_i1160" type="#_x0000_t75" style="width:270.7pt;height:202.8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160" DrawAspect="Content" ObjectID="_1433941457" r:id="rId6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u w:val="single"/>
          <w:lang w:eastAsia="en-AU"/>
        </w:rPr>
      </w:pPr>
      <w:r>
        <w:rPr>
          <w:rFonts w:ascii="Calibri" w:hAnsi="Times New Roman" w:cs="Calibri"/>
          <w:b/>
          <w:bCs/>
          <w:color w:val="000000"/>
          <w:kern w:val="24"/>
          <w:sz w:val="24"/>
          <w:szCs w:val="24"/>
          <w:u w:val="single"/>
          <w:lang w:eastAsia="en-AU"/>
        </w:rPr>
        <w:t>Reasons applicants were unsuitable</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February 2013</w:t>
      </w: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C24DFD" w:rsidRDefault="00C24DFD" w:rsidP="00C24DFD">
      <w:pPr>
        <w:numPr>
          <w:ilvl w:val="0"/>
          <w:numId w:val="3"/>
        </w:num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Of employers who recruited in the Ipswich-Logan PEA, 59% had at least one unsuitable applicant in their most recent recruitment round (compared with 54 per cent for all </w:t>
      </w:r>
      <w:proofErr w:type="spellStart"/>
      <w:r>
        <w:rPr>
          <w:rFonts w:ascii="Calibri" w:hAnsi="Times New Roman" w:cs="Calibri"/>
          <w:color w:val="000000"/>
          <w:kern w:val="24"/>
          <w:sz w:val="24"/>
          <w:szCs w:val="24"/>
          <w:lang w:eastAsia="en-AU"/>
        </w:rPr>
        <w:t>PEAs</w:t>
      </w:r>
      <w:proofErr w:type="spellEnd"/>
      <w:r>
        <w:rPr>
          <w:rFonts w:ascii="Calibri" w:hAnsi="Times New Roman" w:cs="Calibri"/>
          <w:color w:val="000000"/>
          <w:kern w:val="24"/>
          <w:sz w:val="24"/>
          <w:szCs w:val="24"/>
          <w:lang w:eastAsia="en-AU"/>
        </w:rPr>
        <w:t xml:space="preserve"> surveyed in the 12 months to March 2013).</w:t>
      </w:r>
    </w:p>
    <w:p w:rsidR="00C24DFD" w:rsidRDefault="00C24DFD" w:rsidP="00C24DFD">
      <w:pPr>
        <w:numPr>
          <w:ilvl w:val="0"/>
          <w:numId w:val="3"/>
        </w:num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Reasons for applicant unsuitability included:</w:t>
      </w:r>
    </w:p>
    <w:p w:rsidR="00C24DFD" w:rsidRDefault="00C24DFD" w:rsidP="00C24DFD">
      <w:pPr>
        <w:numPr>
          <w:ilvl w:val="0"/>
          <w:numId w:val="4"/>
        </w:num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Insufficient experience to perform job duties (61%)</w:t>
      </w:r>
    </w:p>
    <w:p w:rsidR="00C24DFD" w:rsidRDefault="00C24DFD" w:rsidP="00C24DFD">
      <w:pPr>
        <w:numPr>
          <w:ilvl w:val="0"/>
          <w:numId w:val="4"/>
        </w:num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Insufficient qualifications or training to perform job duties (31%)</w:t>
      </w:r>
    </w:p>
    <w:p w:rsidR="00C24DFD" w:rsidRDefault="00C24DFD" w:rsidP="00C24DFD">
      <w:pPr>
        <w:numPr>
          <w:ilvl w:val="0"/>
          <w:numId w:val="4"/>
        </w:num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Lack of employability skills and personal characteristics (25%)</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29</w:t>
      </w:r>
    </w:p>
    <w:p w:rsidR="00C24DFD" w:rsidRDefault="00C24DFD" w:rsidP="00C24DFD">
      <w:pPr>
        <w:spacing w:line="360" w:lineRule="auto"/>
      </w:pPr>
    </w:p>
    <w:p w:rsidR="00C24DFD" w:rsidRDefault="00C24DFD" w:rsidP="00C24DFD">
      <w:pPr>
        <w:spacing w:line="360" w:lineRule="auto"/>
        <w:jc w:val="center"/>
      </w:pPr>
      <w:r>
        <w:object w:dxaOrig="7212" w:dyaOrig="5411">
          <v:shape id="_x0000_i1165" type="#_x0000_t75" style="width:270.7pt;height:202.8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165" DrawAspect="Content" ObjectID="_1433941458" r:id="rId6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Basic Employability Skills</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all regions surveyed 12 months to December 2010</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Most importance placed on:</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30% personal traits and qualities only</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28% technical skills only</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41% both equally important</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Personal traits and qualities applicants lacked:</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Communication</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Motivation</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Enthusiasm</w:t>
      </w:r>
    </w:p>
    <w:p w:rsidR="00C24DFD" w:rsidRDefault="00C24DFD" w:rsidP="00C24DFD">
      <w:pPr>
        <w:numPr>
          <w:ilvl w:val="0"/>
          <w:numId w:val="5"/>
        </w:num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Confidence</w:t>
      </w:r>
    </w:p>
    <w:p w:rsidR="00C24DFD" w:rsidRDefault="00C24DFD" w:rsidP="00C24DFD">
      <w:pPr>
        <w:autoSpaceDE w:val="0"/>
        <w:autoSpaceDN w:val="0"/>
        <w:adjustRightInd w:val="0"/>
        <w:rPr>
          <w:rFonts w:ascii="Calibri" w:hAnsi="Times New Roman" w:cs="Calibri"/>
          <w:color w:val="000000"/>
          <w:sz w:val="20"/>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30</w:t>
      </w:r>
    </w:p>
    <w:p w:rsidR="00C24DFD" w:rsidRDefault="00C24DFD" w:rsidP="00C24DFD">
      <w:pPr>
        <w:spacing w:line="360" w:lineRule="auto"/>
      </w:pPr>
    </w:p>
    <w:p w:rsidR="00C24DFD" w:rsidRDefault="00C24DFD" w:rsidP="00C24DFD">
      <w:pPr>
        <w:spacing w:line="360" w:lineRule="auto"/>
        <w:jc w:val="center"/>
      </w:pPr>
      <w:r>
        <w:object w:dxaOrig="7212" w:dyaOrig="5411">
          <v:shape id="_x0000_i1170" type="#_x0000_t75" style="width:270.7pt;height:202.8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170" DrawAspect="Content" ObjectID="_1433941459" r:id="rId6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b/>
          <w:bCs/>
          <w:i/>
          <w:iCs/>
          <w:color w:val="000000"/>
          <w:kern w:val="24"/>
          <w:sz w:val="24"/>
          <w:szCs w:val="24"/>
          <w:u w:val="single"/>
          <w:lang w:eastAsia="en-AU"/>
        </w:rPr>
      </w:pPr>
      <w:r>
        <w:rPr>
          <w:rFonts w:ascii="Calibri" w:hAnsi="Times New Roman" w:cs="Calibri"/>
          <w:b/>
          <w:bCs/>
          <w:color w:val="000000"/>
          <w:kern w:val="24"/>
          <w:sz w:val="24"/>
          <w:szCs w:val="24"/>
          <w:u w:val="single"/>
          <w:lang w:eastAsia="en-AU"/>
        </w:rPr>
        <w:t>High-skilled occupations persistently difficult to fill</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January 2012 and February 2013</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This slide shows the main occupations that employers in the Ipswich-Logan PEA considered difficult to fill.</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31</w:t>
      </w:r>
    </w:p>
    <w:p w:rsidR="00C24DFD" w:rsidRDefault="00C24DFD" w:rsidP="00C24DFD">
      <w:pPr>
        <w:spacing w:line="360" w:lineRule="auto"/>
      </w:pPr>
    </w:p>
    <w:p w:rsidR="00C24DFD" w:rsidRDefault="00C24DFD" w:rsidP="00C24DFD">
      <w:pPr>
        <w:spacing w:line="360" w:lineRule="auto"/>
        <w:jc w:val="center"/>
      </w:pPr>
      <w:r>
        <w:object w:dxaOrig="7212" w:dyaOrig="5411">
          <v:shape id="_x0000_i1175" type="#_x0000_t75" style="width:270.7pt;height:202.8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175" DrawAspect="Content" ObjectID="_1433941460" r:id="rId67"/>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b/>
          <w:bCs/>
          <w:i/>
          <w:iCs/>
          <w:color w:val="000000"/>
          <w:kern w:val="24"/>
          <w:sz w:val="24"/>
          <w:szCs w:val="24"/>
          <w:u w:val="single"/>
          <w:lang w:eastAsia="en-AU"/>
        </w:rPr>
      </w:pPr>
      <w:r>
        <w:rPr>
          <w:rFonts w:ascii="Calibri" w:hAnsi="Times New Roman" w:cs="Calibri"/>
          <w:b/>
          <w:bCs/>
          <w:color w:val="000000"/>
          <w:kern w:val="24"/>
          <w:sz w:val="24"/>
          <w:szCs w:val="24"/>
          <w:u w:val="single"/>
          <w:lang w:eastAsia="en-AU"/>
        </w:rPr>
        <w:t>Recruitment methods differ from other regions</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February 2013, all regions surveyed 12 months to March 2013 </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While the proportion of employers who recruited using formal methods only in the Ipswich-Logan PEA (63 per cent) is slightly higher compared with all other </w:t>
      </w:r>
      <w:proofErr w:type="spellStart"/>
      <w:r>
        <w:rPr>
          <w:rFonts w:ascii="Calibri" w:hAnsi="Times New Roman" w:cs="Calibri"/>
          <w:color w:val="000000"/>
          <w:kern w:val="24"/>
          <w:sz w:val="24"/>
          <w:szCs w:val="24"/>
          <w:lang w:eastAsia="en-AU"/>
        </w:rPr>
        <w:t>PEAs</w:t>
      </w:r>
      <w:proofErr w:type="spellEnd"/>
      <w:r>
        <w:rPr>
          <w:rFonts w:ascii="Calibri" w:hAnsi="Times New Roman" w:cs="Calibri"/>
          <w:color w:val="000000"/>
          <w:kern w:val="24"/>
          <w:sz w:val="24"/>
          <w:szCs w:val="24"/>
          <w:lang w:eastAsia="en-AU"/>
        </w:rPr>
        <w:t xml:space="preserve"> surveyed (58 per cent), the proportion </w:t>
      </w:r>
      <w:proofErr w:type="gramStart"/>
      <w:r>
        <w:rPr>
          <w:rFonts w:ascii="Calibri" w:hAnsi="Times New Roman" w:cs="Calibri"/>
          <w:color w:val="000000"/>
          <w:kern w:val="24"/>
          <w:sz w:val="24"/>
          <w:szCs w:val="24"/>
          <w:lang w:eastAsia="en-AU"/>
        </w:rPr>
        <w:t>who</w:t>
      </w:r>
      <w:proofErr w:type="gramEnd"/>
      <w:r>
        <w:rPr>
          <w:rFonts w:ascii="Calibri" w:hAnsi="Times New Roman" w:cs="Calibri"/>
          <w:color w:val="000000"/>
          <w:kern w:val="24"/>
          <w:sz w:val="24"/>
          <w:szCs w:val="24"/>
          <w:lang w:eastAsia="en-AU"/>
        </w:rPr>
        <w:t xml:space="preserve"> use internet (47 per cent) is substantially higher, and the proportion who use newspapers/magazines (7 per cent) was substantially lower.</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proportion of employers who used informal methods only (31 per cent) was slightly lower compared with all </w:t>
      </w:r>
      <w:proofErr w:type="spellStart"/>
      <w:r>
        <w:rPr>
          <w:rFonts w:ascii="Calibri" w:hAnsi="Times New Roman" w:cs="Calibri"/>
          <w:color w:val="000000"/>
          <w:kern w:val="24"/>
          <w:sz w:val="24"/>
          <w:szCs w:val="24"/>
          <w:lang w:eastAsia="en-AU"/>
        </w:rPr>
        <w:t>PEAs</w:t>
      </w:r>
      <w:proofErr w:type="spellEnd"/>
      <w:r>
        <w:rPr>
          <w:rFonts w:ascii="Calibri" w:hAnsi="Times New Roman" w:cs="Calibri"/>
          <w:color w:val="000000"/>
          <w:kern w:val="24"/>
          <w:sz w:val="24"/>
          <w:szCs w:val="24"/>
          <w:lang w:eastAsia="en-AU"/>
        </w:rPr>
        <w:t xml:space="preserve"> surveyed (33 per cent), but had increased from 23 per cent since the PEA was last surveyed in January 2012.</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32</w:t>
      </w:r>
    </w:p>
    <w:p w:rsidR="00C24DFD" w:rsidRDefault="00C24DFD" w:rsidP="00C24DFD">
      <w:pPr>
        <w:spacing w:line="360" w:lineRule="auto"/>
      </w:pPr>
    </w:p>
    <w:p w:rsidR="00C24DFD" w:rsidRDefault="00C24DFD" w:rsidP="00C24DFD">
      <w:pPr>
        <w:spacing w:line="360" w:lineRule="auto"/>
        <w:jc w:val="center"/>
      </w:pPr>
      <w:r>
        <w:object w:dxaOrig="7212" w:dyaOrig="5411">
          <v:shape id="_x0000_i1180" type="#_x0000_t75" style="width:270.7pt;height:202.8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180" DrawAspect="Content" ObjectID="_1433941461" r:id="rId69"/>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color w:val="000000"/>
          <w:kern w:val="24"/>
          <w:sz w:val="24"/>
          <w:szCs w:val="24"/>
          <w:u w:val="single"/>
          <w:lang w:eastAsia="en-AU"/>
        </w:rPr>
        <w:t>Recruitment Outlook Subdued</w:t>
      </w:r>
    </w:p>
    <w:p w:rsidR="00C24DFD" w:rsidRDefault="00C24DFD" w:rsidP="00C24DFD">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DEEWR, Survey of Employers’ Recruitment Experiences, Ipswich-Logan PEA January 2012 and February 2013, </w:t>
      </w:r>
      <w:proofErr w:type="gramStart"/>
      <w:r>
        <w:rPr>
          <w:rFonts w:ascii="Calibri" w:hAnsi="Calibri" w:cs="Calibri"/>
          <w:i/>
          <w:iCs/>
          <w:color w:val="000000"/>
          <w:kern w:val="24"/>
          <w:sz w:val="24"/>
          <w:szCs w:val="24"/>
          <w:lang w:eastAsia="en-AU"/>
        </w:rPr>
        <w:t>all</w:t>
      </w:r>
      <w:proofErr w:type="gramEnd"/>
      <w:r>
        <w:rPr>
          <w:rFonts w:ascii="Calibri" w:hAnsi="Calibri" w:cs="Calibri"/>
          <w:i/>
          <w:iCs/>
          <w:color w:val="000000"/>
          <w:kern w:val="24"/>
          <w:sz w:val="24"/>
          <w:szCs w:val="24"/>
          <w:lang w:eastAsia="en-AU"/>
        </w:rPr>
        <w:t xml:space="preserve"> regions surveyed 12 months to March 2013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proportion of employers who expected to recruit in the year following the survey decreased from 55 per cent in January 2012 to 39 per cent in February 2013. Likewise, the proportion of employers who expected to increase staff numbers decreased from 27 per cent to 19 per cent.</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33</w:t>
      </w:r>
    </w:p>
    <w:p w:rsidR="00C24DFD" w:rsidRDefault="00C24DFD" w:rsidP="00C24DFD">
      <w:pPr>
        <w:spacing w:line="360" w:lineRule="auto"/>
      </w:pPr>
    </w:p>
    <w:p w:rsidR="00C24DFD" w:rsidRDefault="00C24DFD" w:rsidP="00C24DFD">
      <w:pPr>
        <w:spacing w:line="360" w:lineRule="auto"/>
        <w:jc w:val="center"/>
      </w:pPr>
      <w:r>
        <w:object w:dxaOrig="7212" w:dyaOrig="5411">
          <v:shape id="_x0000_i1185" type="#_x0000_t75" style="width:270.7pt;height:202.8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185" DrawAspect="Content" ObjectID="_1433941462" r:id="rId71"/>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Times New Roman" w:cs="Calibri"/>
          <w:color w:val="000000"/>
          <w:kern w:val="24"/>
          <w:sz w:val="24"/>
          <w:szCs w:val="24"/>
          <w:u w:val="single"/>
          <w:lang w:eastAsia="en-AU"/>
        </w:rPr>
      </w:pPr>
      <w:r>
        <w:rPr>
          <w:rFonts w:ascii="Calibri" w:hAnsi="Times New Roman" w:cs="Calibri"/>
          <w:b/>
          <w:bCs/>
          <w:color w:val="000000"/>
          <w:kern w:val="24"/>
          <w:sz w:val="24"/>
          <w:szCs w:val="24"/>
          <w:u w:val="single"/>
          <w:lang w:eastAsia="en-AU"/>
        </w:rPr>
        <w:t>Future Recruitment Expectations Vary by Industry</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Ipswich-Logan PEA January 2012 and February 2013</w:t>
      </w:r>
    </w:p>
    <w:p w:rsidR="00C24DFD" w:rsidRDefault="00C24DFD" w:rsidP="00C24DFD">
      <w:pPr>
        <w:autoSpaceDE w:val="0"/>
        <w:autoSpaceDN w:val="0"/>
        <w:adjustRightInd w:val="0"/>
        <w:rPr>
          <w:rFonts w:ascii="Calibri" w:hAnsi="Times New Roman" w:cs="Calibri"/>
          <w:i/>
          <w:iCs/>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Employers in the Accommodation and Food Services and Health Care and Social Assistance industries had the most positive recruitment expectations for the 12 months following the survey, with 38 per cent and 22 per cent of employers respectively expecting to increase staff numbers.</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Recruitment expectations among employers in the Construction industry were mixed, with 21 per cent looking to increase staff numbers and 15 per cent expecting to decrease staff numbers.</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Recruitment expectations were lower in the Manufacturing industry, with only 15 per cent expecting to increase staff numbers and 7 per cent expecting to decrease.</w:t>
      </w:r>
    </w:p>
    <w:p w:rsidR="00C24DFD" w:rsidRDefault="00C24DFD" w:rsidP="00C24DFD">
      <w:pPr>
        <w:autoSpaceDE w:val="0"/>
        <w:autoSpaceDN w:val="0"/>
        <w:adjustRightInd w:val="0"/>
        <w:rPr>
          <w:rFonts w:ascii="Calibri" w:hAnsi="Times New Roman" w:cs="Calibri"/>
          <w:color w:val="000000"/>
          <w:kern w:val="24"/>
          <w:sz w:val="24"/>
          <w:szCs w:val="24"/>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34</w:t>
      </w:r>
    </w:p>
    <w:p w:rsidR="00C24DFD" w:rsidRDefault="00C24DFD" w:rsidP="00C24DFD">
      <w:pPr>
        <w:spacing w:line="360" w:lineRule="auto"/>
      </w:pPr>
    </w:p>
    <w:p w:rsidR="00C24DFD" w:rsidRDefault="00C24DFD" w:rsidP="00C24DFD">
      <w:pPr>
        <w:spacing w:line="360" w:lineRule="auto"/>
        <w:jc w:val="center"/>
      </w:pPr>
      <w:r>
        <w:object w:dxaOrig="7212" w:dyaOrig="5411">
          <v:shape id="_x0000_i1190" type="#_x0000_t75" style="width:270.7pt;height:202.8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190" DrawAspect="Content" ObjectID="_1433941463" r:id="rId73"/>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Conclusion</w:t>
      </w:r>
    </w:p>
    <w:p w:rsidR="00C24DFD" w:rsidRDefault="00C24DFD" w:rsidP="00C24DFD">
      <w:pPr>
        <w:numPr>
          <w:ilvl w:val="0"/>
          <w:numId w:val="5"/>
        </w:numPr>
        <w:autoSpaceDE w:val="0"/>
        <w:autoSpaceDN w:val="0"/>
        <w:adjustRightInd w:val="0"/>
        <w:ind w:left="467" w:hanging="467"/>
        <w:rPr>
          <w:rFonts w:ascii="Calibri" w:hAnsi="Calibri" w:cs="Calibri"/>
          <w:color w:val="000000"/>
          <w:kern w:val="24"/>
          <w:sz w:val="24"/>
          <w:szCs w:val="24"/>
          <w:lang w:val="en-US" w:eastAsia="en-AU"/>
        </w:rPr>
      </w:pPr>
      <w:proofErr w:type="spellStart"/>
      <w:r>
        <w:rPr>
          <w:rFonts w:ascii="Calibri" w:hAnsi="Calibri" w:cs="Calibri"/>
          <w:color w:val="000000"/>
          <w:kern w:val="24"/>
          <w:sz w:val="24"/>
          <w:szCs w:val="24"/>
          <w:lang w:val="en-US" w:eastAsia="en-AU"/>
        </w:rPr>
        <w:t>Labour</w:t>
      </w:r>
      <w:proofErr w:type="spellEnd"/>
      <w:r>
        <w:rPr>
          <w:rFonts w:ascii="Calibri" w:hAnsi="Calibri" w:cs="Calibri"/>
          <w:color w:val="000000"/>
          <w:kern w:val="24"/>
          <w:sz w:val="24"/>
          <w:szCs w:val="24"/>
          <w:lang w:val="en-US" w:eastAsia="en-AU"/>
        </w:rPr>
        <w:t xml:space="preserve"> market conditions are mixed, but generally soft across the PEA</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Areas of persistently high unemployment and entrenched disadvantage exist within the Logan </w:t>
      </w:r>
      <w:proofErr w:type="spellStart"/>
      <w:r>
        <w:rPr>
          <w:rFonts w:ascii="Calibri" w:hAnsi="Calibri" w:cs="Calibri"/>
          <w:color w:val="000000"/>
          <w:kern w:val="24"/>
          <w:sz w:val="24"/>
          <w:szCs w:val="24"/>
          <w:lang w:eastAsia="en-AU"/>
        </w:rPr>
        <w:t>LGA</w:t>
      </w:r>
      <w:proofErr w:type="spellEnd"/>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val="en-US" w:eastAsia="en-AU"/>
        </w:rPr>
      </w:pPr>
      <w:r>
        <w:rPr>
          <w:rFonts w:ascii="Calibri" w:hAnsi="Calibri" w:cs="Calibri"/>
          <w:color w:val="000000"/>
          <w:kern w:val="24"/>
          <w:sz w:val="24"/>
          <w:szCs w:val="24"/>
          <w:lang w:eastAsia="en-AU"/>
        </w:rPr>
        <w:t xml:space="preserve">While the Ipswich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labour market is stronger, there are signs of slowing recruitment activity</w:t>
      </w:r>
    </w:p>
    <w:p w:rsidR="00C24DFD" w:rsidRDefault="00C24DFD" w:rsidP="00C24DFD">
      <w:pPr>
        <w:numPr>
          <w:ilvl w:val="0"/>
          <w:numId w:val="5"/>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Challenges</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High unemployment and low labour force participation in some areas</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Low educational attainment levels</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Youth disengagement, migrant underutilisation</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Many employers not employing locally – many higher skilled jobs not filled by locals</w:t>
      </w:r>
    </w:p>
    <w:p w:rsidR="00C24DFD" w:rsidRDefault="00C24DFD" w:rsidP="00C24DFD">
      <w:pPr>
        <w:numPr>
          <w:ilvl w:val="0"/>
          <w:numId w:val="5"/>
        </w:numPr>
        <w:autoSpaceDE w:val="0"/>
        <w:autoSpaceDN w:val="0"/>
        <w:adjustRightInd w:val="0"/>
        <w:ind w:left="467" w:hanging="467"/>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Opportunities exist</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Strongly growing industries (Health Care and Social Assistance)</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Strong population growth, particularly in the younger age groups</w:t>
      </w:r>
    </w:p>
    <w:p w:rsidR="00C24DFD" w:rsidRDefault="00C24DFD" w:rsidP="00C24DFD">
      <w:pPr>
        <w:numPr>
          <w:ilvl w:val="0"/>
          <w:numId w:val="5"/>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Job seekers need to be job ready</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Education / training; apprenticeships; work experience</w:t>
      </w:r>
    </w:p>
    <w:p w:rsidR="00C24DFD" w:rsidRDefault="00C24DFD" w:rsidP="00C24DFD">
      <w:pPr>
        <w:numPr>
          <w:ilvl w:val="0"/>
          <w:numId w:val="5"/>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val="en-US" w:eastAsia="en-AU"/>
        </w:rPr>
        <w:t>Language, literacy and numeracy; employability skills</w:t>
      </w:r>
    </w:p>
    <w:p w:rsidR="00C24DFD" w:rsidRDefault="00C24DFD" w:rsidP="00C24DFD">
      <w:pPr>
        <w:numPr>
          <w:ilvl w:val="0"/>
          <w:numId w:val="5"/>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Collaboration amongst all key stakeholders</w:t>
      </w: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35</w:t>
      </w:r>
    </w:p>
    <w:p w:rsidR="00C24DFD" w:rsidRDefault="00C24DFD" w:rsidP="00C24DFD">
      <w:pPr>
        <w:spacing w:line="360" w:lineRule="auto"/>
      </w:pPr>
    </w:p>
    <w:p w:rsidR="00C24DFD" w:rsidRDefault="00C24DFD" w:rsidP="00C24DFD">
      <w:pPr>
        <w:spacing w:line="360" w:lineRule="auto"/>
        <w:jc w:val="center"/>
      </w:pPr>
      <w:r>
        <w:object w:dxaOrig="7212" w:dyaOrig="5411">
          <v:shape id="_x0000_i1195" type="#_x0000_t75" style="width:270.7pt;height:202.8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195" DrawAspect="Content" ObjectID="_1433941464" r:id="rId75"/>
        </w:object>
      </w:r>
    </w:p>
    <w:p w:rsidR="00C24DFD" w:rsidRDefault="00C24DFD" w:rsidP="00C24DFD">
      <w:pPr>
        <w:spacing w:line="360" w:lineRule="auto"/>
        <w:jc w:val="center"/>
      </w:pP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Further Information</w:t>
      </w:r>
    </w:p>
    <w:p w:rsidR="00C24DFD" w:rsidRDefault="00C24DFD" w:rsidP="00C24DFD">
      <w:pPr>
        <w:autoSpaceDE w:val="0"/>
        <w:autoSpaceDN w:val="0"/>
        <w:adjustRightInd w:val="0"/>
        <w:rPr>
          <w:rFonts w:ascii="Calibri" w:hAnsi="Calibri" w:cs="Calibri"/>
          <w:b/>
          <w:bCs/>
          <w:color w:val="000000"/>
          <w:kern w:val="24"/>
          <w:sz w:val="24"/>
          <w:szCs w:val="24"/>
          <w:u w:val="single"/>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More information on labour market conditions and other research on small areas can be found on these web sites.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www.deewr.gov.au/regional-reports-employers-recruitment-experiences</w:t>
      </w: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www.deewr.gov.au/lmip</w:t>
      </w: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www.deewr.gov.au/SkillShortages</w:t>
      </w: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www.deewr.gov.au/australianjobs</w:t>
      </w: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www.skillsinfo.gov.au</w:t>
      </w:r>
    </w:p>
    <w:p w:rsidR="00C24DFD" w:rsidRDefault="00C24DFD" w:rsidP="00C24DFD">
      <w:pPr>
        <w:autoSpaceDE w:val="0"/>
        <w:autoSpaceDN w:val="0"/>
        <w:adjustRightInd w:val="0"/>
        <w:ind w:left="72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www.joboutlook.gov.au</w:t>
      </w:r>
    </w:p>
    <w:p w:rsidR="00C24DFD" w:rsidRDefault="00C24DFD" w:rsidP="00C24DFD">
      <w:pPr>
        <w:autoSpaceDE w:val="0"/>
        <w:autoSpaceDN w:val="0"/>
        <w:adjustRightInd w:val="0"/>
        <w:ind w:left="746"/>
        <w:rPr>
          <w:rFonts w:ascii="Calibri" w:hAnsi="Times New Roman" w:cs="Calibri"/>
          <w:color w:val="3C8C93"/>
          <w:sz w:val="24"/>
          <w:szCs w:val="24"/>
          <w:u w:val="single"/>
          <w:lang w:eastAsia="en-AU"/>
        </w:rPr>
      </w:pPr>
      <w:r>
        <w:rPr>
          <w:rFonts w:ascii="Calibri" w:hAnsi="Times New Roman" w:cs="Calibri"/>
          <w:color w:val="3C8C93"/>
          <w:sz w:val="24"/>
          <w:szCs w:val="24"/>
          <w:u w:val="single"/>
          <w:lang w:eastAsia="en-AU"/>
        </w:rPr>
        <w:t>www.deewr.gov.au/news/aussie-jobs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Times New Roman" w:cs="Calibri"/>
          <w:color w:val="000000"/>
          <w:kern w:val="24"/>
          <w:sz w:val="24"/>
          <w:szCs w:val="24"/>
          <w:lang w:eastAsia="en-AU"/>
        </w:rPr>
      </w:pPr>
      <w:r>
        <w:rPr>
          <w:rFonts w:ascii="Calibri" w:hAnsi="Calibri" w:cs="Calibri"/>
          <w:color w:val="000000"/>
          <w:kern w:val="24"/>
          <w:sz w:val="24"/>
          <w:szCs w:val="24"/>
          <w:lang w:eastAsia="en-AU"/>
        </w:rPr>
        <w:t xml:space="preserve">This presentation will be placed on the regional reports section of the DEEWR website </w:t>
      </w:r>
      <w:r>
        <w:rPr>
          <w:rFonts w:ascii="Calibri" w:hAnsi="Times New Roman" w:cs="Calibri"/>
          <w:color w:val="000000"/>
          <w:kern w:val="24"/>
          <w:sz w:val="24"/>
          <w:szCs w:val="24"/>
          <w:u w:val="single"/>
          <w:lang w:eastAsia="en-AU"/>
        </w:rPr>
        <w:t>www.deewr.gov.au/regional-reports-employers-recruitment-experiences</w:t>
      </w:r>
    </w:p>
    <w:p w:rsidR="00C24DFD" w:rsidRDefault="00C24DFD" w:rsidP="00C24DFD">
      <w:pPr>
        <w:autoSpaceDE w:val="0"/>
        <w:autoSpaceDN w:val="0"/>
        <w:adjustRightInd w:val="0"/>
        <w:rPr>
          <w:rFonts w:ascii="Calibri" w:hAnsi="Calibri" w:cs="Calibri"/>
          <w:color w:val="000000"/>
          <w:kern w:val="24"/>
          <w:sz w:val="24"/>
          <w:szCs w:val="24"/>
          <w:lang w:eastAsia="en-AU"/>
        </w:rPr>
      </w:pPr>
    </w:p>
    <w:p w:rsidR="00C24DFD" w:rsidRDefault="00C24DFD" w:rsidP="00C24DFD">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Thank you.</w:t>
      </w:r>
    </w:p>
    <w:p w:rsidR="00C24DFD" w:rsidRDefault="00C24DFD" w:rsidP="00C24DFD">
      <w:pPr>
        <w:autoSpaceDE w:val="0"/>
        <w:autoSpaceDN w:val="0"/>
        <w:adjustRightInd w:val="0"/>
        <w:rPr>
          <w:rFonts w:cs="Arial"/>
          <w:sz w:val="24"/>
          <w:szCs w:val="24"/>
          <w:lang w:eastAsia="en-AU"/>
        </w:rPr>
      </w:pPr>
    </w:p>
    <w:p w:rsidR="00C24DFD" w:rsidRDefault="00C24DFD" w:rsidP="00C24DFD">
      <w:pPr>
        <w:spacing w:line="360" w:lineRule="auto"/>
      </w:pPr>
    </w:p>
    <w:p w:rsidR="00C24DFD" w:rsidRDefault="00C24DFD">
      <w:r>
        <w:br w:type="page"/>
      </w:r>
    </w:p>
    <w:p w:rsidR="00C24DFD" w:rsidRDefault="00C24DFD" w:rsidP="00C24DFD">
      <w:pPr>
        <w:spacing w:line="360" w:lineRule="auto"/>
      </w:pPr>
      <w:r>
        <w:lastRenderedPageBreak/>
        <w:t>Slide 36</w:t>
      </w:r>
    </w:p>
    <w:p w:rsidR="00C24DFD" w:rsidRDefault="00C24DFD" w:rsidP="00C24DFD">
      <w:pPr>
        <w:spacing w:line="360" w:lineRule="auto"/>
      </w:pPr>
    </w:p>
    <w:p w:rsidR="00C24DFD" w:rsidRDefault="00C24DFD" w:rsidP="00C24DFD">
      <w:pPr>
        <w:spacing w:line="360" w:lineRule="auto"/>
        <w:jc w:val="center"/>
      </w:pPr>
      <w:r>
        <w:object w:dxaOrig="7212" w:dyaOrig="5411">
          <v:shape id="_x0000_i1200" type="#_x0000_t75" style="width:270.7pt;height:202.8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200" DrawAspect="Content" ObjectID="_1433941465" r:id="rId77"/>
        </w:object>
      </w:r>
    </w:p>
    <w:p w:rsidR="00C24DFD" w:rsidRDefault="00C24DFD" w:rsidP="00C24DFD">
      <w:pPr>
        <w:spacing w:line="360" w:lineRule="auto"/>
        <w:jc w:val="center"/>
      </w:pPr>
    </w:p>
    <w:p w:rsidR="00C24DFD" w:rsidRDefault="00C24DFD" w:rsidP="00C24DFD">
      <w:pPr>
        <w:spacing w:line="360" w:lineRule="auto"/>
      </w:pPr>
    </w:p>
    <w:p w:rsidR="00C24DFD" w:rsidRDefault="00C24DFD" w:rsidP="00C24DFD">
      <w:pPr>
        <w:spacing w:line="360" w:lineRule="auto"/>
      </w:pPr>
    </w:p>
    <w:sectPr w:rsidR="00C24DFD"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0226AC"/>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2"/>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 w:numId="4">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5">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DFD"/>
    <w:rsid w:val="005D236C"/>
    <w:rsid w:val="00737AB0"/>
    <w:rsid w:val="00A35BAC"/>
    <w:rsid w:val="00B4410E"/>
    <w:rsid w:val="00C24DFD"/>
    <w:rsid w:val="00E65DE5"/>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package" Target="embeddings/Microsoft_PowerPoint_Slide3.sldx"/><Relationship Id="rId32" Type="http://schemas.openxmlformats.org/officeDocument/2006/relationships/image" Target="media/image14.emf"/><Relationship Id="rId37" Type="http://schemas.openxmlformats.org/officeDocument/2006/relationships/package" Target="embeddings/Microsoft_PowerPoint_Slide16.sldx"/><Relationship Id="rId53" Type="http://schemas.openxmlformats.org/officeDocument/2006/relationships/package" Target="embeddings/Microsoft_PowerPoint_Slide24.sldx"/><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PowerPoint_Slide28.sldx"/><Relationship Id="rId82" Type="http://schemas.openxmlformats.org/officeDocument/2006/relationships/customXml" Target="../customXml/item3.xml"/><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PowerPoint_Slide32.sldx"/><Relationship Id="rId77" Type="http://schemas.openxmlformats.org/officeDocument/2006/relationships/package" Target="embeddings/Microsoft_PowerPoint_Slide36.sldx"/><Relationship Id="rId8" Type="http://schemas.openxmlformats.org/officeDocument/2006/relationships/image" Target="media/image2.emf"/><Relationship Id="rId51" Type="http://schemas.openxmlformats.org/officeDocument/2006/relationships/package" Target="embeddings/Microsoft_PowerPoint_Slide23.sldx"/><Relationship Id="rId72" Type="http://schemas.openxmlformats.org/officeDocument/2006/relationships/image" Target="media/image34.emf"/><Relationship Id="rId80"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package" Target="embeddings/Microsoft_PowerPoint_Slide31.sldx"/><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PowerPoint_Slide35.sldx"/><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73" Type="http://schemas.openxmlformats.org/officeDocument/2006/relationships/package" Target="embeddings/Microsoft_PowerPoint_Slide34.sldx"/><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 Id="rId76" Type="http://schemas.openxmlformats.org/officeDocument/2006/relationships/image" Target="media/image36.emf"/><Relationship Id="rId7" Type="http://schemas.openxmlformats.org/officeDocument/2006/relationships/package" Target="embeddings/Microsoft_PowerPoint_Slide1.sldx"/><Relationship Id="rId71" Type="http://schemas.openxmlformats.org/officeDocument/2006/relationships/package" Target="embeddings/Microsoft_PowerPoint_Slide33.sldx"/><Relationship Id="rId2" Type="http://schemas.openxmlformats.org/officeDocument/2006/relationships/styles" Target="styles.xml"/><Relationship Id="rId29" Type="http://schemas.openxmlformats.org/officeDocument/2006/relationships/package" Target="embeddings/Microsoft_PowerPoint_Slide12.sldx"/><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package" Target="embeddings/Microsoft_PowerPoint_Slide20.sldx"/><Relationship Id="rId66"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EDB548-79F2-42CB-BE10-6F9D881D040C}"/>
</file>

<file path=customXml/itemProps2.xml><?xml version="1.0" encoding="utf-8"?>
<ds:datastoreItem xmlns:ds="http://schemas.openxmlformats.org/officeDocument/2006/customXml" ds:itemID="{6AAC89F0-CEC8-4B1A-A4FB-41B8CD929656}"/>
</file>

<file path=customXml/itemProps3.xml><?xml version="1.0" encoding="utf-8"?>
<ds:datastoreItem xmlns:ds="http://schemas.openxmlformats.org/officeDocument/2006/customXml" ds:itemID="{45CE4203-1688-4228-8229-7B9494296420}"/>
</file>

<file path=docProps/app.xml><?xml version="1.0" encoding="utf-8"?>
<Properties xmlns="http://schemas.openxmlformats.org/officeDocument/2006/extended-properties" xmlns:vt="http://schemas.openxmlformats.org/officeDocument/2006/docPropsVTypes">
  <Template>BB69A7C5.dotm</Template>
  <TotalTime>3</TotalTime>
  <Pages>36</Pages>
  <Words>3679</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Sebastian Lavers</cp:lastModifiedBy>
  <cp:revision>1</cp:revision>
  <dcterms:created xsi:type="dcterms:W3CDTF">2013-06-28T06:13:00Z</dcterms:created>
  <dcterms:modified xsi:type="dcterms:W3CDTF">2013-06-28T06:16:00Z</dcterms:modified>
</cp:coreProperties>
</file>