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E4" w:rsidRPr="00060CC8" w:rsidRDefault="009429B5" w:rsidP="00060CC8">
      <w:pPr>
        <w:pStyle w:val="Heading1"/>
      </w:pPr>
      <w:r w:rsidRPr="00060CC8">
        <w:t>Slide 1</w:t>
      </w:r>
      <w:r w:rsidR="00060CC8" w:rsidRPr="00060CC8">
        <w:t xml:space="preserve"> –</w:t>
      </w:r>
      <w:r w:rsidR="00060CC8">
        <w:t xml:space="preserve"> Labour market conditions in the Capricornia Employment Service Area</w:t>
      </w:r>
    </w:p>
    <w:p w:rsidR="009429B5" w:rsidRDefault="009429B5" w:rsidP="009429B5">
      <w:pPr>
        <w:spacing w:line="360" w:lineRule="auto"/>
      </w:pPr>
    </w:p>
    <w:p w:rsidR="009429B5" w:rsidRDefault="00060CC8" w:rsidP="008D75AC">
      <w:pPr>
        <w:pStyle w:val="Title"/>
        <w:jc w:val="center"/>
      </w:pPr>
      <w:r>
        <w:object w:dxaOrig="7091" w:dyaOrig="5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Labour market conditions in the&#10;Capricornia &#10;Employment Service Area&#10;19 November 2013&#10;&#10;Presented by:&#10;&#10;Ivan Neville&#10;Branch Manager&#10;Labour Market Research and Analysis Branch&#10;" style="width:265.6pt;height:199.7pt" o:ole="">
            <v:imagedata r:id="rId7" o:title=""/>
            <w10:bordertop type="single" width="4" shadow="t"/>
            <w10:borderleft type="single" width="4" shadow="t"/>
            <w10:borderbottom type="single" width="4" shadow="t"/>
            <w10:borderright type="single" width="4" shadow="t"/>
          </v:shape>
          <o:OLEObject Type="Embed" ProgID="PowerPoint.Slide.12" ShapeID="_x0000_i1055" DrawAspect="Content" ObjectID="_1452425294" r:id="rId8"/>
        </w:object>
      </w:r>
    </w:p>
    <w:p w:rsidR="009429B5" w:rsidRDefault="009429B5" w:rsidP="009429B5">
      <w:pPr>
        <w:spacing w:line="360" w:lineRule="auto"/>
        <w:jc w:val="cente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w:t>
      </w:r>
      <w:r w:rsidR="00060CC8">
        <w:t xml:space="preserve"> – Map of the Capricornia ESA</w:t>
      </w:r>
    </w:p>
    <w:p w:rsidR="009429B5" w:rsidRDefault="009429B5" w:rsidP="009429B5">
      <w:pPr>
        <w:spacing w:line="360" w:lineRule="auto"/>
      </w:pPr>
    </w:p>
    <w:p w:rsidR="009429B5" w:rsidRDefault="008D75AC" w:rsidP="009429B5">
      <w:pPr>
        <w:spacing w:line="360" w:lineRule="auto"/>
        <w:jc w:val="center"/>
      </w:pPr>
      <w:r>
        <w:object w:dxaOrig="7187" w:dyaOrig="5385">
          <v:shape id="_x0000_i1026" type="#_x0000_t75" alt="Map of Capricornia ESA and Mackay-Fitzroy-Central West Labour Force Region (LFR)&#10;The Capricornia ESA is comprised of the following (2006) Statistical Local Areas (SLAs):&#10;• Bauhinia&#10;• Belyando&#10;• Duaringa&#10;• Emerald&#10;• Fitzroy Part A&#10;• Fitzroy Part B&#10;• Livingstone Part A&#10;• Livingstone Part B&#10;• Mount Morgan&#10;• Peak Downs&#10;• Rockhampton&#10;• Woorabinda&#10;For the sake of convenience, Local Government Area (LGA) names will be used throughout.&#10;&#10;Please note that in 2008, due to changes in LGA boundaries, the number of LGAs was reduced to four: Central Highlands, Isaac, Rockhampton and Woorabinda. However, only the Isaac – Belyando SLA within Isaac is within the Capricornia ESA. Both Isaac – Nebo and Isaac – Broadsound SLAs are outside of the ESA.&#10;" style="width:269.65pt;height:201.7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452425295" r:id="rId10"/>
        </w:object>
      </w:r>
    </w:p>
    <w:p w:rsidR="009429B5" w:rsidRDefault="009429B5" w:rsidP="009429B5">
      <w:pPr>
        <w:spacing w:line="360" w:lineRule="auto"/>
        <w:jc w:val="center"/>
      </w:pPr>
    </w:p>
    <w:p w:rsidR="009429B5" w:rsidRPr="00D97BCF" w:rsidRDefault="00DF4CFF" w:rsidP="00DF4CFF">
      <w:pPr>
        <w:pStyle w:val="Heading2"/>
      </w:pPr>
      <w:r>
        <w:t>Notes</w:t>
      </w: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Capricornia ESA is comprised of the following (2006) Statistical Local Areas (SLAs):</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Bauhinia</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Belyando</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Duaringa</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Emerald</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Fitzroy Part A</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Fitzroy Part B</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Livingstone Part A</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Livingstone Part B</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Mount Morgan</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Peak Downs</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Rockhampton</w:t>
      </w:r>
    </w:p>
    <w:p w:rsidR="009429B5" w:rsidRDefault="009429B5" w:rsidP="009429B5">
      <w:pPr>
        <w:numPr>
          <w:ilvl w:val="0"/>
          <w:numId w:val="1"/>
        </w:numPr>
        <w:autoSpaceDE w:val="0"/>
        <w:autoSpaceDN w:val="0"/>
        <w:adjustRightInd w:val="0"/>
        <w:spacing w:after="0" w:line="240" w:lineRule="auto"/>
        <w:ind w:left="270" w:hanging="270"/>
        <w:rPr>
          <w:rFonts w:ascii="Calibri" w:hAnsi="Calibri" w:cs="Calibri"/>
          <w:kern w:val="24"/>
          <w:sz w:val="24"/>
          <w:szCs w:val="24"/>
        </w:rPr>
      </w:pPr>
      <w:r>
        <w:rPr>
          <w:rFonts w:ascii="Calibri" w:hAnsi="Calibri" w:cs="Calibri"/>
          <w:kern w:val="24"/>
          <w:sz w:val="24"/>
          <w:szCs w:val="24"/>
        </w:rPr>
        <w:t>Woorabinda</w:t>
      </w: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For the sake of convenience, Local Government Area (LGA) names will be used throughout.</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Please note that in 2008, due to changes in LGA boundaries, the number of LGAs was reduced to four: Central Highlands, Isaac, Rockhampton and Woorabinda. However, only the Isaac – Belyando SLA within Isaac is within the Capricornia ESA. Both Isaac – Nebo and Isaac – </w:t>
      </w:r>
      <w:proofErr w:type="spellStart"/>
      <w:r>
        <w:rPr>
          <w:rFonts w:ascii="Calibri" w:hAnsi="Calibri" w:cs="Calibri"/>
          <w:kern w:val="24"/>
          <w:sz w:val="24"/>
          <w:szCs w:val="24"/>
        </w:rPr>
        <w:t>Broadsound</w:t>
      </w:r>
      <w:proofErr w:type="spellEnd"/>
      <w:r>
        <w:rPr>
          <w:rFonts w:ascii="Calibri" w:hAnsi="Calibri" w:cs="Calibri"/>
          <w:kern w:val="24"/>
          <w:sz w:val="24"/>
          <w:szCs w:val="24"/>
        </w:rPr>
        <w:t xml:space="preserve"> SLAs are outside of the ESA.</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3</w:t>
      </w:r>
      <w:r w:rsidR="00060CC8">
        <w:t xml:space="preserve"> – Profile of the Capricornia ESA</w:t>
      </w:r>
    </w:p>
    <w:p w:rsidR="009429B5" w:rsidRDefault="009429B5" w:rsidP="009429B5">
      <w:pPr>
        <w:spacing w:line="360" w:lineRule="auto"/>
      </w:pPr>
    </w:p>
    <w:p w:rsidR="009429B5" w:rsidRDefault="008D75AC" w:rsidP="009429B5">
      <w:pPr>
        <w:spacing w:line="360" w:lineRule="auto"/>
        <w:jc w:val="center"/>
      </w:pPr>
      <w:r>
        <w:object w:dxaOrig="7187" w:dyaOrig="5385">
          <v:shape id="_x0000_i1027" type="#_x0000_t75" alt="This slide illustrates that Capricornia ESA has seen modest adult population growth, of 6 per cent, over the five years to 2011.&#10;&#10;Across the ESA, median ages vary considerably, from 22 in Woorabinda to 45 in Mount Morgan.&#10;" style="width:269.65pt;height:201.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452425296" r:id="rId12"/>
        </w:object>
      </w:r>
    </w:p>
    <w:p w:rsidR="009429B5" w:rsidRDefault="009429B5" w:rsidP="009429B5">
      <w:pPr>
        <w:spacing w:line="360" w:lineRule="auto"/>
        <w:jc w:val="center"/>
      </w:pPr>
    </w:p>
    <w:p w:rsidR="009429B5" w:rsidRPr="00CF70BA" w:rsidRDefault="00DF4CFF" w:rsidP="00DF4CFF">
      <w:pPr>
        <w:pStyle w:val="Heading2"/>
      </w:pPr>
      <w:r>
        <w:t>Notes</w:t>
      </w:r>
    </w:p>
    <w:p w:rsidR="009429B5" w:rsidRDefault="009429B5" w:rsidP="005B0AAA">
      <w:pPr>
        <w:pStyle w:val="Sourceinformation"/>
      </w:pPr>
      <w:r>
        <w:t xml:space="preserve">Source: </w:t>
      </w:r>
      <w:r w:rsidRPr="005B0AAA">
        <w:rPr>
          <w:i w:val="0"/>
        </w:rPr>
        <w:t>ABS</w:t>
      </w:r>
      <w:r>
        <w:t xml:space="preserve">, Population Estimates by Age and Sex, Regions of Australia, </w:t>
      </w:r>
      <w:r w:rsidRPr="005B0AAA">
        <w:rPr>
          <w:i w:val="0"/>
        </w:rPr>
        <w:t>2011</w:t>
      </w:r>
      <w:r>
        <w:t xml:space="preserve">; </w:t>
      </w:r>
      <w:r w:rsidRPr="005B0AAA">
        <w:rPr>
          <w:i w:val="0"/>
        </w:rPr>
        <w:t>ABS</w:t>
      </w:r>
      <w:r>
        <w:t xml:space="preserve">, Census of Population and Housing, </w:t>
      </w:r>
      <w:r w:rsidRPr="005B0AAA">
        <w:rPr>
          <w:i w:val="0"/>
        </w:rPr>
        <w:t>2011</w:t>
      </w:r>
      <w:r>
        <w:t xml:space="preserve">. </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Capricornia ESA has seen modest adult population growth, of 6 per cent, over the five years to 2011.</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Across the ESA, median ages vary considerably, from 22 in Woorabinda to 45 in Mount Morgan.</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4</w:t>
      </w:r>
      <w:r w:rsidR="00060CC8">
        <w:t xml:space="preserve"> – Employment by industry</w:t>
      </w:r>
    </w:p>
    <w:p w:rsidR="009429B5" w:rsidRDefault="009429B5" w:rsidP="009429B5">
      <w:pPr>
        <w:spacing w:line="360" w:lineRule="auto"/>
      </w:pPr>
    </w:p>
    <w:p w:rsidR="009429B5" w:rsidRDefault="008D75AC" w:rsidP="009429B5">
      <w:pPr>
        <w:spacing w:line="360" w:lineRule="auto"/>
        <w:jc w:val="center"/>
      </w:pPr>
      <w:r>
        <w:object w:dxaOrig="7187" w:dyaOrig="5385">
          <v:shape id="_x0000_i1028" type="#_x0000_t75" alt="This slide highlights that at the time of the 2011 Census, Mining and Health Care and Social Assistance were the largest employing industries in the Capricornia ESA." style="width:269.65pt;height:201.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8" DrawAspect="Content" ObjectID="_1452425297" r:id="rId14"/>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2011</w:t>
      </w:r>
      <w:r>
        <w:t>.</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At the time of the 2011 Census, Mining and Health Care and Social Assistance were the largest employing industries in the Capricornia ESA.</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5</w:t>
      </w:r>
      <w:r w:rsidR="000060BB">
        <w:t xml:space="preserve"> - Employment growth, 2006-11</w:t>
      </w:r>
    </w:p>
    <w:p w:rsidR="009429B5" w:rsidRDefault="009429B5" w:rsidP="009429B5">
      <w:pPr>
        <w:spacing w:line="360" w:lineRule="auto"/>
      </w:pPr>
    </w:p>
    <w:p w:rsidR="009429B5" w:rsidRDefault="008D75AC" w:rsidP="009429B5">
      <w:pPr>
        <w:spacing w:line="360" w:lineRule="auto"/>
        <w:jc w:val="center"/>
      </w:pPr>
      <w:r>
        <w:object w:dxaOrig="7187" w:dyaOrig="5385">
          <v:shape id="_x0000_i1029" type="#_x0000_t75" alt="This slide shows that the Mining industry has seen the strongest employment growth over the five years to 2011." style="width:269.65pt;height:201.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9" DrawAspect="Content" ObjectID="_1452425298" r:id="rId16"/>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2006 and 2011</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Mining industry has seen the strongest employment growth over the five years to 2011.</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6</w:t>
      </w:r>
      <w:r w:rsidR="000060BB">
        <w:t xml:space="preserve"> – Unemployment rate</w:t>
      </w:r>
    </w:p>
    <w:p w:rsidR="009429B5" w:rsidRDefault="009429B5" w:rsidP="009429B5">
      <w:pPr>
        <w:spacing w:line="360" w:lineRule="auto"/>
      </w:pPr>
    </w:p>
    <w:p w:rsidR="009429B5" w:rsidRDefault="008D75AC" w:rsidP="009429B5">
      <w:pPr>
        <w:spacing w:line="360" w:lineRule="auto"/>
        <w:jc w:val="center"/>
      </w:pPr>
      <w:r>
        <w:object w:dxaOrig="7187" w:dyaOrig="5385">
          <v:shape id="_x0000_i1030" type="#_x0000_t75" alt="This slide shows that there is considerable regional variation in the unemployment rate across Capricornia. The increase in Capricornia’s unemployment rate over the year suggests a softening in labour market conditions." style="width:269.65pt;height:201.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0" DrawAspect="Content" ObjectID="_1452425299" r:id="rId18"/>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Department of Employment</w:t>
      </w:r>
      <w:r>
        <w:t xml:space="preserve">, Small Area Labour Markets, </w:t>
      </w:r>
      <w:r w:rsidRPr="002E0A70">
        <w:rPr>
          <w:i w:val="0"/>
        </w:rPr>
        <w:t>June quarter 2013</w:t>
      </w:r>
      <w:r>
        <w:t>; *</w:t>
      </w:r>
      <w:r w:rsidRPr="002E0A70">
        <w:rPr>
          <w:i w:val="0"/>
        </w:rPr>
        <w:t>ABS</w:t>
      </w:r>
      <w:r>
        <w:t xml:space="preserve">, Labour Force, Australia, </w:t>
      </w:r>
      <w:r w:rsidRPr="002E0A70">
        <w:rPr>
          <w:i w:val="0"/>
        </w:rPr>
        <w:t>October 2013</w:t>
      </w:r>
      <w:r>
        <w:t xml:space="preserve"> </w:t>
      </w:r>
      <w:r w:rsidRPr="002E0A70">
        <w:rPr>
          <w:i w:val="0"/>
        </w:rPr>
        <w:t>(cat. no. 6202.0),</w:t>
      </w:r>
      <w:r>
        <w:t xml:space="preserve"> seasonally adjusted data</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There is considerable regional variation in the unemployment rate across Capricornia. The increase in Capricornia’s unemployment rate over the year suggests a softening in labour market conditions.</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7</w:t>
      </w:r>
      <w:r w:rsidR="000060BB">
        <w:t xml:space="preserve"> – Many families jobless</w:t>
      </w:r>
    </w:p>
    <w:p w:rsidR="009429B5" w:rsidRDefault="009429B5" w:rsidP="009429B5">
      <w:pPr>
        <w:spacing w:line="360" w:lineRule="auto"/>
      </w:pPr>
    </w:p>
    <w:p w:rsidR="009429B5" w:rsidRDefault="008D75AC" w:rsidP="009429B5">
      <w:pPr>
        <w:spacing w:line="360" w:lineRule="auto"/>
        <w:jc w:val="center"/>
      </w:pPr>
      <w:r>
        <w:object w:dxaOrig="7180" w:dyaOrig="5389">
          <v:shape id="_x0000_i1031" type="#_x0000_t75" alt="This slide shows that the incidence of jobless families in the Capricornia ESA compares well with the State and national averages. Some areas, however, have much higher rates of jobless families." style="width:269pt;height:202.4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1" DrawAspect="Content" ObjectID="_1452425300" r:id="rId20"/>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2011</w:t>
      </w:r>
      <w:r>
        <w:t xml:space="preserve"> </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Times New Roman" w:cs="Calibri"/>
          <w:kern w:val="24"/>
          <w:sz w:val="24"/>
          <w:szCs w:val="24"/>
        </w:rPr>
        <w:t>The incidence of jobless families in the Capricornia ESA compares well with the State and national averages. Some areas, however, have much higher rates of jobless families.</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8</w:t>
      </w:r>
      <w:r w:rsidR="000060BB">
        <w:t xml:space="preserve"> – Income support</w:t>
      </w:r>
    </w:p>
    <w:p w:rsidR="009429B5" w:rsidRDefault="009429B5" w:rsidP="009429B5">
      <w:pPr>
        <w:spacing w:line="360" w:lineRule="auto"/>
      </w:pPr>
    </w:p>
    <w:p w:rsidR="009429B5" w:rsidRDefault="008D75AC" w:rsidP="009429B5">
      <w:pPr>
        <w:spacing w:line="360" w:lineRule="auto"/>
        <w:jc w:val="center"/>
      </w:pPr>
      <w:r>
        <w:object w:dxaOrig="7187" w:dyaOrig="5385">
          <v:shape id="_x0000_i1032" type="#_x0000_t75" alt="This slide shows that the Capricornia ESA had a smaller proportion of the working age population (WAP) who were in receipt of an income support payment (15 per cent) than the State and national averages (of 17 per cent).&#10;&#10;However, some areas had higher rates of income support, such as Rockhampton and Mount Morgan.&#10;" style="width:269.65pt;height:201.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2" DrawAspect="Content" ObjectID="_1452425301" r:id="rId22"/>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Department of Employment</w:t>
      </w:r>
      <w:r>
        <w:t xml:space="preserve">, Administrative Data, </w:t>
      </w:r>
      <w:r w:rsidRPr="002E0A70">
        <w:rPr>
          <w:i w:val="0"/>
        </w:rPr>
        <w:t>September quarter 20</w:t>
      </w:r>
      <w:r>
        <w:t xml:space="preserve">13; </w:t>
      </w:r>
      <w:r w:rsidRPr="002E0A70">
        <w:rPr>
          <w:i w:val="0"/>
        </w:rPr>
        <w:t>ABS</w:t>
      </w:r>
      <w:r>
        <w:t xml:space="preserve">, Population Estimates by Age and Sex, Regions of Australia, </w:t>
      </w:r>
      <w:r w:rsidRPr="002E0A70">
        <w:rPr>
          <w:i w:val="0"/>
        </w:rPr>
        <w:t>2011</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The Capricornia ESA had a smaller proportion of the working age population (WAP) who were in receipt of an income support payment (15 per cent) than the State and national averages (of 17 per cent).</w:t>
      </w: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However, some areas had higher rates of income support, such as Rockhampton and Mount Morgan.</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9</w:t>
      </w:r>
      <w:r w:rsidR="000060BB">
        <w:t xml:space="preserve"> – Teenage full-time unemployment</w:t>
      </w:r>
    </w:p>
    <w:p w:rsidR="009429B5" w:rsidRDefault="009429B5" w:rsidP="009429B5">
      <w:pPr>
        <w:spacing w:line="360" w:lineRule="auto"/>
      </w:pPr>
    </w:p>
    <w:p w:rsidR="009429B5" w:rsidRDefault="008D75AC" w:rsidP="009429B5">
      <w:pPr>
        <w:spacing w:line="360" w:lineRule="auto"/>
        <w:jc w:val="center"/>
      </w:pPr>
      <w:r>
        <w:object w:dxaOrig="7187" w:dyaOrig="5385">
          <v:shape id="_x0000_i1033" type="#_x0000_t75" alt="This slide shows that while the teenage full-time unemployment rate was lower in the Mackay-Fitzroy-Central West LFR (which includes the Capricornia ESA) than the State and national averages, the teenage full-time unemployment to population ratio was considerably higher." style="width:269.65pt;height:201.7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3" DrawAspect="Content" ObjectID="_1452425302" r:id="rId24"/>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Labour Force, Australia, Detailed – Electronic Delivery, </w:t>
      </w:r>
      <w:r w:rsidRPr="002E0A70">
        <w:rPr>
          <w:i w:val="0"/>
        </w:rPr>
        <w:t>October 2013</w:t>
      </w:r>
      <w:r>
        <w:t xml:space="preserve"> </w:t>
      </w:r>
      <w:r w:rsidRPr="002E0A70">
        <w:rPr>
          <w:i w:val="0"/>
        </w:rPr>
        <w:t>(cat. no. 6291.0.55.001)</w:t>
      </w:r>
      <w:r>
        <w:t xml:space="preserve">, </w:t>
      </w:r>
      <w:r w:rsidRPr="002E0A70">
        <w:rPr>
          <w:i w:val="0"/>
        </w:rPr>
        <w:t>12-month averages of</w:t>
      </w:r>
      <w:r>
        <w:t xml:space="preserve"> original </w:t>
      </w:r>
      <w:r w:rsidRPr="002E0A70">
        <w:rPr>
          <w:i w:val="0"/>
        </w:rPr>
        <w:t>data</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 xml:space="preserve">While the teenage full-time unemployment rate was lower in the Mackay-Fitzroy-Central West LFR (which includes the Capricornia ESA) than the State and </w:t>
      </w:r>
      <w:proofErr w:type="gramStart"/>
      <w:r>
        <w:rPr>
          <w:rFonts w:ascii="Calibri" w:hAnsi="Times New Roman" w:cs="Calibri"/>
          <w:kern w:val="24"/>
          <w:sz w:val="24"/>
          <w:szCs w:val="24"/>
        </w:rPr>
        <w:t>national averages, the teenage full-time unemployment to population ratio was</w:t>
      </w:r>
      <w:proofErr w:type="gramEnd"/>
      <w:r>
        <w:rPr>
          <w:rFonts w:ascii="Calibri" w:hAnsi="Times New Roman" w:cs="Calibri"/>
          <w:kern w:val="24"/>
          <w:sz w:val="24"/>
          <w:szCs w:val="24"/>
        </w:rPr>
        <w:t xml:space="preserve"> considerably higher.</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Pr="00060CC8" w:rsidRDefault="009429B5" w:rsidP="00060CC8">
      <w:pPr>
        <w:pStyle w:val="Heading1"/>
      </w:pPr>
      <w:r w:rsidRPr="00060CC8">
        <w:lastRenderedPageBreak/>
        <w:t>Slide 10</w:t>
      </w:r>
      <w:r w:rsidR="000060BB">
        <w:t xml:space="preserve"> – Many young people disengaged</w:t>
      </w:r>
    </w:p>
    <w:p w:rsidR="009429B5" w:rsidRDefault="009429B5" w:rsidP="009429B5">
      <w:pPr>
        <w:spacing w:line="360" w:lineRule="auto"/>
      </w:pPr>
    </w:p>
    <w:p w:rsidR="009429B5" w:rsidRDefault="008D75AC" w:rsidP="009429B5">
      <w:pPr>
        <w:spacing w:line="360" w:lineRule="auto"/>
        <w:jc w:val="center"/>
      </w:pPr>
      <w:r>
        <w:object w:dxaOrig="7187" w:dyaOrig="5385">
          <v:shape id="_x0000_i1034" type="#_x0000_t75" alt="This slide shows that the Capricornia ESA had higher rates of disengagement for 20-24 year olds than the Australian average." style="width:269.65pt;height:201.7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4" DrawAspect="Content" ObjectID="_1452425303" r:id="rId26"/>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2011</w:t>
      </w:r>
      <w:r>
        <w:t xml:space="preserve"> </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Capricornia ESA had higher rates of disengagement for 20-24 year olds than the Australian average.</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11</w:t>
      </w:r>
      <w:r w:rsidR="000060BB">
        <w:t xml:space="preserve"> – Lower levels of educational attainment</w:t>
      </w:r>
    </w:p>
    <w:p w:rsidR="009429B5" w:rsidRDefault="009429B5" w:rsidP="009429B5">
      <w:pPr>
        <w:spacing w:line="360" w:lineRule="auto"/>
      </w:pPr>
    </w:p>
    <w:p w:rsidR="009429B5" w:rsidRDefault="008818B0" w:rsidP="009429B5">
      <w:pPr>
        <w:spacing w:line="360" w:lineRule="auto"/>
        <w:jc w:val="center"/>
      </w:pPr>
      <w:r>
        <w:object w:dxaOrig="7057" w:dyaOrig="5296">
          <v:shape id="_x0000_i1063" type="#_x0000_t75" alt="This slide shows that year 12 attainment was slightly lower in the Capricornia ESA compared with the averages for Queensland and Australia. " style="width:264.9pt;height:198.35pt" o:ole="">
            <v:imagedata r:id="rId27" o:title=""/>
            <w10:bordertop type="single" width="4" shadow="t"/>
            <w10:borderleft type="single" width="4" shadow="t"/>
            <w10:borderbottom type="single" width="4" shadow="t"/>
            <w10:borderright type="single" width="4" shadow="t"/>
          </v:shape>
          <o:OLEObject Type="Embed" ProgID="PowerPoint.Slide.12" ShapeID="_x0000_i1063" DrawAspect="Content" ObjectID="_1452425304" r:id="rId28"/>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2011</w:t>
      </w:r>
      <w:r>
        <w:t xml:space="preserve"> </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Year 12 attainment was slightly lower in the Capricornia ESA compared with the averages for Queensland and Australia. </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12</w:t>
      </w:r>
      <w:r w:rsidR="000060BB">
        <w:t xml:space="preserve"> – Education and labour market outcomes</w:t>
      </w:r>
    </w:p>
    <w:p w:rsidR="009429B5" w:rsidRDefault="009429B5" w:rsidP="009429B5">
      <w:pPr>
        <w:spacing w:line="360" w:lineRule="auto"/>
      </w:pPr>
    </w:p>
    <w:p w:rsidR="009429B5" w:rsidRDefault="008D75AC" w:rsidP="009429B5">
      <w:pPr>
        <w:spacing w:line="360" w:lineRule="auto"/>
        <w:jc w:val="center"/>
      </w:pPr>
      <w:r>
        <w:object w:dxaOrig="7187" w:dyaOrig="5385">
          <v:shape id="_x0000_i1036" type="#_x0000_t75" alt="This slide shows that there is a strong relationship between educational attainment and labour market outcomes. People with higher levels of education are more likely to participate in the workforce, and less likely to be unemployed." style="width:269.65pt;height:201.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6" DrawAspect="Content" ObjectID="_1452425305" r:id="rId30"/>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 xml:space="preserve">2011 </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There is a strong relationship between educational attainment and labour market outcomes. People with higher levels of education are more likely to participate in the workforce, and less likely to be unemployed.</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13</w:t>
      </w:r>
      <w:r w:rsidR="000060BB">
        <w:t xml:space="preserve"> – Indigenous labour market outcomes</w:t>
      </w:r>
    </w:p>
    <w:p w:rsidR="009429B5" w:rsidRDefault="009429B5" w:rsidP="009429B5">
      <w:pPr>
        <w:spacing w:line="360" w:lineRule="auto"/>
      </w:pPr>
    </w:p>
    <w:p w:rsidR="009429B5" w:rsidRDefault="008D75AC" w:rsidP="009429B5">
      <w:pPr>
        <w:spacing w:line="360" w:lineRule="auto"/>
        <w:jc w:val="center"/>
      </w:pPr>
      <w:r>
        <w:object w:dxaOrig="7187" w:dyaOrig="5385">
          <v:shape id="_x0000_i1037" type="#_x0000_t75" alt="This slide demonstrates the disparity in labour market outcomes for Indigenous and Non-Indigenous Australians. " style="width:269.65pt;height:201.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7" DrawAspect="Content" ObjectID="_1452425306" r:id="rId32"/>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5B0AAA">
      <w:pPr>
        <w:pStyle w:val="Sourceinformation"/>
      </w:pPr>
      <w:r>
        <w:t xml:space="preserve">Source: </w:t>
      </w:r>
      <w:r w:rsidRPr="002E0A70">
        <w:rPr>
          <w:i w:val="0"/>
        </w:rPr>
        <w:t>ABS</w:t>
      </w:r>
      <w:r>
        <w:t xml:space="preserve">, Census of Population and Housing, </w:t>
      </w:r>
      <w:r w:rsidRPr="002E0A70">
        <w:rPr>
          <w:i w:val="0"/>
        </w:rPr>
        <w:t>2011</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kern w:val="24"/>
          <w:sz w:val="24"/>
          <w:szCs w:val="24"/>
        </w:rPr>
        <w:t>This slide demonstrates the disparity in labour market outcomes for Indigenous and Non-Indigenous Australians.</w:t>
      </w:r>
      <w:r>
        <w:rPr>
          <w:rFonts w:ascii="Calibri" w:hAnsi="Times New Roman" w:cs="Calibri"/>
          <w:i/>
          <w:iCs/>
          <w:kern w:val="24"/>
          <w:sz w:val="24"/>
          <w:szCs w:val="24"/>
        </w:rPr>
        <w:t xml:space="preserve"> </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14</w:t>
      </w:r>
      <w:r w:rsidR="000060BB">
        <w:t xml:space="preserve"> – Improving </w:t>
      </w:r>
      <w:r w:rsidR="00F545B4">
        <w:t>Indigenous employment outcomes</w:t>
      </w:r>
    </w:p>
    <w:p w:rsidR="009429B5" w:rsidRDefault="009429B5" w:rsidP="009429B5">
      <w:pPr>
        <w:spacing w:line="360" w:lineRule="auto"/>
      </w:pPr>
    </w:p>
    <w:p w:rsidR="009429B5" w:rsidRDefault="00A24F1A" w:rsidP="009429B5">
      <w:pPr>
        <w:spacing w:line="360" w:lineRule="auto"/>
        <w:jc w:val="center"/>
      </w:pPr>
      <w:r>
        <w:object w:dxaOrig="7187" w:dyaOrig="5385">
          <v:shape id="_x0000_i1038" type="#_x0000_t75" alt="Employers provided areas that could improve the employment prospects of Indigenous job seekers. The most important is that they need further developed skills." style="width:269.65pt;height:201.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8" DrawAspect="Content" ObjectID="_1452425307" r:id="rId34"/>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Employers provided areas that could improve the employment prospects of Indigenous job seekers.</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15</w:t>
      </w:r>
      <w:r w:rsidR="000060BB">
        <w:t xml:space="preserve"> – Improving Indigenous employment outcomes, continued</w:t>
      </w:r>
    </w:p>
    <w:p w:rsidR="009429B5" w:rsidRDefault="009429B5" w:rsidP="009429B5">
      <w:pPr>
        <w:spacing w:line="360" w:lineRule="auto"/>
      </w:pPr>
    </w:p>
    <w:p w:rsidR="009429B5" w:rsidRDefault="008818B0" w:rsidP="009429B5">
      <w:pPr>
        <w:spacing w:line="360" w:lineRule="auto"/>
        <w:jc w:val="center"/>
      </w:pPr>
      <w:r>
        <w:object w:dxaOrig="7057" w:dyaOrig="5296">
          <v:shape id="_x0000_i1066" type="#_x0000_t75" alt="Employers provided areas that could improve the employment prospects of Indigenous job seekers. The most important is to provide employment assistance." style="width:264.9pt;height:198.35pt" o:ole="">
            <v:imagedata r:id="rId35" o:title=""/>
            <w10:bordertop type="single" width="4" shadow="t"/>
            <w10:borderleft type="single" width="4" shadow="t"/>
            <w10:borderbottom type="single" width="4" shadow="t"/>
            <w10:borderright type="single" width="4" shadow="t"/>
          </v:shape>
          <o:OLEObject Type="Embed" ProgID="PowerPoint.Slide.12" ShapeID="_x0000_i1066" DrawAspect="Content" ObjectID="_1452425308" r:id="rId36"/>
        </w:object>
      </w:r>
      <w:bookmarkStart w:id="0" w:name="_GoBack"/>
      <w:bookmarkEnd w:id="0"/>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Employers provided areas that could improve the employment prospects of Indigenous job seekers.</w:t>
      </w: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16</w:t>
      </w:r>
      <w:r w:rsidR="000060BB">
        <w:t xml:space="preserve"> – Improving Indigenous employment outcomes, continued</w:t>
      </w:r>
    </w:p>
    <w:p w:rsidR="009429B5" w:rsidRDefault="009429B5" w:rsidP="000060BB">
      <w:pPr>
        <w:spacing w:line="360" w:lineRule="auto"/>
      </w:pPr>
    </w:p>
    <w:p w:rsidR="009429B5" w:rsidRDefault="00A24F1A" w:rsidP="009429B5">
      <w:pPr>
        <w:spacing w:line="360" w:lineRule="auto"/>
        <w:jc w:val="center"/>
      </w:pPr>
      <w:r>
        <w:object w:dxaOrig="7187" w:dyaOrig="5385">
          <v:shape id="_x0000_i1040" type="#_x0000_t75" alt="Quotes from employers:&#10;&#10;“Open communication between local businesses and Indigenous groups with regards to staffing…”&#10;&#10;“More exposure for everyone about the difference in cultures&quot;&#10;&#10;“Job ready. They really need to be job ready and upskilled in literacy and numeracy”&#10;&#10;“Just give them a chance”&#10;&#10;“Greater access to training in regional areas for various industries”&#10;" style="width:269.65pt;height:201.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0" DrawAspect="Content" ObjectID="_1452425309" r:id="rId38"/>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Calibri" w:cs="Calibri"/>
          <w:b/>
          <w:bCs/>
          <w:kern w:val="24"/>
          <w:sz w:val="24"/>
          <w:szCs w:val="24"/>
          <w:u w:val="single"/>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Employers provided areas that could improve the employment prospects of Indigenous job seekers.</w:t>
      </w:r>
    </w:p>
    <w:p w:rsidR="009429B5" w:rsidRDefault="009429B5" w:rsidP="009429B5">
      <w:pPr>
        <w:autoSpaceDE w:val="0"/>
        <w:autoSpaceDN w:val="0"/>
        <w:adjustRightInd w:val="0"/>
        <w:spacing w:after="0" w:line="240" w:lineRule="auto"/>
        <w:rPr>
          <w:rFonts w:ascii="Calibri" w:hAnsi="Calibri" w:cs="Calibri"/>
          <w:b/>
          <w:bCs/>
          <w:kern w:val="24"/>
          <w:sz w:val="24"/>
          <w:szCs w:val="24"/>
          <w:u w:val="single"/>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17</w:t>
      </w:r>
      <w:r w:rsidR="000060BB">
        <w:t xml:space="preserve"> – Staff change in the year prior to the survey</w:t>
      </w:r>
    </w:p>
    <w:p w:rsidR="009429B5" w:rsidRDefault="009429B5" w:rsidP="009429B5">
      <w:pPr>
        <w:spacing w:line="360" w:lineRule="auto"/>
      </w:pPr>
    </w:p>
    <w:p w:rsidR="009429B5" w:rsidRDefault="00A24F1A" w:rsidP="009429B5">
      <w:pPr>
        <w:spacing w:line="360" w:lineRule="auto"/>
        <w:jc w:val="center"/>
      </w:pPr>
      <w:r>
        <w:object w:dxaOrig="7187" w:dyaOrig="5385">
          <v:shape id="_x0000_i1041" type="#_x0000_t75" alt="The 2013 survey results indicated that a larger proportion of employers had decreased staff numbers, especially due to economic reasons, compared with the 2012 survey." style="width:269.65pt;height:201.7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1" DrawAspect="Content" ObjectID="_1452425310" r:id="rId40"/>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 and February 2012</w:t>
      </w: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Times New Roman" w:cs="Calibri"/>
          <w:kern w:val="24"/>
          <w:sz w:val="24"/>
          <w:szCs w:val="24"/>
        </w:rPr>
        <w:t>The 2013 survey results indicated that a larger proportion of employers had decreased staff numbers, especially due to economic reasons, compared with the 2012 survey.</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18</w:t>
      </w:r>
      <w:r w:rsidR="000060BB">
        <w:t xml:space="preserve"> – Recruitment activity softer</w:t>
      </w:r>
    </w:p>
    <w:p w:rsidR="009429B5" w:rsidRDefault="009429B5" w:rsidP="009429B5">
      <w:pPr>
        <w:spacing w:line="360" w:lineRule="auto"/>
      </w:pPr>
    </w:p>
    <w:p w:rsidR="009429B5" w:rsidRDefault="00A24F1A" w:rsidP="009429B5">
      <w:pPr>
        <w:spacing w:line="360" w:lineRule="auto"/>
        <w:jc w:val="center"/>
      </w:pPr>
      <w:r>
        <w:object w:dxaOrig="7187" w:dyaOrig="5385">
          <v:shape id="_x0000_i1042" type="#_x0000_t75" alt="Overall, the survey results suggest that recruitment activity has softened in the Capricornia ESA, compared with the 2012 survey. " style="width:269.65pt;height:201.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2" DrawAspect="Content" ObjectID="_1452425311" r:id="rId42"/>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 and February 2012</w:t>
      </w: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r>
        <w:rPr>
          <w:rFonts w:ascii="Calibri" w:hAnsi="Times New Roman" w:cs="Calibri"/>
          <w:kern w:val="24"/>
          <w:sz w:val="24"/>
          <w:szCs w:val="24"/>
        </w:rPr>
        <w:t>Overall, the survey results suggest that recruitment activity has softened in the Capricornia ESA, compared with the 2012 survey.</w:t>
      </w:r>
      <w:r>
        <w:rPr>
          <w:rFonts w:ascii="Calibri" w:hAnsi="Times New Roman" w:cs="Calibri"/>
          <w:i/>
          <w:iCs/>
          <w:kern w:val="24"/>
          <w:sz w:val="24"/>
          <w:szCs w:val="24"/>
        </w:rPr>
        <w:t xml:space="preserve"> </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19</w:t>
      </w:r>
      <w:r w:rsidR="000060BB">
        <w:t xml:space="preserve"> – But recruitment difficulty persists</w:t>
      </w:r>
    </w:p>
    <w:p w:rsidR="009429B5" w:rsidRDefault="009429B5" w:rsidP="009429B5">
      <w:pPr>
        <w:spacing w:line="360" w:lineRule="auto"/>
      </w:pPr>
    </w:p>
    <w:p w:rsidR="009429B5" w:rsidRDefault="00A24F1A" w:rsidP="009429B5">
      <w:pPr>
        <w:spacing w:line="360" w:lineRule="auto"/>
        <w:jc w:val="center"/>
      </w:pPr>
      <w:r>
        <w:object w:dxaOrig="7187" w:dyaOrig="5385">
          <v:shape id="_x0000_i1043" type="#_x0000_t75" alt="Despite the softer recruitment conditions, employers still experienced some difficulty recruiting: Managers and professionals 68%, Technicians and trades workers 51%, Machinery operators and drivers 20%." style="width:269.65pt;height:201.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3" DrawAspect="Content" ObjectID="_1452425312" r:id="rId44"/>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 most recent recruitment round</w:t>
      </w:r>
    </w:p>
    <w:p w:rsidR="009429B5" w:rsidRDefault="009429B5" w:rsidP="009429B5">
      <w:pPr>
        <w:autoSpaceDE w:val="0"/>
        <w:autoSpaceDN w:val="0"/>
        <w:adjustRightInd w:val="0"/>
        <w:spacing w:after="0" w:line="240" w:lineRule="auto"/>
        <w:rPr>
          <w:rFonts w:ascii="Calibri" w:hAnsi="Times New Roman" w:cs="Calibri"/>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Despite the softer recruitment conditions, employers still experienced some difficulty recruiting.</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20</w:t>
      </w:r>
      <w:r w:rsidR="000060BB">
        <w:t xml:space="preserve"> – Opportunities still exist</w:t>
      </w:r>
    </w:p>
    <w:p w:rsidR="009429B5" w:rsidRDefault="009429B5" w:rsidP="009429B5">
      <w:pPr>
        <w:spacing w:line="360" w:lineRule="auto"/>
      </w:pPr>
    </w:p>
    <w:p w:rsidR="009429B5" w:rsidRDefault="00A24F1A" w:rsidP="009429B5">
      <w:pPr>
        <w:spacing w:line="360" w:lineRule="auto"/>
        <w:jc w:val="center"/>
      </w:pPr>
      <w:r>
        <w:object w:dxaOrig="7187" w:dyaOrig="5385">
          <v:shape id="_x0000_i1044" type="#_x0000_t75" alt="A number of job opportunities might exist in occupations that employers noted as being difficult to fill:&#10;&#10;Sales Assistants (General)&#10;Chefs&#10;Early Childhood (Pre-primary School) Teachers&#10;Bar Attendants and Baristas&#10;Child Carers&#10;Real Estate Sales Agents&#10;Registered Nurses&#10;Motor Mechanics&#10;Cooks&#10;Accountants&#10;" style="width:269.65pt;height:201.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4" DrawAspect="Content" ObjectID="_1452425313" r:id="rId46"/>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A number of job opportunities might exist in occupations that employers noted as being difficult to fill.</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21</w:t>
      </w:r>
      <w:r w:rsidR="000060BB">
        <w:t xml:space="preserve"> – Making the interview is the tough part</w:t>
      </w:r>
    </w:p>
    <w:p w:rsidR="009429B5" w:rsidRDefault="009429B5" w:rsidP="009429B5">
      <w:pPr>
        <w:spacing w:line="360" w:lineRule="auto"/>
      </w:pPr>
    </w:p>
    <w:p w:rsidR="009429B5" w:rsidRDefault="00A24F1A" w:rsidP="009429B5">
      <w:pPr>
        <w:spacing w:line="360" w:lineRule="auto"/>
        <w:jc w:val="center"/>
      </w:pPr>
      <w:r>
        <w:object w:dxaOrig="7187" w:dyaOrig="5385">
          <v:shape id="_x0000_i1045" type="#_x0000_t75" alt="A majority of applicants did not make it to the interview stage. Applicants who were interviewed, however, had about a 50 per cent chance of being rated suitable." style="width:269.65pt;height:201.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5" DrawAspect="Content" ObjectID="_1452425314" r:id="rId48"/>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A majority of applicants did not make it to the interview stage. Applicants who were interviewed, however, had about a 50 per cent chance of being rated suitable.</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22</w:t>
      </w:r>
      <w:r w:rsidR="000060BB">
        <w:t xml:space="preserve"> – What is essential in an applicant</w:t>
      </w:r>
    </w:p>
    <w:p w:rsidR="009429B5" w:rsidRDefault="009429B5" w:rsidP="009429B5">
      <w:pPr>
        <w:spacing w:line="360" w:lineRule="auto"/>
      </w:pPr>
    </w:p>
    <w:p w:rsidR="009429B5" w:rsidRDefault="00A24F1A" w:rsidP="009429B5">
      <w:pPr>
        <w:spacing w:line="360" w:lineRule="auto"/>
        <w:jc w:val="center"/>
      </w:pPr>
      <w:r>
        <w:object w:dxaOrig="7187" w:dyaOrig="5385">
          <v:shape id="_x0000_i1046" type="#_x0000_t75" alt="This slide demonstrates that employability skills, such as friendliness, confidence and reliability, were often considered essential by employers." style="width:269.65pt;height:201.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6" DrawAspect="Content" ObjectID="_1452425315" r:id="rId50"/>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This slide demonstrates that employability skills, such as friendliness, confidence and reliability, were often considered essential by employers.</w:t>
      </w: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Calibri" w:hAnsi="Calibri" w:cs="Calibri"/>
          <w:kern w:val="24"/>
          <w:sz w:val="24"/>
          <w:szCs w:val="24"/>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23</w:t>
      </w:r>
      <w:r w:rsidR="000060BB">
        <w:t xml:space="preserve"> – Informal recruitment popular</w:t>
      </w:r>
    </w:p>
    <w:p w:rsidR="009429B5" w:rsidRDefault="009429B5" w:rsidP="009429B5">
      <w:pPr>
        <w:spacing w:line="360" w:lineRule="auto"/>
      </w:pPr>
    </w:p>
    <w:p w:rsidR="009429B5" w:rsidRDefault="00A24F1A" w:rsidP="009429B5">
      <w:pPr>
        <w:spacing w:line="360" w:lineRule="auto"/>
        <w:jc w:val="center"/>
      </w:pPr>
      <w:r>
        <w:object w:dxaOrig="7187" w:dyaOrig="5385">
          <v:shape id="_x0000_i1047" type="#_x0000_t75" alt="A large proportion of businesses opted to only use informal methods of recruitment, such as word of mouth, to fill their vacancies. Job seekers should therefore use a range of search methods when looking for a job." style="width:269.65pt;height:201.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7" DrawAspect="Content" ObjectID="_1452425316" r:id="rId52"/>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A large proportion of businesses opted to only use informal methods of recruitment, such as word of mouth, to fill their vacancies. Job seekers should therefore use a range of search methods when looking for a job.</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24</w:t>
      </w:r>
      <w:r w:rsidR="000060BB">
        <w:t xml:space="preserve"> – Single greatest future concern</w:t>
      </w:r>
    </w:p>
    <w:p w:rsidR="009429B5" w:rsidRDefault="009429B5" w:rsidP="009429B5">
      <w:pPr>
        <w:spacing w:line="360" w:lineRule="auto"/>
      </w:pPr>
    </w:p>
    <w:p w:rsidR="009429B5" w:rsidRDefault="00A24F1A" w:rsidP="009429B5">
      <w:pPr>
        <w:spacing w:line="360" w:lineRule="auto"/>
        <w:jc w:val="center"/>
      </w:pPr>
      <w:r>
        <w:object w:dxaOrig="7187" w:dyaOrig="5385">
          <v:shape id="_x0000_i1048" type="#_x0000_t75" alt="Employers were most concerned about demand and the state of the economy in the future." style="width:269.65pt;height:201.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8" DrawAspect="Content" ObjectID="_1452425317" r:id="rId54"/>
        </w:object>
      </w:r>
    </w:p>
    <w:p w:rsidR="009429B5" w:rsidRDefault="009429B5" w:rsidP="009429B5">
      <w:pPr>
        <w:spacing w:line="360" w:lineRule="auto"/>
        <w:jc w:val="center"/>
      </w:pPr>
    </w:p>
    <w:p w:rsidR="00DF4CFF" w:rsidRPr="00CF70BA" w:rsidRDefault="00DF4CFF" w:rsidP="00DF4CFF">
      <w:pPr>
        <w:pStyle w:val="Heading2"/>
      </w:pPr>
      <w:r>
        <w:t>Notes</w:t>
      </w:r>
    </w:p>
    <w:p w:rsidR="009429B5" w:rsidRPr="002E0A70" w:rsidRDefault="009429B5" w:rsidP="005B0AAA">
      <w:pPr>
        <w:pStyle w:val="Sourceinformation"/>
        <w:rPr>
          <w:i w:val="0"/>
        </w:rPr>
      </w:pPr>
      <w:r>
        <w:t xml:space="preserve">Source: </w:t>
      </w:r>
      <w:r w:rsidRPr="002E0A70">
        <w:rPr>
          <w:i w:val="0"/>
        </w:rPr>
        <w:t>Department of Employment</w:t>
      </w:r>
      <w:r>
        <w:t xml:space="preserve">, Survey of Employers’ Recruitment Experiences, </w:t>
      </w:r>
      <w:r w:rsidRPr="002E0A70">
        <w:rPr>
          <w:i w:val="0"/>
        </w:rPr>
        <w:t>July 2013</w:t>
      </w:r>
    </w:p>
    <w:p w:rsidR="009429B5" w:rsidRDefault="009429B5" w:rsidP="009429B5">
      <w:pPr>
        <w:autoSpaceDE w:val="0"/>
        <w:autoSpaceDN w:val="0"/>
        <w:adjustRightInd w:val="0"/>
        <w:spacing w:after="0" w:line="240" w:lineRule="auto"/>
        <w:rPr>
          <w:rFonts w:ascii="Calibri" w:hAnsi="Times New Roman" w:cs="Calibri"/>
          <w:i/>
          <w:iCs/>
          <w:kern w:val="24"/>
          <w:sz w:val="24"/>
          <w:szCs w:val="24"/>
        </w:rPr>
      </w:pP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kern w:val="24"/>
          <w:sz w:val="24"/>
          <w:szCs w:val="24"/>
        </w:rPr>
        <w:t>Employers were most concerned about demand and the state of the economy in the future.</w:t>
      </w: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25</w:t>
      </w:r>
      <w:r w:rsidR="000060BB">
        <w:t xml:space="preserve"> - Conclusion</w:t>
      </w:r>
    </w:p>
    <w:p w:rsidR="009429B5" w:rsidRDefault="009429B5" w:rsidP="009429B5">
      <w:pPr>
        <w:spacing w:line="360" w:lineRule="auto"/>
      </w:pPr>
    </w:p>
    <w:p w:rsidR="009429B5" w:rsidRDefault="0024374A" w:rsidP="009429B5">
      <w:pPr>
        <w:spacing w:line="360" w:lineRule="auto"/>
        <w:jc w:val="center"/>
      </w:pPr>
      <w:r>
        <w:object w:dxaOrig="7187" w:dyaOrig="5385">
          <v:shape id="_x0000_i1049" type="#_x0000_t75" alt="Slide text:&#10;&#10;Conclusion&#10;&#10;Labour market conditions have softened since 2012&#10;• Recruitment activity has slowed&#10;• Rising unemployment&#10;Challenges&#10;• Tapering of mining investment and flow-on effects&#10;• Greater competition for vacancies&#10;• Indigenous; jobless families; youth disengagement; lower levels of education&#10;Opportunities&#10;• Recruitment still above average&#10;• Growth industries, such as Health Care and Social Assistance&#10;• Broad range of occupations difficult to fill&#10;• Some vacancies remain unfilled for Technician and Trades Workers occupations&#10;• Many vacancies advertised informally only&#10;Employability skills are essential&#10;Collaboration among key stakeholders&#10;" style="width:269.65pt;height:201.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9" DrawAspect="Content" ObjectID="_1452425318" r:id="rId56"/>
        </w:object>
      </w:r>
    </w:p>
    <w:p w:rsidR="009429B5" w:rsidRDefault="009429B5" w:rsidP="009429B5">
      <w:pPr>
        <w:spacing w:line="360" w:lineRule="auto"/>
        <w:jc w:val="center"/>
      </w:pPr>
    </w:p>
    <w:p w:rsidR="00DF4CFF" w:rsidRPr="00CF70BA" w:rsidRDefault="00DF4CFF" w:rsidP="00DF4CFF">
      <w:pPr>
        <w:pStyle w:val="Heading2"/>
      </w:pPr>
      <w:r>
        <w:t>Notes</w:t>
      </w:r>
    </w:p>
    <w:p w:rsidR="009429B5" w:rsidRDefault="009429B5" w:rsidP="009429B5">
      <w:pPr>
        <w:autoSpaceDE w:val="0"/>
        <w:autoSpaceDN w:val="0"/>
        <w:adjustRightInd w:val="0"/>
        <w:spacing w:after="0" w:line="240" w:lineRule="auto"/>
        <w:rPr>
          <w:rFonts w:ascii="Calibri" w:hAnsi="Calibri" w:cs="Calibri"/>
          <w:b/>
          <w:bCs/>
          <w:kern w:val="24"/>
          <w:sz w:val="24"/>
          <w:szCs w:val="24"/>
          <w:u w:val="single"/>
        </w:rPr>
      </w:pPr>
    </w:p>
    <w:p w:rsidR="009429B5" w:rsidRDefault="009429B5" w:rsidP="009429B5">
      <w:pPr>
        <w:autoSpaceDE w:val="0"/>
        <w:autoSpaceDN w:val="0"/>
        <w:adjustRightInd w:val="0"/>
        <w:spacing w:after="0" w:line="240" w:lineRule="auto"/>
        <w:rPr>
          <w:rFonts w:ascii="Calibri" w:hAnsi="Times New Roman" w:cs="Calibri"/>
          <w:b/>
          <w:bCs/>
          <w:kern w:val="24"/>
          <w:sz w:val="24"/>
          <w:szCs w:val="24"/>
        </w:rPr>
      </w:pPr>
      <w:r>
        <w:rPr>
          <w:rFonts w:ascii="Calibri" w:hAnsi="Times New Roman" w:cs="Calibri"/>
          <w:b/>
          <w:bCs/>
          <w:kern w:val="24"/>
          <w:sz w:val="24"/>
          <w:szCs w:val="24"/>
        </w:rPr>
        <w:t>Labour market conditions have softened since 2012</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Recruitment activity has slowed</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Rising unemployment</w:t>
      </w:r>
    </w:p>
    <w:p w:rsidR="009429B5" w:rsidRDefault="009429B5" w:rsidP="009429B5">
      <w:pPr>
        <w:autoSpaceDE w:val="0"/>
        <w:autoSpaceDN w:val="0"/>
        <w:adjustRightInd w:val="0"/>
        <w:spacing w:after="0" w:line="240" w:lineRule="auto"/>
        <w:rPr>
          <w:rFonts w:ascii="Calibri" w:hAnsi="Times New Roman" w:cs="Calibri"/>
          <w:b/>
          <w:bCs/>
          <w:kern w:val="24"/>
          <w:sz w:val="24"/>
          <w:szCs w:val="24"/>
        </w:rPr>
      </w:pPr>
      <w:r>
        <w:rPr>
          <w:rFonts w:ascii="Calibri" w:hAnsi="Times New Roman" w:cs="Calibri"/>
          <w:b/>
          <w:bCs/>
          <w:kern w:val="24"/>
          <w:sz w:val="24"/>
          <w:szCs w:val="24"/>
        </w:rPr>
        <w:t>Challenges</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Tapering of mining investment and flow-on effects</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Greater competition for vacancies</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Indigenous; jobless families; youth disengagement; lower levels of education</w:t>
      </w:r>
    </w:p>
    <w:p w:rsidR="009429B5" w:rsidRDefault="009429B5" w:rsidP="009429B5">
      <w:pPr>
        <w:autoSpaceDE w:val="0"/>
        <w:autoSpaceDN w:val="0"/>
        <w:adjustRightInd w:val="0"/>
        <w:spacing w:after="0" w:line="240" w:lineRule="auto"/>
        <w:rPr>
          <w:rFonts w:ascii="Calibri" w:hAnsi="Times New Roman" w:cs="Calibri"/>
          <w:b/>
          <w:bCs/>
          <w:kern w:val="24"/>
          <w:sz w:val="24"/>
          <w:szCs w:val="24"/>
        </w:rPr>
      </w:pPr>
      <w:r>
        <w:rPr>
          <w:rFonts w:ascii="Calibri" w:hAnsi="Times New Roman" w:cs="Calibri"/>
          <w:b/>
          <w:bCs/>
          <w:kern w:val="24"/>
          <w:sz w:val="24"/>
          <w:szCs w:val="24"/>
        </w:rPr>
        <w:t>Opportunities</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Recruitment still above average</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Growth industries, such as Health Care and Social Assistance</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Broad range of occupations difficult to fill</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Some vacancies remain unfilled for Technician and Trades Workers occupations</w:t>
      </w:r>
    </w:p>
    <w:p w:rsidR="009429B5" w:rsidRDefault="009429B5" w:rsidP="009429B5">
      <w:pPr>
        <w:numPr>
          <w:ilvl w:val="0"/>
          <w:numId w:val="1"/>
        </w:numPr>
        <w:autoSpaceDE w:val="0"/>
        <w:autoSpaceDN w:val="0"/>
        <w:adjustRightInd w:val="0"/>
        <w:spacing w:after="0" w:line="240" w:lineRule="auto"/>
        <w:ind w:left="1170" w:hanging="450"/>
        <w:rPr>
          <w:rFonts w:ascii="Calibri" w:hAnsi="Times New Roman" w:cs="Calibri"/>
          <w:kern w:val="24"/>
          <w:sz w:val="24"/>
          <w:szCs w:val="24"/>
        </w:rPr>
      </w:pPr>
      <w:r>
        <w:rPr>
          <w:rFonts w:ascii="Calibri" w:hAnsi="Times New Roman" w:cs="Calibri"/>
          <w:kern w:val="24"/>
          <w:sz w:val="24"/>
          <w:szCs w:val="24"/>
        </w:rPr>
        <w:t>Many vacancies advertised informally only</w:t>
      </w:r>
    </w:p>
    <w:p w:rsidR="009429B5" w:rsidRDefault="009429B5" w:rsidP="009429B5">
      <w:pPr>
        <w:autoSpaceDE w:val="0"/>
        <w:autoSpaceDN w:val="0"/>
        <w:adjustRightInd w:val="0"/>
        <w:spacing w:after="0" w:line="240" w:lineRule="auto"/>
        <w:rPr>
          <w:rFonts w:ascii="Calibri" w:hAnsi="Times New Roman" w:cs="Calibri"/>
          <w:b/>
          <w:bCs/>
          <w:kern w:val="24"/>
          <w:sz w:val="24"/>
          <w:szCs w:val="24"/>
        </w:rPr>
      </w:pPr>
      <w:r>
        <w:rPr>
          <w:rFonts w:ascii="Calibri" w:hAnsi="Times New Roman" w:cs="Calibri"/>
          <w:b/>
          <w:bCs/>
          <w:kern w:val="24"/>
          <w:sz w:val="24"/>
          <w:szCs w:val="24"/>
        </w:rPr>
        <w:t>Employability skills are essential</w:t>
      </w:r>
    </w:p>
    <w:p w:rsidR="009429B5" w:rsidRDefault="009429B5" w:rsidP="009429B5">
      <w:pPr>
        <w:autoSpaceDE w:val="0"/>
        <w:autoSpaceDN w:val="0"/>
        <w:adjustRightInd w:val="0"/>
        <w:spacing w:after="0" w:line="240" w:lineRule="auto"/>
        <w:rPr>
          <w:rFonts w:ascii="Calibri" w:hAnsi="Times New Roman" w:cs="Calibri"/>
          <w:kern w:val="24"/>
          <w:sz w:val="24"/>
          <w:szCs w:val="24"/>
        </w:rPr>
      </w:pPr>
      <w:r>
        <w:rPr>
          <w:rFonts w:ascii="Calibri" w:hAnsi="Times New Roman" w:cs="Calibri"/>
          <w:b/>
          <w:bCs/>
          <w:kern w:val="24"/>
          <w:sz w:val="24"/>
          <w:szCs w:val="24"/>
        </w:rPr>
        <w:t>Collaboration among key stakeholders</w:t>
      </w:r>
    </w:p>
    <w:p w:rsidR="009429B5" w:rsidRDefault="009429B5" w:rsidP="009429B5">
      <w:pPr>
        <w:autoSpaceDE w:val="0"/>
        <w:autoSpaceDN w:val="0"/>
        <w:adjustRightInd w:val="0"/>
        <w:spacing w:after="0" w:line="240" w:lineRule="auto"/>
        <w:rPr>
          <w:rFonts w:ascii="Calibri" w:hAnsi="Calibri" w:cs="Calibri"/>
          <w:b/>
          <w:bCs/>
          <w:kern w:val="24"/>
          <w:sz w:val="24"/>
          <w:szCs w:val="24"/>
          <w:u w:val="single"/>
        </w:rPr>
      </w:pPr>
    </w:p>
    <w:p w:rsidR="009429B5" w:rsidRDefault="009429B5" w:rsidP="009429B5">
      <w:pPr>
        <w:autoSpaceDE w:val="0"/>
        <w:autoSpaceDN w:val="0"/>
        <w:adjustRightInd w:val="0"/>
        <w:spacing w:after="0" w:line="240" w:lineRule="auto"/>
        <w:rPr>
          <w:rFonts w:ascii="Arial" w:hAnsi="Arial" w:cs="Arial"/>
          <w:sz w:val="24"/>
          <w:szCs w:val="24"/>
        </w:rPr>
      </w:pPr>
    </w:p>
    <w:p w:rsidR="009429B5" w:rsidRDefault="009429B5" w:rsidP="009429B5">
      <w:pPr>
        <w:spacing w:line="360" w:lineRule="auto"/>
      </w:pPr>
    </w:p>
    <w:p w:rsidR="009429B5" w:rsidRDefault="009429B5">
      <w:r>
        <w:br w:type="page"/>
      </w:r>
    </w:p>
    <w:p w:rsidR="009429B5" w:rsidRDefault="009429B5" w:rsidP="00060CC8">
      <w:pPr>
        <w:pStyle w:val="Heading1"/>
      </w:pPr>
      <w:r>
        <w:lastRenderedPageBreak/>
        <w:t>Slide 26</w:t>
      </w:r>
      <w:r w:rsidR="000060BB">
        <w:t xml:space="preserve"> – Further information</w:t>
      </w:r>
    </w:p>
    <w:p w:rsidR="009429B5" w:rsidRDefault="009429B5" w:rsidP="009429B5">
      <w:pPr>
        <w:spacing w:line="360" w:lineRule="auto"/>
      </w:pPr>
    </w:p>
    <w:p w:rsidR="009429B5" w:rsidRDefault="00BF0B31" w:rsidP="009429B5">
      <w:pPr>
        <w:spacing w:line="360" w:lineRule="auto"/>
        <w:jc w:val="center"/>
      </w:pPr>
      <w:r>
        <w:object w:dxaOrig="7187" w:dyaOrig="5385">
          <v:shape id="_x0000_i1050" type="#_x0000_t75" alt="Slide text: For any questions about this presentation please contact the&#10;Recruitment Analysis Section on 1800 059 439 or email recruitmentsurveys@deewr.gov.au&#10;" style="width:269.65pt;height:201.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50" DrawAspect="Content" ObjectID="_1452425319" r:id="rId58"/>
        </w:object>
      </w:r>
    </w:p>
    <w:p w:rsidR="009429B5" w:rsidRDefault="009429B5" w:rsidP="009429B5">
      <w:pPr>
        <w:spacing w:line="360" w:lineRule="auto"/>
        <w:jc w:val="center"/>
      </w:pPr>
    </w:p>
    <w:p w:rsidR="009429B5" w:rsidRDefault="009429B5" w:rsidP="009429B5">
      <w:pPr>
        <w:spacing w:line="360" w:lineRule="auto"/>
      </w:pPr>
    </w:p>
    <w:p w:rsidR="009429B5" w:rsidRDefault="009429B5" w:rsidP="009429B5">
      <w:pPr>
        <w:spacing w:line="360" w:lineRule="auto"/>
      </w:pPr>
    </w:p>
    <w:sectPr w:rsidR="009429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5D6C7BC"/>
    <w:lvl w:ilvl="0">
      <w:numFmt w:val="bullet"/>
      <w:lvlText w:val="*"/>
      <w:lvlJc w:val="left"/>
    </w:lvl>
  </w:abstractNum>
  <w:abstractNum w:abstractNumId="1">
    <w:nsid w:val="5E907CD5"/>
    <w:multiLevelType w:val="hybridMultilevel"/>
    <w:tmpl w:val="88CA4AB8"/>
    <w:lvl w:ilvl="0" w:tplc="65F28FF8">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24"/>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9B5"/>
    <w:rsid w:val="000060BB"/>
    <w:rsid w:val="00060CC8"/>
    <w:rsid w:val="0024374A"/>
    <w:rsid w:val="002E0A70"/>
    <w:rsid w:val="003529E4"/>
    <w:rsid w:val="00357F18"/>
    <w:rsid w:val="00556A62"/>
    <w:rsid w:val="005B0AAA"/>
    <w:rsid w:val="0072085F"/>
    <w:rsid w:val="008818B0"/>
    <w:rsid w:val="008D75AC"/>
    <w:rsid w:val="009429B5"/>
    <w:rsid w:val="00953480"/>
    <w:rsid w:val="009B14D0"/>
    <w:rsid w:val="00A24F1A"/>
    <w:rsid w:val="00A40C8C"/>
    <w:rsid w:val="00A77A3C"/>
    <w:rsid w:val="00A90370"/>
    <w:rsid w:val="00BF0B31"/>
    <w:rsid w:val="00CF70BA"/>
    <w:rsid w:val="00D97BCF"/>
    <w:rsid w:val="00DF4CFF"/>
    <w:rsid w:val="00EB24DE"/>
    <w:rsid w:val="00F54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CC8"/>
    <w:pPr>
      <w:keepNext/>
      <w:keepLines/>
      <w:spacing w:after="0"/>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DF4CFF"/>
    <w:pPr>
      <w:keepNext/>
      <w:keepLines/>
      <w:spacing w:before="200" w:after="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A3C"/>
    <w:rPr>
      <w:rFonts w:ascii="Tahoma" w:hAnsi="Tahoma" w:cs="Tahoma"/>
      <w:sz w:val="16"/>
      <w:szCs w:val="16"/>
    </w:rPr>
  </w:style>
  <w:style w:type="character" w:customStyle="1" w:styleId="Heading1Char">
    <w:name w:val="Heading 1 Char"/>
    <w:basedOn w:val="DefaultParagraphFont"/>
    <w:link w:val="Heading1"/>
    <w:uiPriority w:val="9"/>
    <w:rsid w:val="00060CC8"/>
    <w:rPr>
      <w:rFonts w:ascii="Calibri" w:eastAsiaTheme="majorEastAsia" w:hAnsi="Calibri" w:cstheme="majorBidi"/>
      <w:b/>
      <w:bCs/>
      <w:sz w:val="24"/>
      <w:szCs w:val="28"/>
    </w:rPr>
  </w:style>
  <w:style w:type="paragraph" w:styleId="Title">
    <w:name w:val="Title"/>
    <w:basedOn w:val="Heading1"/>
    <w:next w:val="Normal"/>
    <w:link w:val="TitleChar"/>
    <w:uiPriority w:val="10"/>
    <w:qFormat/>
    <w:rsid w:val="00CF70BA"/>
    <w:pPr>
      <w:spacing w:before="240" w:after="120" w:line="240" w:lineRule="auto"/>
      <w:contextualSpacing/>
    </w:pPr>
    <w:rPr>
      <w:rFonts w:asciiTheme="minorHAnsi" w:hAnsiTheme="minorHAnsi"/>
      <w:spacing w:val="5"/>
      <w:kern w:val="28"/>
      <w:szCs w:val="52"/>
      <w:u w:val="single"/>
    </w:rPr>
  </w:style>
  <w:style w:type="character" w:customStyle="1" w:styleId="TitleChar">
    <w:name w:val="Title Char"/>
    <w:basedOn w:val="DefaultParagraphFont"/>
    <w:link w:val="Title"/>
    <w:uiPriority w:val="10"/>
    <w:rsid w:val="00CF70BA"/>
    <w:rPr>
      <w:rFonts w:eastAsiaTheme="majorEastAsia" w:cstheme="majorBidi"/>
      <w:b/>
      <w:bCs/>
      <w:spacing w:val="5"/>
      <w:kern w:val="28"/>
      <w:sz w:val="24"/>
      <w:szCs w:val="52"/>
      <w:u w:val="single"/>
    </w:rPr>
  </w:style>
  <w:style w:type="paragraph" w:customStyle="1" w:styleId="Sourceinformation">
    <w:name w:val="Source information"/>
    <w:basedOn w:val="Normal"/>
    <w:next w:val="Normal"/>
    <w:qFormat/>
    <w:rsid w:val="005B0AAA"/>
    <w:pPr>
      <w:autoSpaceDE w:val="0"/>
      <w:autoSpaceDN w:val="0"/>
      <w:adjustRightInd w:val="0"/>
      <w:spacing w:after="0" w:line="240" w:lineRule="auto"/>
    </w:pPr>
    <w:rPr>
      <w:rFonts w:ascii="Calibri" w:hAnsi="Calibri" w:cs="Calibri"/>
      <w:i/>
      <w:iCs/>
      <w:kern w:val="24"/>
      <w:sz w:val="24"/>
      <w:szCs w:val="24"/>
    </w:rPr>
  </w:style>
  <w:style w:type="paragraph" w:styleId="NoSpacing">
    <w:name w:val="No Spacing"/>
    <w:uiPriority w:val="1"/>
    <w:qFormat/>
    <w:rsid w:val="00060CC8"/>
    <w:pPr>
      <w:spacing w:after="0" w:line="240" w:lineRule="auto"/>
    </w:pPr>
  </w:style>
  <w:style w:type="paragraph" w:styleId="ListParagraph">
    <w:name w:val="List Paragraph"/>
    <w:basedOn w:val="Normal"/>
    <w:uiPriority w:val="34"/>
    <w:qFormat/>
    <w:rsid w:val="000060BB"/>
    <w:pPr>
      <w:ind w:left="720"/>
      <w:contextualSpacing/>
    </w:pPr>
  </w:style>
  <w:style w:type="character" w:customStyle="1" w:styleId="Heading2Char">
    <w:name w:val="Heading 2 Char"/>
    <w:basedOn w:val="DefaultParagraphFont"/>
    <w:link w:val="Heading2"/>
    <w:uiPriority w:val="9"/>
    <w:rsid w:val="00DF4CFF"/>
    <w:rPr>
      <w:rFonts w:eastAsiaTheme="majorEastAsia" w:cstheme="majorBidi"/>
      <w:b/>
      <w:bCs/>
      <w:color w:val="000000" w:themeColor="text1"/>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0CC8"/>
    <w:pPr>
      <w:keepNext/>
      <w:keepLines/>
      <w:spacing w:after="0"/>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DF4CFF"/>
    <w:pPr>
      <w:keepNext/>
      <w:keepLines/>
      <w:spacing w:before="200" w:after="0"/>
      <w:outlineLvl w:val="1"/>
    </w:pPr>
    <w:rPr>
      <w:rFonts w:eastAsiaTheme="majorEastAsia"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A3C"/>
    <w:rPr>
      <w:rFonts w:ascii="Tahoma" w:hAnsi="Tahoma" w:cs="Tahoma"/>
      <w:sz w:val="16"/>
      <w:szCs w:val="16"/>
    </w:rPr>
  </w:style>
  <w:style w:type="character" w:customStyle="1" w:styleId="Heading1Char">
    <w:name w:val="Heading 1 Char"/>
    <w:basedOn w:val="DefaultParagraphFont"/>
    <w:link w:val="Heading1"/>
    <w:uiPriority w:val="9"/>
    <w:rsid w:val="00060CC8"/>
    <w:rPr>
      <w:rFonts w:ascii="Calibri" w:eastAsiaTheme="majorEastAsia" w:hAnsi="Calibri" w:cstheme="majorBidi"/>
      <w:b/>
      <w:bCs/>
      <w:sz w:val="24"/>
      <w:szCs w:val="28"/>
    </w:rPr>
  </w:style>
  <w:style w:type="paragraph" w:styleId="Title">
    <w:name w:val="Title"/>
    <w:basedOn w:val="Heading1"/>
    <w:next w:val="Normal"/>
    <w:link w:val="TitleChar"/>
    <w:uiPriority w:val="10"/>
    <w:qFormat/>
    <w:rsid w:val="00CF70BA"/>
    <w:pPr>
      <w:spacing w:before="240" w:after="120" w:line="240" w:lineRule="auto"/>
      <w:contextualSpacing/>
    </w:pPr>
    <w:rPr>
      <w:rFonts w:asciiTheme="minorHAnsi" w:hAnsiTheme="minorHAnsi"/>
      <w:spacing w:val="5"/>
      <w:kern w:val="28"/>
      <w:szCs w:val="52"/>
      <w:u w:val="single"/>
    </w:rPr>
  </w:style>
  <w:style w:type="character" w:customStyle="1" w:styleId="TitleChar">
    <w:name w:val="Title Char"/>
    <w:basedOn w:val="DefaultParagraphFont"/>
    <w:link w:val="Title"/>
    <w:uiPriority w:val="10"/>
    <w:rsid w:val="00CF70BA"/>
    <w:rPr>
      <w:rFonts w:eastAsiaTheme="majorEastAsia" w:cstheme="majorBidi"/>
      <w:b/>
      <w:bCs/>
      <w:spacing w:val="5"/>
      <w:kern w:val="28"/>
      <w:sz w:val="24"/>
      <w:szCs w:val="52"/>
      <w:u w:val="single"/>
    </w:rPr>
  </w:style>
  <w:style w:type="paragraph" w:customStyle="1" w:styleId="Sourceinformation">
    <w:name w:val="Source information"/>
    <w:basedOn w:val="Normal"/>
    <w:next w:val="Normal"/>
    <w:qFormat/>
    <w:rsid w:val="005B0AAA"/>
    <w:pPr>
      <w:autoSpaceDE w:val="0"/>
      <w:autoSpaceDN w:val="0"/>
      <w:adjustRightInd w:val="0"/>
      <w:spacing w:after="0" w:line="240" w:lineRule="auto"/>
    </w:pPr>
    <w:rPr>
      <w:rFonts w:ascii="Calibri" w:hAnsi="Calibri" w:cs="Calibri"/>
      <w:i/>
      <w:iCs/>
      <w:kern w:val="24"/>
      <w:sz w:val="24"/>
      <w:szCs w:val="24"/>
    </w:rPr>
  </w:style>
  <w:style w:type="paragraph" w:styleId="NoSpacing">
    <w:name w:val="No Spacing"/>
    <w:uiPriority w:val="1"/>
    <w:qFormat/>
    <w:rsid w:val="00060CC8"/>
    <w:pPr>
      <w:spacing w:after="0" w:line="240" w:lineRule="auto"/>
    </w:pPr>
  </w:style>
  <w:style w:type="paragraph" w:styleId="ListParagraph">
    <w:name w:val="List Paragraph"/>
    <w:basedOn w:val="Normal"/>
    <w:uiPriority w:val="34"/>
    <w:qFormat/>
    <w:rsid w:val="000060BB"/>
    <w:pPr>
      <w:ind w:left="720"/>
      <w:contextualSpacing/>
    </w:pPr>
  </w:style>
  <w:style w:type="character" w:customStyle="1" w:styleId="Heading2Char">
    <w:name w:val="Heading 2 Char"/>
    <w:basedOn w:val="DefaultParagraphFont"/>
    <w:link w:val="Heading2"/>
    <w:uiPriority w:val="9"/>
    <w:rsid w:val="00DF4CFF"/>
    <w:rPr>
      <w:rFonts w:eastAsiaTheme="majorEastAsia" w:cstheme="majorBidi"/>
      <w:b/>
      <w:bCs/>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173245">
      <w:bodyDiv w:val="1"/>
      <w:marLeft w:val="0"/>
      <w:marRight w:val="0"/>
      <w:marTop w:val="0"/>
      <w:marBottom w:val="0"/>
      <w:divBdr>
        <w:top w:val="none" w:sz="0" w:space="0" w:color="auto"/>
        <w:left w:val="none" w:sz="0" w:space="0" w:color="auto"/>
        <w:bottom w:val="none" w:sz="0" w:space="0" w:color="auto"/>
        <w:right w:val="none" w:sz="0" w:space="0" w:color="auto"/>
      </w:divBdr>
    </w:div>
    <w:div w:id="840050980">
      <w:bodyDiv w:val="1"/>
      <w:marLeft w:val="0"/>
      <w:marRight w:val="0"/>
      <w:marTop w:val="0"/>
      <w:marBottom w:val="0"/>
      <w:divBdr>
        <w:top w:val="none" w:sz="0" w:space="0" w:color="auto"/>
        <w:left w:val="none" w:sz="0" w:space="0" w:color="auto"/>
        <w:bottom w:val="none" w:sz="0" w:space="0" w:color="auto"/>
        <w:right w:val="none" w:sz="0" w:space="0" w:color="auto"/>
      </w:divBdr>
    </w:div>
    <w:div w:id="1207568905">
      <w:bodyDiv w:val="1"/>
      <w:marLeft w:val="0"/>
      <w:marRight w:val="0"/>
      <w:marTop w:val="0"/>
      <w:marBottom w:val="0"/>
      <w:divBdr>
        <w:top w:val="none" w:sz="0" w:space="0" w:color="auto"/>
        <w:left w:val="none" w:sz="0" w:space="0" w:color="auto"/>
        <w:bottom w:val="none" w:sz="0" w:space="0" w:color="auto"/>
        <w:right w:val="none" w:sz="0" w:space="0" w:color="auto"/>
      </w:divBdr>
    </w:div>
    <w:div w:id="1499729509">
      <w:bodyDiv w:val="1"/>
      <w:marLeft w:val="0"/>
      <w:marRight w:val="0"/>
      <w:marTop w:val="0"/>
      <w:marBottom w:val="0"/>
      <w:divBdr>
        <w:top w:val="none" w:sz="0" w:space="0" w:color="auto"/>
        <w:left w:val="none" w:sz="0" w:space="0" w:color="auto"/>
        <w:bottom w:val="none" w:sz="0" w:space="0" w:color="auto"/>
        <w:right w:val="none" w:sz="0" w:space="0" w:color="auto"/>
      </w:divBdr>
    </w:div>
    <w:div w:id="180854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PowerPoint_Slide6.sldx"/><Relationship Id="rId26" Type="http://schemas.openxmlformats.org/officeDocument/2006/relationships/package" Target="embeddings/Microsoft_PowerPoint_Slide10.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PowerPoint_Slide14.sldx"/><Relationship Id="rId42" Type="http://schemas.openxmlformats.org/officeDocument/2006/relationships/package" Target="embeddings/Microsoft_PowerPoint_Slide18.sldx"/><Relationship Id="rId47" Type="http://schemas.openxmlformats.org/officeDocument/2006/relationships/image" Target="media/image21.emf"/><Relationship Id="rId50" Type="http://schemas.openxmlformats.org/officeDocument/2006/relationships/package" Target="embeddings/Microsoft_PowerPoint_Slide22.sldx"/><Relationship Id="rId55" Type="http://schemas.openxmlformats.org/officeDocument/2006/relationships/image" Target="media/image25.emf"/><Relationship Id="rId63" Type="http://schemas.openxmlformats.org/officeDocument/2006/relationships/customXml" Target="../customXml/item4.xml"/><Relationship Id="rId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package" Target="embeddings/Microsoft_PowerPoint_Slide5.sl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PowerPoint_Slide9.sldx"/><Relationship Id="rId32" Type="http://schemas.openxmlformats.org/officeDocument/2006/relationships/package" Target="embeddings/Microsoft_PowerPoint_Slide13.sldx"/><Relationship Id="rId37" Type="http://schemas.openxmlformats.org/officeDocument/2006/relationships/image" Target="media/image16.emf"/><Relationship Id="rId40" Type="http://schemas.openxmlformats.org/officeDocument/2006/relationships/package" Target="embeddings/Microsoft_PowerPoint_Slide17.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PowerPoint_Slide26.sldx"/><Relationship Id="rId5" Type="http://schemas.openxmlformats.org/officeDocument/2006/relationships/settings" Target="settings.xml"/><Relationship Id="rId61" Type="http://schemas.openxmlformats.org/officeDocument/2006/relationships/customXml" Target="../customXml/item2.xml"/><Relationship Id="rId19" Type="http://schemas.openxmlformats.org/officeDocument/2006/relationships/image" Target="media/image7.emf"/><Relationship Id="rId14" Type="http://schemas.openxmlformats.org/officeDocument/2006/relationships/package" Target="embeddings/Microsoft_PowerPoint_Slide4.sldx"/><Relationship Id="rId22" Type="http://schemas.openxmlformats.org/officeDocument/2006/relationships/package" Target="embeddings/Microsoft_PowerPoint_Slide8.sldx"/><Relationship Id="rId27" Type="http://schemas.openxmlformats.org/officeDocument/2006/relationships/image" Target="media/image11.emf"/><Relationship Id="rId30" Type="http://schemas.openxmlformats.org/officeDocument/2006/relationships/package" Target="embeddings/Microsoft_PowerPoint_Slide12.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PowerPoint_Slide21.sldx"/><Relationship Id="rId56" Type="http://schemas.openxmlformats.org/officeDocument/2006/relationships/package" Target="embeddings/Microsoft_PowerPoint_Slide25.sldx"/><Relationship Id="rId8" Type="http://schemas.openxmlformats.org/officeDocument/2006/relationships/package" Target="embeddings/Microsoft_PowerPoint_Slide1.sldx"/><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package" Target="embeddings/Microsoft_PowerPoint_Slide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PowerPoint_Slide16.sldx"/><Relationship Id="rId46" Type="http://schemas.openxmlformats.org/officeDocument/2006/relationships/package" Target="embeddings/Microsoft_PowerPoint_Slide20.sldx"/><Relationship Id="rId59" Type="http://schemas.openxmlformats.org/officeDocument/2006/relationships/fontTable" Target="fontTable.xml"/><Relationship Id="rId20" Type="http://schemas.openxmlformats.org/officeDocument/2006/relationships/package" Target="embeddings/Microsoft_PowerPoint_Slide7.sldx"/><Relationship Id="rId41" Type="http://schemas.openxmlformats.org/officeDocument/2006/relationships/image" Target="media/image18.emf"/><Relationship Id="rId54" Type="http://schemas.openxmlformats.org/officeDocument/2006/relationships/package" Target="embeddings/Microsoft_PowerPoint_Slide24.sldx"/><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11.sldx"/><Relationship Id="rId36" Type="http://schemas.openxmlformats.org/officeDocument/2006/relationships/package" Target="embeddings/Microsoft_PowerPoint_Slide15.sl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Microsoft_PowerPoint_Slide2.sldx"/><Relationship Id="rId31" Type="http://schemas.openxmlformats.org/officeDocument/2006/relationships/image" Target="media/image13.emf"/><Relationship Id="rId44" Type="http://schemas.openxmlformats.org/officeDocument/2006/relationships/package" Target="embeddings/Microsoft_PowerPoint_Slide19.sldx"/><Relationship Id="rId52" Type="http://schemas.openxmlformats.org/officeDocument/2006/relationships/package" Target="embeddings/Microsoft_PowerPoint_Slide23.sldx"/><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140858-8873-49B8-BB7F-B47FA7A3C6D6}"/>
</file>

<file path=customXml/itemProps2.xml><?xml version="1.0" encoding="utf-8"?>
<ds:datastoreItem xmlns:ds="http://schemas.openxmlformats.org/officeDocument/2006/customXml" ds:itemID="{6D118890-275B-4964-8EFB-B67F0B996685}"/>
</file>

<file path=customXml/itemProps3.xml><?xml version="1.0" encoding="utf-8"?>
<ds:datastoreItem xmlns:ds="http://schemas.openxmlformats.org/officeDocument/2006/customXml" ds:itemID="{16D61FFF-E3D4-40E0-9F04-EB0DA8DB3DD7}"/>
</file>

<file path=customXml/itemProps4.xml><?xml version="1.0" encoding="utf-8"?>
<ds:datastoreItem xmlns:ds="http://schemas.openxmlformats.org/officeDocument/2006/customXml" ds:itemID="{E85DAC76-20E4-42F7-A6F8-6D887FAAE450}"/>
</file>

<file path=docProps/app.xml><?xml version="1.0" encoding="utf-8"?>
<Properties xmlns="http://schemas.openxmlformats.org/officeDocument/2006/extended-properties" xmlns:vt="http://schemas.openxmlformats.org/officeDocument/2006/docPropsVTypes">
  <Template>AB87729D.dotm</Template>
  <TotalTime>56</TotalTime>
  <Pages>26</Pages>
  <Words>1320</Words>
  <Characters>7528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Meehan</dc:creator>
  <cp:lastModifiedBy>Joel Meehan</cp:lastModifiedBy>
  <cp:revision>11</cp:revision>
  <cp:lastPrinted>2014-01-28T03:09:00Z</cp:lastPrinted>
  <dcterms:created xsi:type="dcterms:W3CDTF">2014-01-28T02:43:00Z</dcterms:created>
  <dcterms:modified xsi:type="dcterms:W3CDTF">2014-01-28T03:39:00Z</dcterms:modified>
</cp:coreProperties>
</file>