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E35D2" w14:textId="77777777" w:rsidR="00414937" w:rsidRDefault="00414937" w:rsidP="00414937">
      <w:pPr>
        <w:pStyle w:val="Title"/>
        <w:jc w:val="right"/>
        <w:rPr>
          <w:b/>
          <w:color w:val="767171" w:themeColor="background2" w:themeShade="80"/>
          <w:sz w:val="32"/>
          <w:szCs w:val="32"/>
        </w:rPr>
      </w:pPr>
      <w:r>
        <w:rPr>
          <w:noProof/>
          <w:lang w:eastAsia="en-AU"/>
        </w:rPr>
        <w:drawing>
          <wp:inline distT="0" distB="0" distL="0" distR="0" wp14:anchorId="2F238066" wp14:editId="00018AFF">
            <wp:extent cx="1914525" cy="1112520"/>
            <wp:effectExtent l="0" t="0" r="9525" b="0"/>
            <wp:docPr id="1" name="Picture 1" descr="Australian Government and  jobactive logo" title="Australian Government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7466"/>
                    <a:stretch/>
                  </pic:blipFill>
                  <pic:spPr bwMode="auto">
                    <a:xfrm>
                      <a:off x="0" y="0"/>
                      <a:ext cx="1917364" cy="1114170"/>
                    </a:xfrm>
                    <a:prstGeom prst="rect">
                      <a:avLst/>
                    </a:prstGeom>
                    <a:noFill/>
                    <a:ln>
                      <a:noFill/>
                    </a:ln>
                    <a:extLst>
                      <a:ext uri="{53640926-AAD7-44D8-BBD7-CCE9431645EC}">
                        <a14:shadowObscured xmlns:a14="http://schemas.microsoft.com/office/drawing/2010/main"/>
                      </a:ext>
                    </a:extLst>
                  </pic:spPr>
                </pic:pic>
              </a:graphicData>
            </a:graphic>
          </wp:inline>
        </w:drawing>
      </w:r>
    </w:p>
    <w:p w14:paraId="3EB78028" w14:textId="0EB173E5" w:rsidR="00837E53" w:rsidRPr="00837E53" w:rsidRDefault="00146FF3" w:rsidP="001300F7">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7469A8">
        <w:t>New Employment Services Trial (NEST) – Defined Periods,</w:t>
      </w:r>
      <w:r w:rsidR="00D144B1" w:rsidRPr="00D144B1">
        <w:t xml:space="preserve"> Suspensions and Exits</w:t>
      </w:r>
    </w:p>
    <w:p w14:paraId="19800E3B" w14:textId="1E2AED1B" w:rsidR="00D144B1" w:rsidRDefault="007469A8" w:rsidP="007469A8">
      <w:pPr>
        <w:pStyle w:val="guidelinetext"/>
        <w:ind w:left="142"/>
      </w:pPr>
      <w:r>
        <w:t xml:space="preserve">There are a range of defined Periods in NEST which determine </w:t>
      </w:r>
      <w:r w:rsidRPr="001300F7">
        <w:t xml:space="preserve">when </w:t>
      </w:r>
      <w:r w:rsidR="00832FE3">
        <w:t>Participant</w:t>
      </w:r>
      <w:r>
        <w:t>s</w:t>
      </w:r>
      <w:r w:rsidRPr="001300F7">
        <w:t xml:space="preserve"> must participate in activities</w:t>
      </w:r>
      <w:r>
        <w:t xml:space="preserve">, which services a </w:t>
      </w:r>
      <w:r w:rsidR="00832FE3">
        <w:t>Participant</w:t>
      </w:r>
      <w:r>
        <w:t xml:space="preserve"> should receive and whether </w:t>
      </w:r>
      <w:r w:rsidR="00556556">
        <w:t>Trial</w:t>
      </w:r>
      <w:r>
        <w:t xml:space="preserve"> </w:t>
      </w:r>
      <w:r w:rsidR="00832FE3">
        <w:t>Provider</w:t>
      </w:r>
      <w:r>
        <w:t>s are eligible for payments.</w:t>
      </w:r>
      <w:r w:rsidR="00D144B1" w:rsidRPr="001300F7">
        <w:t xml:space="preserve"> </w:t>
      </w:r>
      <w:r>
        <w:t>Most of these periods are</w:t>
      </w:r>
      <w:r w:rsidR="00D144B1" w:rsidRPr="001300F7">
        <w:t xml:space="preserve"> </w:t>
      </w:r>
      <w:r w:rsidR="004E638F" w:rsidRPr="001300F7">
        <w:t>affected</w:t>
      </w:r>
      <w:r w:rsidR="009829F8" w:rsidRPr="001300F7">
        <w:t xml:space="preserve"> </w:t>
      </w:r>
      <w:r w:rsidR="00D144B1" w:rsidRPr="001300F7">
        <w:t>by periods of Suspension and Exit</w:t>
      </w:r>
      <w:r w:rsidR="00C77077">
        <w:t>s</w:t>
      </w:r>
      <w:r w:rsidR="00D144B1" w:rsidRPr="001300F7">
        <w:t>.</w:t>
      </w:r>
    </w:p>
    <w:p w14:paraId="7BC2C592" w14:textId="07C03480" w:rsidR="004E638F" w:rsidRPr="001300F7" w:rsidRDefault="00D144B1" w:rsidP="001300F7">
      <w:pPr>
        <w:pStyle w:val="guidelinetext"/>
        <w:ind w:left="142"/>
      </w:pPr>
      <w:r w:rsidRPr="001300F7">
        <w:t xml:space="preserve">Suspensions are periods when </w:t>
      </w:r>
      <w:r w:rsidR="00832FE3">
        <w:t>Participant</w:t>
      </w:r>
      <w:r w:rsidR="00E34C30">
        <w:t>s</w:t>
      </w:r>
      <w:r w:rsidRPr="001300F7">
        <w:t xml:space="preserve"> are not required to participate in </w:t>
      </w:r>
      <w:r w:rsidR="00360106">
        <w:t>s</w:t>
      </w:r>
      <w:r w:rsidR="002E4346">
        <w:t>ervices</w:t>
      </w:r>
      <w:r w:rsidRPr="001300F7">
        <w:t xml:space="preserve"> and </w:t>
      </w:r>
      <w:r w:rsidR="00832FE3">
        <w:t>Provider</w:t>
      </w:r>
      <w:r w:rsidRPr="001300F7">
        <w:t>s are not required to deliver services to them during that period</w:t>
      </w:r>
      <w:r w:rsidR="004E638F" w:rsidRPr="001300F7">
        <w:t xml:space="preserve"> although they may agree to do so in some circumstances.</w:t>
      </w:r>
    </w:p>
    <w:p w14:paraId="5BD1CBC7" w14:textId="78FB5F2E" w:rsidR="002E6FDB" w:rsidRPr="001300F7" w:rsidRDefault="00832FE3" w:rsidP="001300F7">
      <w:pPr>
        <w:pStyle w:val="guidelinetext"/>
        <w:ind w:left="142"/>
      </w:pPr>
      <w:r>
        <w:t>Participant</w:t>
      </w:r>
      <w:r w:rsidR="002E4346">
        <w:t>s</w:t>
      </w:r>
      <w:r w:rsidR="00D144B1" w:rsidRPr="001300F7">
        <w:t xml:space="preserve"> may be Exited if they are meeting their obligations or are no longer eligible for </w:t>
      </w:r>
      <w:r w:rsidR="002E4346">
        <w:t>Trial S</w:t>
      </w:r>
      <w:r w:rsidR="00D144B1" w:rsidRPr="001300F7">
        <w:t xml:space="preserve">ervices. This will usually happen automatically but there are some instances when </w:t>
      </w:r>
      <w:r>
        <w:t>Provider</w:t>
      </w:r>
      <w:r w:rsidR="00D144B1" w:rsidRPr="001300F7">
        <w:t xml:space="preserve">s can manually </w:t>
      </w:r>
      <w:r w:rsidR="00BA0F58" w:rsidRPr="001300F7">
        <w:t>Exit</w:t>
      </w:r>
      <w:r w:rsidR="00D144B1" w:rsidRPr="001300F7">
        <w:t xml:space="preserve"> </w:t>
      </w:r>
      <w:r>
        <w:t>Participant</w:t>
      </w:r>
      <w:r w:rsidR="002E4346">
        <w:t>s</w:t>
      </w:r>
      <w:r w:rsidR="00D144B1" w:rsidRPr="001300F7">
        <w:t>.</w:t>
      </w:r>
    </w:p>
    <w:p w14:paraId="7201E6E9" w14:textId="136AEC08" w:rsidR="00837E53" w:rsidRDefault="00837E53" w:rsidP="005D72CD">
      <w:pPr>
        <w:tabs>
          <w:tab w:val="right" w:pos="1701"/>
        </w:tabs>
        <w:rPr>
          <w:color w:val="385623" w:themeColor="accent6" w:themeShade="80"/>
        </w:rPr>
      </w:pPr>
    </w:p>
    <w:p w14:paraId="07EDB6B1" w14:textId="77777777" w:rsidR="002E6FDB" w:rsidRDefault="002E6FDB" w:rsidP="005D72CD">
      <w:pPr>
        <w:tabs>
          <w:tab w:val="right" w:pos="1701"/>
        </w:tabs>
        <w:sectPr w:rsidR="002E6FDB" w:rsidSect="00414937">
          <w:headerReference w:type="default" r:id="rId12"/>
          <w:footerReference w:type="default" r:id="rId13"/>
          <w:headerReference w:type="first" r:id="rId14"/>
          <w:pgSz w:w="11906" w:h="16838"/>
          <w:pgMar w:top="426" w:right="1440" w:bottom="1440" w:left="1440" w:header="708" w:footer="708" w:gutter="0"/>
          <w:cols w:space="708"/>
          <w:titlePg/>
          <w:docGrid w:linePitch="360"/>
        </w:sectPr>
      </w:pPr>
    </w:p>
    <w:p w14:paraId="2EDE51DA" w14:textId="6FD6E46C" w:rsidR="00D144B1" w:rsidRDefault="00D144B1" w:rsidP="00F857A0">
      <w:pPr>
        <w:pStyle w:val="guidelinetext"/>
        <w:ind w:left="142"/>
      </w:pPr>
      <w:r w:rsidRPr="0027592B">
        <w:t>Version:</w:t>
      </w:r>
      <w:r>
        <w:t xml:space="preserve"> </w:t>
      </w:r>
      <w:r w:rsidR="002E4346">
        <w:t>1.</w:t>
      </w:r>
      <w:r w:rsidR="00B36145">
        <w:t>1</w:t>
      </w:r>
    </w:p>
    <w:p w14:paraId="21F6DB55" w14:textId="5738457A" w:rsidR="00D144B1" w:rsidRPr="00CA3187" w:rsidRDefault="00D144B1" w:rsidP="00F857A0">
      <w:pPr>
        <w:pStyle w:val="guidelinetext"/>
        <w:ind w:left="0"/>
      </w:pPr>
      <w:r>
        <w:br w:type="column"/>
      </w:r>
      <w:r w:rsidRPr="00CA3187">
        <w:lastRenderedPageBreak/>
        <w:t xml:space="preserve">Published on: </w:t>
      </w:r>
      <w:r w:rsidR="007427C6" w:rsidRPr="00CA3187">
        <w:t xml:space="preserve"> </w:t>
      </w:r>
      <w:r w:rsidR="004907FA">
        <w:t>3 June 2020</w:t>
      </w:r>
    </w:p>
    <w:p w14:paraId="16491C21" w14:textId="17288B13" w:rsidR="00D144B1" w:rsidRPr="003F3648" w:rsidRDefault="00D144B1" w:rsidP="00F857A0">
      <w:pPr>
        <w:pStyle w:val="guidelinetext"/>
        <w:ind w:left="0"/>
        <w:rPr>
          <w:color w:val="385623" w:themeColor="accent6" w:themeShade="80"/>
        </w:rPr>
      </w:pPr>
      <w:r w:rsidRPr="00CA3187">
        <w:t xml:space="preserve">Effective from: </w:t>
      </w:r>
      <w:r w:rsidR="007427C6" w:rsidRPr="00CA3187">
        <w:t xml:space="preserve"> </w:t>
      </w:r>
      <w:r w:rsidR="004B7FAF">
        <w:t>1 July 2020</w:t>
      </w:r>
    </w:p>
    <w:p w14:paraId="0DC8E613" w14:textId="4FDE5884" w:rsidR="00D144B1" w:rsidRPr="003F3648" w:rsidRDefault="00D144B1" w:rsidP="00D144B1">
      <w:pPr>
        <w:pStyle w:val="guidelinechanges"/>
        <w:rPr>
          <w:color w:val="385623" w:themeColor="accent6" w:themeShade="80"/>
        </w:rPr>
      </w:pPr>
    </w:p>
    <w:p w14:paraId="7B929E3D" w14:textId="77777777" w:rsidR="00D144B1" w:rsidRDefault="00D144B1" w:rsidP="00D144B1">
      <w:pPr>
        <w:sectPr w:rsidR="00D144B1" w:rsidSect="00837E53">
          <w:type w:val="continuous"/>
          <w:pgSz w:w="11906" w:h="16838"/>
          <w:pgMar w:top="1440" w:right="1440" w:bottom="1440" w:left="1440" w:header="708" w:footer="708" w:gutter="0"/>
          <w:cols w:num="2" w:space="708"/>
          <w:titlePg/>
          <w:docGrid w:linePitch="360"/>
        </w:sectPr>
      </w:pPr>
    </w:p>
    <w:p w14:paraId="75C4CC99" w14:textId="2F6CDF5B" w:rsidR="004B7FAF" w:rsidRPr="00556535" w:rsidRDefault="004B7FAF" w:rsidP="004B7FAF">
      <w:pPr>
        <w:pStyle w:val="guidelinedocinfo"/>
        <w:keepNext/>
        <w:keepLines/>
        <w:spacing w:before="240"/>
        <w:ind w:left="360" w:hanging="360"/>
        <w:outlineLvl w:val="0"/>
        <w:rPr>
          <w:rFonts w:asciiTheme="majorHAnsi" w:eastAsiaTheme="majorEastAsia" w:hAnsiTheme="majorHAnsi" w:cstheme="majorBidi"/>
          <w:szCs w:val="32"/>
        </w:rPr>
      </w:pPr>
      <w:bookmarkStart w:id="0" w:name="_Toc500321412"/>
      <w:bookmarkStart w:id="1" w:name="_Toc511218479"/>
      <w:bookmarkStart w:id="2" w:name="_Toc513034965"/>
      <w:bookmarkStart w:id="3" w:name="_Toc513035030"/>
      <w:bookmarkStart w:id="4" w:name="_Toc524089098"/>
      <w:bookmarkStart w:id="5" w:name="_Toc40103094"/>
      <w:bookmarkStart w:id="6" w:name="_Toc500321415"/>
      <w:bookmarkStart w:id="7" w:name="_Toc511218482"/>
      <w:bookmarkStart w:id="8" w:name="_Toc513034968"/>
      <w:bookmarkStart w:id="9" w:name="_Toc513035033"/>
      <w:bookmarkStart w:id="10" w:name="_Toc524089101"/>
      <w:bookmarkStart w:id="11" w:name="_Toc13943229"/>
      <w:bookmarkStart w:id="12" w:name="_Toc13943308"/>
      <w:bookmarkStart w:id="13" w:name="_Toc17725057"/>
      <w:bookmarkStart w:id="14" w:name="_Toc21706247"/>
      <w:r w:rsidRPr="00556535">
        <w:rPr>
          <w:rFonts w:asciiTheme="majorHAnsi" w:eastAsiaTheme="majorEastAsia" w:hAnsiTheme="majorHAnsi" w:cstheme="majorBidi"/>
          <w:szCs w:val="32"/>
        </w:rPr>
        <w:t xml:space="preserve">Changes from the previous version (Version </w:t>
      </w:r>
      <w:r>
        <w:rPr>
          <w:rFonts w:asciiTheme="majorHAnsi" w:eastAsiaTheme="majorEastAsia" w:hAnsiTheme="majorHAnsi" w:cstheme="majorBidi"/>
          <w:szCs w:val="32"/>
        </w:rPr>
        <w:t>1.0</w:t>
      </w:r>
      <w:r w:rsidRPr="00556535">
        <w:rPr>
          <w:rFonts w:asciiTheme="majorHAnsi" w:eastAsiaTheme="majorEastAsia" w:hAnsiTheme="majorHAnsi" w:cstheme="majorBidi"/>
          <w:szCs w:val="32"/>
        </w:rPr>
        <w:t>)</w:t>
      </w:r>
      <w:bookmarkEnd w:id="0"/>
      <w:bookmarkEnd w:id="1"/>
      <w:bookmarkEnd w:id="2"/>
      <w:bookmarkEnd w:id="3"/>
      <w:bookmarkEnd w:id="4"/>
      <w:bookmarkEnd w:id="5"/>
    </w:p>
    <w:p w14:paraId="19E9F03D" w14:textId="66EE04C3" w:rsidR="004B7FAF" w:rsidRPr="00507D6D" w:rsidRDefault="004B7FAF" w:rsidP="0004506B">
      <w:pPr>
        <w:pStyle w:val="guidelinechanges"/>
      </w:pPr>
      <w:bookmarkStart w:id="15" w:name="_Toc500321413"/>
      <w:bookmarkStart w:id="16" w:name="_Toc511218480"/>
      <w:bookmarkStart w:id="17" w:name="_Toc513034966"/>
      <w:bookmarkStart w:id="18" w:name="_Toc513035031"/>
      <w:bookmarkStart w:id="19" w:name="_Toc524089099"/>
      <w:bookmarkStart w:id="20" w:name="_Toc40103095"/>
      <w:r w:rsidRPr="00F857A0">
        <w:rPr>
          <w:rStyle w:val="Frontpagesub-headingChar"/>
          <w:rFonts w:asciiTheme="minorHAnsi" w:hAnsiTheme="minorHAnsi" w:cstheme="minorHAnsi"/>
          <w:szCs w:val="20"/>
        </w:rPr>
        <w:t>Policy changes:</w:t>
      </w:r>
      <w:bookmarkEnd w:id="15"/>
      <w:bookmarkEnd w:id="16"/>
      <w:bookmarkEnd w:id="17"/>
      <w:bookmarkEnd w:id="18"/>
      <w:bookmarkEnd w:id="19"/>
      <w:bookmarkEnd w:id="20"/>
      <w:r w:rsidR="004644C3">
        <w:rPr>
          <w:rStyle w:val="Frontpagesub-headingChar"/>
          <w:rFonts w:asciiTheme="minorHAnsi" w:hAnsiTheme="minorHAnsi" w:cstheme="minorHAnsi"/>
          <w:szCs w:val="20"/>
        </w:rPr>
        <w:br/>
      </w:r>
      <w:r w:rsidR="004644C3" w:rsidRPr="004644C3">
        <w:t>N</w:t>
      </w:r>
      <w:r w:rsidR="006038B8">
        <w:t>il</w:t>
      </w:r>
    </w:p>
    <w:p w14:paraId="4E0153B7" w14:textId="42B4D5DC" w:rsidR="004B7FAF" w:rsidRPr="00F857A0" w:rsidRDefault="004B7FAF" w:rsidP="004B7FAF">
      <w:pPr>
        <w:pStyle w:val="guidelinetext"/>
        <w:ind w:left="0"/>
        <w:rPr>
          <w:rStyle w:val="Frontpagesub-headingChar"/>
          <w:rFonts w:asciiTheme="minorHAnsi" w:hAnsiTheme="minorHAnsi" w:cstheme="minorHAnsi"/>
          <w:b w:val="0"/>
          <w:szCs w:val="20"/>
        </w:rPr>
      </w:pPr>
      <w:bookmarkStart w:id="21" w:name="_Toc500321414"/>
      <w:bookmarkStart w:id="22" w:name="_Toc511218481"/>
      <w:bookmarkStart w:id="23" w:name="_Toc513034967"/>
      <w:bookmarkStart w:id="24" w:name="_Toc513035032"/>
      <w:bookmarkStart w:id="25" w:name="_Toc524089100"/>
      <w:bookmarkStart w:id="26" w:name="_Toc40103096"/>
      <w:r w:rsidRPr="00F857A0">
        <w:rPr>
          <w:rStyle w:val="Frontpagesub-headingChar"/>
          <w:rFonts w:asciiTheme="minorHAnsi" w:hAnsiTheme="minorHAnsi" w:cstheme="minorHAnsi"/>
          <w:szCs w:val="20"/>
        </w:rPr>
        <w:t>Wording changes:</w:t>
      </w:r>
      <w:bookmarkEnd w:id="21"/>
      <w:bookmarkEnd w:id="22"/>
      <w:bookmarkEnd w:id="23"/>
      <w:bookmarkEnd w:id="24"/>
      <w:bookmarkEnd w:id="25"/>
      <w:bookmarkEnd w:id="26"/>
    </w:p>
    <w:p w14:paraId="36E4D3C8" w14:textId="79E71C44" w:rsidR="00CE340A" w:rsidRPr="00F857A0" w:rsidRDefault="00CE340A" w:rsidP="0004506B">
      <w:pPr>
        <w:pStyle w:val="guidelinechanges"/>
      </w:pPr>
      <w:r w:rsidRPr="00BD6820">
        <w:t xml:space="preserve">Page 7 – </w:t>
      </w:r>
      <w:r w:rsidR="0004506B" w:rsidRPr="00BD6820">
        <w:t>noting that from 1 July 2020,</w:t>
      </w:r>
      <w:r w:rsidRPr="00BD6820">
        <w:t xml:space="preserve"> the Stronger Transitions program is closed to new entrants.</w:t>
      </w:r>
    </w:p>
    <w:p w14:paraId="1A4FEA60" w14:textId="76E68A79" w:rsidR="004B7FAF" w:rsidRDefault="004B7FAF" w:rsidP="0004506B">
      <w:pPr>
        <w:pStyle w:val="guidelinechanges"/>
      </w:pPr>
      <w:r w:rsidRPr="004B7FAF">
        <w:t xml:space="preserve">Page </w:t>
      </w:r>
      <w:r>
        <w:t>10</w:t>
      </w:r>
      <w:r w:rsidRPr="004B7FAF">
        <w:t xml:space="preserve">  – changed department name to Department of Education, Skills and Employment.</w:t>
      </w:r>
    </w:p>
    <w:p w14:paraId="055B492F" w14:textId="54AB4BE5" w:rsidR="0042088E" w:rsidRPr="00907E40" w:rsidRDefault="0042088E" w:rsidP="0004506B">
      <w:pPr>
        <w:pStyle w:val="guidelinechanges"/>
      </w:pPr>
      <w:r>
        <w:t>References to NEST Provider changed to Trial Provider.</w:t>
      </w:r>
    </w:p>
    <w:p w14:paraId="1D7BD739" w14:textId="08895454" w:rsidR="00564A61" w:rsidRPr="00631327" w:rsidRDefault="00556535" w:rsidP="006038B8">
      <w:pPr>
        <w:pStyle w:val="guidelinetext"/>
        <w:ind w:left="0"/>
        <w:rPr>
          <w:rStyle w:val="Frontpagesub-headingChar"/>
          <w:rFonts w:asciiTheme="minorHAnsi" w:hAnsiTheme="minorHAnsi" w:cstheme="minorHAnsi"/>
          <w:szCs w:val="20"/>
        </w:rPr>
      </w:pPr>
      <w:bookmarkStart w:id="27" w:name="_Toc40103097"/>
      <w:r w:rsidRPr="00631327">
        <w:rPr>
          <w:rStyle w:val="Frontpagesub-headingChar"/>
          <w:rFonts w:asciiTheme="minorHAnsi" w:hAnsiTheme="minorHAnsi" w:cstheme="minorHAnsi"/>
          <w:szCs w:val="20"/>
        </w:rPr>
        <w:t>Document Change History:</w:t>
      </w:r>
      <w:bookmarkEnd w:id="6"/>
      <w:bookmarkEnd w:id="7"/>
      <w:bookmarkEnd w:id="8"/>
      <w:bookmarkEnd w:id="9"/>
      <w:bookmarkEnd w:id="10"/>
      <w:bookmarkEnd w:id="11"/>
      <w:bookmarkEnd w:id="12"/>
      <w:bookmarkEnd w:id="13"/>
      <w:bookmarkEnd w:id="14"/>
      <w:bookmarkEnd w:id="27"/>
    </w:p>
    <w:p w14:paraId="0EB2C6C0" w14:textId="6B08E64C" w:rsidR="00D144B1" w:rsidRPr="00F857A0" w:rsidRDefault="00D144B1" w:rsidP="00F857A0">
      <w:pPr>
        <w:pStyle w:val="guidelinetext"/>
        <w:ind w:left="0"/>
        <w:rPr>
          <w:rFonts w:cstheme="minorHAnsi"/>
          <w:sz w:val="20"/>
          <w:szCs w:val="20"/>
        </w:rPr>
      </w:pPr>
      <w:r w:rsidRPr="00F857A0">
        <w:rPr>
          <w:rFonts w:cstheme="minorHAnsi"/>
          <w:sz w:val="20"/>
          <w:szCs w:val="20"/>
        </w:rPr>
        <w:t xml:space="preserve">A full document history is available </w:t>
      </w:r>
      <w:r w:rsidR="00364460" w:rsidRPr="00F857A0">
        <w:rPr>
          <w:rFonts w:cstheme="minorHAnsi"/>
          <w:sz w:val="20"/>
          <w:szCs w:val="20"/>
        </w:rPr>
        <w:t xml:space="preserve">on the </w:t>
      </w:r>
      <w:hyperlink r:id="rId15" w:history="1">
        <w:r w:rsidR="00832FE3">
          <w:rPr>
            <w:rStyle w:val="Hyperlink"/>
            <w:rFonts w:cstheme="minorHAnsi"/>
            <w:sz w:val="20"/>
            <w:szCs w:val="20"/>
          </w:rPr>
          <w:t>Provider</w:t>
        </w:r>
        <w:r w:rsidR="00364460" w:rsidRPr="00F857A0">
          <w:rPr>
            <w:rStyle w:val="Hyperlink"/>
            <w:rFonts w:cstheme="minorHAnsi"/>
            <w:sz w:val="20"/>
            <w:szCs w:val="20"/>
          </w:rPr>
          <w:t xml:space="preserve"> Portal</w:t>
        </w:r>
      </w:hyperlink>
    </w:p>
    <w:p w14:paraId="71BAAD9D" w14:textId="77777777" w:rsidR="00D144B1" w:rsidRPr="0027592B" w:rsidRDefault="00D144B1" w:rsidP="00D144B1">
      <w:pPr>
        <w:pStyle w:val="guidelinedocinfo"/>
      </w:pPr>
      <w:r w:rsidRPr="0027592B">
        <w:t>Related documents and references</w:t>
      </w:r>
    </w:p>
    <w:p w14:paraId="21A35F91" w14:textId="77777777" w:rsidR="00D144B1" w:rsidRDefault="00D144B1" w:rsidP="00D144B1">
      <w:pPr>
        <w:pStyle w:val="guidelinechanges"/>
        <w:sectPr w:rsidR="00D144B1" w:rsidSect="00837E53">
          <w:type w:val="continuous"/>
          <w:pgSz w:w="11906" w:h="16838"/>
          <w:pgMar w:top="1440" w:right="1440" w:bottom="1440" w:left="1440" w:header="708" w:footer="708" w:gutter="0"/>
          <w:cols w:space="708"/>
          <w:titlePg/>
          <w:docGrid w:linePitch="360"/>
        </w:sectPr>
      </w:pPr>
    </w:p>
    <w:p w14:paraId="1395F726" w14:textId="3C6323C8" w:rsidR="00D144B1" w:rsidRDefault="00035C7C" w:rsidP="00F857A0">
      <w:pPr>
        <w:pStyle w:val="guidelinetext"/>
        <w:ind w:left="0"/>
        <w:rPr>
          <w:rStyle w:val="Hyperlink"/>
          <w:sz w:val="20"/>
          <w:szCs w:val="20"/>
        </w:rPr>
      </w:pPr>
      <w:hyperlink r:id="rId16" w:history="1">
        <w:r w:rsidR="002276C0" w:rsidRPr="00CA3187">
          <w:rPr>
            <w:rStyle w:val="Hyperlink"/>
            <w:sz w:val="20"/>
            <w:szCs w:val="20"/>
          </w:rPr>
          <w:t>Managing and Monitoring Mutual Obl</w:t>
        </w:r>
        <w:r w:rsidR="00F857A0" w:rsidRPr="00CA3187">
          <w:rPr>
            <w:rStyle w:val="Hyperlink"/>
            <w:sz w:val="20"/>
            <w:szCs w:val="20"/>
          </w:rPr>
          <w:t xml:space="preserve">igation Requirements </w:t>
        </w:r>
        <w:r w:rsidR="002276C0" w:rsidRPr="00CA3187">
          <w:rPr>
            <w:rStyle w:val="Hyperlink"/>
            <w:sz w:val="20"/>
            <w:szCs w:val="20"/>
          </w:rPr>
          <w:t>Guideline</w:t>
        </w:r>
      </w:hyperlink>
    </w:p>
    <w:p w14:paraId="666E72B6" w14:textId="42E2775D" w:rsidR="00280D21" w:rsidRDefault="00035C7C" w:rsidP="00F857A0">
      <w:pPr>
        <w:pStyle w:val="guidelinetext"/>
        <w:ind w:left="0"/>
        <w:rPr>
          <w:rStyle w:val="Hyperlink"/>
          <w:sz w:val="20"/>
          <w:szCs w:val="20"/>
        </w:rPr>
      </w:pPr>
      <w:hyperlink r:id="rId17" w:history="1">
        <w:r w:rsidR="00280D21" w:rsidRPr="00CA3187">
          <w:rPr>
            <w:rStyle w:val="Hyperlink"/>
            <w:sz w:val="20"/>
            <w:szCs w:val="20"/>
          </w:rPr>
          <w:t>Payments Guideline</w:t>
        </w:r>
      </w:hyperlink>
    </w:p>
    <w:p w14:paraId="02D6C627" w14:textId="449170CE" w:rsidR="00F57C6F" w:rsidRDefault="00035C7C" w:rsidP="00F857A0">
      <w:pPr>
        <w:pStyle w:val="guidelinetext"/>
        <w:ind w:left="0"/>
        <w:rPr>
          <w:rStyle w:val="Hyperlink"/>
          <w:sz w:val="20"/>
          <w:szCs w:val="20"/>
        </w:rPr>
      </w:pPr>
      <w:hyperlink r:id="rId18" w:history="1">
        <w:r w:rsidR="00F57C6F" w:rsidRPr="00CA3187">
          <w:rPr>
            <w:rStyle w:val="Hyperlink"/>
            <w:sz w:val="20"/>
            <w:szCs w:val="20"/>
          </w:rPr>
          <w:t>Employment Fund Guideline</w:t>
        </w:r>
      </w:hyperlink>
    </w:p>
    <w:p w14:paraId="12C3C6CB" w14:textId="77777777" w:rsidR="00D144B1" w:rsidRDefault="00D144B1">
      <w:pPr>
        <w:rPr>
          <w:sz w:val="20"/>
        </w:rPr>
      </w:pPr>
      <w:r>
        <w:br w:type="page"/>
      </w:r>
    </w:p>
    <w:sdt>
      <w:sdtPr>
        <w:rPr>
          <w:color w:val="auto"/>
          <w:lang w:val="en-AU"/>
        </w:rPr>
        <w:id w:val="-288354592"/>
        <w:docPartObj>
          <w:docPartGallery w:val="Table of Contents"/>
          <w:docPartUnique/>
        </w:docPartObj>
      </w:sdtPr>
      <w:sdtEndPr>
        <w:rPr>
          <w:b/>
          <w:bCs/>
          <w:noProof/>
        </w:rPr>
      </w:sdtEndPr>
      <w:sdtContent>
        <w:p w14:paraId="533E7040" w14:textId="77777777" w:rsidR="00343B95" w:rsidRDefault="00040C1D" w:rsidP="00343B95">
          <w:pPr>
            <w:pStyle w:val="TOCHeading"/>
            <w:rPr>
              <w:noProof/>
            </w:rPr>
          </w:pPr>
          <w:r w:rsidRPr="00343B95">
            <w:rPr>
              <w:b/>
            </w:rPr>
            <w:t>Contents</w:t>
          </w:r>
          <w:r w:rsidR="00FD3FBB">
            <w:rPr>
              <w:b/>
            </w:rPr>
            <w:fldChar w:fldCharType="begin"/>
          </w:r>
          <w:r w:rsidR="00FD3FBB" w:rsidRPr="00343B95">
            <w:rPr>
              <w:b/>
            </w:rPr>
            <w:instrText xml:space="preserve"> TOC \o "1-3" \h \z \u </w:instrText>
          </w:r>
          <w:r w:rsidR="00FD3FBB">
            <w:rPr>
              <w:b/>
            </w:rPr>
            <w:fldChar w:fldCharType="separate"/>
          </w:r>
        </w:p>
        <w:p w14:paraId="1D652BF5" w14:textId="070FD253" w:rsidR="00343B95" w:rsidRDefault="00035C7C">
          <w:pPr>
            <w:pStyle w:val="TOC1"/>
            <w:rPr>
              <w:rFonts w:eastAsiaTheme="minorEastAsia"/>
              <w:noProof/>
              <w:lang w:eastAsia="en-AU"/>
            </w:rPr>
          </w:pPr>
          <w:hyperlink w:anchor="_Toc40103094" w:history="1">
            <w:r w:rsidR="00343B95" w:rsidRPr="00E72A32">
              <w:rPr>
                <w:rStyle w:val="Hyperlink"/>
                <w:rFonts w:asciiTheme="majorHAnsi" w:eastAsiaTheme="majorEastAsia" w:hAnsiTheme="majorHAnsi" w:cstheme="majorBidi"/>
                <w:noProof/>
              </w:rPr>
              <w:t>Changes from the previous version (Version 1.0)</w:t>
            </w:r>
            <w:r w:rsidR="00343B95">
              <w:rPr>
                <w:noProof/>
                <w:webHidden/>
              </w:rPr>
              <w:tab/>
            </w:r>
            <w:r w:rsidR="00343B95">
              <w:rPr>
                <w:noProof/>
                <w:webHidden/>
              </w:rPr>
              <w:fldChar w:fldCharType="begin"/>
            </w:r>
            <w:r w:rsidR="00343B95">
              <w:rPr>
                <w:noProof/>
                <w:webHidden/>
              </w:rPr>
              <w:instrText xml:space="preserve"> PAGEREF _Toc40103094 \h </w:instrText>
            </w:r>
            <w:r w:rsidR="00343B95">
              <w:rPr>
                <w:noProof/>
                <w:webHidden/>
              </w:rPr>
            </w:r>
            <w:r w:rsidR="00343B95">
              <w:rPr>
                <w:noProof/>
                <w:webHidden/>
              </w:rPr>
              <w:fldChar w:fldCharType="separate"/>
            </w:r>
            <w:r>
              <w:rPr>
                <w:noProof/>
                <w:webHidden/>
              </w:rPr>
              <w:t>1</w:t>
            </w:r>
            <w:r w:rsidR="00343B95">
              <w:rPr>
                <w:noProof/>
                <w:webHidden/>
              </w:rPr>
              <w:fldChar w:fldCharType="end"/>
            </w:r>
          </w:hyperlink>
        </w:p>
        <w:p w14:paraId="4D540E46" w14:textId="408248CE" w:rsidR="00343B95" w:rsidRDefault="00035C7C">
          <w:pPr>
            <w:pStyle w:val="TOC2"/>
            <w:rPr>
              <w:rFonts w:eastAsiaTheme="minorEastAsia"/>
              <w:noProof/>
              <w:lang w:eastAsia="en-AU"/>
            </w:rPr>
          </w:pPr>
          <w:hyperlink w:anchor="_Toc40103095" w:history="1">
            <w:r w:rsidR="00343B95" w:rsidRPr="00E72A32">
              <w:rPr>
                <w:rStyle w:val="Hyperlink"/>
                <w:rFonts w:cstheme="minorHAnsi"/>
                <w:noProof/>
              </w:rPr>
              <w:t>Policy changes:</w:t>
            </w:r>
            <w:r w:rsidR="00343B95">
              <w:rPr>
                <w:noProof/>
                <w:webHidden/>
              </w:rPr>
              <w:tab/>
            </w:r>
            <w:r w:rsidR="00343B95">
              <w:rPr>
                <w:noProof/>
                <w:webHidden/>
              </w:rPr>
              <w:fldChar w:fldCharType="begin"/>
            </w:r>
            <w:r w:rsidR="00343B95">
              <w:rPr>
                <w:noProof/>
                <w:webHidden/>
              </w:rPr>
              <w:instrText xml:space="preserve"> PAGEREF _Toc40103095 \h </w:instrText>
            </w:r>
            <w:r w:rsidR="00343B95">
              <w:rPr>
                <w:noProof/>
                <w:webHidden/>
              </w:rPr>
            </w:r>
            <w:r w:rsidR="00343B95">
              <w:rPr>
                <w:noProof/>
                <w:webHidden/>
              </w:rPr>
              <w:fldChar w:fldCharType="separate"/>
            </w:r>
            <w:r>
              <w:rPr>
                <w:noProof/>
                <w:webHidden/>
              </w:rPr>
              <w:t>1</w:t>
            </w:r>
            <w:r w:rsidR="00343B95">
              <w:rPr>
                <w:noProof/>
                <w:webHidden/>
              </w:rPr>
              <w:fldChar w:fldCharType="end"/>
            </w:r>
          </w:hyperlink>
        </w:p>
        <w:p w14:paraId="2CB47D15" w14:textId="059CF515" w:rsidR="00343B95" w:rsidRDefault="00035C7C">
          <w:pPr>
            <w:pStyle w:val="TOC2"/>
            <w:rPr>
              <w:rFonts w:eastAsiaTheme="minorEastAsia"/>
              <w:noProof/>
              <w:lang w:eastAsia="en-AU"/>
            </w:rPr>
          </w:pPr>
          <w:hyperlink w:anchor="_Toc40103096" w:history="1">
            <w:r w:rsidR="00343B95" w:rsidRPr="00E72A32">
              <w:rPr>
                <w:rStyle w:val="Hyperlink"/>
                <w:rFonts w:cstheme="minorHAnsi"/>
                <w:noProof/>
              </w:rPr>
              <w:t>Wording changes:</w:t>
            </w:r>
            <w:r w:rsidR="00343B95">
              <w:rPr>
                <w:noProof/>
                <w:webHidden/>
              </w:rPr>
              <w:tab/>
            </w:r>
            <w:r w:rsidR="00343B95">
              <w:rPr>
                <w:noProof/>
                <w:webHidden/>
              </w:rPr>
              <w:fldChar w:fldCharType="begin"/>
            </w:r>
            <w:r w:rsidR="00343B95">
              <w:rPr>
                <w:noProof/>
                <w:webHidden/>
              </w:rPr>
              <w:instrText xml:space="preserve"> PAGEREF _Toc40103096 \h </w:instrText>
            </w:r>
            <w:r w:rsidR="00343B95">
              <w:rPr>
                <w:noProof/>
                <w:webHidden/>
              </w:rPr>
            </w:r>
            <w:r w:rsidR="00343B95">
              <w:rPr>
                <w:noProof/>
                <w:webHidden/>
              </w:rPr>
              <w:fldChar w:fldCharType="separate"/>
            </w:r>
            <w:r>
              <w:rPr>
                <w:noProof/>
                <w:webHidden/>
              </w:rPr>
              <w:t>1</w:t>
            </w:r>
            <w:r w:rsidR="00343B95">
              <w:rPr>
                <w:noProof/>
                <w:webHidden/>
              </w:rPr>
              <w:fldChar w:fldCharType="end"/>
            </w:r>
          </w:hyperlink>
        </w:p>
        <w:p w14:paraId="232F4674" w14:textId="5EFDA5C8" w:rsidR="00343B95" w:rsidRDefault="00035C7C">
          <w:pPr>
            <w:pStyle w:val="TOC2"/>
            <w:rPr>
              <w:rFonts w:eastAsiaTheme="minorEastAsia"/>
              <w:noProof/>
              <w:lang w:eastAsia="en-AU"/>
            </w:rPr>
          </w:pPr>
          <w:hyperlink w:anchor="_Toc40103097" w:history="1">
            <w:r w:rsidR="00343B95" w:rsidRPr="00E72A32">
              <w:rPr>
                <w:rStyle w:val="Hyperlink"/>
                <w:rFonts w:cstheme="minorHAnsi"/>
                <w:noProof/>
              </w:rPr>
              <w:t>Document Change History:</w:t>
            </w:r>
            <w:r w:rsidR="00343B95">
              <w:rPr>
                <w:noProof/>
                <w:webHidden/>
              </w:rPr>
              <w:tab/>
            </w:r>
            <w:r w:rsidR="00343B95">
              <w:rPr>
                <w:noProof/>
                <w:webHidden/>
              </w:rPr>
              <w:fldChar w:fldCharType="begin"/>
            </w:r>
            <w:r w:rsidR="00343B95">
              <w:rPr>
                <w:noProof/>
                <w:webHidden/>
              </w:rPr>
              <w:instrText xml:space="preserve"> PAGEREF _Toc40103097 \h </w:instrText>
            </w:r>
            <w:r w:rsidR="00343B95">
              <w:rPr>
                <w:noProof/>
                <w:webHidden/>
              </w:rPr>
            </w:r>
            <w:r w:rsidR="00343B95">
              <w:rPr>
                <w:noProof/>
                <w:webHidden/>
              </w:rPr>
              <w:fldChar w:fldCharType="separate"/>
            </w:r>
            <w:r>
              <w:rPr>
                <w:noProof/>
                <w:webHidden/>
              </w:rPr>
              <w:t>1</w:t>
            </w:r>
            <w:r w:rsidR="00343B95">
              <w:rPr>
                <w:noProof/>
                <w:webHidden/>
              </w:rPr>
              <w:fldChar w:fldCharType="end"/>
            </w:r>
          </w:hyperlink>
        </w:p>
        <w:p w14:paraId="67AE8FFA" w14:textId="476FF535" w:rsidR="00343B95" w:rsidRDefault="00035C7C">
          <w:pPr>
            <w:pStyle w:val="TOC1"/>
            <w:rPr>
              <w:rFonts w:eastAsiaTheme="minorEastAsia"/>
              <w:noProof/>
              <w:lang w:eastAsia="en-AU"/>
            </w:rPr>
          </w:pPr>
          <w:hyperlink w:anchor="_Toc40103098" w:history="1">
            <w:r w:rsidR="00343B95" w:rsidRPr="00E72A32">
              <w:rPr>
                <w:rStyle w:val="Hyperlink"/>
                <w:noProof/>
              </w:rPr>
              <w:t>Defined NEST periods are calculated by the Department’s IT Systems.</w:t>
            </w:r>
            <w:r w:rsidR="00343B95">
              <w:rPr>
                <w:noProof/>
                <w:webHidden/>
              </w:rPr>
              <w:tab/>
            </w:r>
            <w:r w:rsidR="00343B95">
              <w:rPr>
                <w:noProof/>
                <w:webHidden/>
              </w:rPr>
              <w:fldChar w:fldCharType="begin"/>
            </w:r>
            <w:r w:rsidR="00343B95">
              <w:rPr>
                <w:noProof/>
                <w:webHidden/>
              </w:rPr>
              <w:instrText xml:space="preserve"> PAGEREF _Toc40103098 \h </w:instrText>
            </w:r>
            <w:r w:rsidR="00343B95">
              <w:rPr>
                <w:noProof/>
                <w:webHidden/>
              </w:rPr>
            </w:r>
            <w:r w:rsidR="00343B95">
              <w:rPr>
                <w:noProof/>
                <w:webHidden/>
              </w:rPr>
              <w:fldChar w:fldCharType="separate"/>
            </w:r>
            <w:r>
              <w:rPr>
                <w:noProof/>
                <w:webHidden/>
              </w:rPr>
              <w:t>3</w:t>
            </w:r>
            <w:r w:rsidR="00343B95">
              <w:rPr>
                <w:noProof/>
                <w:webHidden/>
              </w:rPr>
              <w:fldChar w:fldCharType="end"/>
            </w:r>
          </w:hyperlink>
        </w:p>
        <w:p w14:paraId="2ED660BC" w14:textId="0F779E31" w:rsidR="00343B95" w:rsidRDefault="00035C7C">
          <w:pPr>
            <w:pStyle w:val="TOC1"/>
            <w:rPr>
              <w:rFonts w:eastAsiaTheme="minorEastAsia"/>
              <w:noProof/>
              <w:lang w:eastAsia="en-AU"/>
            </w:rPr>
          </w:pPr>
          <w:hyperlink w:anchor="_Toc40103099" w:history="1">
            <w:r w:rsidR="00343B95" w:rsidRPr="00E72A32">
              <w:rPr>
                <w:rStyle w:val="Hyperlink"/>
                <w:noProof/>
              </w:rPr>
              <w:t>What are Suspensions?</w:t>
            </w:r>
            <w:r w:rsidR="00343B95">
              <w:rPr>
                <w:noProof/>
                <w:webHidden/>
              </w:rPr>
              <w:tab/>
            </w:r>
            <w:r w:rsidR="00343B95">
              <w:rPr>
                <w:noProof/>
                <w:webHidden/>
              </w:rPr>
              <w:fldChar w:fldCharType="begin"/>
            </w:r>
            <w:r w:rsidR="00343B95">
              <w:rPr>
                <w:noProof/>
                <w:webHidden/>
              </w:rPr>
              <w:instrText xml:space="preserve"> PAGEREF _Toc40103099 \h </w:instrText>
            </w:r>
            <w:r w:rsidR="00343B95">
              <w:rPr>
                <w:noProof/>
                <w:webHidden/>
              </w:rPr>
            </w:r>
            <w:r w:rsidR="00343B95">
              <w:rPr>
                <w:noProof/>
                <w:webHidden/>
              </w:rPr>
              <w:fldChar w:fldCharType="separate"/>
            </w:r>
            <w:r>
              <w:rPr>
                <w:noProof/>
                <w:webHidden/>
              </w:rPr>
              <w:t>4</w:t>
            </w:r>
            <w:r w:rsidR="00343B95">
              <w:rPr>
                <w:noProof/>
                <w:webHidden/>
              </w:rPr>
              <w:fldChar w:fldCharType="end"/>
            </w:r>
          </w:hyperlink>
        </w:p>
        <w:p w14:paraId="7149C9E3" w14:textId="402852C3" w:rsidR="00343B95" w:rsidRDefault="00035C7C">
          <w:pPr>
            <w:pStyle w:val="TOC1"/>
            <w:rPr>
              <w:rFonts w:eastAsiaTheme="minorEastAsia"/>
              <w:noProof/>
              <w:lang w:eastAsia="en-AU"/>
            </w:rPr>
          </w:pPr>
          <w:hyperlink w:anchor="_Toc40103100" w:history="1">
            <w:r w:rsidR="00343B95" w:rsidRPr="00E72A32">
              <w:rPr>
                <w:rStyle w:val="Hyperlink"/>
                <w:noProof/>
              </w:rPr>
              <w:t>When are Participants Suspended?</w:t>
            </w:r>
            <w:r w:rsidR="00343B95">
              <w:rPr>
                <w:noProof/>
                <w:webHidden/>
              </w:rPr>
              <w:tab/>
            </w:r>
            <w:r w:rsidR="00343B95">
              <w:rPr>
                <w:noProof/>
                <w:webHidden/>
              </w:rPr>
              <w:fldChar w:fldCharType="begin"/>
            </w:r>
            <w:r w:rsidR="00343B95">
              <w:rPr>
                <w:noProof/>
                <w:webHidden/>
              </w:rPr>
              <w:instrText xml:space="preserve"> PAGEREF _Toc40103100 \h </w:instrText>
            </w:r>
            <w:r w:rsidR="00343B95">
              <w:rPr>
                <w:noProof/>
                <w:webHidden/>
              </w:rPr>
            </w:r>
            <w:r w:rsidR="00343B95">
              <w:rPr>
                <w:noProof/>
                <w:webHidden/>
              </w:rPr>
              <w:fldChar w:fldCharType="separate"/>
            </w:r>
            <w:r>
              <w:rPr>
                <w:noProof/>
                <w:webHidden/>
              </w:rPr>
              <w:t>4</w:t>
            </w:r>
            <w:r w:rsidR="00343B95">
              <w:rPr>
                <w:noProof/>
                <w:webHidden/>
              </w:rPr>
              <w:fldChar w:fldCharType="end"/>
            </w:r>
          </w:hyperlink>
        </w:p>
        <w:p w14:paraId="36D2EF25" w14:textId="07907071" w:rsidR="00343B95" w:rsidRDefault="00035C7C">
          <w:pPr>
            <w:pStyle w:val="TOC1"/>
            <w:rPr>
              <w:rFonts w:eastAsiaTheme="minorEastAsia"/>
              <w:noProof/>
              <w:lang w:eastAsia="en-AU"/>
            </w:rPr>
          </w:pPr>
          <w:hyperlink w:anchor="_Toc40103101" w:history="1">
            <w:r w:rsidR="00343B95" w:rsidRPr="00E72A32">
              <w:rPr>
                <w:rStyle w:val="Hyperlink"/>
                <w:noProof/>
              </w:rPr>
              <w:t>Who applies a Suspension?</w:t>
            </w:r>
            <w:r w:rsidR="00343B95">
              <w:rPr>
                <w:noProof/>
                <w:webHidden/>
              </w:rPr>
              <w:tab/>
            </w:r>
            <w:r w:rsidR="00343B95">
              <w:rPr>
                <w:noProof/>
                <w:webHidden/>
              </w:rPr>
              <w:fldChar w:fldCharType="begin"/>
            </w:r>
            <w:r w:rsidR="00343B95">
              <w:rPr>
                <w:noProof/>
                <w:webHidden/>
              </w:rPr>
              <w:instrText xml:space="preserve"> PAGEREF _Toc40103101 \h </w:instrText>
            </w:r>
            <w:r w:rsidR="00343B95">
              <w:rPr>
                <w:noProof/>
                <w:webHidden/>
              </w:rPr>
            </w:r>
            <w:r w:rsidR="00343B95">
              <w:rPr>
                <w:noProof/>
                <w:webHidden/>
              </w:rPr>
              <w:fldChar w:fldCharType="separate"/>
            </w:r>
            <w:r>
              <w:rPr>
                <w:noProof/>
                <w:webHidden/>
              </w:rPr>
              <w:t>5</w:t>
            </w:r>
            <w:r w:rsidR="00343B95">
              <w:rPr>
                <w:noProof/>
                <w:webHidden/>
              </w:rPr>
              <w:fldChar w:fldCharType="end"/>
            </w:r>
          </w:hyperlink>
        </w:p>
        <w:p w14:paraId="552D24A6" w14:textId="7F2E0985" w:rsidR="00343B95" w:rsidRDefault="00035C7C">
          <w:pPr>
            <w:pStyle w:val="TOC2"/>
            <w:rPr>
              <w:rFonts w:eastAsiaTheme="minorEastAsia"/>
              <w:noProof/>
              <w:lang w:eastAsia="en-AU"/>
            </w:rPr>
          </w:pPr>
          <w:hyperlink w:anchor="_Toc40103102" w:history="1">
            <w:r w:rsidR="00343B95" w:rsidRPr="00E72A32">
              <w:rPr>
                <w:rStyle w:val="Hyperlink"/>
                <w:noProof/>
              </w:rPr>
              <w:t>Suspensions can be applied by Services Australia if:</w:t>
            </w:r>
            <w:r w:rsidR="00343B95">
              <w:rPr>
                <w:noProof/>
                <w:webHidden/>
              </w:rPr>
              <w:tab/>
            </w:r>
            <w:r w:rsidR="00343B95">
              <w:rPr>
                <w:noProof/>
                <w:webHidden/>
              </w:rPr>
              <w:fldChar w:fldCharType="begin"/>
            </w:r>
            <w:r w:rsidR="00343B95">
              <w:rPr>
                <w:noProof/>
                <w:webHidden/>
              </w:rPr>
              <w:instrText xml:space="preserve"> PAGEREF _Toc40103102 \h </w:instrText>
            </w:r>
            <w:r w:rsidR="00343B95">
              <w:rPr>
                <w:noProof/>
                <w:webHidden/>
              </w:rPr>
            </w:r>
            <w:r w:rsidR="00343B95">
              <w:rPr>
                <w:noProof/>
                <w:webHidden/>
              </w:rPr>
              <w:fldChar w:fldCharType="separate"/>
            </w:r>
            <w:r>
              <w:rPr>
                <w:noProof/>
                <w:webHidden/>
              </w:rPr>
              <w:t>5</w:t>
            </w:r>
            <w:r w:rsidR="00343B95">
              <w:rPr>
                <w:noProof/>
                <w:webHidden/>
              </w:rPr>
              <w:fldChar w:fldCharType="end"/>
            </w:r>
          </w:hyperlink>
        </w:p>
        <w:p w14:paraId="3FE3D5B6" w14:textId="686344FE" w:rsidR="00343B95" w:rsidRDefault="00035C7C">
          <w:pPr>
            <w:pStyle w:val="TOC2"/>
            <w:rPr>
              <w:rFonts w:eastAsiaTheme="minorEastAsia"/>
              <w:noProof/>
              <w:lang w:eastAsia="en-AU"/>
            </w:rPr>
          </w:pPr>
          <w:hyperlink w:anchor="_Toc40103103" w:history="1">
            <w:r w:rsidR="00343B95" w:rsidRPr="00E72A32">
              <w:rPr>
                <w:rStyle w:val="Hyperlink"/>
                <w:noProof/>
              </w:rPr>
              <w:t>Suspensions can be applied by Providers or the Contact Centre if:</w:t>
            </w:r>
            <w:r w:rsidR="00343B95">
              <w:rPr>
                <w:noProof/>
                <w:webHidden/>
              </w:rPr>
              <w:tab/>
            </w:r>
            <w:r w:rsidR="00343B95">
              <w:rPr>
                <w:noProof/>
                <w:webHidden/>
              </w:rPr>
              <w:fldChar w:fldCharType="begin"/>
            </w:r>
            <w:r w:rsidR="00343B95">
              <w:rPr>
                <w:noProof/>
                <w:webHidden/>
              </w:rPr>
              <w:instrText xml:space="preserve"> PAGEREF _Toc40103103 \h </w:instrText>
            </w:r>
            <w:r w:rsidR="00343B95">
              <w:rPr>
                <w:noProof/>
                <w:webHidden/>
              </w:rPr>
            </w:r>
            <w:r w:rsidR="00343B95">
              <w:rPr>
                <w:noProof/>
                <w:webHidden/>
              </w:rPr>
              <w:fldChar w:fldCharType="separate"/>
            </w:r>
            <w:r>
              <w:rPr>
                <w:noProof/>
                <w:webHidden/>
              </w:rPr>
              <w:t>5</w:t>
            </w:r>
            <w:r w:rsidR="00343B95">
              <w:rPr>
                <w:noProof/>
                <w:webHidden/>
              </w:rPr>
              <w:fldChar w:fldCharType="end"/>
            </w:r>
          </w:hyperlink>
        </w:p>
        <w:p w14:paraId="228A860E" w14:textId="09089256" w:rsidR="00343B95" w:rsidRDefault="00035C7C">
          <w:pPr>
            <w:pStyle w:val="TOC2"/>
            <w:rPr>
              <w:rFonts w:eastAsiaTheme="minorEastAsia"/>
              <w:noProof/>
              <w:lang w:eastAsia="en-AU"/>
            </w:rPr>
          </w:pPr>
          <w:hyperlink w:anchor="_Toc40103104" w:history="1">
            <w:r w:rsidR="00343B95" w:rsidRPr="00E72A32">
              <w:rPr>
                <w:rStyle w:val="Hyperlink"/>
                <w:noProof/>
              </w:rPr>
              <w:t>Suspensions can be applied by the Department on behalf of Providers if:</w:t>
            </w:r>
            <w:r w:rsidR="00343B95">
              <w:rPr>
                <w:noProof/>
                <w:webHidden/>
              </w:rPr>
              <w:tab/>
            </w:r>
            <w:r w:rsidR="00343B95">
              <w:rPr>
                <w:noProof/>
                <w:webHidden/>
              </w:rPr>
              <w:fldChar w:fldCharType="begin"/>
            </w:r>
            <w:r w:rsidR="00343B95">
              <w:rPr>
                <w:noProof/>
                <w:webHidden/>
              </w:rPr>
              <w:instrText xml:space="preserve"> PAGEREF _Toc40103104 \h </w:instrText>
            </w:r>
            <w:r w:rsidR="00343B95">
              <w:rPr>
                <w:noProof/>
                <w:webHidden/>
              </w:rPr>
            </w:r>
            <w:r w:rsidR="00343B95">
              <w:rPr>
                <w:noProof/>
                <w:webHidden/>
              </w:rPr>
              <w:fldChar w:fldCharType="separate"/>
            </w:r>
            <w:r>
              <w:rPr>
                <w:noProof/>
                <w:webHidden/>
              </w:rPr>
              <w:t>5</w:t>
            </w:r>
            <w:r w:rsidR="00343B95">
              <w:rPr>
                <w:noProof/>
                <w:webHidden/>
              </w:rPr>
              <w:fldChar w:fldCharType="end"/>
            </w:r>
          </w:hyperlink>
        </w:p>
        <w:p w14:paraId="37457FE2" w14:textId="1A3C5902" w:rsidR="00343B95" w:rsidRDefault="00035C7C">
          <w:pPr>
            <w:pStyle w:val="TOC1"/>
            <w:rPr>
              <w:rFonts w:eastAsiaTheme="minorEastAsia"/>
              <w:noProof/>
              <w:lang w:eastAsia="en-AU"/>
            </w:rPr>
          </w:pPr>
          <w:hyperlink w:anchor="_Toc40103105" w:history="1">
            <w:r w:rsidR="00343B95" w:rsidRPr="00E72A32">
              <w:rPr>
                <w:rStyle w:val="Hyperlink"/>
                <w:noProof/>
              </w:rPr>
              <w:t>Participants who are Suspended can voluntarily participate in Trial Provider Services</w:t>
            </w:r>
            <w:r w:rsidR="00343B95">
              <w:rPr>
                <w:noProof/>
                <w:webHidden/>
              </w:rPr>
              <w:tab/>
            </w:r>
            <w:r w:rsidR="00343B95">
              <w:rPr>
                <w:noProof/>
                <w:webHidden/>
              </w:rPr>
              <w:fldChar w:fldCharType="begin"/>
            </w:r>
            <w:r w:rsidR="00343B95">
              <w:rPr>
                <w:noProof/>
                <w:webHidden/>
              </w:rPr>
              <w:instrText xml:space="preserve"> PAGEREF _Toc40103105 \h </w:instrText>
            </w:r>
            <w:r w:rsidR="00343B95">
              <w:rPr>
                <w:noProof/>
                <w:webHidden/>
              </w:rPr>
            </w:r>
            <w:r w:rsidR="00343B95">
              <w:rPr>
                <w:noProof/>
                <w:webHidden/>
              </w:rPr>
              <w:fldChar w:fldCharType="separate"/>
            </w:r>
            <w:r>
              <w:rPr>
                <w:noProof/>
                <w:webHidden/>
              </w:rPr>
              <w:t>5</w:t>
            </w:r>
            <w:r w:rsidR="00343B95">
              <w:rPr>
                <w:noProof/>
                <w:webHidden/>
              </w:rPr>
              <w:fldChar w:fldCharType="end"/>
            </w:r>
          </w:hyperlink>
        </w:p>
        <w:p w14:paraId="0047CECE" w14:textId="6D5A013D" w:rsidR="00343B95" w:rsidRDefault="00035C7C">
          <w:pPr>
            <w:pStyle w:val="TOC1"/>
            <w:rPr>
              <w:rFonts w:eastAsiaTheme="minorEastAsia"/>
              <w:noProof/>
              <w:lang w:eastAsia="en-AU"/>
            </w:rPr>
          </w:pPr>
          <w:hyperlink w:anchor="_Toc40103106" w:history="1">
            <w:r w:rsidR="00343B95" w:rsidRPr="00E72A32">
              <w:rPr>
                <w:rStyle w:val="Hyperlink"/>
                <w:noProof/>
              </w:rPr>
              <w:t>Services resume when a Suspension ends</w:t>
            </w:r>
            <w:r w:rsidR="00343B95">
              <w:rPr>
                <w:noProof/>
                <w:webHidden/>
              </w:rPr>
              <w:tab/>
            </w:r>
            <w:r w:rsidR="00343B95">
              <w:rPr>
                <w:noProof/>
                <w:webHidden/>
              </w:rPr>
              <w:fldChar w:fldCharType="begin"/>
            </w:r>
            <w:r w:rsidR="00343B95">
              <w:rPr>
                <w:noProof/>
                <w:webHidden/>
              </w:rPr>
              <w:instrText xml:space="preserve"> PAGEREF _Toc40103106 \h </w:instrText>
            </w:r>
            <w:r w:rsidR="00343B95">
              <w:rPr>
                <w:noProof/>
                <w:webHidden/>
              </w:rPr>
            </w:r>
            <w:r w:rsidR="00343B95">
              <w:rPr>
                <w:noProof/>
                <w:webHidden/>
              </w:rPr>
              <w:fldChar w:fldCharType="separate"/>
            </w:r>
            <w:r>
              <w:rPr>
                <w:noProof/>
                <w:webHidden/>
              </w:rPr>
              <w:t>6</w:t>
            </w:r>
            <w:r w:rsidR="00343B95">
              <w:rPr>
                <w:noProof/>
                <w:webHidden/>
              </w:rPr>
              <w:fldChar w:fldCharType="end"/>
            </w:r>
          </w:hyperlink>
        </w:p>
        <w:p w14:paraId="5DD5762C" w14:textId="45CF2206" w:rsidR="00343B95" w:rsidRDefault="00035C7C">
          <w:pPr>
            <w:pStyle w:val="TOC1"/>
            <w:rPr>
              <w:rFonts w:eastAsiaTheme="minorEastAsia"/>
              <w:noProof/>
              <w:lang w:eastAsia="en-AU"/>
            </w:rPr>
          </w:pPr>
          <w:hyperlink w:anchor="_Toc40103107" w:history="1">
            <w:r w:rsidR="00343B95" w:rsidRPr="00E72A32">
              <w:rPr>
                <w:rStyle w:val="Hyperlink"/>
                <w:noProof/>
              </w:rPr>
              <w:t>The Effect of Suspensions on Defined Periods in NEST</w:t>
            </w:r>
            <w:r w:rsidR="00343B95">
              <w:rPr>
                <w:noProof/>
                <w:webHidden/>
              </w:rPr>
              <w:tab/>
            </w:r>
            <w:r w:rsidR="00343B95">
              <w:rPr>
                <w:noProof/>
                <w:webHidden/>
              </w:rPr>
              <w:fldChar w:fldCharType="begin"/>
            </w:r>
            <w:r w:rsidR="00343B95">
              <w:rPr>
                <w:noProof/>
                <w:webHidden/>
              </w:rPr>
              <w:instrText xml:space="preserve"> PAGEREF _Toc40103107 \h </w:instrText>
            </w:r>
            <w:r w:rsidR="00343B95">
              <w:rPr>
                <w:noProof/>
                <w:webHidden/>
              </w:rPr>
            </w:r>
            <w:r w:rsidR="00343B95">
              <w:rPr>
                <w:noProof/>
                <w:webHidden/>
              </w:rPr>
              <w:fldChar w:fldCharType="separate"/>
            </w:r>
            <w:r>
              <w:rPr>
                <w:noProof/>
                <w:webHidden/>
              </w:rPr>
              <w:t>6</w:t>
            </w:r>
            <w:r w:rsidR="00343B95">
              <w:rPr>
                <w:noProof/>
                <w:webHidden/>
              </w:rPr>
              <w:fldChar w:fldCharType="end"/>
            </w:r>
          </w:hyperlink>
        </w:p>
        <w:p w14:paraId="61235ECF" w14:textId="109342A9" w:rsidR="00343B95" w:rsidRDefault="00035C7C">
          <w:pPr>
            <w:pStyle w:val="TOC1"/>
            <w:rPr>
              <w:rFonts w:eastAsiaTheme="minorEastAsia"/>
              <w:noProof/>
              <w:lang w:eastAsia="en-AU"/>
            </w:rPr>
          </w:pPr>
          <w:hyperlink w:anchor="_Toc40103108" w:history="1">
            <w:r w:rsidR="00343B95" w:rsidRPr="00E72A32">
              <w:rPr>
                <w:rStyle w:val="Hyperlink"/>
                <w:noProof/>
              </w:rPr>
              <w:t>What is an Exit?</w:t>
            </w:r>
            <w:r w:rsidR="00343B95">
              <w:rPr>
                <w:noProof/>
                <w:webHidden/>
              </w:rPr>
              <w:tab/>
            </w:r>
            <w:r w:rsidR="00343B95">
              <w:rPr>
                <w:noProof/>
                <w:webHidden/>
              </w:rPr>
              <w:fldChar w:fldCharType="begin"/>
            </w:r>
            <w:r w:rsidR="00343B95">
              <w:rPr>
                <w:noProof/>
                <w:webHidden/>
              </w:rPr>
              <w:instrText xml:space="preserve"> PAGEREF _Toc40103108 \h </w:instrText>
            </w:r>
            <w:r w:rsidR="00343B95">
              <w:rPr>
                <w:noProof/>
                <w:webHidden/>
              </w:rPr>
            </w:r>
            <w:r w:rsidR="00343B95">
              <w:rPr>
                <w:noProof/>
                <w:webHidden/>
              </w:rPr>
              <w:fldChar w:fldCharType="separate"/>
            </w:r>
            <w:r>
              <w:rPr>
                <w:noProof/>
                <w:webHidden/>
              </w:rPr>
              <w:t>6</w:t>
            </w:r>
            <w:r w:rsidR="00343B95">
              <w:rPr>
                <w:noProof/>
                <w:webHidden/>
              </w:rPr>
              <w:fldChar w:fldCharType="end"/>
            </w:r>
          </w:hyperlink>
        </w:p>
        <w:p w14:paraId="24F917D9" w14:textId="158624D6" w:rsidR="00343B95" w:rsidRDefault="00035C7C">
          <w:pPr>
            <w:pStyle w:val="TOC1"/>
            <w:rPr>
              <w:rFonts w:eastAsiaTheme="minorEastAsia"/>
              <w:noProof/>
              <w:lang w:eastAsia="en-AU"/>
            </w:rPr>
          </w:pPr>
          <w:hyperlink w:anchor="_Toc40103109" w:history="1">
            <w:r w:rsidR="00343B95" w:rsidRPr="00E72A32">
              <w:rPr>
                <w:rStyle w:val="Hyperlink"/>
                <w:noProof/>
              </w:rPr>
              <w:t>When are Participants Exited?</w:t>
            </w:r>
            <w:r w:rsidR="00343B95">
              <w:rPr>
                <w:noProof/>
                <w:webHidden/>
              </w:rPr>
              <w:tab/>
            </w:r>
            <w:r w:rsidR="00343B95">
              <w:rPr>
                <w:noProof/>
                <w:webHidden/>
              </w:rPr>
              <w:fldChar w:fldCharType="begin"/>
            </w:r>
            <w:r w:rsidR="00343B95">
              <w:rPr>
                <w:noProof/>
                <w:webHidden/>
              </w:rPr>
              <w:instrText xml:space="preserve"> PAGEREF _Toc40103109 \h </w:instrText>
            </w:r>
            <w:r w:rsidR="00343B95">
              <w:rPr>
                <w:noProof/>
                <w:webHidden/>
              </w:rPr>
            </w:r>
            <w:r w:rsidR="00343B95">
              <w:rPr>
                <w:noProof/>
                <w:webHidden/>
              </w:rPr>
              <w:fldChar w:fldCharType="separate"/>
            </w:r>
            <w:r>
              <w:rPr>
                <w:noProof/>
                <w:webHidden/>
              </w:rPr>
              <w:t>6</w:t>
            </w:r>
            <w:r w:rsidR="00343B95">
              <w:rPr>
                <w:noProof/>
                <w:webHidden/>
              </w:rPr>
              <w:fldChar w:fldCharType="end"/>
            </w:r>
          </w:hyperlink>
        </w:p>
        <w:p w14:paraId="0314A1D9" w14:textId="69189B0D" w:rsidR="00343B95" w:rsidRDefault="00035C7C">
          <w:pPr>
            <w:pStyle w:val="TOC2"/>
            <w:rPr>
              <w:rFonts w:eastAsiaTheme="minorEastAsia"/>
              <w:noProof/>
              <w:lang w:eastAsia="en-AU"/>
            </w:rPr>
          </w:pPr>
          <w:hyperlink w:anchor="_Toc40103110" w:history="1">
            <w:r w:rsidR="00343B95" w:rsidRPr="00E72A32">
              <w:rPr>
                <w:rStyle w:val="Hyperlink"/>
                <w:noProof/>
              </w:rPr>
              <w:t>Automatic Exits (Effective Exit)</w:t>
            </w:r>
            <w:r w:rsidR="00343B95">
              <w:rPr>
                <w:noProof/>
                <w:webHidden/>
              </w:rPr>
              <w:tab/>
            </w:r>
            <w:r w:rsidR="00343B95">
              <w:rPr>
                <w:noProof/>
                <w:webHidden/>
              </w:rPr>
              <w:fldChar w:fldCharType="begin"/>
            </w:r>
            <w:r w:rsidR="00343B95">
              <w:rPr>
                <w:noProof/>
                <w:webHidden/>
              </w:rPr>
              <w:instrText xml:space="preserve"> PAGEREF _Toc40103110 \h </w:instrText>
            </w:r>
            <w:r w:rsidR="00343B95">
              <w:rPr>
                <w:noProof/>
                <w:webHidden/>
              </w:rPr>
            </w:r>
            <w:r w:rsidR="00343B95">
              <w:rPr>
                <w:noProof/>
                <w:webHidden/>
              </w:rPr>
              <w:fldChar w:fldCharType="separate"/>
            </w:r>
            <w:r>
              <w:rPr>
                <w:noProof/>
                <w:webHidden/>
              </w:rPr>
              <w:t>6</w:t>
            </w:r>
            <w:r w:rsidR="00343B95">
              <w:rPr>
                <w:noProof/>
                <w:webHidden/>
              </w:rPr>
              <w:fldChar w:fldCharType="end"/>
            </w:r>
          </w:hyperlink>
        </w:p>
        <w:p w14:paraId="4991B648" w14:textId="7751608C" w:rsidR="00343B95" w:rsidRDefault="00035C7C">
          <w:pPr>
            <w:pStyle w:val="TOC2"/>
            <w:rPr>
              <w:rFonts w:eastAsiaTheme="minorEastAsia"/>
              <w:noProof/>
              <w:lang w:eastAsia="en-AU"/>
            </w:rPr>
          </w:pPr>
          <w:hyperlink w:anchor="_Toc40103111" w:history="1">
            <w:r w:rsidR="00343B95" w:rsidRPr="00E72A32">
              <w:rPr>
                <w:rStyle w:val="Hyperlink"/>
                <w:noProof/>
              </w:rPr>
              <w:t>Exits actioned by Providers (Provider Exit)</w:t>
            </w:r>
            <w:r w:rsidR="00343B95">
              <w:rPr>
                <w:noProof/>
                <w:webHidden/>
              </w:rPr>
              <w:tab/>
            </w:r>
            <w:r w:rsidR="00343B95">
              <w:rPr>
                <w:noProof/>
                <w:webHidden/>
              </w:rPr>
              <w:fldChar w:fldCharType="begin"/>
            </w:r>
            <w:r w:rsidR="00343B95">
              <w:rPr>
                <w:noProof/>
                <w:webHidden/>
              </w:rPr>
              <w:instrText xml:space="preserve"> PAGEREF _Toc40103111 \h </w:instrText>
            </w:r>
            <w:r w:rsidR="00343B95">
              <w:rPr>
                <w:noProof/>
                <w:webHidden/>
              </w:rPr>
            </w:r>
            <w:r w:rsidR="00343B95">
              <w:rPr>
                <w:noProof/>
                <w:webHidden/>
              </w:rPr>
              <w:fldChar w:fldCharType="separate"/>
            </w:r>
            <w:r>
              <w:rPr>
                <w:noProof/>
                <w:webHidden/>
              </w:rPr>
              <w:t>6</w:t>
            </w:r>
            <w:r w:rsidR="00343B95">
              <w:rPr>
                <w:noProof/>
                <w:webHidden/>
              </w:rPr>
              <w:fldChar w:fldCharType="end"/>
            </w:r>
          </w:hyperlink>
        </w:p>
        <w:p w14:paraId="760AC7B0" w14:textId="6484C586" w:rsidR="00343B95" w:rsidRDefault="00035C7C">
          <w:pPr>
            <w:pStyle w:val="TOC3"/>
            <w:rPr>
              <w:rFonts w:eastAsiaTheme="minorEastAsia"/>
              <w:noProof/>
              <w:lang w:eastAsia="en-AU"/>
            </w:rPr>
          </w:pPr>
          <w:hyperlink w:anchor="_Toc40103112" w:history="1">
            <w:r w:rsidR="00343B95" w:rsidRPr="00E72A32">
              <w:rPr>
                <w:rStyle w:val="Hyperlink"/>
                <w:noProof/>
              </w:rPr>
              <w:t>Participants with a Partial Capacity to Work (PCW)</w:t>
            </w:r>
            <w:r w:rsidR="00343B95">
              <w:rPr>
                <w:noProof/>
                <w:webHidden/>
              </w:rPr>
              <w:tab/>
            </w:r>
            <w:r w:rsidR="00343B95">
              <w:rPr>
                <w:noProof/>
                <w:webHidden/>
              </w:rPr>
              <w:fldChar w:fldCharType="begin"/>
            </w:r>
            <w:r w:rsidR="00343B95">
              <w:rPr>
                <w:noProof/>
                <w:webHidden/>
              </w:rPr>
              <w:instrText xml:space="preserve"> PAGEREF _Toc40103112 \h </w:instrText>
            </w:r>
            <w:r w:rsidR="00343B95">
              <w:rPr>
                <w:noProof/>
                <w:webHidden/>
              </w:rPr>
            </w:r>
            <w:r w:rsidR="00343B95">
              <w:rPr>
                <w:noProof/>
                <w:webHidden/>
              </w:rPr>
              <w:fldChar w:fldCharType="separate"/>
            </w:r>
            <w:r>
              <w:rPr>
                <w:noProof/>
                <w:webHidden/>
              </w:rPr>
              <w:t>6</w:t>
            </w:r>
            <w:r w:rsidR="00343B95">
              <w:rPr>
                <w:noProof/>
                <w:webHidden/>
              </w:rPr>
              <w:fldChar w:fldCharType="end"/>
            </w:r>
          </w:hyperlink>
        </w:p>
        <w:p w14:paraId="169BB27C" w14:textId="47E3EE6D" w:rsidR="00343B95" w:rsidRDefault="00035C7C">
          <w:pPr>
            <w:pStyle w:val="TOC3"/>
            <w:rPr>
              <w:rFonts w:eastAsiaTheme="minorEastAsia"/>
              <w:noProof/>
              <w:lang w:eastAsia="en-AU"/>
            </w:rPr>
          </w:pPr>
          <w:hyperlink w:anchor="_Toc40103113" w:history="1">
            <w:r w:rsidR="00343B95" w:rsidRPr="00E72A32">
              <w:rPr>
                <w:rStyle w:val="Hyperlink"/>
                <w:noProof/>
              </w:rPr>
              <w:t>Participants who are Principal Carer Parents</w:t>
            </w:r>
            <w:r w:rsidR="00343B95">
              <w:rPr>
                <w:noProof/>
                <w:webHidden/>
              </w:rPr>
              <w:tab/>
            </w:r>
            <w:r w:rsidR="00343B95">
              <w:rPr>
                <w:noProof/>
                <w:webHidden/>
              </w:rPr>
              <w:fldChar w:fldCharType="begin"/>
            </w:r>
            <w:r w:rsidR="00343B95">
              <w:rPr>
                <w:noProof/>
                <w:webHidden/>
              </w:rPr>
              <w:instrText xml:space="preserve"> PAGEREF _Toc40103113 \h </w:instrText>
            </w:r>
            <w:r w:rsidR="00343B95">
              <w:rPr>
                <w:noProof/>
                <w:webHidden/>
              </w:rPr>
            </w:r>
            <w:r w:rsidR="00343B95">
              <w:rPr>
                <w:noProof/>
                <w:webHidden/>
              </w:rPr>
              <w:fldChar w:fldCharType="separate"/>
            </w:r>
            <w:r>
              <w:rPr>
                <w:noProof/>
                <w:webHidden/>
              </w:rPr>
              <w:t>7</w:t>
            </w:r>
            <w:r w:rsidR="00343B95">
              <w:rPr>
                <w:noProof/>
                <w:webHidden/>
              </w:rPr>
              <w:fldChar w:fldCharType="end"/>
            </w:r>
          </w:hyperlink>
        </w:p>
        <w:p w14:paraId="6E1B0926" w14:textId="13D67171" w:rsidR="00343B95" w:rsidRDefault="00035C7C">
          <w:pPr>
            <w:pStyle w:val="TOC3"/>
            <w:rPr>
              <w:rFonts w:eastAsiaTheme="minorEastAsia"/>
              <w:noProof/>
              <w:lang w:eastAsia="en-AU"/>
            </w:rPr>
          </w:pPr>
          <w:hyperlink w:anchor="_Toc40103114" w:history="1">
            <w:r w:rsidR="00343B95" w:rsidRPr="00E72A32">
              <w:rPr>
                <w:rStyle w:val="Hyperlink"/>
                <w:noProof/>
              </w:rPr>
              <w:t>Participants who are Volunteers</w:t>
            </w:r>
            <w:r w:rsidR="00343B95">
              <w:rPr>
                <w:noProof/>
                <w:webHidden/>
              </w:rPr>
              <w:tab/>
            </w:r>
            <w:r w:rsidR="00343B95">
              <w:rPr>
                <w:noProof/>
                <w:webHidden/>
              </w:rPr>
              <w:fldChar w:fldCharType="begin"/>
            </w:r>
            <w:r w:rsidR="00343B95">
              <w:rPr>
                <w:noProof/>
                <w:webHidden/>
              </w:rPr>
              <w:instrText xml:space="preserve"> PAGEREF _Toc40103114 \h </w:instrText>
            </w:r>
            <w:r w:rsidR="00343B95">
              <w:rPr>
                <w:noProof/>
                <w:webHidden/>
              </w:rPr>
            </w:r>
            <w:r w:rsidR="00343B95">
              <w:rPr>
                <w:noProof/>
                <w:webHidden/>
              </w:rPr>
              <w:fldChar w:fldCharType="separate"/>
            </w:r>
            <w:r>
              <w:rPr>
                <w:noProof/>
                <w:webHidden/>
              </w:rPr>
              <w:t>7</w:t>
            </w:r>
            <w:r w:rsidR="00343B95">
              <w:rPr>
                <w:noProof/>
                <w:webHidden/>
              </w:rPr>
              <w:fldChar w:fldCharType="end"/>
            </w:r>
          </w:hyperlink>
        </w:p>
        <w:p w14:paraId="1E3AE94C" w14:textId="0EF33D43" w:rsidR="00343B95" w:rsidRDefault="00035C7C">
          <w:pPr>
            <w:pStyle w:val="TOC3"/>
            <w:rPr>
              <w:rFonts w:eastAsiaTheme="minorEastAsia"/>
              <w:noProof/>
              <w:lang w:eastAsia="en-AU"/>
            </w:rPr>
          </w:pPr>
          <w:hyperlink w:anchor="_Toc40103115" w:history="1">
            <w:r w:rsidR="00343B95" w:rsidRPr="00E72A32">
              <w:rPr>
                <w:rStyle w:val="Hyperlink"/>
                <w:noProof/>
              </w:rPr>
              <w:t>Structural Adjustment Programme Participants or Stronger Transition Participants and all other retrenched workers and their partners</w:t>
            </w:r>
            <w:r w:rsidR="00343B95">
              <w:rPr>
                <w:noProof/>
                <w:webHidden/>
              </w:rPr>
              <w:tab/>
            </w:r>
            <w:r w:rsidR="00343B95">
              <w:rPr>
                <w:noProof/>
                <w:webHidden/>
              </w:rPr>
              <w:fldChar w:fldCharType="begin"/>
            </w:r>
            <w:r w:rsidR="00343B95">
              <w:rPr>
                <w:noProof/>
                <w:webHidden/>
              </w:rPr>
              <w:instrText xml:space="preserve"> PAGEREF _Toc40103115 \h </w:instrText>
            </w:r>
            <w:r w:rsidR="00343B95">
              <w:rPr>
                <w:noProof/>
                <w:webHidden/>
              </w:rPr>
            </w:r>
            <w:r w:rsidR="00343B95">
              <w:rPr>
                <w:noProof/>
                <w:webHidden/>
              </w:rPr>
              <w:fldChar w:fldCharType="separate"/>
            </w:r>
            <w:r>
              <w:rPr>
                <w:noProof/>
                <w:webHidden/>
              </w:rPr>
              <w:t>7</w:t>
            </w:r>
            <w:r w:rsidR="00343B95">
              <w:rPr>
                <w:noProof/>
                <w:webHidden/>
              </w:rPr>
              <w:fldChar w:fldCharType="end"/>
            </w:r>
          </w:hyperlink>
        </w:p>
        <w:p w14:paraId="5514D110" w14:textId="26331517" w:rsidR="00343B95" w:rsidRDefault="00035C7C">
          <w:pPr>
            <w:pStyle w:val="TOC3"/>
            <w:rPr>
              <w:rFonts w:eastAsiaTheme="minorEastAsia"/>
              <w:noProof/>
              <w:lang w:eastAsia="en-AU"/>
            </w:rPr>
          </w:pPr>
          <w:hyperlink w:anchor="_Toc40103116" w:history="1">
            <w:r w:rsidR="00343B95" w:rsidRPr="00E72A32">
              <w:rPr>
                <w:rStyle w:val="Hyperlink"/>
                <w:noProof/>
              </w:rPr>
              <w:t>Other cohorts</w:t>
            </w:r>
            <w:r w:rsidR="00343B95">
              <w:rPr>
                <w:noProof/>
                <w:webHidden/>
              </w:rPr>
              <w:tab/>
            </w:r>
            <w:r w:rsidR="00343B95">
              <w:rPr>
                <w:noProof/>
                <w:webHidden/>
              </w:rPr>
              <w:fldChar w:fldCharType="begin"/>
            </w:r>
            <w:r w:rsidR="00343B95">
              <w:rPr>
                <w:noProof/>
                <w:webHidden/>
              </w:rPr>
              <w:instrText xml:space="preserve"> PAGEREF _Toc40103116 \h </w:instrText>
            </w:r>
            <w:r w:rsidR="00343B95">
              <w:rPr>
                <w:noProof/>
                <w:webHidden/>
              </w:rPr>
            </w:r>
            <w:r w:rsidR="00343B95">
              <w:rPr>
                <w:noProof/>
                <w:webHidden/>
              </w:rPr>
              <w:fldChar w:fldCharType="separate"/>
            </w:r>
            <w:r>
              <w:rPr>
                <w:noProof/>
                <w:webHidden/>
              </w:rPr>
              <w:t>7</w:t>
            </w:r>
            <w:r w:rsidR="00343B95">
              <w:rPr>
                <w:noProof/>
                <w:webHidden/>
              </w:rPr>
              <w:fldChar w:fldCharType="end"/>
            </w:r>
          </w:hyperlink>
        </w:p>
        <w:p w14:paraId="1AA54575" w14:textId="3A409035" w:rsidR="00343B95" w:rsidRDefault="00035C7C">
          <w:pPr>
            <w:pStyle w:val="TOC1"/>
            <w:rPr>
              <w:rFonts w:eastAsiaTheme="minorEastAsia"/>
              <w:noProof/>
              <w:lang w:eastAsia="en-AU"/>
            </w:rPr>
          </w:pPr>
          <w:hyperlink w:anchor="_Toc40103117" w:history="1">
            <w:r w:rsidR="00343B95" w:rsidRPr="00E72A32">
              <w:rPr>
                <w:rStyle w:val="Hyperlink"/>
                <w:noProof/>
              </w:rPr>
              <w:t>Some Participants cannot be Exited</w:t>
            </w:r>
            <w:r w:rsidR="00343B95">
              <w:rPr>
                <w:noProof/>
                <w:webHidden/>
              </w:rPr>
              <w:tab/>
            </w:r>
            <w:r w:rsidR="00343B95">
              <w:rPr>
                <w:noProof/>
                <w:webHidden/>
              </w:rPr>
              <w:fldChar w:fldCharType="begin"/>
            </w:r>
            <w:r w:rsidR="00343B95">
              <w:rPr>
                <w:noProof/>
                <w:webHidden/>
              </w:rPr>
              <w:instrText xml:space="preserve"> PAGEREF _Toc40103117 \h </w:instrText>
            </w:r>
            <w:r w:rsidR="00343B95">
              <w:rPr>
                <w:noProof/>
                <w:webHidden/>
              </w:rPr>
            </w:r>
            <w:r w:rsidR="00343B95">
              <w:rPr>
                <w:noProof/>
                <w:webHidden/>
              </w:rPr>
              <w:fldChar w:fldCharType="separate"/>
            </w:r>
            <w:r>
              <w:rPr>
                <w:noProof/>
                <w:webHidden/>
              </w:rPr>
              <w:t>7</w:t>
            </w:r>
            <w:r w:rsidR="00343B95">
              <w:rPr>
                <w:noProof/>
                <w:webHidden/>
              </w:rPr>
              <w:fldChar w:fldCharType="end"/>
            </w:r>
          </w:hyperlink>
        </w:p>
        <w:p w14:paraId="51664988" w14:textId="5F651204" w:rsidR="00343B95" w:rsidRDefault="00035C7C">
          <w:pPr>
            <w:pStyle w:val="TOC1"/>
            <w:rPr>
              <w:rFonts w:eastAsiaTheme="minorEastAsia"/>
              <w:noProof/>
              <w:lang w:eastAsia="en-AU"/>
            </w:rPr>
          </w:pPr>
          <w:hyperlink w:anchor="_Toc40103118" w:history="1">
            <w:r w:rsidR="00343B95" w:rsidRPr="00E72A32">
              <w:rPr>
                <w:rStyle w:val="Hyperlink"/>
                <w:noProof/>
              </w:rPr>
              <w:t>Assessing the appropriateness of Participant requests to Exits</w:t>
            </w:r>
            <w:r w:rsidR="00343B95">
              <w:rPr>
                <w:noProof/>
                <w:webHidden/>
              </w:rPr>
              <w:tab/>
            </w:r>
            <w:r w:rsidR="00343B95">
              <w:rPr>
                <w:noProof/>
                <w:webHidden/>
              </w:rPr>
              <w:fldChar w:fldCharType="begin"/>
            </w:r>
            <w:r w:rsidR="00343B95">
              <w:rPr>
                <w:noProof/>
                <w:webHidden/>
              </w:rPr>
              <w:instrText xml:space="preserve"> PAGEREF _Toc40103118 \h </w:instrText>
            </w:r>
            <w:r w:rsidR="00343B95">
              <w:rPr>
                <w:noProof/>
                <w:webHidden/>
              </w:rPr>
            </w:r>
            <w:r w:rsidR="00343B95">
              <w:rPr>
                <w:noProof/>
                <w:webHidden/>
              </w:rPr>
              <w:fldChar w:fldCharType="separate"/>
            </w:r>
            <w:r>
              <w:rPr>
                <w:noProof/>
                <w:webHidden/>
              </w:rPr>
              <w:t>8</w:t>
            </w:r>
            <w:r w:rsidR="00343B95">
              <w:rPr>
                <w:noProof/>
                <w:webHidden/>
              </w:rPr>
              <w:fldChar w:fldCharType="end"/>
            </w:r>
          </w:hyperlink>
        </w:p>
        <w:p w14:paraId="5C1FD0CE" w14:textId="65AB5EA0" w:rsidR="00343B95" w:rsidRDefault="00035C7C">
          <w:pPr>
            <w:pStyle w:val="TOC3"/>
            <w:rPr>
              <w:rFonts w:eastAsiaTheme="minorEastAsia"/>
              <w:noProof/>
              <w:lang w:eastAsia="en-AU"/>
            </w:rPr>
          </w:pPr>
          <w:hyperlink w:anchor="_Toc40103119" w:history="1">
            <w:r w:rsidR="00343B95" w:rsidRPr="00E72A32">
              <w:rPr>
                <w:rStyle w:val="Hyperlink"/>
                <w:noProof/>
              </w:rPr>
              <w:t>Participant (Voluntary) receiving Services for Digital Participants from the provider</w:t>
            </w:r>
            <w:r w:rsidR="00343B95">
              <w:rPr>
                <w:noProof/>
                <w:webHidden/>
              </w:rPr>
              <w:tab/>
            </w:r>
            <w:r w:rsidR="00343B95">
              <w:rPr>
                <w:noProof/>
                <w:webHidden/>
              </w:rPr>
              <w:fldChar w:fldCharType="begin"/>
            </w:r>
            <w:r w:rsidR="00343B95">
              <w:rPr>
                <w:noProof/>
                <w:webHidden/>
              </w:rPr>
              <w:instrText xml:space="preserve"> PAGEREF _Toc40103119 \h </w:instrText>
            </w:r>
            <w:r w:rsidR="00343B95">
              <w:rPr>
                <w:noProof/>
                <w:webHidden/>
              </w:rPr>
            </w:r>
            <w:r w:rsidR="00343B95">
              <w:rPr>
                <w:noProof/>
                <w:webHidden/>
              </w:rPr>
              <w:fldChar w:fldCharType="separate"/>
            </w:r>
            <w:r>
              <w:rPr>
                <w:noProof/>
                <w:webHidden/>
              </w:rPr>
              <w:t>8</w:t>
            </w:r>
            <w:r w:rsidR="00343B95">
              <w:rPr>
                <w:noProof/>
                <w:webHidden/>
              </w:rPr>
              <w:fldChar w:fldCharType="end"/>
            </w:r>
          </w:hyperlink>
        </w:p>
        <w:p w14:paraId="4B9A45FA" w14:textId="6B248FE3" w:rsidR="00343B95" w:rsidRDefault="00035C7C">
          <w:pPr>
            <w:pStyle w:val="TOC3"/>
            <w:rPr>
              <w:rFonts w:eastAsiaTheme="minorEastAsia"/>
              <w:noProof/>
              <w:lang w:eastAsia="en-AU"/>
            </w:rPr>
          </w:pPr>
          <w:hyperlink w:anchor="_Toc40103120" w:history="1">
            <w:r w:rsidR="00343B95" w:rsidRPr="00E72A32">
              <w:rPr>
                <w:rStyle w:val="Hyperlink"/>
                <w:noProof/>
              </w:rPr>
              <w:t>Providers must continue delivering services if a Participant’s request to Exit is not approved</w:t>
            </w:r>
            <w:r w:rsidR="00343B95">
              <w:rPr>
                <w:noProof/>
                <w:webHidden/>
              </w:rPr>
              <w:tab/>
            </w:r>
            <w:r w:rsidR="00343B95">
              <w:rPr>
                <w:noProof/>
                <w:webHidden/>
              </w:rPr>
              <w:fldChar w:fldCharType="begin"/>
            </w:r>
            <w:r w:rsidR="00343B95">
              <w:rPr>
                <w:noProof/>
                <w:webHidden/>
              </w:rPr>
              <w:instrText xml:space="preserve"> PAGEREF _Toc40103120 \h </w:instrText>
            </w:r>
            <w:r w:rsidR="00343B95">
              <w:rPr>
                <w:noProof/>
                <w:webHidden/>
              </w:rPr>
            </w:r>
            <w:r w:rsidR="00343B95">
              <w:rPr>
                <w:noProof/>
                <w:webHidden/>
              </w:rPr>
              <w:fldChar w:fldCharType="separate"/>
            </w:r>
            <w:r>
              <w:rPr>
                <w:noProof/>
                <w:webHidden/>
              </w:rPr>
              <w:t>8</w:t>
            </w:r>
            <w:r w:rsidR="00343B95">
              <w:rPr>
                <w:noProof/>
                <w:webHidden/>
              </w:rPr>
              <w:fldChar w:fldCharType="end"/>
            </w:r>
          </w:hyperlink>
        </w:p>
        <w:p w14:paraId="787B6B2C" w14:textId="43EC2EF0" w:rsidR="00343B95" w:rsidRDefault="00035C7C">
          <w:pPr>
            <w:pStyle w:val="TOC1"/>
            <w:rPr>
              <w:rFonts w:eastAsiaTheme="minorEastAsia"/>
              <w:noProof/>
              <w:lang w:eastAsia="en-AU"/>
            </w:rPr>
          </w:pPr>
          <w:hyperlink w:anchor="_Toc40103121" w:history="1">
            <w:r w:rsidR="00343B95" w:rsidRPr="00E72A32">
              <w:rPr>
                <w:rStyle w:val="Hyperlink"/>
                <w:noProof/>
              </w:rPr>
              <w:t>Participants returning to services after an Exit</w:t>
            </w:r>
            <w:r w:rsidR="00343B95">
              <w:rPr>
                <w:noProof/>
                <w:webHidden/>
              </w:rPr>
              <w:tab/>
            </w:r>
            <w:r w:rsidR="00343B95">
              <w:rPr>
                <w:noProof/>
                <w:webHidden/>
              </w:rPr>
              <w:fldChar w:fldCharType="begin"/>
            </w:r>
            <w:r w:rsidR="00343B95">
              <w:rPr>
                <w:noProof/>
                <w:webHidden/>
              </w:rPr>
              <w:instrText xml:space="preserve"> PAGEREF _Toc40103121 \h </w:instrText>
            </w:r>
            <w:r w:rsidR="00343B95">
              <w:rPr>
                <w:noProof/>
                <w:webHidden/>
              </w:rPr>
            </w:r>
            <w:r w:rsidR="00343B95">
              <w:rPr>
                <w:noProof/>
                <w:webHidden/>
              </w:rPr>
              <w:fldChar w:fldCharType="separate"/>
            </w:r>
            <w:r>
              <w:rPr>
                <w:noProof/>
                <w:webHidden/>
              </w:rPr>
              <w:t>9</w:t>
            </w:r>
            <w:r w:rsidR="00343B95">
              <w:rPr>
                <w:noProof/>
                <w:webHidden/>
              </w:rPr>
              <w:fldChar w:fldCharType="end"/>
            </w:r>
          </w:hyperlink>
        </w:p>
        <w:p w14:paraId="31CB71A5" w14:textId="3E94F075" w:rsidR="00343B95" w:rsidRDefault="00035C7C">
          <w:pPr>
            <w:pStyle w:val="TOC1"/>
            <w:rPr>
              <w:rFonts w:eastAsiaTheme="minorEastAsia"/>
              <w:noProof/>
              <w:lang w:eastAsia="en-AU"/>
            </w:rPr>
          </w:pPr>
          <w:hyperlink w:anchor="_Toc40103122" w:history="1">
            <w:r w:rsidR="00343B95" w:rsidRPr="00E72A32">
              <w:rPr>
                <w:rStyle w:val="Hyperlink"/>
                <w:noProof/>
              </w:rPr>
              <w:t>Summary of required Documentary Evidence</w:t>
            </w:r>
            <w:r w:rsidR="00343B95">
              <w:rPr>
                <w:noProof/>
                <w:webHidden/>
              </w:rPr>
              <w:tab/>
            </w:r>
            <w:r w:rsidR="00343B95">
              <w:rPr>
                <w:noProof/>
                <w:webHidden/>
              </w:rPr>
              <w:fldChar w:fldCharType="begin"/>
            </w:r>
            <w:r w:rsidR="00343B95">
              <w:rPr>
                <w:noProof/>
                <w:webHidden/>
              </w:rPr>
              <w:instrText xml:space="preserve"> PAGEREF _Toc40103122 \h </w:instrText>
            </w:r>
            <w:r w:rsidR="00343B95">
              <w:rPr>
                <w:noProof/>
                <w:webHidden/>
              </w:rPr>
            </w:r>
            <w:r w:rsidR="00343B95">
              <w:rPr>
                <w:noProof/>
                <w:webHidden/>
              </w:rPr>
              <w:fldChar w:fldCharType="separate"/>
            </w:r>
            <w:r>
              <w:rPr>
                <w:noProof/>
                <w:webHidden/>
              </w:rPr>
              <w:t>9</w:t>
            </w:r>
            <w:r w:rsidR="00343B95">
              <w:rPr>
                <w:noProof/>
                <w:webHidden/>
              </w:rPr>
              <w:fldChar w:fldCharType="end"/>
            </w:r>
          </w:hyperlink>
        </w:p>
        <w:p w14:paraId="64D387C1" w14:textId="1FD5CB62" w:rsidR="00343B95" w:rsidRDefault="00035C7C">
          <w:pPr>
            <w:pStyle w:val="TOC2"/>
            <w:rPr>
              <w:rFonts w:eastAsiaTheme="minorEastAsia"/>
              <w:noProof/>
              <w:lang w:eastAsia="en-AU"/>
            </w:rPr>
          </w:pPr>
          <w:hyperlink w:anchor="_Toc40103123" w:history="1">
            <w:r w:rsidR="00343B95" w:rsidRPr="00E72A32">
              <w:rPr>
                <w:rStyle w:val="Hyperlink"/>
                <w:noProof/>
              </w:rPr>
              <w:t>Suspensions</w:t>
            </w:r>
            <w:r w:rsidR="00343B95">
              <w:rPr>
                <w:noProof/>
                <w:webHidden/>
              </w:rPr>
              <w:tab/>
            </w:r>
            <w:r w:rsidR="00343B95">
              <w:rPr>
                <w:noProof/>
                <w:webHidden/>
              </w:rPr>
              <w:fldChar w:fldCharType="begin"/>
            </w:r>
            <w:r w:rsidR="00343B95">
              <w:rPr>
                <w:noProof/>
                <w:webHidden/>
              </w:rPr>
              <w:instrText xml:space="preserve"> PAGEREF _Toc40103123 \h </w:instrText>
            </w:r>
            <w:r w:rsidR="00343B95">
              <w:rPr>
                <w:noProof/>
                <w:webHidden/>
              </w:rPr>
            </w:r>
            <w:r w:rsidR="00343B95">
              <w:rPr>
                <w:noProof/>
                <w:webHidden/>
              </w:rPr>
              <w:fldChar w:fldCharType="separate"/>
            </w:r>
            <w:r>
              <w:rPr>
                <w:noProof/>
                <w:webHidden/>
              </w:rPr>
              <w:t>9</w:t>
            </w:r>
            <w:r w:rsidR="00343B95">
              <w:rPr>
                <w:noProof/>
                <w:webHidden/>
              </w:rPr>
              <w:fldChar w:fldCharType="end"/>
            </w:r>
          </w:hyperlink>
        </w:p>
        <w:p w14:paraId="220BD586" w14:textId="53E277B9" w:rsidR="00343B95" w:rsidRDefault="00035C7C">
          <w:pPr>
            <w:pStyle w:val="TOC2"/>
            <w:rPr>
              <w:rFonts w:eastAsiaTheme="minorEastAsia"/>
              <w:noProof/>
              <w:lang w:eastAsia="en-AU"/>
            </w:rPr>
          </w:pPr>
          <w:hyperlink w:anchor="_Toc40103124" w:history="1">
            <w:r w:rsidR="00343B95" w:rsidRPr="00E72A32">
              <w:rPr>
                <w:rStyle w:val="Hyperlink"/>
                <w:noProof/>
              </w:rPr>
              <w:t>Exits</w:t>
            </w:r>
            <w:r w:rsidR="00343B95">
              <w:rPr>
                <w:noProof/>
                <w:webHidden/>
              </w:rPr>
              <w:tab/>
            </w:r>
            <w:r w:rsidR="00343B95">
              <w:rPr>
                <w:noProof/>
                <w:webHidden/>
              </w:rPr>
              <w:fldChar w:fldCharType="begin"/>
            </w:r>
            <w:r w:rsidR="00343B95">
              <w:rPr>
                <w:noProof/>
                <w:webHidden/>
              </w:rPr>
              <w:instrText xml:space="preserve"> PAGEREF _Toc40103124 \h </w:instrText>
            </w:r>
            <w:r w:rsidR="00343B95">
              <w:rPr>
                <w:noProof/>
                <w:webHidden/>
              </w:rPr>
            </w:r>
            <w:r w:rsidR="00343B95">
              <w:rPr>
                <w:noProof/>
                <w:webHidden/>
              </w:rPr>
              <w:fldChar w:fldCharType="separate"/>
            </w:r>
            <w:r>
              <w:rPr>
                <w:noProof/>
                <w:webHidden/>
              </w:rPr>
              <w:t>9</w:t>
            </w:r>
            <w:r w:rsidR="00343B95">
              <w:rPr>
                <w:noProof/>
                <w:webHidden/>
              </w:rPr>
              <w:fldChar w:fldCharType="end"/>
            </w:r>
          </w:hyperlink>
        </w:p>
        <w:p w14:paraId="69EC4373" w14:textId="50FD2AEC" w:rsidR="00040C1D" w:rsidRDefault="00FD3FBB">
          <w:r>
            <w:fldChar w:fldCharType="end"/>
          </w:r>
        </w:p>
      </w:sdtContent>
    </w:sdt>
    <w:p w14:paraId="7F4F3205" w14:textId="7303E658" w:rsidR="006D43B3" w:rsidRDefault="006D43B3">
      <w:r>
        <w:br w:type="page"/>
      </w:r>
    </w:p>
    <w:p w14:paraId="3FD8D877" w14:textId="4E18D5BD" w:rsidR="00EF7C08" w:rsidRDefault="00D6057B" w:rsidP="00631327">
      <w:pPr>
        <w:pStyle w:val="Heading1"/>
        <w:ind w:left="360" w:hanging="360"/>
      </w:pPr>
      <w:bookmarkStart w:id="28" w:name="_Toc468954296"/>
      <w:bookmarkStart w:id="29" w:name="_Toc40103098"/>
      <w:r>
        <w:lastRenderedPageBreak/>
        <w:t>Defined NEST periods</w:t>
      </w:r>
      <w:bookmarkEnd w:id="28"/>
      <w:r w:rsidR="006B504E">
        <w:t xml:space="preserve"> </w:t>
      </w:r>
      <w:r w:rsidR="00AE5CEB">
        <w:t>are calculated by the Department’s IT Systems</w:t>
      </w:r>
      <w:r w:rsidR="006B504E">
        <w:t>.</w:t>
      </w:r>
      <w:bookmarkEnd w:id="29"/>
    </w:p>
    <w:p w14:paraId="7587DFFE" w14:textId="03FC8BB5" w:rsidR="00195D89" w:rsidRDefault="004C4A97" w:rsidP="00631327">
      <w:pPr>
        <w:pStyle w:val="ListparaAddendum"/>
        <w:keepNext/>
        <w:keepLines/>
        <w:numPr>
          <w:ilvl w:val="0"/>
          <w:numId w:val="0"/>
        </w:numPr>
        <w:spacing w:before="120"/>
        <w:ind w:right="-284"/>
        <w:rPr>
          <w:sz w:val="22"/>
          <w:szCs w:val="22"/>
        </w:rPr>
      </w:pPr>
      <w:r>
        <w:rPr>
          <w:sz w:val="22"/>
          <w:szCs w:val="22"/>
        </w:rPr>
        <w:t>Some</w:t>
      </w:r>
      <w:r w:rsidR="00195D89">
        <w:rPr>
          <w:sz w:val="22"/>
          <w:szCs w:val="22"/>
        </w:rPr>
        <w:t xml:space="preserve"> defined NEST Periods determine eligibility for, or value of payments.</w:t>
      </w:r>
      <w:r w:rsidR="00195D89" w:rsidRPr="00195D89">
        <w:rPr>
          <w:sz w:val="22"/>
          <w:szCs w:val="22"/>
        </w:rPr>
        <w:t xml:space="preserve"> </w:t>
      </w:r>
      <w:r w:rsidR="00195D89">
        <w:rPr>
          <w:sz w:val="22"/>
          <w:szCs w:val="22"/>
        </w:rPr>
        <w:t xml:space="preserve">Further information is in the NEST </w:t>
      </w:r>
      <w:hyperlink r:id="rId19" w:history="1">
        <w:r w:rsidR="00B36145" w:rsidRPr="00343B95">
          <w:rPr>
            <w:rStyle w:val="Hyperlink"/>
            <w:sz w:val="22"/>
            <w:szCs w:val="22"/>
          </w:rPr>
          <w:t>Enhanced Services Provider Payments Guideline</w:t>
        </w:r>
      </w:hyperlink>
      <w:r w:rsidR="00195D89">
        <w:rPr>
          <w:sz w:val="22"/>
          <w:szCs w:val="22"/>
        </w:rPr>
        <w:t>.</w:t>
      </w:r>
    </w:p>
    <w:p w14:paraId="4532AAE8" w14:textId="0A8853E2" w:rsidR="00EF7C08" w:rsidRPr="00C71CCC" w:rsidRDefault="00EF7C08" w:rsidP="00631327">
      <w:pPr>
        <w:pStyle w:val="ListparaAddendum"/>
        <w:keepNext/>
        <w:keepLines/>
        <w:numPr>
          <w:ilvl w:val="0"/>
          <w:numId w:val="0"/>
        </w:numPr>
        <w:spacing w:before="120"/>
        <w:ind w:right="-284"/>
        <w:rPr>
          <w:sz w:val="22"/>
          <w:szCs w:val="22"/>
        </w:rPr>
      </w:pPr>
      <w:r>
        <w:rPr>
          <w:sz w:val="22"/>
          <w:szCs w:val="22"/>
        </w:rPr>
        <w:t>Periods in the Tiers of Enhanced Services d</w:t>
      </w:r>
      <w:r w:rsidR="00491219">
        <w:rPr>
          <w:sz w:val="22"/>
          <w:szCs w:val="22"/>
        </w:rPr>
        <w:t xml:space="preserve">etermine whether or when a </w:t>
      </w:r>
      <w:r w:rsidR="00556556">
        <w:rPr>
          <w:sz w:val="22"/>
          <w:szCs w:val="22"/>
        </w:rPr>
        <w:t>Trial</w:t>
      </w:r>
      <w:r>
        <w:rPr>
          <w:sz w:val="22"/>
          <w:szCs w:val="22"/>
        </w:rPr>
        <w:t xml:space="preserve"> </w:t>
      </w:r>
      <w:r w:rsidR="00832FE3">
        <w:rPr>
          <w:sz w:val="22"/>
          <w:szCs w:val="22"/>
        </w:rPr>
        <w:t>Provider</w:t>
      </w:r>
      <w:r>
        <w:rPr>
          <w:sz w:val="22"/>
          <w:szCs w:val="22"/>
        </w:rPr>
        <w:t xml:space="preserve"> may be eligible for Progress Fees.</w:t>
      </w:r>
    </w:p>
    <w:p w14:paraId="70C722B4" w14:textId="2FBF5BD4" w:rsidR="00D6057B" w:rsidRPr="00C71CCC" w:rsidRDefault="00D6057B" w:rsidP="00631327">
      <w:pPr>
        <w:ind w:right="-284"/>
      </w:pPr>
      <w:r w:rsidRPr="00C71CCC">
        <w:rPr>
          <w:b/>
        </w:rPr>
        <w:t>‘Period in Tier 1 Enhanced Services’</w:t>
      </w:r>
      <w:r w:rsidRPr="00C71CCC">
        <w:t xml:space="preserve">: </w:t>
      </w:r>
    </w:p>
    <w:p w14:paraId="228B34B0" w14:textId="146E5338" w:rsidR="00D6057B" w:rsidRPr="00C71CAD" w:rsidRDefault="00D6057B" w:rsidP="00E73745">
      <w:pPr>
        <w:pStyle w:val="ListparaAddendum"/>
        <w:numPr>
          <w:ilvl w:val="0"/>
          <w:numId w:val="14"/>
        </w:numPr>
        <w:ind w:right="-794"/>
        <w:rPr>
          <w:sz w:val="22"/>
          <w:szCs w:val="22"/>
        </w:rPr>
      </w:pPr>
      <w:r w:rsidRPr="00C71CAD">
        <w:rPr>
          <w:sz w:val="22"/>
          <w:szCs w:val="22"/>
        </w:rPr>
        <w:t xml:space="preserve">commences </w:t>
      </w:r>
      <w:r w:rsidR="00742E26">
        <w:rPr>
          <w:sz w:val="22"/>
          <w:szCs w:val="22"/>
        </w:rPr>
        <w:t>when a</w:t>
      </w:r>
      <w:r w:rsidRPr="00C71CAD">
        <w:rPr>
          <w:sz w:val="22"/>
          <w:szCs w:val="22"/>
        </w:rPr>
        <w:t xml:space="preserve"> Tier 1 Enhanced Services </w:t>
      </w:r>
      <w:r w:rsidR="00832FE3">
        <w:rPr>
          <w:sz w:val="22"/>
          <w:szCs w:val="22"/>
        </w:rPr>
        <w:t>Participant</w:t>
      </w:r>
      <w:r w:rsidRPr="00C71CAD">
        <w:rPr>
          <w:sz w:val="22"/>
          <w:szCs w:val="22"/>
        </w:rPr>
        <w:t xml:space="preserve"> Commences in Tier 1 Enhanced Services;</w:t>
      </w:r>
    </w:p>
    <w:p w14:paraId="51710559" w14:textId="01E02507" w:rsidR="00D6057B" w:rsidRPr="00C71CCC" w:rsidRDefault="00742E26" w:rsidP="00E73745">
      <w:pPr>
        <w:pStyle w:val="ListparaAddendum"/>
        <w:numPr>
          <w:ilvl w:val="0"/>
          <w:numId w:val="11"/>
        </w:numPr>
        <w:ind w:right="-284"/>
        <w:rPr>
          <w:sz w:val="22"/>
          <w:szCs w:val="22"/>
        </w:rPr>
      </w:pPr>
      <w:r>
        <w:rPr>
          <w:sz w:val="22"/>
          <w:szCs w:val="22"/>
        </w:rPr>
        <w:t>halts</w:t>
      </w:r>
      <w:r w:rsidR="00D6057B" w:rsidRPr="00C71CCC">
        <w:rPr>
          <w:sz w:val="22"/>
          <w:szCs w:val="22"/>
        </w:rPr>
        <w:t xml:space="preserve"> when the </w:t>
      </w:r>
      <w:r w:rsidR="00832FE3">
        <w:rPr>
          <w:sz w:val="22"/>
          <w:szCs w:val="22"/>
        </w:rPr>
        <w:t>Participant</w:t>
      </w:r>
      <w:r w:rsidR="00D6057B" w:rsidRPr="00C71CCC">
        <w:rPr>
          <w:sz w:val="22"/>
          <w:szCs w:val="22"/>
        </w:rPr>
        <w:t xml:space="preserve"> is Suspended and recommences when the Suspension ends;</w:t>
      </w:r>
    </w:p>
    <w:p w14:paraId="77E7171F" w14:textId="0AB78907" w:rsidR="00D6057B" w:rsidRPr="00C71CCC" w:rsidRDefault="00D6057B" w:rsidP="00E73745">
      <w:pPr>
        <w:pStyle w:val="ListparaAddendum"/>
        <w:keepNext/>
        <w:keepLines/>
        <w:numPr>
          <w:ilvl w:val="0"/>
          <w:numId w:val="11"/>
        </w:numPr>
        <w:ind w:right="-284"/>
        <w:rPr>
          <w:sz w:val="22"/>
          <w:szCs w:val="22"/>
        </w:rPr>
      </w:pPr>
      <w:r w:rsidRPr="00C71CCC">
        <w:rPr>
          <w:sz w:val="22"/>
          <w:szCs w:val="22"/>
        </w:rPr>
        <w:t xml:space="preserve">ends </w:t>
      </w:r>
      <w:r w:rsidR="00742E26">
        <w:rPr>
          <w:sz w:val="22"/>
          <w:szCs w:val="22"/>
        </w:rPr>
        <w:t>when</w:t>
      </w:r>
      <w:r w:rsidRPr="00C71CCC">
        <w:rPr>
          <w:sz w:val="22"/>
          <w:szCs w:val="22"/>
        </w:rPr>
        <w:t xml:space="preserve"> the </w:t>
      </w:r>
      <w:r w:rsidR="00832FE3">
        <w:rPr>
          <w:sz w:val="22"/>
          <w:szCs w:val="22"/>
        </w:rPr>
        <w:t>Participant</w:t>
      </w:r>
      <w:r w:rsidR="004C4A97">
        <w:rPr>
          <w:sz w:val="22"/>
          <w:szCs w:val="22"/>
        </w:rPr>
        <w:t xml:space="preserve"> </w:t>
      </w:r>
      <w:r w:rsidRPr="00C71CCC">
        <w:rPr>
          <w:sz w:val="22"/>
          <w:szCs w:val="22"/>
        </w:rPr>
        <w:t>moves into Tier 2 Enhanced Services, Digital Services or is Exited</w:t>
      </w:r>
      <w:r w:rsidR="00E64FCD">
        <w:rPr>
          <w:sz w:val="22"/>
          <w:szCs w:val="22"/>
        </w:rPr>
        <w:t>.</w:t>
      </w:r>
    </w:p>
    <w:p w14:paraId="776F00C3" w14:textId="1265B81F" w:rsidR="00D6057B" w:rsidRPr="00C71CCC" w:rsidRDefault="00742E26" w:rsidP="00631327">
      <w:pPr>
        <w:pStyle w:val="ListparaAddendum"/>
        <w:numPr>
          <w:ilvl w:val="0"/>
          <w:numId w:val="0"/>
        </w:numPr>
        <w:ind w:left="510" w:right="-284"/>
        <w:rPr>
          <w:sz w:val="22"/>
          <w:szCs w:val="22"/>
        </w:rPr>
      </w:pPr>
      <w:r>
        <w:rPr>
          <w:sz w:val="22"/>
          <w:szCs w:val="22"/>
        </w:rPr>
        <w:t xml:space="preserve">It is the period </w:t>
      </w:r>
      <w:r w:rsidR="00D6057B" w:rsidRPr="00C71CCC">
        <w:rPr>
          <w:sz w:val="22"/>
          <w:szCs w:val="22"/>
        </w:rPr>
        <w:t xml:space="preserve">during which the </w:t>
      </w:r>
      <w:r w:rsidR="00832FE3">
        <w:rPr>
          <w:sz w:val="22"/>
          <w:szCs w:val="22"/>
        </w:rPr>
        <w:t>Provider</w:t>
      </w:r>
      <w:r w:rsidR="00D6057B" w:rsidRPr="00C71CCC">
        <w:rPr>
          <w:sz w:val="22"/>
          <w:szCs w:val="22"/>
        </w:rPr>
        <w:t xml:space="preserve"> must provide Tier 1 Enhanced Services</w:t>
      </w:r>
      <w:r w:rsidR="00E64FCD">
        <w:rPr>
          <w:sz w:val="22"/>
          <w:szCs w:val="22"/>
        </w:rPr>
        <w:t>.</w:t>
      </w:r>
      <w:r w:rsidR="00D6057B" w:rsidRPr="00C71CCC">
        <w:rPr>
          <w:sz w:val="22"/>
          <w:szCs w:val="22"/>
        </w:rPr>
        <w:t xml:space="preserve"> </w:t>
      </w:r>
    </w:p>
    <w:p w14:paraId="787D2675" w14:textId="492191FA" w:rsidR="00D6057B" w:rsidRPr="00C71CCC" w:rsidRDefault="00D6057B" w:rsidP="00631327">
      <w:pPr>
        <w:ind w:right="-284"/>
      </w:pPr>
      <w:r w:rsidRPr="00C71CCC">
        <w:rPr>
          <w:b/>
        </w:rPr>
        <w:t>‘Period in Tier 2 Enhanced Services’</w:t>
      </w:r>
      <w:r w:rsidRPr="00C71CCC">
        <w:t xml:space="preserve">: </w:t>
      </w:r>
    </w:p>
    <w:p w14:paraId="74394CD0" w14:textId="196492A8" w:rsidR="00D6057B" w:rsidRPr="008968DD" w:rsidRDefault="00D6057B" w:rsidP="00E73745">
      <w:pPr>
        <w:pStyle w:val="ListparaAddendum"/>
        <w:numPr>
          <w:ilvl w:val="0"/>
          <w:numId w:val="12"/>
        </w:numPr>
        <w:ind w:right="-794"/>
        <w:rPr>
          <w:sz w:val="22"/>
          <w:szCs w:val="22"/>
        </w:rPr>
      </w:pPr>
      <w:r w:rsidRPr="008968DD">
        <w:rPr>
          <w:sz w:val="22"/>
          <w:szCs w:val="22"/>
        </w:rPr>
        <w:t xml:space="preserve">commences </w:t>
      </w:r>
      <w:r w:rsidR="00742E26">
        <w:rPr>
          <w:sz w:val="22"/>
          <w:szCs w:val="22"/>
        </w:rPr>
        <w:t>when</w:t>
      </w:r>
      <w:r w:rsidRPr="008968DD">
        <w:rPr>
          <w:sz w:val="22"/>
          <w:szCs w:val="22"/>
        </w:rPr>
        <w:t xml:space="preserve"> a Tier 2 Enhanced Services </w:t>
      </w:r>
      <w:r w:rsidR="00832FE3">
        <w:rPr>
          <w:sz w:val="22"/>
          <w:szCs w:val="22"/>
        </w:rPr>
        <w:t>Participant</w:t>
      </w:r>
      <w:r w:rsidRPr="008968DD">
        <w:rPr>
          <w:sz w:val="22"/>
          <w:szCs w:val="22"/>
        </w:rPr>
        <w:t xml:space="preserve"> Commences in Tier 2 Enhanced Services;</w:t>
      </w:r>
    </w:p>
    <w:p w14:paraId="5544C092" w14:textId="3747935A" w:rsidR="00D6057B" w:rsidRPr="00C71CCC" w:rsidRDefault="00D6057B" w:rsidP="00E73745">
      <w:pPr>
        <w:pStyle w:val="ListparaAddendum"/>
        <w:keepNext/>
        <w:keepLines/>
        <w:numPr>
          <w:ilvl w:val="0"/>
          <w:numId w:val="11"/>
        </w:numPr>
        <w:ind w:right="-284"/>
        <w:rPr>
          <w:sz w:val="22"/>
          <w:szCs w:val="22"/>
        </w:rPr>
      </w:pPr>
      <w:r w:rsidRPr="00C71CCC">
        <w:rPr>
          <w:sz w:val="22"/>
          <w:szCs w:val="22"/>
        </w:rPr>
        <w:t>halt</w:t>
      </w:r>
      <w:r w:rsidR="00742E26">
        <w:rPr>
          <w:sz w:val="22"/>
          <w:szCs w:val="22"/>
        </w:rPr>
        <w:t>s</w:t>
      </w:r>
      <w:r w:rsidRPr="00C71CCC">
        <w:rPr>
          <w:sz w:val="22"/>
          <w:szCs w:val="22"/>
        </w:rPr>
        <w:t xml:space="preserve"> when the </w:t>
      </w:r>
      <w:r w:rsidR="00832FE3">
        <w:rPr>
          <w:sz w:val="22"/>
          <w:szCs w:val="22"/>
        </w:rPr>
        <w:t>Participant</w:t>
      </w:r>
      <w:r w:rsidRPr="00C71CCC">
        <w:rPr>
          <w:sz w:val="22"/>
          <w:szCs w:val="22"/>
        </w:rPr>
        <w:t xml:space="preserve"> is Suspended and recommences when the Suspension ends;</w:t>
      </w:r>
    </w:p>
    <w:p w14:paraId="499C885D" w14:textId="48CE1B54" w:rsidR="00D6057B" w:rsidRPr="00C71CCC" w:rsidRDefault="00D6057B" w:rsidP="00E73745">
      <w:pPr>
        <w:pStyle w:val="ListparaAddendum"/>
        <w:keepNext/>
        <w:keepLines/>
        <w:numPr>
          <w:ilvl w:val="0"/>
          <w:numId w:val="11"/>
        </w:numPr>
        <w:ind w:right="-284"/>
        <w:rPr>
          <w:sz w:val="22"/>
          <w:szCs w:val="22"/>
        </w:rPr>
      </w:pPr>
      <w:r w:rsidRPr="00C71CCC">
        <w:rPr>
          <w:sz w:val="22"/>
          <w:szCs w:val="22"/>
        </w:rPr>
        <w:t xml:space="preserve">ends </w:t>
      </w:r>
      <w:r w:rsidR="004C4A97">
        <w:rPr>
          <w:sz w:val="22"/>
          <w:szCs w:val="22"/>
        </w:rPr>
        <w:t>when the</w:t>
      </w:r>
      <w:r w:rsidRPr="00C71CCC">
        <w:rPr>
          <w:sz w:val="22"/>
          <w:szCs w:val="22"/>
        </w:rPr>
        <w:t xml:space="preserve"> </w:t>
      </w:r>
      <w:r w:rsidR="00832FE3">
        <w:rPr>
          <w:sz w:val="22"/>
          <w:szCs w:val="22"/>
        </w:rPr>
        <w:t>Participant</w:t>
      </w:r>
      <w:r w:rsidRPr="00C71CCC">
        <w:rPr>
          <w:sz w:val="22"/>
          <w:szCs w:val="22"/>
        </w:rPr>
        <w:t xml:space="preserve"> moves into Tier 1 Enhanced Services, Digital Services or is Exited</w:t>
      </w:r>
      <w:r w:rsidR="00E64FCD">
        <w:rPr>
          <w:sz w:val="22"/>
          <w:szCs w:val="22"/>
        </w:rPr>
        <w:t>.</w:t>
      </w:r>
    </w:p>
    <w:p w14:paraId="15284422" w14:textId="5552BECE" w:rsidR="00D6057B" w:rsidRDefault="00742E26" w:rsidP="00631327">
      <w:pPr>
        <w:pStyle w:val="ListparaAddendum"/>
        <w:keepNext/>
        <w:keepLines/>
        <w:numPr>
          <w:ilvl w:val="0"/>
          <w:numId w:val="0"/>
        </w:numPr>
        <w:ind w:left="510" w:right="-284"/>
        <w:rPr>
          <w:sz w:val="22"/>
          <w:szCs w:val="22"/>
        </w:rPr>
      </w:pPr>
      <w:r>
        <w:rPr>
          <w:sz w:val="22"/>
          <w:szCs w:val="22"/>
        </w:rPr>
        <w:t xml:space="preserve">It is the period </w:t>
      </w:r>
      <w:r w:rsidR="00D6057B" w:rsidRPr="00C71CCC">
        <w:rPr>
          <w:sz w:val="22"/>
          <w:szCs w:val="22"/>
        </w:rPr>
        <w:t xml:space="preserve">during which the </w:t>
      </w:r>
      <w:r w:rsidR="00832FE3">
        <w:rPr>
          <w:sz w:val="22"/>
          <w:szCs w:val="22"/>
        </w:rPr>
        <w:t>Provider</w:t>
      </w:r>
      <w:r w:rsidR="00D6057B" w:rsidRPr="00C71CCC">
        <w:rPr>
          <w:sz w:val="22"/>
          <w:szCs w:val="22"/>
        </w:rPr>
        <w:t xml:space="preserve"> must provide Tier 2 Enhanced</w:t>
      </w:r>
      <w:r w:rsidR="00E64FCD">
        <w:rPr>
          <w:sz w:val="22"/>
          <w:szCs w:val="22"/>
        </w:rPr>
        <w:t xml:space="preserve"> Services</w:t>
      </w:r>
      <w:r w:rsidR="00D6057B" w:rsidRPr="00C71CCC">
        <w:rPr>
          <w:sz w:val="22"/>
          <w:szCs w:val="22"/>
        </w:rPr>
        <w:t xml:space="preserve">. </w:t>
      </w:r>
    </w:p>
    <w:p w14:paraId="7B58A064" w14:textId="4CB7276A" w:rsidR="00195D89" w:rsidRDefault="00195D89" w:rsidP="00195D89">
      <w:pPr>
        <w:ind w:right="-284"/>
      </w:pPr>
      <w:r w:rsidRPr="00C71CCC">
        <w:rPr>
          <w:b/>
        </w:rPr>
        <w:t xml:space="preserve">‘Period of Unemployment’ </w:t>
      </w:r>
      <w:r>
        <w:t xml:space="preserve">determines whether a </w:t>
      </w:r>
      <w:r w:rsidR="00832FE3">
        <w:t>Provider</w:t>
      </w:r>
      <w:r>
        <w:t xml:space="preserve"> may be eligible for a </w:t>
      </w:r>
      <w:r w:rsidRPr="00742E26">
        <w:t>Very Long Term Unemployment Bonus</w:t>
      </w:r>
      <w:r>
        <w:t xml:space="preserve"> for a </w:t>
      </w:r>
      <w:r w:rsidR="00832FE3">
        <w:t>Participant</w:t>
      </w:r>
      <w:r w:rsidR="004C4A97">
        <w:t xml:space="preserve">, </w:t>
      </w:r>
      <w:r>
        <w:t xml:space="preserve">the value of Outcome Payments for a </w:t>
      </w:r>
      <w:r w:rsidR="00832FE3">
        <w:t>Participant</w:t>
      </w:r>
      <w:r>
        <w:t xml:space="preserve">, and the level of Employment Fund credits for a Transitioned </w:t>
      </w:r>
      <w:r w:rsidR="00832FE3">
        <w:t>Participant</w:t>
      </w:r>
      <w:r>
        <w:t>. It</w:t>
      </w:r>
    </w:p>
    <w:p w14:paraId="120E1531" w14:textId="136B6C04" w:rsidR="00195D89" w:rsidRPr="001621EB" w:rsidRDefault="00195D89" w:rsidP="00E73745">
      <w:pPr>
        <w:pStyle w:val="ListparaAddendum"/>
        <w:numPr>
          <w:ilvl w:val="0"/>
          <w:numId w:val="15"/>
        </w:numPr>
        <w:spacing w:before="120"/>
        <w:ind w:right="-284"/>
        <w:rPr>
          <w:sz w:val="22"/>
          <w:szCs w:val="22"/>
        </w:rPr>
      </w:pPr>
      <w:r w:rsidRPr="001621EB">
        <w:rPr>
          <w:sz w:val="22"/>
          <w:szCs w:val="22"/>
        </w:rPr>
        <w:t xml:space="preserve">begins when a </w:t>
      </w:r>
      <w:r w:rsidR="00832FE3">
        <w:rPr>
          <w:sz w:val="22"/>
          <w:szCs w:val="22"/>
        </w:rPr>
        <w:t>Participant</w:t>
      </w:r>
      <w:r w:rsidRPr="001621EB">
        <w:rPr>
          <w:sz w:val="22"/>
          <w:szCs w:val="22"/>
        </w:rPr>
        <w:t xml:space="preserve"> registers with </w:t>
      </w:r>
      <w:r w:rsidR="003B2E4D">
        <w:rPr>
          <w:sz w:val="22"/>
          <w:szCs w:val="22"/>
        </w:rPr>
        <w:t>Services Australia</w:t>
      </w:r>
      <w:r w:rsidRPr="001621EB">
        <w:rPr>
          <w:sz w:val="22"/>
          <w:szCs w:val="22"/>
        </w:rPr>
        <w:t>; and</w:t>
      </w:r>
    </w:p>
    <w:p w14:paraId="414FABD4" w14:textId="25C70B9A" w:rsidR="00195D89" w:rsidRPr="001621EB" w:rsidRDefault="00195D89" w:rsidP="00E73745">
      <w:pPr>
        <w:pStyle w:val="ListparaAddendum"/>
        <w:numPr>
          <w:ilvl w:val="0"/>
          <w:numId w:val="11"/>
        </w:numPr>
        <w:ind w:right="-284"/>
        <w:rPr>
          <w:sz w:val="22"/>
          <w:szCs w:val="22"/>
        </w:rPr>
      </w:pPr>
      <w:r w:rsidRPr="001621EB">
        <w:rPr>
          <w:sz w:val="22"/>
          <w:szCs w:val="22"/>
        </w:rPr>
        <w:t xml:space="preserve">ends when the </w:t>
      </w:r>
      <w:r w:rsidR="00832FE3">
        <w:rPr>
          <w:sz w:val="22"/>
          <w:szCs w:val="22"/>
        </w:rPr>
        <w:t>Participant</w:t>
      </w:r>
      <w:r w:rsidRPr="001621EB">
        <w:rPr>
          <w:sz w:val="22"/>
          <w:szCs w:val="22"/>
        </w:rPr>
        <w:t xml:space="preserve"> Exits.</w:t>
      </w:r>
    </w:p>
    <w:p w14:paraId="0D113ACE" w14:textId="10D3CA68" w:rsidR="00EF7C08" w:rsidRPr="00631327" w:rsidRDefault="00EF7C08" w:rsidP="00631327">
      <w:pPr>
        <w:keepNext/>
        <w:keepLines/>
        <w:ind w:right="-284"/>
      </w:pPr>
      <w:r w:rsidRPr="00631327">
        <w:t xml:space="preserve">Other </w:t>
      </w:r>
      <w:r w:rsidR="004C4A97">
        <w:t xml:space="preserve">defined NEST </w:t>
      </w:r>
      <w:r w:rsidRPr="00631327">
        <w:t xml:space="preserve">Periods determine the services that should be provided to a </w:t>
      </w:r>
      <w:r w:rsidR="00832FE3">
        <w:t>Participant</w:t>
      </w:r>
      <w:r w:rsidRPr="00631327">
        <w:t xml:space="preserve">, including whether the </w:t>
      </w:r>
      <w:r w:rsidR="00832FE3">
        <w:t>Participant</w:t>
      </w:r>
      <w:r w:rsidRPr="00631327">
        <w:t xml:space="preserve"> must participa</w:t>
      </w:r>
      <w:r w:rsidR="004E1C2A" w:rsidRPr="00631327">
        <w:t>te in activities</w:t>
      </w:r>
      <w:r w:rsidR="004E1C2A">
        <w:t>:</w:t>
      </w:r>
    </w:p>
    <w:p w14:paraId="44CA98DA" w14:textId="2B06B043" w:rsidR="00D6057B" w:rsidRPr="00C71CCC" w:rsidRDefault="00D6057B" w:rsidP="00631327">
      <w:pPr>
        <w:keepNext/>
        <w:keepLines/>
        <w:ind w:right="-567"/>
      </w:pPr>
      <w:r w:rsidRPr="00C71CCC">
        <w:rPr>
          <w:b/>
        </w:rPr>
        <w:t>‘Period of Registration’</w:t>
      </w:r>
      <w:r w:rsidR="003B7F1E" w:rsidRPr="00631327">
        <w:t xml:space="preserve"> </w:t>
      </w:r>
      <w:r w:rsidR="00195D89">
        <w:t>is</w:t>
      </w:r>
      <w:r w:rsidR="00EF7C08" w:rsidRPr="00EF7C08">
        <w:t xml:space="preserve"> </w:t>
      </w:r>
      <w:r w:rsidR="00195D89">
        <w:t>when</w:t>
      </w:r>
      <w:r w:rsidR="00EF7C08" w:rsidRPr="00EF7C08">
        <w:t xml:space="preserve"> a </w:t>
      </w:r>
      <w:r w:rsidR="00832FE3">
        <w:t>Provider</w:t>
      </w:r>
      <w:r w:rsidR="00491219">
        <w:t xml:space="preserve"> must provide </w:t>
      </w:r>
      <w:r w:rsidR="00556556">
        <w:t>Trial</w:t>
      </w:r>
      <w:r w:rsidR="00EF7C08" w:rsidRPr="00EF7C08">
        <w:t xml:space="preserve"> </w:t>
      </w:r>
      <w:r w:rsidR="00832FE3">
        <w:t>Provider</w:t>
      </w:r>
      <w:r w:rsidR="00EF7C08" w:rsidRPr="00EF7C08">
        <w:t xml:space="preserve"> Services to a </w:t>
      </w:r>
      <w:r w:rsidR="00832FE3">
        <w:t>Participant</w:t>
      </w:r>
      <w:r w:rsidR="00EF7C08" w:rsidRPr="00EF7C08">
        <w:t>.</w:t>
      </w:r>
      <w:r w:rsidR="00EF7C08">
        <w:t xml:space="preserve"> It</w:t>
      </w:r>
      <w:r w:rsidRPr="00C71CCC">
        <w:t xml:space="preserve"> begin</w:t>
      </w:r>
      <w:r w:rsidR="003B7F1E">
        <w:t>s</w:t>
      </w:r>
    </w:p>
    <w:p w14:paraId="2B56CE7F" w14:textId="28FF82F7" w:rsidR="00D6057B" w:rsidRPr="008968DD" w:rsidRDefault="00D6057B" w:rsidP="00E73745">
      <w:pPr>
        <w:pStyle w:val="ListparaAddendum"/>
        <w:keepNext/>
        <w:keepLines/>
        <w:numPr>
          <w:ilvl w:val="0"/>
          <w:numId w:val="13"/>
        </w:numPr>
        <w:ind w:right="-284"/>
        <w:rPr>
          <w:sz w:val="22"/>
          <w:szCs w:val="22"/>
        </w:rPr>
      </w:pPr>
      <w:r w:rsidRPr="008968DD">
        <w:rPr>
          <w:sz w:val="22"/>
          <w:szCs w:val="22"/>
        </w:rPr>
        <w:t xml:space="preserve">in the case of an </w:t>
      </w:r>
      <w:r w:rsidR="00FB71AB">
        <w:rPr>
          <w:sz w:val="22"/>
          <w:szCs w:val="22"/>
        </w:rPr>
        <w:t>Enhanced</w:t>
      </w:r>
      <w:r w:rsidRPr="008968DD">
        <w:rPr>
          <w:sz w:val="22"/>
          <w:szCs w:val="22"/>
        </w:rPr>
        <w:t xml:space="preserve"> Services </w:t>
      </w:r>
      <w:r w:rsidR="00832FE3">
        <w:rPr>
          <w:sz w:val="22"/>
          <w:szCs w:val="22"/>
        </w:rPr>
        <w:t>Participant</w:t>
      </w:r>
      <w:r w:rsidRPr="008968DD">
        <w:rPr>
          <w:sz w:val="22"/>
          <w:szCs w:val="22"/>
        </w:rPr>
        <w:t>, on their Commencement; or</w:t>
      </w:r>
    </w:p>
    <w:p w14:paraId="3C3C95CF" w14:textId="725A0639" w:rsidR="00D6057B" w:rsidRPr="00C71CAD" w:rsidRDefault="00D6057B" w:rsidP="00E73745">
      <w:pPr>
        <w:pStyle w:val="ListparaAddendum"/>
        <w:numPr>
          <w:ilvl w:val="0"/>
          <w:numId w:val="11"/>
        </w:numPr>
        <w:ind w:right="-284"/>
        <w:rPr>
          <w:sz w:val="22"/>
          <w:szCs w:val="22"/>
        </w:rPr>
      </w:pPr>
      <w:r w:rsidRPr="00C71CAD">
        <w:rPr>
          <w:sz w:val="22"/>
          <w:szCs w:val="22"/>
        </w:rPr>
        <w:t xml:space="preserve">in the case of a Digital </w:t>
      </w:r>
      <w:r w:rsidR="00832FE3">
        <w:rPr>
          <w:sz w:val="22"/>
          <w:szCs w:val="22"/>
        </w:rPr>
        <w:t>Participant</w:t>
      </w:r>
      <w:r w:rsidRPr="00C71CAD">
        <w:rPr>
          <w:sz w:val="22"/>
          <w:szCs w:val="22"/>
        </w:rPr>
        <w:t xml:space="preserve">, when they are Allocated to the </w:t>
      </w:r>
      <w:r w:rsidR="00832FE3">
        <w:rPr>
          <w:sz w:val="22"/>
          <w:szCs w:val="22"/>
        </w:rPr>
        <w:t>Provider</w:t>
      </w:r>
      <w:r w:rsidRPr="00C71CAD">
        <w:rPr>
          <w:sz w:val="22"/>
          <w:szCs w:val="22"/>
        </w:rPr>
        <w:t>,</w:t>
      </w:r>
    </w:p>
    <w:p w14:paraId="7B4BFE76" w14:textId="59C76091" w:rsidR="00D6057B" w:rsidRPr="00C71CCC" w:rsidRDefault="00EF7C08" w:rsidP="00631327">
      <w:pPr>
        <w:ind w:right="-284"/>
      </w:pPr>
      <w:r>
        <w:lastRenderedPageBreak/>
        <w:t>It</w:t>
      </w:r>
      <w:r w:rsidR="00D6057B" w:rsidRPr="00C71CCC">
        <w:t xml:space="preserve"> halts when the </w:t>
      </w:r>
      <w:r w:rsidR="00832FE3">
        <w:t>Participant</w:t>
      </w:r>
      <w:r w:rsidR="00D6057B" w:rsidRPr="00C71CCC">
        <w:t xml:space="preserve"> is Suspended</w:t>
      </w:r>
      <w:r>
        <w:t xml:space="preserve">, </w:t>
      </w:r>
      <w:r w:rsidR="00D6057B" w:rsidRPr="00C71CCC">
        <w:t>recommence</w:t>
      </w:r>
      <w:r>
        <w:t>s</w:t>
      </w:r>
      <w:r w:rsidR="00D6057B" w:rsidRPr="00C71CCC">
        <w:t xml:space="preserve"> when the Suspension ends, and ends when:</w:t>
      </w:r>
    </w:p>
    <w:p w14:paraId="2D6DF406" w14:textId="6D50056F" w:rsidR="00D6057B" w:rsidRPr="00C71CCC" w:rsidRDefault="00D6057B" w:rsidP="00E73745">
      <w:pPr>
        <w:pStyle w:val="ListparaAddendum"/>
        <w:keepNext/>
        <w:keepLines/>
        <w:numPr>
          <w:ilvl w:val="0"/>
          <w:numId w:val="13"/>
        </w:numPr>
        <w:ind w:right="-284"/>
        <w:rPr>
          <w:sz w:val="22"/>
          <w:szCs w:val="22"/>
        </w:rPr>
      </w:pPr>
      <w:r w:rsidRPr="00C71CCC">
        <w:rPr>
          <w:sz w:val="22"/>
          <w:szCs w:val="22"/>
        </w:rPr>
        <w:t xml:space="preserve">in the case of an </w:t>
      </w:r>
      <w:r w:rsidR="00FB71AB">
        <w:rPr>
          <w:sz w:val="22"/>
          <w:szCs w:val="22"/>
        </w:rPr>
        <w:t>Enhanced</w:t>
      </w:r>
      <w:r w:rsidRPr="00C71CCC">
        <w:rPr>
          <w:sz w:val="22"/>
          <w:szCs w:val="22"/>
        </w:rPr>
        <w:t xml:space="preserve"> Services </w:t>
      </w:r>
      <w:r w:rsidR="00832FE3">
        <w:rPr>
          <w:sz w:val="22"/>
          <w:szCs w:val="22"/>
        </w:rPr>
        <w:t>Participant</w:t>
      </w:r>
      <w:r w:rsidRPr="00C71CCC">
        <w:rPr>
          <w:sz w:val="22"/>
          <w:szCs w:val="22"/>
        </w:rPr>
        <w:t>, when the</w:t>
      </w:r>
      <w:r w:rsidR="00EF7C08">
        <w:rPr>
          <w:sz w:val="22"/>
          <w:szCs w:val="22"/>
        </w:rPr>
        <w:t xml:space="preserve"> </w:t>
      </w:r>
      <w:r w:rsidR="00832FE3">
        <w:rPr>
          <w:sz w:val="22"/>
          <w:szCs w:val="22"/>
        </w:rPr>
        <w:t>Participant</w:t>
      </w:r>
      <w:r w:rsidR="00EF7C08">
        <w:rPr>
          <w:sz w:val="22"/>
          <w:szCs w:val="22"/>
        </w:rPr>
        <w:t xml:space="preserve"> is </w:t>
      </w:r>
      <w:r w:rsidRPr="00C71CCC">
        <w:rPr>
          <w:sz w:val="22"/>
          <w:szCs w:val="22"/>
        </w:rPr>
        <w:t xml:space="preserve">transferred from the </w:t>
      </w:r>
      <w:r w:rsidR="00832FE3">
        <w:rPr>
          <w:sz w:val="22"/>
          <w:szCs w:val="22"/>
        </w:rPr>
        <w:t>Provider</w:t>
      </w:r>
      <w:r w:rsidRPr="00C71CCC">
        <w:rPr>
          <w:sz w:val="22"/>
          <w:szCs w:val="22"/>
        </w:rPr>
        <w:t>;</w:t>
      </w:r>
    </w:p>
    <w:p w14:paraId="6E374718" w14:textId="2B53D359" w:rsidR="00D6057B" w:rsidRPr="00C71CCC" w:rsidRDefault="00D6057B" w:rsidP="00E73745">
      <w:pPr>
        <w:pStyle w:val="ListparaAddendum"/>
        <w:keepNext/>
        <w:keepLines/>
        <w:numPr>
          <w:ilvl w:val="0"/>
          <w:numId w:val="13"/>
        </w:numPr>
        <w:ind w:right="-284"/>
        <w:rPr>
          <w:sz w:val="22"/>
          <w:szCs w:val="22"/>
        </w:rPr>
      </w:pPr>
      <w:r w:rsidRPr="00C71CCC">
        <w:rPr>
          <w:sz w:val="22"/>
          <w:szCs w:val="22"/>
        </w:rPr>
        <w:t xml:space="preserve">in the case of a Digital </w:t>
      </w:r>
      <w:r w:rsidR="00832FE3">
        <w:rPr>
          <w:sz w:val="22"/>
          <w:szCs w:val="22"/>
        </w:rPr>
        <w:t>Participant</w:t>
      </w:r>
      <w:r w:rsidRPr="00C71CCC">
        <w:rPr>
          <w:sz w:val="22"/>
          <w:szCs w:val="22"/>
        </w:rPr>
        <w:t xml:space="preserve">, when the Services for which the Digital </w:t>
      </w:r>
      <w:r w:rsidR="00832FE3">
        <w:rPr>
          <w:sz w:val="22"/>
          <w:szCs w:val="22"/>
        </w:rPr>
        <w:t>Participant</w:t>
      </w:r>
      <w:r w:rsidRPr="00C71CCC">
        <w:rPr>
          <w:sz w:val="22"/>
          <w:szCs w:val="22"/>
        </w:rPr>
        <w:t xml:space="preserve"> was Allocated to the </w:t>
      </w:r>
      <w:r w:rsidR="00832FE3">
        <w:rPr>
          <w:sz w:val="22"/>
          <w:szCs w:val="22"/>
        </w:rPr>
        <w:t>Provider</w:t>
      </w:r>
      <w:r w:rsidRPr="00C71CCC">
        <w:rPr>
          <w:sz w:val="22"/>
          <w:szCs w:val="22"/>
        </w:rPr>
        <w:t xml:space="preserve"> cease or are completed; or</w:t>
      </w:r>
    </w:p>
    <w:p w14:paraId="4AF5B58B" w14:textId="266EFCC9" w:rsidR="003B7F1E" w:rsidRPr="00EF7C08" w:rsidRDefault="00D6057B" w:rsidP="00E73745">
      <w:pPr>
        <w:pStyle w:val="ListparaAddendum"/>
        <w:keepNext/>
        <w:keepLines/>
        <w:numPr>
          <w:ilvl w:val="0"/>
          <w:numId w:val="13"/>
        </w:numPr>
        <w:ind w:right="-284"/>
        <w:rPr>
          <w:sz w:val="22"/>
          <w:szCs w:val="22"/>
        </w:rPr>
      </w:pPr>
      <w:r w:rsidRPr="00C71CCC">
        <w:rPr>
          <w:sz w:val="22"/>
          <w:szCs w:val="22"/>
        </w:rPr>
        <w:t xml:space="preserve">the </w:t>
      </w:r>
      <w:r w:rsidR="00832FE3">
        <w:rPr>
          <w:sz w:val="22"/>
          <w:szCs w:val="22"/>
        </w:rPr>
        <w:t>Participant</w:t>
      </w:r>
      <w:r w:rsidRPr="00C71CCC">
        <w:rPr>
          <w:sz w:val="22"/>
          <w:szCs w:val="22"/>
        </w:rPr>
        <w:t xml:space="preserve"> is Exited.</w:t>
      </w:r>
    </w:p>
    <w:p w14:paraId="36B91C01" w14:textId="1D28F993" w:rsidR="00D6057B" w:rsidRPr="00C71CCC" w:rsidRDefault="00D6057B" w:rsidP="00631327">
      <w:pPr>
        <w:ind w:right="-284"/>
      </w:pPr>
      <w:r w:rsidRPr="00C71CCC">
        <w:rPr>
          <w:b/>
        </w:rPr>
        <w:t>'Period of Service'</w:t>
      </w:r>
      <w:r w:rsidRPr="00C71CCC">
        <w:t>:</w:t>
      </w:r>
    </w:p>
    <w:p w14:paraId="7674296D" w14:textId="259192BD" w:rsidR="00D6057B" w:rsidRPr="00C71CCC" w:rsidRDefault="00D6057B" w:rsidP="00631327">
      <w:pPr>
        <w:pStyle w:val="ListparaAddendum"/>
        <w:ind w:right="-284"/>
        <w:rPr>
          <w:sz w:val="22"/>
          <w:szCs w:val="22"/>
        </w:rPr>
      </w:pPr>
      <w:r w:rsidRPr="00C71CCC">
        <w:rPr>
          <w:sz w:val="22"/>
          <w:szCs w:val="22"/>
        </w:rPr>
        <w:t>begins as specified in the Department’s IT Systems;</w:t>
      </w:r>
    </w:p>
    <w:p w14:paraId="61663D59" w14:textId="798AD775" w:rsidR="00D6057B" w:rsidRPr="00C71CCC" w:rsidRDefault="00D6057B" w:rsidP="00E73745">
      <w:pPr>
        <w:pStyle w:val="ListparaAddendum"/>
        <w:numPr>
          <w:ilvl w:val="0"/>
          <w:numId w:val="11"/>
        </w:numPr>
        <w:ind w:right="-794"/>
        <w:rPr>
          <w:sz w:val="22"/>
          <w:szCs w:val="22"/>
        </w:rPr>
      </w:pPr>
      <w:r w:rsidRPr="00C71CCC">
        <w:rPr>
          <w:sz w:val="22"/>
          <w:szCs w:val="22"/>
        </w:rPr>
        <w:t xml:space="preserve">halts when the </w:t>
      </w:r>
      <w:r w:rsidR="00832FE3">
        <w:rPr>
          <w:sz w:val="22"/>
          <w:szCs w:val="22"/>
        </w:rPr>
        <w:t>Participant</w:t>
      </w:r>
      <w:r w:rsidRPr="00C71CCC">
        <w:rPr>
          <w:sz w:val="22"/>
          <w:szCs w:val="22"/>
        </w:rPr>
        <w:t xml:space="preserve"> is Suspended and recommences when the Suspension ends; and</w:t>
      </w:r>
    </w:p>
    <w:p w14:paraId="639BED34" w14:textId="7D2BE88A" w:rsidR="00742E26" w:rsidRPr="00631327" w:rsidRDefault="00D6057B" w:rsidP="00E73745">
      <w:pPr>
        <w:pStyle w:val="ListparaAddendum"/>
        <w:numPr>
          <w:ilvl w:val="0"/>
          <w:numId w:val="11"/>
        </w:numPr>
        <w:ind w:right="-567"/>
      </w:pPr>
      <w:r w:rsidRPr="00C71CCC">
        <w:rPr>
          <w:sz w:val="22"/>
          <w:szCs w:val="22"/>
        </w:rPr>
        <w:t xml:space="preserve">ends when the </w:t>
      </w:r>
      <w:r w:rsidR="00832FE3">
        <w:rPr>
          <w:sz w:val="22"/>
          <w:szCs w:val="22"/>
        </w:rPr>
        <w:t>Participant</w:t>
      </w:r>
      <w:r w:rsidRPr="00C71CCC">
        <w:rPr>
          <w:sz w:val="22"/>
          <w:szCs w:val="22"/>
        </w:rPr>
        <w:t xml:space="preserve"> Exits.</w:t>
      </w:r>
    </w:p>
    <w:p w14:paraId="36CC2CA4" w14:textId="11E169BF" w:rsidR="004B79E1" w:rsidRPr="00130573" w:rsidRDefault="004B79E1" w:rsidP="00343B95">
      <w:pPr>
        <w:pStyle w:val="DeedReference"/>
        <w:ind w:left="0"/>
      </w:pPr>
      <w:r w:rsidRPr="00631327">
        <w:t>(Deed references:</w:t>
      </w:r>
      <w:r w:rsidR="00AC1EC4" w:rsidRPr="00631327">
        <w:t xml:space="preserve"> Clauses </w:t>
      </w:r>
      <w:r w:rsidR="00394F6B">
        <w:t>98</w:t>
      </w:r>
      <w:r w:rsidR="00AC1EC4" w:rsidRPr="00631327">
        <w:t>.1, 10</w:t>
      </w:r>
      <w:r w:rsidR="00394F6B">
        <w:t>0</w:t>
      </w:r>
      <w:r w:rsidR="00AC1EC4" w:rsidRPr="00631327">
        <w:t>, 10</w:t>
      </w:r>
      <w:r w:rsidR="00394F6B">
        <w:t>1</w:t>
      </w:r>
      <w:r w:rsidR="00AC1EC4" w:rsidRPr="00631327">
        <w:t>, 10</w:t>
      </w:r>
      <w:r w:rsidR="00394F6B">
        <w:t>2</w:t>
      </w:r>
      <w:r w:rsidR="00AC1EC4" w:rsidRPr="00631327">
        <w:t>, 13</w:t>
      </w:r>
      <w:r w:rsidR="00394F6B">
        <w:t>7</w:t>
      </w:r>
      <w:r w:rsidR="00AC1EC4" w:rsidRPr="00631327">
        <w:t>, Annexure E1 – Payments and Employment Fund Credits, Attachment 1 – Definitions</w:t>
      </w:r>
      <w:r w:rsidR="00AC1EC4">
        <w:t>)</w:t>
      </w:r>
    </w:p>
    <w:p w14:paraId="01B7818B" w14:textId="4CEEA151" w:rsidR="007C7853" w:rsidRDefault="007C7853" w:rsidP="004B79E1">
      <w:pPr>
        <w:pStyle w:val="Heading1"/>
        <w:ind w:left="357" w:right="-284" w:hanging="357"/>
      </w:pPr>
      <w:bookmarkStart w:id="30" w:name="_Toc40103099"/>
      <w:bookmarkStart w:id="31" w:name="_Toc468954298"/>
      <w:r>
        <w:t>What are Suspensions?</w:t>
      </w:r>
      <w:bookmarkEnd w:id="30"/>
    </w:p>
    <w:p w14:paraId="59D06321" w14:textId="30824CBD" w:rsidR="006B6256" w:rsidRDefault="007C7853" w:rsidP="006B6256">
      <w:pPr>
        <w:pStyle w:val="guidelinetext"/>
      </w:pPr>
      <w:r>
        <w:t xml:space="preserve">Suspensions are periods during which </w:t>
      </w:r>
      <w:r w:rsidR="006D237F">
        <w:t>P</w:t>
      </w:r>
      <w:r>
        <w:t xml:space="preserve">articipants </w:t>
      </w:r>
      <w:r w:rsidR="006D237F">
        <w:t xml:space="preserve">on the caseload of a provider are </w:t>
      </w:r>
      <w:r>
        <w:t xml:space="preserve">generally </w:t>
      </w:r>
      <w:r w:rsidR="006D237F">
        <w:t>not required to participate in</w:t>
      </w:r>
      <w:r>
        <w:t xml:space="preserve"> employment services. They may be the result </w:t>
      </w:r>
      <w:r w:rsidR="00012EF4">
        <w:t xml:space="preserve">of </w:t>
      </w:r>
      <w:r w:rsidR="003B2E4D">
        <w:t>Services Australia</w:t>
      </w:r>
      <w:r w:rsidR="003B2E4D" w:rsidDel="003B2E4D">
        <w:t xml:space="preserve"> </w:t>
      </w:r>
      <w:r>
        <w:t xml:space="preserve">temporarily </w:t>
      </w:r>
      <w:r w:rsidR="006D237F">
        <w:t>E</w:t>
      </w:r>
      <w:r>
        <w:t xml:space="preserve">xempting a </w:t>
      </w:r>
      <w:r w:rsidR="006D237F">
        <w:t>P</w:t>
      </w:r>
      <w:r>
        <w:t>articipant from their obligations</w:t>
      </w:r>
      <w:r w:rsidR="006B6256">
        <w:t xml:space="preserve">, or </w:t>
      </w:r>
      <w:r w:rsidR="003B2E4D">
        <w:t>Services Australia</w:t>
      </w:r>
      <w:r w:rsidR="003B2E4D" w:rsidDel="003B2E4D">
        <w:t xml:space="preserve"> </w:t>
      </w:r>
      <w:r w:rsidR="006B6256">
        <w:t xml:space="preserve">or the Provider applying a Suspension for eligible </w:t>
      </w:r>
      <w:r w:rsidR="006D237F">
        <w:t>P</w:t>
      </w:r>
      <w:r w:rsidR="006B6256">
        <w:t>articipants who are meeting their mutual obligation requirements.</w:t>
      </w:r>
      <w:r w:rsidR="006B6256" w:rsidRPr="006B6256">
        <w:t xml:space="preserve"> </w:t>
      </w:r>
    </w:p>
    <w:p w14:paraId="36A51A64" w14:textId="19D88FCB" w:rsidR="006B6256" w:rsidRDefault="006B6256" w:rsidP="006B6256">
      <w:pPr>
        <w:pStyle w:val="guidelinetext"/>
      </w:pPr>
      <w:r>
        <w:t>While Providers generally do not need to deliver services to Suspended Participants, Suspended Participants aged 55 years or over can be required to attend appointments relating to employment opportunities.</w:t>
      </w:r>
    </w:p>
    <w:p w14:paraId="61482BB7" w14:textId="17F29D46" w:rsidR="004B79E1" w:rsidRDefault="00BF2E36" w:rsidP="00E73745">
      <w:pPr>
        <w:pStyle w:val="Heading1"/>
      </w:pPr>
      <w:bookmarkStart w:id="32" w:name="_Toc40103100"/>
      <w:r>
        <w:t>When are Participants Suspended?</w:t>
      </w:r>
      <w:bookmarkEnd w:id="31"/>
      <w:bookmarkEnd w:id="32"/>
    </w:p>
    <w:p w14:paraId="4037822D" w14:textId="5CA4ACB9" w:rsidR="00D80381" w:rsidRDefault="00832FE3" w:rsidP="00291617">
      <w:pPr>
        <w:pStyle w:val="guidelinetext"/>
        <w:ind w:left="720" w:firstLine="720"/>
      </w:pPr>
      <w:r>
        <w:t>Participant</w:t>
      </w:r>
      <w:r w:rsidR="004B79E1">
        <w:t>s are Suspended if they are</w:t>
      </w:r>
      <w:r w:rsidR="00D80381">
        <w:t>:</w:t>
      </w:r>
    </w:p>
    <w:p w14:paraId="28C1E52C" w14:textId="264095D4" w:rsidR="004B79E1" w:rsidRDefault="00291617" w:rsidP="00273B04">
      <w:pPr>
        <w:pStyle w:val="guidelinebullet"/>
      </w:pPr>
      <w:r>
        <w:t xml:space="preserve">a </w:t>
      </w:r>
      <w:r w:rsidR="00832FE3">
        <w:t>Participant</w:t>
      </w:r>
      <w:r w:rsidR="00A54A1B">
        <w:t xml:space="preserve"> (Mutual Obligation)</w:t>
      </w:r>
      <w:r w:rsidR="004B79E1">
        <w:t>:</w:t>
      </w:r>
    </w:p>
    <w:p w14:paraId="5BEA03F3" w14:textId="63889FD9" w:rsidR="00291617" w:rsidRDefault="004B79E1" w:rsidP="00E73745">
      <w:pPr>
        <w:pStyle w:val="guidelinebullet"/>
        <w:numPr>
          <w:ilvl w:val="1"/>
          <w:numId w:val="6"/>
        </w:numPr>
      </w:pPr>
      <w:r>
        <w:t xml:space="preserve">with an Exemption applied by </w:t>
      </w:r>
      <w:r w:rsidR="003B2E4D">
        <w:t>Services Australia</w:t>
      </w:r>
    </w:p>
    <w:p w14:paraId="711C25CB" w14:textId="77777777" w:rsidR="004B79E1" w:rsidRDefault="004B79E1" w:rsidP="00E73745">
      <w:pPr>
        <w:pStyle w:val="guidelinebullet"/>
        <w:numPr>
          <w:ilvl w:val="1"/>
          <w:numId w:val="6"/>
        </w:numPr>
      </w:pPr>
      <w:r>
        <w:t>who is a Principal Carer Parent (PCP) and is fully meeting their part-time Mutual Obligation Requirements through participating in 30 hours a fortnight of paid work and/or study</w:t>
      </w:r>
    </w:p>
    <w:p w14:paraId="5FE2D5E7" w14:textId="77777777" w:rsidR="004B79E1" w:rsidRDefault="004B79E1" w:rsidP="00E73745">
      <w:pPr>
        <w:pStyle w:val="guidelinebullet"/>
        <w:numPr>
          <w:ilvl w:val="1"/>
          <w:numId w:val="5"/>
        </w:numPr>
      </w:pPr>
      <w:r>
        <w:lastRenderedPageBreak/>
        <w:t>who has a Partial Capacity to Work (PCW) of 15 to 29 hours a week and is fully meeting their part-time Mutual Obligation Requirements through participating in 30 hours a fortnight of paid work and/or study</w:t>
      </w:r>
    </w:p>
    <w:p w14:paraId="03BE2346" w14:textId="4CB58C6A" w:rsidR="004A7D9B" w:rsidRPr="001C34DD" w:rsidRDefault="004B79E1" w:rsidP="00E73745">
      <w:pPr>
        <w:pStyle w:val="guidelinebullet"/>
        <w:numPr>
          <w:ilvl w:val="1"/>
          <w:numId w:val="5"/>
        </w:numPr>
      </w:pPr>
      <w:r w:rsidRPr="001C34DD">
        <w:t>aged 55 years and over and is meeting their Full-Time Mutual Obligation Requirements through participating in paid work and/or approved Voluntary Work</w:t>
      </w:r>
      <w:r w:rsidR="004A7D9B">
        <w:t xml:space="preserve"> depending on their age and circumstances. </w:t>
      </w:r>
    </w:p>
    <w:p w14:paraId="305BD52D" w14:textId="05768FAD" w:rsidR="004A7D9B" w:rsidRDefault="004A7D9B" w:rsidP="00E73745">
      <w:pPr>
        <w:pStyle w:val="guidelinebullet"/>
        <w:numPr>
          <w:ilvl w:val="2"/>
          <w:numId w:val="5"/>
        </w:numPr>
      </w:pPr>
      <w:r>
        <w:t xml:space="preserve">If the </w:t>
      </w:r>
      <w:r w:rsidR="00832FE3">
        <w:t>Participant</w:t>
      </w:r>
      <w:r>
        <w:t xml:space="preserve"> is aged 55 – 59 and in their first 12 months of receiving payment, they can fully meet their Mutual Obligation Requirements by completing 30 hours per fortnight of paid work. These </w:t>
      </w:r>
      <w:r w:rsidR="00832FE3">
        <w:t>Participant</w:t>
      </w:r>
      <w:r>
        <w:t>s can also fully meet their Mutual Obligation Requirements by completing 30 hours per fortnight of a combination of approved Voluntary Work and paid work. However, this must include at least 15 hours per fortnight of paid work.</w:t>
      </w:r>
    </w:p>
    <w:p w14:paraId="4E0DE149" w14:textId="355436CB" w:rsidR="004A7D9B" w:rsidRDefault="004A7D9B" w:rsidP="00E73745">
      <w:pPr>
        <w:pStyle w:val="guidelinebullet"/>
        <w:numPr>
          <w:ilvl w:val="2"/>
          <w:numId w:val="5"/>
        </w:numPr>
      </w:pPr>
      <w:r>
        <w:t xml:space="preserve">If the </w:t>
      </w:r>
      <w:r w:rsidR="00832FE3">
        <w:t>Participant</w:t>
      </w:r>
      <w:r>
        <w:t xml:space="preserve"> is aged 55 – 59 and has been receiving payment for more than 12 months, they can fully meet their Mutual Obligation Requirements if they undertake at least 30 hours per fortnight of paid work, approved Voluntary Work or a combination of the two Activities.</w:t>
      </w:r>
    </w:p>
    <w:p w14:paraId="2EE2E09D" w14:textId="38BA1E53" w:rsidR="00085CD1" w:rsidRDefault="004A7D9B" w:rsidP="00E73745">
      <w:pPr>
        <w:pStyle w:val="guidelinebullet"/>
        <w:numPr>
          <w:ilvl w:val="2"/>
          <w:numId w:val="5"/>
        </w:numPr>
      </w:pPr>
      <w:r>
        <w:t xml:space="preserve">If the </w:t>
      </w:r>
      <w:r w:rsidR="00832FE3">
        <w:t>Participant</w:t>
      </w:r>
      <w:r>
        <w:t xml:space="preserve"> is aged between 60 and the age pension age, they can fully meet their Mutual Obligation Requirements if they undertake at least 30 hours per fortnight of paid work, approved Voluntary Work or a combination of the two activities.</w:t>
      </w:r>
    </w:p>
    <w:p w14:paraId="1C34F42F" w14:textId="1F274F6E" w:rsidR="004B79E1" w:rsidRDefault="004B79E1" w:rsidP="00085CD1">
      <w:pPr>
        <w:pStyle w:val="guidelinebullet"/>
      </w:pPr>
      <w:r>
        <w:t>with a temporary reduced work capacity of less than 15 hours per week</w:t>
      </w:r>
    </w:p>
    <w:p w14:paraId="36886CD1" w14:textId="6ECA8D09" w:rsidR="00BF2E36" w:rsidRDefault="004B79E1" w:rsidP="00085CD1">
      <w:pPr>
        <w:pStyle w:val="guidelinebullet"/>
      </w:pPr>
      <w:r>
        <w:t xml:space="preserve">identified as a PCW </w:t>
      </w:r>
      <w:r w:rsidR="00832FE3">
        <w:t>Participant</w:t>
      </w:r>
      <w:r>
        <w:t xml:space="preserve"> who has a current and future work capacity of less than 15 hours per week</w:t>
      </w:r>
    </w:p>
    <w:p w14:paraId="6B917519" w14:textId="77777777" w:rsidR="00BF2E36" w:rsidRDefault="00BF2E36">
      <w:r>
        <w:br w:type="page"/>
      </w:r>
    </w:p>
    <w:p w14:paraId="409CD8F9" w14:textId="210E1F27" w:rsidR="00972504" w:rsidRDefault="00972504" w:rsidP="00E73745">
      <w:pPr>
        <w:pStyle w:val="Heading1"/>
      </w:pPr>
      <w:bookmarkStart w:id="33" w:name="_Toc40103101"/>
      <w:bookmarkStart w:id="34" w:name="_Toc468954300"/>
      <w:r>
        <w:lastRenderedPageBreak/>
        <w:t>Who applies a Suspension</w:t>
      </w:r>
      <w:r w:rsidR="00BF2E36">
        <w:t>?</w:t>
      </w:r>
      <w:bookmarkEnd w:id="33"/>
    </w:p>
    <w:p w14:paraId="2F4B57FB" w14:textId="0B693F0C" w:rsidR="00972504" w:rsidRDefault="00972504" w:rsidP="00E73745">
      <w:pPr>
        <w:pStyle w:val="Heading2"/>
      </w:pPr>
      <w:bookmarkStart w:id="35" w:name="_Toc40103102"/>
      <w:r>
        <w:t>Suspensions can be</w:t>
      </w:r>
      <w:r w:rsidR="00BF2E36">
        <w:t xml:space="preserve"> applied by </w:t>
      </w:r>
      <w:r w:rsidR="003B2E4D" w:rsidRPr="003B2E4D">
        <w:t>Services Australia</w:t>
      </w:r>
      <w:r w:rsidR="003B2E4D" w:rsidRPr="003B2E4D" w:rsidDel="003B2E4D">
        <w:t xml:space="preserve"> </w:t>
      </w:r>
      <w:r w:rsidR="00BF2E36">
        <w:t>if</w:t>
      </w:r>
      <w:r>
        <w:t>:</w:t>
      </w:r>
      <w:bookmarkEnd w:id="35"/>
    </w:p>
    <w:p w14:paraId="23DCA873" w14:textId="78AFEC84" w:rsidR="00972504" w:rsidRDefault="00832FE3" w:rsidP="004B3FD5">
      <w:pPr>
        <w:pStyle w:val="guidelinebullet"/>
      </w:pPr>
      <w:r>
        <w:t>Participant</w:t>
      </w:r>
      <w:r w:rsidR="00972504">
        <w:t>s qualify for</w:t>
      </w:r>
      <w:r w:rsidR="00C257DF">
        <w:t xml:space="preserve"> an</w:t>
      </w:r>
      <w:r w:rsidR="00972504">
        <w:t xml:space="preserve"> exemption from their </w:t>
      </w:r>
      <w:r w:rsidR="00F8708A">
        <w:t>Mutual Obligation Requirements</w:t>
      </w:r>
      <w:r w:rsidR="00972504">
        <w:t xml:space="preserve"> when their personal circumstances make it difficult for them to meet those requirements</w:t>
      </w:r>
      <w:r w:rsidR="00C06041">
        <w:t>,</w:t>
      </w:r>
      <w:r w:rsidR="00972504">
        <w:t xml:space="preserve"> or</w:t>
      </w:r>
    </w:p>
    <w:p w14:paraId="516A2B3F" w14:textId="0AA048F0" w:rsidR="00972504" w:rsidRDefault="00972504" w:rsidP="004B3FD5">
      <w:pPr>
        <w:pStyle w:val="guidelinebullet"/>
      </w:pPr>
      <w:r>
        <w:t xml:space="preserve">a </w:t>
      </w:r>
      <w:r w:rsidR="00832FE3">
        <w:t>Participant</w:t>
      </w:r>
      <w:r>
        <w:t xml:space="preserve"> is participating in an appropriate activity to meet their Mutual Obligation Requirements.</w:t>
      </w:r>
    </w:p>
    <w:p w14:paraId="7109F1AA" w14:textId="1FA1B7C8" w:rsidR="00972504" w:rsidRDefault="00BF2E36" w:rsidP="00E73745">
      <w:pPr>
        <w:pStyle w:val="Heading2"/>
      </w:pPr>
      <w:bookmarkStart w:id="36" w:name="_Toc40103103"/>
      <w:r>
        <w:t xml:space="preserve">Suspensions can be </w:t>
      </w:r>
      <w:r w:rsidR="00C50996">
        <w:t xml:space="preserve">applied by </w:t>
      </w:r>
      <w:r w:rsidR="00832FE3">
        <w:t>Provider</w:t>
      </w:r>
      <w:r w:rsidR="00C50996">
        <w:t>s</w:t>
      </w:r>
      <w:r w:rsidR="00CF71E6">
        <w:t xml:space="preserve"> or the Contact Centre</w:t>
      </w:r>
      <w:r>
        <w:t xml:space="preserve"> if</w:t>
      </w:r>
      <w:r w:rsidR="00972504">
        <w:t>:</w:t>
      </w:r>
      <w:bookmarkEnd w:id="36"/>
    </w:p>
    <w:p w14:paraId="4D090274" w14:textId="125D14ED" w:rsidR="00C50996" w:rsidRDefault="00972504" w:rsidP="004B3FD5">
      <w:pPr>
        <w:pStyle w:val="guidelinebullet"/>
      </w:pPr>
      <w:r>
        <w:t xml:space="preserve">a </w:t>
      </w:r>
      <w:r w:rsidR="00832FE3">
        <w:t>Participant</w:t>
      </w:r>
      <w:r w:rsidR="006B7F31">
        <w:t xml:space="preserve"> (Voluntary)</w:t>
      </w:r>
      <w:r>
        <w:t xml:space="preserve"> is experiencing a situation that affects their ability to participate for a specified period</w:t>
      </w:r>
    </w:p>
    <w:p w14:paraId="433CABA3" w14:textId="4D3388A3" w:rsidR="00DC094D" w:rsidRPr="007F2DB7" w:rsidRDefault="00BF2E36" w:rsidP="00E73745">
      <w:pPr>
        <w:pStyle w:val="Heading2"/>
      </w:pPr>
      <w:bookmarkStart w:id="37" w:name="_Toc40103104"/>
      <w:r>
        <w:t xml:space="preserve">Suspensions can be </w:t>
      </w:r>
      <w:r w:rsidR="00DC094D" w:rsidRPr="007F2DB7">
        <w:t xml:space="preserve">applied by the Department on behalf of </w:t>
      </w:r>
      <w:r w:rsidR="00832FE3">
        <w:t>Provider</w:t>
      </w:r>
      <w:r w:rsidR="00DC094D" w:rsidRPr="007F2DB7">
        <w:t>s</w:t>
      </w:r>
      <w:r>
        <w:t xml:space="preserve"> if:</w:t>
      </w:r>
      <w:bookmarkEnd w:id="37"/>
    </w:p>
    <w:p w14:paraId="2722B1A8" w14:textId="17F88CA9" w:rsidR="00DC094D" w:rsidRDefault="00C06041" w:rsidP="00DC094D">
      <w:pPr>
        <w:pStyle w:val="guidelinebullet"/>
      </w:pPr>
      <w:r>
        <w:t xml:space="preserve">a </w:t>
      </w:r>
      <w:r w:rsidR="00DC094D" w:rsidRPr="00DC094D">
        <w:t>Volunteer has a New Enterprise Incentive Scheme (NEIS) referral</w:t>
      </w:r>
    </w:p>
    <w:p w14:paraId="44D70F8C" w14:textId="3538EA97" w:rsidR="00972504" w:rsidRDefault="00DC094D" w:rsidP="00DC094D">
      <w:pPr>
        <w:pStyle w:val="guidelinebullet"/>
      </w:pPr>
      <w:r>
        <w:t xml:space="preserve">the </w:t>
      </w:r>
      <w:r w:rsidR="00832FE3">
        <w:t>Provider</w:t>
      </w:r>
      <w:r>
        <w:t xml:space="preserve"> requests a suspension for a</w:t>
      </w:r>
      <w:r w:rsidR="00972504">
        <w:t xml:space="preserve"> </w:t>
      </w:r>
      <w:r w:rsidR="00832FE3">
        <w:t>Participant</w:t>
      </w:r>
      <w:r>
        <w:t xml:space="preserve"> who meets the Suspension criteria</w:t>
      </w:r>
      <w:r w:rsidR="00972504">
        <w:t>.</w:t>
      </w:r>
    </w:p>
    <w:bookmarkEnd w:id="34"/>
    <w:p w14:paraId="22C4E8C3" w14:textId="3730B311" w:rsidR="00756A7B" w:rsidRDefault="00556535" w:rsidP="00EC4A7F">
      <w:pPr>
        <w:pStyle w:val="docev"/>
        <w:ind w:left="1440" w:hanging="1440"/>
      </w:pPr>
      <w:r>
        <w:rPr>
          <w:b/>
        </w:rPr>
        <w:t xml:space="preserve">Documentary evidence: </w:t>
      </w:r>
      <w:r w:rsidR="00756A7B">
        <w:t xml:space="preserve">Where a </w:t>
      </w:r>
      <w:r w:rsidR="00832FE3">
        <w:t>Provider</w:t>
      </w:r>
      <w:r w:rsidR="00756A7B">
        <w:t xml:space="preserve"> Suspends a </w:t>
      </w:r>
      <w:r w:rsidR="00832FE3">
        <w:t>Participant</w:t>
      </w:r>
      <w:r w:rsidR="00756A7B">
        <w:t xml:space="preserve">, the </w:t>
      </w:r>
      <w:r w:rsidR="00832FE3">
        <w:t>Provider</w:t>
      </w:r>
      <w:r w:rsidR="00756A7B">
        <w:t xml:space="preserve"> must record the reason for the Suspension, and the start and end dates for the Suspension, in the Department’s IT System.</w:t>
      </w:r>
    </w:p>
    <w:p w14:paraId="3C930D2D" w14:textId="0C0B0836" w:rsidR="004B79E1" w:rsidRDefault="00832FE3" w:rsidP="00E73745">
      <w:pPr>
        <w:pStyle w:val="Heading1"/>
      </w:pPr>
      <w:bookmarkStart w:id="38" w:name="_Toc468954301"/>
      <w:bookmarkStart w:id="39" w:name="_Toc40103105"/>
      <w:r>
        <w:t>Participant</w:t>
      </w:r>
      <w:r w:rsidR="004B79E1">
        <w:t xml:space="preserve">s who are Suspended can voluntarily participate in </w:t>
      </w:r>
      <w:r w:rsidR="007F2DB7">
        <w:t xml:space="preserve">Trial </w:t>
      </w:r>
      <w:r>
        <w:t>Provider</w:t>
      </w:r>
      <w:r w:rsidR="007F2DB7">
        <w:t xml:space="preserve"> S</w:t>
      </w:r>
      <w:r w:rsidR="004B79E1">
        <w:t>ervices</w:t>
      </w:r>
      <w:bookmarkEnd w:id="38"/>
      <w:bookmarkEnd w:id="39"/>
    </w:p>
    <w:p w14:paraId="706D506F" w14:textId="5F46919D" w:rsidR="004B79E1" w:rsidRDefault="00832FE3" w:rsidP="004B79E1">
      <w:pPr>
        <w:pStyle w:val="guidelinetext"/>
      </w:pPr>
      <w:r>
        <w:t>Participant</w:t>
      </w:r>
      <w:r w:rsidR="007F2DB7">
        <w:t>s</w:t>
      </w:r>
      <w:r w:rsidR="004B79E1">
        <w:t xml:space="preserve"> </w:t>
      </w:r>
      <w:r w:rsidR="004C4C55">
        <w:t xml:space="preserve">who are Suspended </w:t>
      </w:r>
      <w:r w:rsidR="004B79E1">
        <w:t>can choose to participate voluntarily in services while they are Suspended after:</w:t>
      </w:r>
    </w:p>
    <w:p w14:paraId="2CB3B167" w14:textId="1BA5CC5D" w:rsidR="004B79E1" w:rsidRDefault="004B79E1" w:rsidP="004B79E1">
      <w:pPr>
        <w:pStyle w:val="guidelinebullet"/>
      </w:pPr>
      <w:r>
        <w:t xml:space="preserve">being contacted by their </w:t>
      </w:r>
      <w:r w:rsidR="00832FE3">
        <w:t>Provider</w:t>
      </w:r>
      <w:r>
        <w:t xml:space="preserve"> to discuss and agree to voluntarily participate while Suspended, or</w:t>
      </w:r>
    </w:p>
    <w:p w14:paraId="04A998A9" w14:textId="0F7EC8C5" w:rsidR="004B79E1" w:rsidRDefault="004B79E1" w:rsidP="004B79E1">
      <w:pPr>
        <w:pStyle w:val="guidelinebullet"/>
      </w:pPr>
      <w:r>
        <w:t xml:space="preserve">notifying </w:t>
      </w:r>
      <w:r w:rsidR="003B2E4D">
        <w:t>Services Australia</w:t>
      </w:r>
      <w:r w:rsidR="003B2E4D" w:rsidDel="003B2E4D">
        <w:t xml:space="preserve"> </w:t>
      </w:r>
      <w:r>
        <w:t xml:space="preserve">who will either call their </w:t>
      </w:r>
      <w:r w:rsidR="00832FE3">
        <w:t>Provider</w:t>
      </w:r>
      <w:r>
        <w:t xml:space="preserve"> or book an Appointment for them, or</w:t>
      </w:r>
    </w:p>
    <w:p w14:paraId="79522F82" w14:textId="01F3C563" w:rsidR="004B79E1" w:rsidRDefault="004B79E1" w:rsidP="004B79E1">
      <w:pPr>
        <w:pStyle w:val="guidelinebullet"/>
      </w:pPr>
      <w:r>
        <w:t xml:space="preserve">directly contacting their </w:t>
      </w:r>
      <w:r w:rsidR="00832FE3">
        <w:t>Provider</w:t>
      </w:r>
      <w:r>
        <w:t xml:space="preserve"> to request services.</w:t>
      </w:r>
    </w:p>
    <w:p w14:paraId="60F57D32" w14:textId="74B5550F" w:rsidR="004B79E1" w:rsidRDefault="004B79E1" w:rsidP="004B79E1">
      <w:pPr>
        <w:pStyle w:val="guidelinetext"/>
      </w:pPr>
      <w:r>
        <w:t xml:space="preserve">The </w:t>
      </w:r>
      <w:r w:rsidR="00832FE3">
        <w:t>Provider</w:t>
      </w:r>
      <w:r>
        <w:t xml:space="preserve"> must provide </w:t>
      </w:r>
      <w:r w:rsidR="001F43C1">
        <w:t xml:space="preserve">Trial </w:t>
      </w:r>
      <w:r w:rsidR="00832FE3">
        <w:t>Provider</w:t>
      </w:r>
      <w:r w:rsidR="001F43C1">
        <w:t xml:space="preserve"> S</w:t>
      </w:r>
      <w:r>
        <w:t xml:space="preserve">ervices to a </w:t>
      </w:r>
      <w:r w:rsidR="001F43C1">
        <w:t xml:space="preserve">suspended </w:t>
      </w:r>
      <w:r w:rsidR="00832FE3">
        <w:t>Participant</w:t>
      </w:r>
      <w:r>
        <w:t xml:space="preserve"> if they advise they want to voluntarily participate in </w:t>
      </w:r>
      <w:r w:rsidR="001F43C1">
        <w:t>services</w:t>
      </w:r>
      <w:r>
        <w:t>.</w:t>
      </w:r>
    </w:p>
    <w:p w14:paraId="44D0C174" w14:textId="49A451EF" w:rsidR="004B79E1" w:rsidRDefault="00832FE3" w:rsidP="00E73745">
      <w:pPr>
        <w:pStyle w:val="guidelinetext"/>
        <w:ind w:right="-567"/>
      </w:pPr>
      <w:r>
        <w:t>Participant</w:t>
      </w:r>
      <w:r w:rsidR="004B79E1">
        <w:t xml:space="preserve">s on a preclusion period </w:t>
      </w:r>
      <w:r w:rsidR="007D53DD">
        <w:t>(</w:t>
      </w:r>
      <w:r w:rsidR="007D53DD" w:rsidRPr="007D53DD">
        <w:t xml:space="preserve">a period during which </w:t>
      </w:r>
      <w:r w:rsidR="007D53DD">
        <w:t>they do</w:t>
      </w:r>
      <w:r w:rsidR="007D53DD" w:rsidRPr="007D53DD">
        <w:t xml:space="preserve"> not receive an income support payment from Centrelink</w:t>
      </w:r>
      <w:r w:rsidR="007D53DD">
        <w:t xml:space="preserve">) </w:t>
      </w:r>
      <w:r w:rsidR="004B79E1">
        <w:t>may also participate voluntarily in Services.</w:t>
      </w:r>
    </w:p>
    <w:p w14:paraId="5A8EEC90" w14:textId="19FDB417" w:rsidR="0048262B" w:rsidRDefault="00556535" w:rsidP="00EC4A7F">
      <w:pPr>
        <w:pStyle w:val="docev"/>
        <w:ind w:left="1440" w:hanging="1440"/>
      </w:pPr>
      <w:r>
        <w:rPr>
          <w:b/>
        </w:rPr>
        <w:lastRenderedPageBreak/>
        <w:t xml:space="preserve">Documentary evidence: </w:t>
      </w:r>
      <w:r w:rsidR="0048262B">
        <w:t xml:space="preserve">Where a </w:t>
      </w:r>
      <w:r w:rsidR="00832FE3">
        <w:t>Participant</w:t>
      </w:r>
      <w:r w:rsidR="0048262B">
        <w:t xml:space="preserve"> elects to volunteer while Suspended, the </w:t>
      </w:r>
      <w:r w:rsidR="00832FE3">
        <w:t>Provider</w:t>
      </w:r>
      <w:r w:rsidR="0048262B">
        <w:t xml:space="preserve"> must record, in the Department’s IT system:</w:t>
      </w:r>
    </w:p>
    <w:p w14:paraId="3816244F" w14:textId="0D141D72" w:rsidR="0048262B" w:rsidRDefault="0048262B" w:rsidP="0048262B">
      <w:pPr>
        <w:pStyle w:val="guidelinebullet"/>
      </w:pPr>
      <w:r>
        <w:t xml:space="preserve">the agreed </w:t>
      </w:r>
      <w:r w:rsidR="00F8708A">
        <w:t>start</w:t>
      </w:r>
      <w:r>
        <w:t xml:space="preserve"> and end dates for the volunteering period</w:t>
      </w:r>
    </w:p>
    <w:p w14:paraId="447BB5ED" w14:textId="77777777" w:rsidR="0048262B" w:rsidRDefault="0048262B" w:rsidP="0048262B">
      <w:pPr>
        <w:pStyle w:val="guidelinebullet"/>
      </w:pPr>
      <w:r>
        <w:t>the agreed voluntary Activities in the Job Plan</w:t>
      </w:r>
    </w:p>
    <w:p w14:paraId="58FF2D06" w14:textId="5BCBD1F1" w:rsidR="0048262B" w:rsidRDefault="0048262B" w:rsidP="0048262B">
      <w:pPr>
        <w:pStyle w:val="guidelinebullet"/>
      </w:pPr>
      <w:r>
        <w:t xml:space="preserve">that the </w:t>
      </w:r>
      <w:r w:rsidR="00832FE3">
        <w:t>Participant</w:t>
      </w:r>
      <w:r>
        <w:t xml:space="preserve"> is participating as a Volunteer.</w:t>
      </w:r>
    </w:p>
    <w:p w14:paraId="4352CCFD" w14:textId="00ED1C12" w:rsidR="0048262B" w:rsidRDefault="00556535" w:rsidP="00EC4A7F">
      <w:pPr>
        <w:pStyle w:val="docev"/>
        <w:ind w:left="1440" w:hanging="1440"/>
      </w:pPr>
      <w:r>
        <w:rPr>
          <w:b/>
        </w:rPr>
        <w:t xml:space="preserve">Documentary evidence: </w:t>
      </w:r>
      <w:r w:rsidR="0048262B">
        <w:t xml:space="preserve">The </w:t>
      </w:r>
      <w:r w:rsidR="00832FE3">
        <w:t>Provider</w:t>
      </w:r>
      <w:r w:rsidR="0048262B">
        <w:t xml:space="preserve"> must immediately record the end of the Suspension or volunteering period in the Department’s IT System. No additional Documentary Evidence is required.</w:t>
      </w:r>
    </w:p>
    <w:p w14:paraId="169F4F01" w14:textId="1D38319B" w:rsidR="004B79E1" w:rsidRDefault="009A3DAF" w:rsidP="00E73745">
      <w:pPr>
        <w:pStyle w:val="Heading1"/>
      </w:pPr>
      <w:bookmarkStart w:id="40" w:name="_Toc468954302"/>
      <w:bookmarkStart w:id="41" w:name="_Toc40103106"/>
      <w:r>
        <w:t>S</w:t>
      </w:r>
      <w:r w:rsidR="004B79E1">
        <w:t>ervices resume when a Suspension ends</w:t>
      </w:r>
      <w:bookmarkEnd w:id="40"/>
      <w:bookmarkEnd w:id="41"/>
    </w:p>
    <w:p w14:paraId="3429C5E6" w14:textId="4C76A71A" w:rsidR="007D53DD" w:rsidRDefault="004B79E1" w:rsidP="004B79E1">
      <w:pPr>
        <w:pStyle w:val="guidelinetext"/>
      </w:pPr>
      <w:r>
        <w:t xml:space="preserve">When a Suspension ends, </w:t>
      </w:r>
      <w:r w:rsidR="00832FE3">
        <w:t>Provider</w:t>
      </w:r>
      <w:r>
        <w:t xml:space="preserve">s must resume delivery of </w:t>
      </w:r>
      <w:r w:rsidR="00975D74">
        <w:t xml:space="preserve">Trial </w:t>
      </w:r>
      <w:r w:rsidR="00832FE3">
        <w:t>Provider</w:t>
      </w:r>
      <w:r w:rsidR="00975D74">
        <w:t xml:space="preserve"> </w:t>
      </w:r>
      <w:r>
        <w:t>services.</w:t>
      </w:r>
    </w:p>
    <w:p w14:paraId="78A6A9D5" w14:textId="2AC4241F" w:rsidR="004B79E1" w:rsidRDefault="00556535" w:rsidP="00273B04">
      <w:pPr>
        <w:pStyle w:val="Systemstep"/>
        <w:ind w:left="1418" w:hanging="1418"/>
      </w:pPr>
      <w:r>
        <w:rPr>
          <w:b/>
        </w:rPr>
        <w:t xml:space="preserve">System Step: </w:t>
      </w:r>
      <w:r w:rsidR="00832FE3">
        <w:t>Provider</w:t>
      </w:r>
      <w:r w:rsidR="00876ABE">
        <w:t>s receive a noticeboard message when a Suspension is applied and when it ends.</w:t>
      </w:r>
    </w:p>
    <w:p w14:paraId="2CCE53BB" w14:textId="5A0A88D9" w:rsidR="004B79E1" w:rsidRDefault="004B79E1" w:rsidP="00F857A0">
      <w:pPr>
        <w:pStyle w:val="DeedReference"/>
      </w:pPr>
      <w:r w:rsidRPr="000F694B">
        <w:t xml:space="preserve">(Deed references: Clauses </w:t>
      </w:r>
      <w:r w:rsidR="000F694B" w:rsidRPr="000F694B">
        <w:t>10</w:t>
      </w:r>
      <w:r w:rsidR="00394F6B">
        <w:t>1</w:t>
      </w:r>
      <w:r w:rsidR="000F694B" w:rsidRPr="000F694B">
        <w:t>.3</w:t>
      </w:r>
      <w:r w:rsidRPr="000F694B">
        <w:t>)</w:t>
      </w:r>
    </w:p>
    <w:p w14:paraId="6FF3CF4E" w14:textId="77777777" w:rsidR="006D237F" w:rsidRDefault="006D237F" w:rsidP="006D237F">
      <w:pPr>
        <w:pStyle w:val="Heading1"/>
        <w:ind w:left="357" w:right="-284" w:hanging="357"/>
      </w:pPr>
      <w:bookmarkStart w:id="42" w:name="_Toc40103107"/>
      <w:r>
        <w:t>The Effect of Suspensions on Defined Periods in NEST</w:t>
      </w:r>
      <w:bookmarkEnd w:id="42"/>
    </w:p>
    <w:p w14:paraId="7764D2C0" w14:textId="77777777" w:rsidR="006D237F" w:rsidRDefault="006D237F" w:rsidP="006D237F">
      <w:pPr>
        <w:pStyle w:val="guidelinetext"/>
      </w:pPr>
      <w:r>
        <w:t>Suspensions do not affect Period of Unemployment.</w:t>
      </w:r>
    </w:p>
    <w:p w14:paraId="71F613D9" w14:textId="5D58ACD1" w:rsidR="006D237F" w:rsidRDefault="006D237F" w:rsidP="006D237F">
      <w:pPr>
        <w:pStyle w:val="guidelinetext"/>
      </w:pPr>
      <w:r>
        <w:t xml:space="preserve">Period of Registration, Period of Service, </w:t>
      </w:r>
      <w:r w:rsidRPr="00A427B7">
        <w:t>Period in Tier 1 Enhanced Services</w:t>
      </w:r>
      <w:r>
        <w:t xml:space="preserve">, and </w:t>
      </w:r>
      <w:r w:rsidRPr="00A54A1B">
        <w:t>Period in Tier 2 Enhanced Services</w:t>
      </w:r>
      <w:r>
        <w:t xml:space="preserve"> all pause when</w:t>
      </w:r>
      <w:r w:rsidRPr="00D77A11">
        <w:t xml:space="preserve"> </w:t>
      </w:r>
      <w:r>
        <w:t>a Participant is Suspended and restart when the Suspension ends.</w:t>
      </w:r>
    </w:p>
    <w:p w14:paraId="30367340" w14:textId="24CE3CC3" w:rsidR="006D237F" w:rsidRDefault="006D237F" w:rsidP="004B79E1">
      <w:pPr>
        <w:pStyle w:val="Heading1"/>
      </w:pPr>
      <w:bookmarkStart w:id="43" w:name="_Toc40103108"/>
      <w:bookmarkStart w:id="44" w:name="_Toc468954303"/>
      <w:r>
        <w:t>What is an Exit?</w:t>
      </w:r>
      <w:bookmarkEnd w:id="43"/>
    </w:p>
    <w:p w14:paraId="16FDC3EF" w14:textId="42E8A85B" w:rsidR="006D237F" w:rsidRPr="006D237F" w:rsidRDefault="006D237F" w:rsidP="00E73745">
      <w:r>
        <w:t>An Exit occurs when a Participant leaves the caseload of a Provider for a reason other than a transfer.</w:t>
      </w:r>
    </w:p>
    <w:p w14:paraId="026EF073" w14:textId="3A2F3615" w:rsidR="004B79E1" w:rsidRDefault="006D237F" w:rsidP="004B79E1">
      <w:pPr>
        <w:pStyle w:val="Heading1"/>
      </w:pPr>
      <w:bookmarkStart w:id="45" w:name="_Toc40103109"/>
      <w:r>
        <w:t>When are Participants Exited?</w:t>
      </w:r>
      <w:bookmarkEnd w:id="44"/>
      <w:bookmarkEnd w:id="45"/>
    </w:p>
    <w:p w14:paraId="750B1223" w14:textId="7F8BB8C5" w:rsidR="004B79E1" w:rsidRDefault="006D237F" w:rsidP="004B79E1">
      <w:pPr>
        <w:pStyle w:val="Heading2"/>
      </w:pPr>
      <w:bookmarkStart w:id="46" w:name="_Toc468954304"/>
      <w:bookmarkStart w:id="47" w:name="_Toc40103110"/>
      <w:r>
        <w:t>Automatic Exits</w:t>
      </w:r>
      <w:bookmarkEnd w:id="46"/>
      <w:r w:rsidR="00CD1237">
        <w:t xml:space="preserve"> (Effective Exit)</w:t>
      </w:r>
      <w:bookmarkEnd w:id="47"/>
    </w:p>
    <w:p w14:paraId="44C3C8EB" w14:textId="2FB5049B" w:rsidR="004B79E1" w:rsidRDefault="004B79E1" w:rsidP="004B79E1">
      <w:pPr>
        <w:pStyle w:val="guidelinetext"/>
      </w:pPr>
      <w:r>
        <w:t xml:space="preserve">In most cases, </w:t>
      </w:r>
      <w:r w:rsidR="00832FE3">
        <w:t>Participant</w:t>
      </w:r>
      <w:r>
        <w:t>s</w:t>
      </w:r>
      <w:r w:rsidR="000936AA">
        <w:t xml:space="preserve"> </w:t>
      </w:r>
      <w:r>
        <w:t xml:space="preserve">will be Exited automatically from services. This is </w:t>
      </w:r>
      <w:r w:rsidR="00CD1237">
        <w:t xml:space="preserve">called </w:t>
      </w:r>
      <w:r>
        <w:t>an Effective Exit and can occur when:</w:t>
      </w:r>
    </w:p>
    <w:p w14:paraId="7CF6EF74" w14:textId="099694A7" w:rsidR="00B620AB" w:rsidRDefault="00B620AB" w:rsidP="004B79E1">
      <w:pPr>
        <w:pStyle w:val="guidelinebullet"/>
      </w:pPr>
      <w:r>
        <w:t xml:space="preserve">a </w:t>
      </w:r>
      <w:r w:rsidRPr="00975D74">
        <w:t xml:space="preserve">Volunteer has reached a maximum of six months Period of Service in </w:t>
      </w:r>
      <w:r w:rsidR="008E2229">
        <w:t>jobactive Stream A</w:t>
      </w:r>
    </w:p>
    <w:p w14:paraId="60AA44AE" w14:textId="634618FF" w:rsidR="004B79E1" w:rsidRDefault="004B79E1" w:rsidP="004B79E1">
      <w:pPr>
        <w:pStyle w:val="guidelinebullet"/>
      </w:pPr>
      <w:r>
        <w:t xml:space="preserve">a </w:t>
      </w:r>
      <w:r w:rsidR="00832FE3">
        <w:t>Participant</w:t>
      </w:r>
      <w:r w:rsidR="00D84E95">
        <w:t xml:space="preserve"> (Mutual Obligation)</w:t>
      </w:r>
      <w:r>
        <w:t>:</w:t>
      </w:r>
    </w:p>
    <w:p w14:paraId="7F19BC9F" w14:textId="2F674CF8" w:rsidR="004B79E1" w:rsidRDefault="00CD1237" w:rsidP="00E73745">
      <w:pPr>
        <w:pStyle w:val="guidelinebullet"/>
        <w:numPr>
          <w:ilvl w:val="1"/>
          <w:numId w:val="7"/>
        </w:numPr>
      </w:pPr>
      <w:r>
        <w:lastRenderedPageBreak/>
        <w:t xml:space="preserve">is in a job and </w:t>
      </w:r>
      <w:r w:rsidR="004B79E1">
        <w:t xml:space="preserve">has stopped receiving an eligible Income Support Payment (for example when a </w:t>
      </w:r>
      <w:r w:rsidR="00832FE3">
        <w:t>Participant</w:t>
      </w:r>
      <w:r w:rsidR="004B79E1">
        <w:t xml:space="preserve"> has six consecutive fortnights with nil rate of Income Support)</w:t>
      </w:r>
    </w:p>
    <w:p w14:paraId="21B5DC76" w14:textId="0CF4CE60" w:rsidR="00CD1237" w:rsidRDefault="00CD511E" w:rsidP="00E73745">
      <w:pPr>
        <w:pStyle w:val="guidelinebullet"/>
        <w:numPr>
          <w:ilvl w:val="1"/>
          <w:numId w:val="7"/>
        </w:numPr>
      </w:pPr>
      <w:r>
        <w:t xml:space="preserve">has </w:t>
      </w:r>
      <w:r w:rsidR="00CD1237" w:rsidRPr="00CD1237">
        <w:t xml:space="preserve">not </w:t>
      </w:r>
      <w:r w:rsidR="00DD5578">
        <w:t xml:space="preserve">lodged a report of income with </w:t>
      </w:r>
      <w:r w:rsidR="004B0F48">
        <w:t>Services Australia</w:t>
      </w:r>
      <w:r w:rsidR="004B0F48" w:rsidDel="004B0F48">
        <w:t xml:space="preserve"> </w:t>
      </w:r>
      <w:r w:rsidR="00DD5578">
        <w:t>(even if this is zero)</w:t>
      </w:r>
      <w:r w:rsidR="00DD5578" w:rsidRPr="00CD1237" w:rsidDel="00DD5578">
        <w:t xml:space="preserve"> </w:t>
      </w:r>
      <w:r w:rsidR="00CD1237" w:rsidRPr="00CD1237">
        <w:t>14 days after their Report Due Date</w:t>
      </w:r>
      <w:r>
        <w:t xml:space="preserve"> and</w:t>
      </w:r>
      <w:r w:rsidR="00CD1237" w:rsidRPr="00CD1237">
        <w:t xml:space="preserve"> their paym</w:t>
      </w:r>
      <w:r>
        <w:t xml:space="preserve">ent is </w:t>
      </w:r>
      <w:r w:rsidR="00CD1237" w:rsidRPr="00CD1237">
        <w:t>cancelled</w:t>
      </w:r>
      <w:r>
        <w:t xml:space="preserve"> by </w:t>
      </w:r>
      <w:r w:rsidR="004B0F48">
        <w:t>Services Australia</w:t>
      </w:r>
    </w:p>
    <w:p w14:paraId="196611CE" w14:textId="441FC90E" w:rsidR="004B79E1" w:rsidRDefault="004B79E1" w:rsidP="00E73745">
      <w:pPr>
        <w:pStyle w:val="guidelinebullet"/>
        <w:numPr>
          <w:ilvl w:val="1"/>
          <w:numId w:val="7"/>
        </w:numPr>
      </w:pPr>
      <w:r>
        <w:t xml:space="preserve">is fully meeting their Mutual Obligation Requirements and no longer needs to remain fully connected to the </w:t>
      </w:r>
      <w:r w:rsidR="00832FE3">
        <w:t>Provider</w:t>
      </w:r>
    </w:p>
    <w:p w14:paraId="7BC5D0FE" w14:textId="18879ECD" w:rsidR="004B79E1" w:rsidRDefault="004B79E1" w:rsidP="00E73745">
      <w:pPr>
        <w:pStyle w:val="guidelinebullet"/>
        <w:numPr>
          <w:ilvl w:val="1"/>
          <w:numId w:val="7"/>
        </w:numPr>
      </w:pPr>
      <w:r>
        <w:t>is commenced in Disability Employment Services or the Community Development Programme, or</w:t>
      </w:r>
      <w:r w:rsidR="00B620AB">
        <w:t xml:space="preserve"> </w:t>
      </w:r>
    </w:p>
    <w:p w14:paraId="25E3D852" w14:textId="0C2D1AFE" w:rsidR="00B620AB" w:rsidRDefault="00B620AB" w:rsidP="00E73745">
      <w:pPr>
        <w:pStyle w:val="guidelinebullet"/>
        <w:numPr>
          <w:ilvl w:val="0"/>
          <w:numId w:val="7"/>
        </w:numPr>
      </w:pPr>
      <w:r>
        <w:t>they commence in NEIS</w:t>
      </w:r>
    </w:p>
    <w:p w14:paraId="77EF7108" w14:textId="3F41B800" w:rsidR="004B79E1" w:rsidRDefault="004B79E1" w:rsidP="00631327">
      <w:pPr>
        <w:pStyle w:val="Heading2"/>
      </w:pPr>
      <w:bookmarkStart w:id="48" w:name="_Toc468954305"/>
      <w:bookmarkStart w:id="49" w:name="_Toc40103111"/>
      <w:r>
        <w:t xml:space="preserve">Exits actioned by </w:t>
      </w:r>
      <w:r w:rsidR="00832FE3">
        <w:t>Provider</w:t>
      </w:r>
      <w:r>
        <w:t>s (</w:t>
      </w:r>
      <w:r w:rsidR="00832FE3">
        <w:t>Provider</w:t>
      </w:r>
      <w:r>
        <w:t xml:space="preserve"> Exit)</w:t>
      </w:r>
      <w:bookmarkEnd w:id="48"/>
      <w:bookmarkEnd w:id="49"/>
    </w:p>
    <w:p w14:paraId="345637FD" w14:textId="744CF35B" w:rsidR="00C50C7C" w:rsidRDefault="006B7F31" w:rsidP="004B79E1">
      <w:pPr>
        <w:pStyle w:val="guidelinetext"/>
      </w:pPr>
      <w:r>
        <w:t xml:space="preserve">Some </w:t>
      </w:r>
      <w:r w:rsidR="00832FE3">
        <w:t>Participant</w:t>
      </w:r>
      <w:r w:rsidR="00CA4016">
        <w:t>s</w:t>
      </w:r>
      <w:r w:rsidR="004B79E1">
        <w:t xml:space="preserve"> may be eligible for a </w:t>
      </w:r>
      <w:r w:rsidR="00832FE3">
        <w:t>Provider</w:t>
      </w:r>
      <w:r w:rsidR="004B79E1">
        <w:t xml:space="preserve"> Exit which is processed manually by the </w:t>
      </w:r>
      <w:r w:rsidR="00832FE3">
        <w:t>Provider</w:t>
      </w:r>
      <w:r w:rsidR="004B79E1">
        <w:t>.</w:t>
      </w:r>
    </w:p>
    <w:p w14:paraId="4720CDCA" w14:textId="034F70B6" w:rsidR="00854058" w:rsidRDefault="00854058" w:rsidP="00E73745">
      <w:pPr>
        <w:pStyle w:val="Heading3"/>
      </w:pPr>
      <w:bookmarkStart w:id="50" w:name="_Toc40103112"/>
      <w:r>
        <w:t>Participants with a Partial Capacity to Work (PCW)</w:t>
      </w:r>
      <w:bookmarkEnd w:id="50"/>
    </w:p>
    <w:p w14:paraId="783ED28D" w14:textId="22E9A207" w:rsidR="00854058" w:rsidRPr="00F94529" w:rsidRDefault="00832FE3">
      <w:pPr>
        <w:pStyle w:val="guidelinetext"/>
      </w:pPr>
      <w:r>
        <w:t>Provider</w:t>
      </w:r>
      <w:r w:rsidR="00D90765" w:rsidRPr="00F94529">
        <w:t xml:space="preserve">s can Exit </w:t>
      </w:r>
      <w:r w:rsidR="00854058">
        <w:t xml:space="preserve">Suspended </w:t>
      </w:r>
      <w:r>
        <w:t>Participant</w:t>
      </w:r>
      <w:r w:rsidR="00E877A8" w:rsidRPr="00631327">
        <w:t xml:space="preserve">s </w:t>
      </w:r>
      <w:r w:rsidR="00854058">
        <w:t>with a PCW of:</w:t>
      </w:r>
    </w:p>
    <w:p w14:paraId="37746A28" w14:textId="27C0E232" w:rsidR="004B79E1" w:rsidRPr="00F94529" w:rsidRDefault="004B79E1" w:rsidP="00E73745">
      <w:pPr>
        <w:pStyle w:val="guidelinebullet"/>
      </w:pPr>
      <w:r w:rsidRPr="00F94529">
        <w:t>less than 15 hours per week, or</w:t>
      </w:r>
    </w:p>
    <w:p w14:paraId="08194458" w14:textId="6972A2C8" w:rsidR="004B79E1" w:rsidRDefault="004B79E1" w:rsidP="00E73745">
      <w:pPr>
        <w:pStyle w:val="guidelinebullet"/>
      </w:pPr>
      <w:r w:rsidRPr="00F94529">
        <w:t xml:space="preserve">15 hours or more per week </w:t>
      </w:r>
      <w:r w:rsidR="00854058">
        <w:t>if they are</w:t>
      </w:r>
      <w:r w:rsidRPr="00F94529">
        <w:t xml:space="preserve"> meeting </w:t>
      </w:r>
      <w:r w:rsidR="00D90765" w:rsidRPr="00F94529">
        <w:t>their</w:t>
      </w:r>
      <w:r w:rsidRPr="00F94529">
        <w:t xml:space="preserve"> Mutual Obligation Requirements through 30 hours or more a fortnight of paid work and/or study that will likely be ongoing or last more than 13 weeks.</w:t>
      </w:r>
    </w:p>
    <w:p w14:paraId="4AA1E097" w14:textId="68B8BB13" w:rsidR="00854058" w:rsidRDefault="00854058" w:rsidP="00E73745">
      <w:pPr>
        <w:pStyle w:val="Heading3"/>
      </w:pPr>
      <w:bookmarkStart w:id="51" w:name="_Toc40103113"/>
      <w:r>
        <w:t>Participants who are Principal Carer Parents</w:t>
      </w:r>
      <w:bookmarkEnd w:id="51"/>
    </w:p>
    <w:p w14:paraId="716FCA46" w14:textId="37AABA56" w:rsidR="00854058" w:rsidRPr="00F94529" w:rsidRDefault="00854058" w:rsidP="00854058">
      <w:pPr>
        <w:pStyle w:val="guidelinetext"/>
      </w:pPr>
      <w:r>
        <w:t>Provider</w:t>
      </w:r>
      <w:r w:rsidRPr="00F94529">
        <w:t xml:space="preserve">s can Exit </w:t>
      </w:r>
      <w:r>
        <w:t>Principal Carer Parents (PCP)s</w:t>
      </w:r>
      <w:r w:rsidRPr="00631327">
        <w:t xml:space="preserve"> </w:t>
      </w:r>
      <w:r w:rsidRPr="00F94529">
        <w:t>who are Suspended and</w:t>
      </w:r>
      <w:r>
        <w:t>:</w:t>
      </w:r>
    </w:p>
    <w:p w14:paraId="0C78089D" w14:textId="14113EEC" w:rsidR="004B79E1" w:rsidRPr="00F94529" w:rsidRDefault="00D90765" w:rsidP="00E73745">
      <w:pPr>
        <w:pStyle w:val="guidelinebullet"/>
      </w:pPr>
      <w:r w:rsidRPr="00F94529">
        <w:t>who</w:t>
      </w:r>
      <w:r w:rsidR="004B79E1" w:rsidRPr="00F94529">
        <w:t xml:space="preserve"> ha</w:t>
      </w:r>
      <w:r w:rsidRPr="00F94529">
        <w:t>ve</w:t>
      </w:r>
      <w:r w:rsidR="004B79E1" w:rsidRPr="00F94529">
        <w:t xml:space="preserve"> a long-term Exemption (end date longer than 16 weeks), or</w:t>
      </w:r>
    </w:p>
    <w:p w14:paraId="73EF1BD7" w14:textId="38F84211" w:rsidR="004B79E1" w:rsidRDefault="00D90765" w:rsidP="00E73745">
      <w:pPr>
        <w:pStyle w:val="guidelinebullet"/>
      </w:pPr>
      <w:r w:rsidRPr="00F94529">
        <w:t>who are</w:t>
      </w:r>
      <w:r w:rsidR="004B79E1" w:rsidRPr="00F94529">
        <w:t xml:space="preserve"> meeting </w:t>
      </w:r>
      <w:r w:rsidRPr="00F94529">
        <w:t>their</w:t>
      </w:r>
      <w:r w:rsidR="004B79E1" w:rsidRPr="00F94529">
        <w:t xml:space="preserve"> Mutual Obligation Requirements through 30 hours or more a fortnight of paid work and/or study that will likely be ongoing or last more than 13 weeks.</w:t>
      </w:r>
    </w:p>
    <w:p w14:paraId="13295494" w14:textId="1CFEB1AE" w:rsidR="00854058" w:rsidRDefault="00854058" w:rsidP="00854058">
      <w:pPr>
        <w:pStyle w:val="Heading3"/>
      </w:pPr>
      <w:bookmarkStart w:id="52" w:name="_Toc40103114"/>
      <w:r>
        <w:t>Participants who are Volunteers</w:t>
      </w:r>
      <w:bookmarkEnd w:id="52"/>
    </w:p>
    <w:p w14:paraId="00FF8190" w14:textId="77777777" w:rsidR="00854058" w:rsidRDefault="00854058" w:rsidP="00E73745">
      <w:pPr>
        <w:pStyle w:val="guidelinetext"/>
      </w:pPr>
      <w:r>
        <w:t>Provider</w:t>
      </w:r>
      <w:r w:rsidRPr="00642BC2">
        <w:t>s</w:t>
      </w:r>
      <w:r>
        <w:t xml:space="preserve"> can Exit a Volunteer once they have been informed of the six-month limit to their eligibility, and both parties agree to the Exit.</w:t>
      </w:r>
    </w:p>
    <w:p w14:paraId="2DAFE921" w14:textId="3675978B" w:rsidR="005A2BFA" w:rsidRDefault="005A2BFA">
      <w:pPr>
        <w:pStyle w:val="Heading3"/>
      </w:pPr>
      <w:bookmarkStart w:id="53" w:name="_Toc40103115"/>
      <w:r w:rsidRPr="005A2BFA">
        <w:lastRenderedPageBreak/>
        <w:t>Structural Adjustment Programme</w:t>
      </w:r>
      <w:r w:rsidR="009461BF">
        <w:t xml:space="preserve"> </w:t>
      </w:r>
      <w:r w:rsidR="00832FE3">
        <w:t>Participant</w:t>
      </w:r>
      <w:r w:rsidR="009461BF">
        <w:t>s</w:t>
      </w:r>
      <w:r w:rsidRPr="005A2BFA">
        <w:t xml:space="preserve"> </w:t>
      </w:r>
      <w:r w:rsidR="00865DBF" w:rsidRPr="001D6CF4">
        <w:t xml:space="preserve">or </w:t>
      </w:r>
      <w:r w:rsidR="00865DBF" w:rsidRPr="00305B3F">
        <w:t>Stronger Transition</w:t>
      </w:r>
      <w:r w:rsidR="00865DBF" w:rsidRPr="001D6CF4">
        <w:t xml:space="preserve"> </w:t>
      </w:r>
      <w:r w:rsidR="00832FE3">
        <w:t>Participant</w:t>
      </w:r>
      <w:r w:rsidR="009461BF">
        <w:t>s</w:t>
      </w:r>
      <w:r w:rsidR="00865DBF">
        <w:t xml:space="preserve"> </w:t>
      </w:r>
      <w:r w:rsidR="002209D6">
        <w:t>and all other retrenched workers and their partners</w:t>
      </w:r>
      <w:bookmarkEnd w:id="53"/>
    </w:p>
    <w:p w14:paraId="579F03D5" w14:textId="70385FB2" w:rsidR="005A2BFA" w:rsidRDefault="00832FE3" w:rsidP="005A2BFA">
      <w:pPr>
        <w:pStyle w:val="guidelinebullet"/>
      </w:pPr>
      <w:r>
        <w:t>Provider</w:t>
      </w:r>
      <w:r w:rsidR="00315E27">
        <w:t xml:space="preserve">s should manually Exit a </w:t>
      </w:r>
      <w:r w:rsidR="005A2BFA">
        <w:t xml:space="preserve">Structural </w:t>
      </w:r>
      <w:r w:rsidR="00315E27">
        <w:t xml:space="preserve">Adjustment </w:t>
      </w:r>
      <w:r w:rsidR="00315E27" w:rsidRPr="00865DBF">
        <w:t xml:space="preserve">Programme </w:t>
      </w:r>
      <w:r>
        <w:t>Participant</w:t>
      </w:r>
      <w:r w:rsidR="009461BF">
        <w:t xml:space="preserve"> </w:t>
      </w:r>
      <w:r w:rsidR="00865DBF" w:rsidRPr="00FD3FBB">
        <w:t xml:space="preserve">or Stronger Transition </w:t>
      </w:r>
      <w:r>
        <w:t>Participant</w:t>
      </w:r>
      <w:r w:rsidR="00315E27">
        <w:t xml:space="preserve"> </w:t>
      </w:r>
      <w:r w:rsidR="002209D6">
        <w:t xml:space="preserve">and any other retrenched worker and their partner </w:t>
      </w:r>
      <w:r w:rsidR="00315E27">
        <w:t>who has</w:t>
      </w:r>
      <w:r w:rsidR="005A2BFA">
        <w:t xml:space="preserve"> no Mutual Obligation Requirements and no longer wish</w:t>
      </w:r>
      <w:r w:rsidR="00315E27">
        <w:t>es</w:t>
      </w:r>
      <w:r w:rsidR="005A2BFA">
        <w:t xml:space="preserve"> to participate.</w:t>
      </w:r>
    </w:p>
    <w:p w14:paraId="143CFA91" w14:textId="0A25BDAB" w:rsidR="005A2BFA" w:rsidRDefault="00832FE3" w:rsidP="002209D6">
      <w:pPr>
        <w:pStyle w:val="guidelinebullet"/>
      </w:pPr>
      <w:r>
        <w:t>Provider</w:t>
      </w:r>
      <w:r w:rsidR="00315E27">
        <w:t xml:space="preserve">s should manually Exit a </w:t>
      </w:r>
      <w:r w:rsidR="005A2BFA">
        <w:t xml:space="preserve">Structural </w:t>
      </w:r>
      <w:r w:rsidR="00315E27">
        <w:t>Adjustment Programme</w:t>
      </w:r>
      <w:r w:rsidR="009461BF">
        <w:t xml:space="preserve"> </w:t>
      </w:r>
      <w:r>
        <w:t>Participant</w:t>
      </w:r>
      <w:r w:rsidR="00315E27">
        <w:t xml:space="preserve"> </w:t>
      </w:r>
      <w:r w:rsidR="00865DBF" w:rsidRPr="00FD3FBB">
        <w:t xml:space="preserve">or Stronger Transition </w:t>
      </w:r>
      <w:r>
        <w:t>Participant</w:t>
      </w:r>
      <w:r w:rsidR="005A2BFA">
        <w:t xml:space="preserve"> </w:t>
      </w:r>
      <w:r w:rsidR="002209D6" w:rsidRPr="002209D6">
        <w:t xml:space="preserve">and any other retrenched worker and their partner </w:t>
      </w:r>
      <w:r w:rsidR="005A2BFA">
        <w:t xml:space="preserve">who </w:t>
      </w:r>
      <w:r w:rsidR="00A65B6B">
        <w:t xml:space="preserve">has no Mutual Obligation Requirements if the </w:t>
      </w:r>
      <w:r>
        <w:t>Participant</w:t>
      </w:r>
      <w:r w:rsidR="00A65B6B">
        <w:t xml:space="preserve"> </w:t>
      </w:r>
      <w:r w:rsidR="00315E27">
        <w:t>is</w:t>
      </w:r>
      <w:r w:rsidR="005A2BFA">
        <w:t xml:space="preserve"> in </w:t>
      </w:r>
      <w:r w:rsidR="00FD3BCC">
        <w:t>Employment</w:t>
      </w:r>
      <w:r w:rsidR="00315E27">
        <w:t xml:space="preserve"> and the </w:t>
      </w:r>
      <w:r>
        <w:t>Provider</w:t>
      </w:r>
      <w:r w:rsidR="00315E27">
        <w:t xml:space="preserve"> has claimed a 26-week </w:t>
      </w:r>
      <w:r w:rsidR="00A65B6B">
        <w:t xml:space="preserve">Employment </w:t>
      </w:r>
      <w:r w:rsidR="00054EA1">
        <w:t>O</w:t>
      </w:r>
      <w:r w:rsidR="00315E27">
        <w:t>utcome</w:t>
      </w:r>
      <w:r w:rsidR="00054EA1">
        <w:t xml:space="preserve"> </w:t>
      </w:r>
      <w:r w:rsidR="00FD3BCC">
        <w:t>for that Employment</w:t>
      </w:r>
      <w:r w:rsidR="00315E27">
        <w:t>.</w:t>
      </w:r>
    </w:p>
    <w:p w14:paraId="3618B5EC" w14:textId="77777777" w:rsidR="004B7FAF" w:rsidRDefault="004B7FAF" w:rsidP="004B7FAF">
      <w:pPr>
        <w:pStyle w:val="guidelinetext"/>
      </w:pPr>
      <w:r>
        <w:t>This applies to existing Stronger Transitions Participants. From 1 July 2020 the Stronger Transitions program is closed to new entrants.</w:t>
      </w:r>
    </w:p>
    <w:p w14:paraId="345F952B" w14:textId="77777777" w:rsidR="001B40F1" w:rsidRDefault="001B40F1" w:rsidP="001B40F1">
      <w:pPr>
        <w:pStyle w:val="Heading3"/>
      </w:pPr>
      <w:bookmarkStart w:id="54" w:name="_Toc40103116"/>
      <w:r>
        <w:t>Other cohorts</w:t>
      </w:r>
      <w:bookmarkEnd w:id="54"/>
    </w:p>
    <w:p w14:paraId="51EA621F" w14:textId="6BA1B6E6" w:rsidR="001B40F1" w:rsidRDefault="001B40F1" w:rsidP="001B40F1">
      <w:pPr>
        <w:pStyle w:val="guidelinebullet"/>
        <w:numPr>
          <w:ilvl w:val="0"/>
          <w:numId w:val="0"/>
        </w:numPr>
        <w:ind w:left="1440"/>
      </w:pPr>
      <w:r>
        <w:t>Provider</w:t>
      </w:r>
      <w:r w:rsidRPr="00F94529">
        <w:t xml:space="preserve">s can Exit Vulnerable Youth, Vulnerable Youth (Student), Structural Adjustment Programme </w:t>
      </w:r>
      <w:r>
        <w:t>Participant</w:t>
      </w:r>
      <w:r w:rsidRPr="00F94529">
        <w:t>s, or Pre-release Prisoners who have no Mutual Obligation Requirements and no longer wish to participate.</w:t>
      </w:r>
    </w:p>
    <w:p w14:paraId="1FDD31A9" w14:textId="77777777" w:rsidR="001B40F1" w:rsidRDefault="001B40F1" w:rsidP="00E73745">
      <w:pPr>
        <w:pStyle w:val="Heading1"/>
      </w:pPr>
      <w:bookmarkStart w:id="55" w:name="_Toc40103117"/>
      <w:r>
        <w:t>Some Participants cannot be Exited</w:t>
      </w:r>
      <w:bookmarkEnd w:id="55"/>
    </w:p>
    <w:p w14:paraId="03C6ECD3" w14:textId="77777777" w:rsidR="001B40F1" w:rsidRDefault="001B40F1" w:rsidP="001B40F1">
      <w:pPr>
        <w:pStyle w:val="guidelinetext"/>
      </w:pPr>
      <w:r>
        <w:t>Participant</w:t>
      </w:r>
      <w:r w:rsidRPr="00B815E0">
        <w:t>s aged 55 years and over who are fully meeting their full-time Mutual Obligation Requirements through paid work (including self-employment), approved Voluntary Work, or a combination of these Activities cannot be Exited.</w:t>
      </w:r>
    </w:p>
    <w:p w14:paraId="0178189F" w14:textId="77777777" w:rsidR="001B40F1" w:rsidRDefault="001B40F1" w:rsidP="001B40F1">
      <w:pPr>
        <w:pStyle w:val="guidelinetext"/>
      </w:pPr>
      <w:r>
        <w:t xml:space="preserve">These Participants will remain connected with a Provider but will be Suspended. They cannot be required to undertake Job Search, other additional requirements, or to attend Provider appointments, unless they </w:t>
      </w:r>
      <w:r w:rsidRPr="00570ECD">
        <w:t>relate to employment opportunities or job referrals</w:t>
      </w:r>
      <w:r>
        <w:t>. Appointments must be made around the times of their paid and Voluntary Work hours.</w:t>
      </w:r>
    </w:p>
    <w:p w14:paraId="35F27E88" w14:textId="0E3CC6C0" w:rsidR="001B40F1" w:rsidRDefault="001B40F1" w:rsidP="005E1A86">
      <w:pPr>
        <w:pStyle w:val="guidelinetext"/>
      </w:pPr>
      <w:r>
        <w:t>These Participants still have full-time Mutual Obligation Requirements and are required to attend job interviews with employers and accept increased hours of paid work until they obtain a full-time job or no longer receive income support.</w:t>
      </w:r>
    </w:p>
    <w:p w14:paraId="36B8F117" w14:textId="5B2362A4" w:rsidR="00B14F0A" w:rsidRDefault="001B40F1" w:rsidP="00E73745">
      <w:pPr>
        <w:pStyle w:val="Heading1"/>
      </w:pPr>
      <w:bookmarkStart w:id="56" w:name="_Toc40103118"/>
      <w:r>
        <w:lastRenderedPageBreak/>
        <w:t>A</w:t>
      </w:r>
      <w:r w:rsidR="00B14F0A">
        <w:t>ssess</w:t>
      </w:r>
      <w:r>
        <w:t>ing</w:t>
      </w:r>
      <w:r w:rsidR="00B14F0A">
        <w:t xml:space="preserve"> the appropriateness of </w:t>
      </w:r>
      <w:r w:rsidR="00832FE3">
        <w:t>Participant</w:t>
      </w:r>
      <w:r w:rsidR="00B14F0A">
        <w:t xml:space="preserve"> requests to Exits</w:t>
      </w:r>
      <w:bookmarkEnd w:id="56"/>
    </w:p>
    <w:p w14:paraId="50B10ECB" w14:textId="5B5C73E2" w:rsidR="00C822A8" w:rsidRDefault="00C822A8" w:rsidP="00C822A8">
      <w:pPr>
        <w:pStyle w:val="guidelinetext"/>
      </w:pPr>
      <w:r>
        <w:t xml:space="preserve">If a </w:t>
      </w:r>
      <w:r w:rsidR="00832FE3">
        <w:t>Participant</w:t>
      </w:r>
      <w:r>
        <w:t xml:space="preserve"> advises their </w:t>
      </w:r>
      <w:r w:rsidR="00832FE3">
        <w:t>Provider</w:t>
      </w:r>
      <w:r>
        <w:t xml:space="preserve"> that they wish to Exit, the </w:t>
      </w:r>
      <w:r w:rsidR="00832FE3">
        <w:t>Provider</w:t>
      </w:r>
      <w:r>
        <w:t xml:space="preserve"> should determine whether a </w:t>
      </w:r>
      <w:r w:rsidR="00832FE3">
        <w:t>Provider</w:t>
      </w:r>
      <w:r>
        <w:t xml:space="preserve"> Exit is appropriate. This decision should consider whether the </w:t>
      </w:r>
      <w:r w:rsidR="00832FE3">
        <w:t>Participant</w:t>
      </w:r>
      <w:r>
        <w:t>:</w:t>
      </w:r>
    </w:p>
    <w:p w14:paraId="33915691" w14:textId="0789E165" w:rsidR="00C822A8" w:rsidRDefault="00C822A8" w:rsidP="00C822A8">
      <w:pPr>
        <w:pStyle w:val="guidelinebullet"/>
      </w:pPr>
      <w:r>
        <w:t xml:space="preserve">Is eligible for a </w:t>
      </w:r>
      <w:r w:rsidR="00832FE3">
        <w:t>Provider</w:t>
      </w:r>
      <w:r>
        <w:t xml:space="preserve"> Exit</w:t>
      </w:r>
    </w:p>
    <w:p w14:paraId="4DAB3461" w14:textId="77777777" w:rsidR="00C822A8" w:rsidRDefault="00C822A8" w:rsidP="00273B04">
      <w:pPr>
        <w:pStyle w:val="guidelinebullet"/>
      </w:pPr>
      <w:r>
        <w:t>is currently tracking towards an Outcome Payment, or has a pending Outcome Payment claim</w:t>
      </w:r>
    </w:p>
    <w:p w14:paraId="3C053EB0" w14:textId="5E9AB7A8" w:rsidR="00C822A8" w:rsidRDefault="00C822A8" w:rsidP="00273B04">
      <w:pPr>
        <w:pStyle w:val="guidelinebullet"/>
      </w:pPr>
      <w:r>
        <w:t xml:space="preserve">is receiving </w:t>
      </w:r>
      <w:r w:rsidR="00443CB9">
        <w:t>p</w:t>
      </w:r>
      <w:r>
        <w:t>ost-</w:t>
      </w:r>
      <w:r w:rsidR="00443CB9">
        <w:t>p</w:t>
      </w:r>
      <w:r>
        <w:t xml:space="preserve">lacement </w:t>
      </w:r>
      <w:r w:rsidR="00443CB9">
        <w:t>s</w:t>
      </w:r>
      <w:r>
        <w:t>upport</w:t>
      </w:r>
    </w:p>
    <w:p w14:paraId="3042AA6C" w14:textId="77777777" w:rsidR="00C822A8" w:rsidRDefault="00C822A8" w:rsidP="00273B04">
      <w:pPr>
        <w:pStyle w:val="guidelinebullet"/>
      </w:pPr>
      <w:r>
        <w:t>is in an activity that is likely to last more than 13 weeks (and has a Partial Capacity to Work of less than 15 hours per week or is meeting Mutual Obligation Requirements through 30 hours or more a fortnight of paid work and/or study).</w:t>
      </w:r>
    </w:p>
    <w:p w14:paraId="0890CBD4" w14:textId="2E076B20" w:rsidR="00C822A8" w:rsidRDefault="00C822A8" w:rsidP="00273B04">
      <w:pPr>
        <w:pStyle w:val="guidelinebullet"/>
      </w:pPr>
      <w:r>
        <w:t xml:space="preserve">is aware of the Services that the </w:t>
      </w:r>
      <w:r w:rsidR="00832FE3">
        <w:t>Provider</w:t>
      </w:r>
      <w:r>
        <w:t xml:space="preserve"> can offer.</w:t>
      </w:r>
    </w:p>
    <w:p w14:paraId="3B334E51" w14:textId="48475473" w:rsidR="00445E69" w:rsidRDefault="00C822A8" w:rsidP="00DC3D2F">
      <w:pPr>
        <w:pStyle w:val="guidelinetext"/>
      </w:pPr>
      <w:r>
        <w:t xml:space="preserve">If a </w:t>
      </w:r>
      <w:r w:rsidR="00832FE3">
        <w:t>Participant</w:t>
      </w:r>
      <w:r w:rsidR="00DC3D2F">
        <w:t xml:space="preserve"> (Voluntary) ceases to participate in voluntary activities </w:t>
      </w:r>
      <w:r w:rsidR="00445E69">
        <w:t xml:space="preserve">or no longer wishes to participate in voluntary activities </w:t>
      </w:r>
      <w:r w:rsidR="00DC3D2F">
        <w:t xml:space="preserve">and is eligible for a </w:t>
      </w:r>
      <w:r w:rsidR="00832FE3">
        <w:t>Provider</w:t>
      </w:r>
      <w:r w:rsidR="00DC3D2F">
        <w:t xml:space="preserve"> Exit, then the </w:t>
      </w:r>
      <w:r w:rsidR="00832FE3">
        <w:t>Provider</w:t>
      </w:r>
      <w:r w:rsidR="00DC3D2F">
        <w:t xml:space="preserve"> may perform a </w:t>
      </w:r>
      <w:r w:rsidR="00832FE3">
        <w:t>Provider</w:t>
      </w:r>
      <w:r w:rsidR="00DC3D2F">
        <w:t xml:space="preserve"> Exit</w:t>
      </w:r>
      <w:r w:rsidR="00445E69">
        <w:t>.</w:t>
      </w:r>
    </w:p>
    <w:p w14:paraId="6A5F63AF" w14:textId="567D7212" w:rsidR="00B14F0A" w:rsidRDefault="00B14F0A" w:rsidP="00B14F0A">
      <w:pPr>
        <w:pStyle w:val="guidelinetext"/>
      </w:pPr>
      <w:r>
        <w:t xml:space="preserve">If a Volunteer tells their </w:t>
      </w:r>
      <w:r w:rsidR="00832FE3">
        <w:t>Provider</w:t>
      </w:r>
      <w:r>
        <w:t xml:space="preserve"> they no longer want to participate in</w:t>
      </w:r>
      <w:r w:rsidR="008E2229">
        <w:t xml:space="preserve"> </w:t>
      </w:r>
      <w:r>
        <w:t xml:space="preserve">jobactive </w:t>
      </w:r>
      <w:r w:rsidR="008E2229">
        <w:t xml:space="preserve">Stream A </w:t>
      </w:r>
      <w:r>
        <w:t xml:space="preserve">services, the </w:t>
      </w:r>
      <w:r w:rsidR="00832FE3">
        <w:t>Provider</w:t>
      </w:r>
      <w:r>
        <w:t xml:space="preserve"> must inform them of the six month limit to their eligibility.</w:t>
      </w:r>
    </w:p>
    <w:p w14:paraId="68801E0B" w14:textId="77777777" w:rsidR="00B14F0A" w:rsidRDefault="00B14F0A" w:rsidP="00B14F0A">
      <w:pPr>
        <w:pStyle w:val="guidelinetext"/>
      </w:pPr>
      <w:r>
        <w:t>Depending on their individual circumstances, the Volunteer may choose to:</w:t>
      </w:r>
    </w:p>
    <w:p w14:paraId="160D744D" w14:textId="77777777" w:rsidR="00B14F0A" w:rsidRPr="00D50BAA" w:rsidRDefault="00B14F0A" w:rsidP="00B14F0A">
      <w:pPr>
        <w:pStyle w:val="guidelinebullet"/>
        <w:rPr>
          <w:rStyle w:val="guidelinedeedrefChar"/>
          <w:rFonts w:asciiTheme="minorHAnsi" w:hAnsiTheme="minorHAnsi"/>
          <w:sz w:val="22"/>
        </w:rPr>
      </w:pPr>
      <w:r w:rsidRPr="00D50BAA">
        <w:t xml:space="preserve">continue receiving </w:t>
      </w:r>
      <w:r>
        <w:t>jobactive services</w:t>
      </w:r>
    </w:p>
    <w:p w14:paraId="1D335B75" w14:textId="77777777" w:rsidR="00B14F0A" w:rsidRDefault="00B14F0A" w:rsidP="00B14F0A">
      <w:pPr>
        <w:pStyle w:val="guidelinebullet"/>
      </w:pPr>
      <w:r>
        <w:t>be Suspended, or</w:t>
      </w:r>
    </w:p>
    <w:p w14:paraId="564854CB" w14:textId="77777777" w:rsidR="00B14F0A" w:rsidRDefault="00B14F0A" w:rsidP="00B14F0A">
      <w:pPr>
        <w:pStyle w:val="guidelinebullet"/>
      </w:pPr>
      <w:r>
        <w:t>be Exited.</w:t>
      </w:r>
    </w:p>
    <w:p w14:paraId="2FE9DFEA" w14:textId="09913EEB" w:rsidR="00B14F0A" w:rsidRDefault="00B14F0A" w:rsidP="00B14F0A">
      <w:pPr>
        <w:pStyle w:val="guidelinetext"/>
      </w:pPr>
      <w:r>
        <w:t xml:space="preserve">A </w:t>
      </w:r>
      <w:r w:rsidR="00832FE3">
        <w:t>Provider</w:t>
      </w:r>
      <w:r>
        <w:t xml:space="preserve"> must resume the delivery of </w:t>
      </w:r>
      <w:r w:rsidR="008E2229">
        <w:t xml:space="preserve">jobactive Stream A services </w:t>
      </w:r>
      <w:r>
        <w:t>to a Volunteer if they return to services within 13 Weeks from the date of Exit and have not received a total of six months of Services as a Volunteer.</w:t>
      </w:r>
    </w:p>
    <w:p w14:paraId="43D234C5" w14:textId="26BE4ED8" w:rsidR="00445E69" w:rsidRDefault="00832FE3" w:rsidP="00445E69">
      <w:pPr>
        <w:pStyle w:val="Heading3"/>
      </w:pPr>
      <w:bookmarkStart w:id="57" w:name="_Toc40103119"/>
      <w:r>
        <w:t>Participant</w:t>
      </w:r>
      <w:r w:rsidR="00445E69">
        <w:t xml:space="preserve"> (Voluntary) receiving </w:t>
      </w:r>
      <w:r w:rsidR="00DA30A9">
        <w:t>Services for Digital Participants from the provider</w:t>
      </w:r>
      <w:bookmarkEnd w:id="57"/>
    </w:p>
    <w:p w14:paraId="56AE7D5A" w14:textId="7C501DD6" w:rsidR="00C822A8" w:rsidRDefault="00445E69" w:rsidP="00631327">
      <w:pPr>
        <w:pStyle w:val="guidelinetext"/>
      </w:pPr>
      <w:r>
        <w:t xml:space="preserve">If a </w:t>
      </w:r>
      <w:r w:rsidR="00556556">
        <w:t>Trial</w:t>
      </w:r>
      <w:r w:rsidR="00BF7853">
        <w:t xml:space="preserve"> </w:t>
      </w:r>
      <w:r w:rsidR="00832FE3">
        <w:t>Provider</w:t>
      </w:r>
      <w:r w:rsidR="00BF7853">
        <w:t xml:space="preserve"> is delivering services to a </w:t>
      </w:r>
      <w:r w:rsidR="00832FE3">
        <w:t>Participant</w:t>
      </w:r>
      <w:r>
        <w:t xml:space="preserve"> (Voluntary) </w:t>
      </w:r>
      <w:r w:rsidR="00BF7853">
        <w:t xml:space="preserve">who is a Digital </w:t>
      </w:r>
      <w:r w:rsidR="00832FE3">
        <w:t>Participant</w:t>
      </w:r>
      <w:r w:rsidR="00BF7853">
        <w:t>, and who</w:t>
      </w:r>
      <w:r>
        <w:t xml:space="preserve"> ceases to participate in volun</w:t>
      </w:r>
      <w:r>
        <w:lastRenderedPageBreak/>
        <w:t xml:space="preserve">tary activities or no longer wishes to participate in voluntary activities and is eligible </w:t>
      </w:r>
      <w:r w:rsidR="006B2C9E">
        <w:t xml:space="preserve">for </w:t>
      </w:r>
      <w:r>
        <w:t xml:space="preserve">an Exit, then the </w:t>
      </w:r>
      <w:r w:rsidR="00832FE3">
        <w:t>Provider</w:t>
      </w:r>
      <w:r>
        <w:t xml:space="preserve"> must refer </w:t>
      </w:r>
      <w:r w:rsidR="006B2C9E">
        <w:t>them to the Contact Centre</w:t>
      </w:r>
      <w:r>
        <w:t>.</w:t>
      </w:r>
    </w:p>
    <w:p w14:paraId="79E7676F" w14:textId="017D8E02" w:rsidR="000F694B" w:rsidRDefault="000F694B" w:rsidP="000F694B">
      <w:pPr>
        <w:pStyle w:val="DeedReference"/>
      </w:pPr>
      <w:r w:rsidRPr="000F694B">
        <w:t xml:space="preserve">(Deed references: Clauses </w:t>
      </w:r>
      <w:r>
        <w:t>10</w:t>
      </w:r>
      <w:r w:rsidR="00394F6B">
        <w:t>1</w:t>
      </w:r>
      <w:r>
        <w:t>.6</w:t>
      </w:r>
      <w:r w:rsidRPr="000F694B">
        <w:t>)</w:t>
      </w:r>
    </w:p>
    <w:p w14:paraId="54A71358" w14:textId="17BACFC0" w:rsidR="00C822A8" w:rsidRDefault="00832FE3" w:rsidP="00C822A8">
      <w:pPr>
        <w:pStyle w:val="Heading3"/>
      </w:pPr>
      <w:bookmarkStart w:id="58" w:name="_Toc40103120"/>
      <w:r>
        <w:t>Provider</w:t>
      </w:r>
      <w:r w:rsidR="00C822A8">
        <w:t xml:space="preserve">s must continue delivering services if </w:t>
      </w:r>
      <w:r w:rsidR="00CA4016">
        <w:t xml:space="preserve">a </w:t>
      </w:r>
      <w:r>
        <w:t>Participant</w:t>
      </w:r>
      <w:r w:rsidR="008E2229">
        <w:t>’s</w:t>
      </w:r>
      <w:r w:rsidR="00C822A8">
        <w:t xml:space="preserve"> request to Exit </w:t>
      </w:r>
      <w:r w:rsidR="00CA4016">
        <w:t>is</w:t>
      </w:r>
      <w:r w:rsidR="00C822A8">
        <w:t xml:space="preserve"> not </w:t>
      </w:r>
      <w:r w:rsidR="002C5231">
        <w:t>approved</w:t>
      </w:r>
      <w:bookmarkEnd w:id="58"/>
    </w:p>
    <w:p w14:paraId="2DD4F1BF" w14:textId="5F89D011" w:rsidR="00C822A8" w:rsidRDefault="00C822A8" w:rsidP="009E2DBF">
      <w:pPr>
        <w:pStyle w:val="guidelinetext"/>
      </w:pPr>
      <w:r>
        <w:t xml:space="preserve">The </w:t>
      </w:r>
      <w:r w:rsidR="00832FE3">
        <w:t>Provider</w:t>
      </w:r>
      <w:r>
        <w:t xml:space="preserve"> must advise a </w:t>
      </w:r>
      <w:r w:rsidR="00832FE3">
        <w:t>Participant</w:t>
      </w:r>
      <w:r>
        <w:t xml:space="preserve"> when they </w:t>
      </w:r>
      <w:r w:rsidR="002C5231">
        <w:t xml:space="preserve">do not approve a request </w:t>
      </w:r>
      <w:r>
        <w:t xml:space="preserve">for a </w:t>
      </w:r>
      <w:r w:rsidR="00832FE3">
        <w:t>Provider</w:t>
      </w:r>
      <w:r>
        <w:t xml:space="preserve"> Exit and must continue to deliver services.</w:t>
      </w:r>
    </w:p>
    <w:p w14:paraId="27250BEE" w14:textId="4E65A575" w:rsidR="00E877A8" w:rsidRDefault="00832FE3" w:rsidP="00E73745">
      <w:pPr>
        <w:pStyle w:val="Heading1"/>
      </w:pPr>
      <w:bookmarkStart w:id="59" w:name="_Toc40103121"/>
      <w:r>
        <w:t>Participant</w:t>
      </w:r>
      <w:r w:rsidR="001B40F1">
        <w:t>s</w:t>
      </w:r>
      <w:r w:rsidR="00E877A8">
        <w:t xml:space="preserve"> return</w:t>
      </w:r>
      <w:r w:rsidR="001B40F1">
        <w:t>ing</w:t>
      </w:r>
      <w:r w:rsidR="00E877A8">
        <w:t xml:space="preserve"> to services</w:t>
      </w:r>
      <w:r w:rsidR="001B40F1">
        <w:t xml:space="preserve"> after an Exit</w:t>
      </w:r>
      <w:bookmarkEnd w:id="59"/>
    </w:p>
    <w:p w14:paraId="04966EE8" w14:textId="5E60F982" w:rsidR="00F27DFB" w:rsidRPr="00936C45" w:rsidRDefault="00E877A8" w:rsidP="00BD1047">
      <w:pPr>
        <w:pStyle w:val="guidelinetext"/>
      </w:pPr>
      <w:r w:rsidRPr="00936C45">
        <w:t xml:space="preserve">Where an Exit occurs but the </w:t>
      </w:r>
      <w:r w:rsidR="00832FE3">
        <w:t>Participant</w:t>
      </w:r>
      <w:r w:rsidRPr="00936C45">
        <w:t xml:space="preserve"> returns to services less than 13 consecutive weeks after the </w:t>
      </w:r>
      <w:r w:rsidRPr="00DC3D2F">
        <w:t>E</w:t>
      </w:r>
      <w:r w:rsidR="00F27DFB" w:rsidRPr="00DC3D2F">
        <w:t>x</w:t>
      </w:r>
      <w:r w:rsidRPr="00DC3D2F">
        <w:t>it</w:t>
      </w:r>
      <w:r w:rsidR="00B64562">
        <w:t>,</w:t>
      </w:r>
      <w:r w:rsidR="00102DB8" w:rsidRPr="006B2C9E">
        <w:t xml:space="preserve"> </w:t>
      </w:r>
      <w:r w:rsidR="00102DB8" w:rsidRPr="00445E69">
        <w:t>t</w:t>
      </w:r>
      <w:r w:rsidR="00F27DFB" w:rsidRPr="00445E69">
        <w:t>he</w:t>
      </w:r>
      <w:r w:rsidR="00F27DFB" w:rsidRPr="00936C45">
        <w:t xml:space="preserve"> </w:t>
      </w:r>
      <w:r w:rsidR="00832FE3">
        <w:t>Participant</w:t>
      </w:r>
      <w:r w:rsidR="00F27DFB" w:rsidRPr="00936C45">
        <w:t>’s</w:t>
      </w:r>
    </w:p>
    <w:p w14:paraId="1A296751" w14:textId="77777777" w:rsidR="00F27DFB" w:rsidRPr="00BD1047" w:rsidRDefault="00F27DFB" w:rsidP="00394F6B">
      <w:pPr>
        <w:pStyle w:val="guidelinetext"/>
        <w:numPr>
          <w:ilvl w:val="0"/>
          <w:numId w:val="27"/>
        </w:numPr>
      </w:pPr>
      <w:r w:rsidRPr="00BD1047">
        <w:t>Period of Service;</w:t>
      </w:r>
    </w:p>
    <w:p w14:paraId="416D4845" w14:textId="77777777" w:rsidR="00F27DFB" w:rsidRPr="00BD1047" w:rsidRDefault="00F27DFB" w:rsidP="00394F6B">
      <w:pPr>
        <w:pStyle w:val="guidelinetext"/>
        <w:numPr>
          <w:ilvl w:val="0"/>
          <w:numId w:val="27"/>
        </w:numPr>
      </w:pPr>
      <w:r w:rsidRPr="00BD1047">
        <w:t>Period of Registration (if relevant); and</w:t>
      </w:r>
    </w:p>
    <w:p w14:paraId="187A619A" w14:textId="77777777" w:rsidR="00F27DFB" w:rsidRPr="00BD1047" w:rsidRDefault="00F27DFB" w:rsidP="00394F6B">
      <w:pPr>
        <w:pStyle w:val="guidelinetext"/>
        <w:numPr>
          <w:ilvl w:val="0"/>
          <w:numId w:val="27"/>
        </w:numPr>
      </w:pPr>
      <w:r w:rsidRPr="00BD1047">
        <w:t>Period of Unemployment,</w:t>
      </w:r>
    </w:p>
    <w:p w14:paraId="03F0F4F0" w14:textId="7597E383" w:rsidR="00F27DFB" w:rsidRPr="00BD1047" w:rsidRDefault="00F27DFB" w:rsidP="00BD1047">
      <w:pPr>
        <w:pStyle w:val="guidelinetext"/>
      </w:pPr>
      <w:r w:rsidRPr="00936C45">
        <w:t xml:space="preserve">continue from the date of the </w:t>
      </w:r>
      <w:r w:rsidR="00832FE3">
        <w:t>Participant</w:t>
      </w:r>
      <w:r w:rsidRPr="00936C45">
        <w:t>’s return, and</w:t>
      </w:r>
      <w:r w:rsidR="00667B62">
        <w:t xml:space="preserve"> </w:t>
      </w:r>
      <w:r w:rsidRPr="00936C45">
        <w:t xml:space="preserve">the </w:t>
      </w:r>
      <w:r w:rsidR="00832FE3">
        <w:t>Provider</w:t>
      </w:r>
      <w:r w:rsidRPr="00936C45">
        <w:t xml:space="preserve"> must, as soon as it becomes aware of the </w:t>
      </w:r>
      <w:r w:rsidR="00832FE3">
        <w:t>Participant</w:t>
      </w:r>
      <w:r w:rsidRPr="00936C45">
        <w:t>’s return</w:t>
      </w:r>
      <w:r w:rsidR="00102DB8">
        <w:t xml:space="preserve"> resume providing the appropriate services and </w:t>
      </w:r>
      <w:r w:rsidRPr="00BD1047">
        <w:t xml:space="preserve">record the resumption of </w:t>
      </w:r>
      <w:r w:rsidR="00BD1047">
        <w:t>s</w:t>
      </w:r>
      <w:r w:rsidRPr="00BD1047">
        <w:t>ervices on the Department’s IT Systems</w:t>
      </w:r>
      <w:r w:rsidR="00102DB8" w:rsidRPr="00BD1047">
        <w:t>.</w:t>
      </w:r>
      <w:r w:rsidRPr="00BD1047">
        <w:t xml:space="preserve"> </w:t>
      </w:r>
    </w:p>
    <w:p w14:paraId="4DF148D1" w14:textId="6693408B" w:rsidR="00F27DFB" w:rsidRPr="00936C45" w:rsidRDefault="00F27DFB" w:rsidP="00BD1047">
      <w:pPr>
        <w:pStyle w:val="guidelinetext"/>
      </w:pPr>
      <w:bookmarkStart w:id="60" w:name="_Ref393468345"/>
      <w:r w:rsidRPr="00BD1047">
        <w:t xml:space="preserve">Where an Exit occurs for a </w:t>
      </w:r>
      <w:r w:rsidR="00832FE3">
        <w:t>Participant</w:t>
      </w:r>
      <w:r w:rsidRPr="00BD1047">
        <w:t xml:space="preserve"> and the</w:t>
      </w:r>
      <w:r w:rsidRPr="00936C45">
        <w:t xml:space="preserve"> </w:t>
      </w:r>
      <w:r w:rsidR="00832FE3">
        <w:t>Participant</w:t>
      </w:r>
      <w:r w:rsidRPr="00936C45">
        <w:t xml:space="preserve"> subsequently returns to the services at 13 Consecutive Weeks or more after the date of the Exit, the </w:t>
      </w:r>
      <w:r w:rsidR="00832FE3">
        <w:t>Participant</w:t>
      </w:r>
      <w:r w:rsidRPr="00936C45">
        <w:t xml:space="preserve"> begins a new:</w:t>
      </w:r>
      <w:bookmarkEnd w:id="60"/>
    </w:p>
    <w:p w14:paraId="7FB07CEF" w14:textId="77777777" w:rsidR="00BE30F8" w:rsidRPr="00394F6B" w:rsidRDefault="00BE30F8" w:rsidP="00394F6B">
      <w:pPr>
        <w:pStyle w:val="guidelinetext"/>
        <w:numPr>
          <w:ilvl w:val="0"/>
          <w:numId w:val="28"/>
        </w:numPr>
      </w:pPr>
      <w:r w:rsidRPr="00394F6B">
        <w:t>Period of Service;</w:t>
      </w:r>
    </w:p>
    <w:p w14:paraId="30B5D8D5" w14:textId="77777777" w:rsidR="00BE30F8" w:rsidRPr="00394F6B" w:rsidRDefault="00BE30F8" w:rsidP="00394F6B">
      <w:pPr>
        <w:pStyle w:val="guidelinetext"/>
        <w:numPr>
          <w:ilvl w:val="0"/>
          <w:numId w:val="28"/>
        </w:numPr>
      </w:pPr>
      <w:r w:rsidRPr="00394F6B">
        <w:t>Period of Registration (if relevant); and</w:t>
      </w:r>
    </w:p>
    <w:p w14:paraId="6E71A96C" w14:textId="15DFD70A" w:rsidR="00F27DFB" w:rsidRPr="00394F6B" w:rsidRDefault="00BE30F8" w:rsidP="00394F6B">
      <w:pPr>
        <w:pStyle w:val="guidelinetext"/>
        <w:numPr>
          <w:ilvl w:val="0"/>
          <w:numId w:val="28"/>
        </w:numPr>
      </w:pPr>
      <w:r w:rsidRPr="00394F6B">
        <w:t>Period of Unemployment</w:t>
      </w:r>
      <w:r w:rsidRPr="00394F6B" w:rsidDel="00BE30F8">
        <w:t xml:space="preserve"> </w:t>
      </w:r>
    </w:p>
    <w:p w14:paraId="226246AC" w14:textId="77777777" w:rsidR="007D313A" w:rsidRDefault="007D313A" w:rsidP="007D313A">
      <w:pPr>
        <w:pStyle w:val="Heading1"/>
        <w:ind w:left="360" w:hanging="360"/>
      </w:pPr>
      <w:bookmarkStart w:id="61" w:name="_Toc468889144"/>
      <w:bookmarkStart w:id="62" w:name="_Toc469301541"/>
      <w:bookmarkStart w:id="63" w:name="_Toc40103122"/>
      <w:r>
        <w:t>Summary of required Documentary Evidence</w:t>
      </w:r>
      <w:bookmarkEnd w:id="61"/>
      <w:bookmarkEnd w:id="62"/>
      <w:bookmarkEnd w:id="63"/>
    </w:p>
    <w:p w14:paraId="7BAB94F8" w14:textId="007EDC05" w:rsidR="004872A6" w:rsidRPr="00CD0B70" w:rsidRDefault="004872A6" w:rsidP="00CD0B70">
      <w:pPr>
        <w:pStyle w:val="Heading2"/>
      </w:pPr>
      <w:bookmarkStart w:id="64" w:name="_Toc40103123"/>
      <w:r>
        <w:t>Suspensions</w:t>
      </w:r>
      <w:bookmarkEnd w:id="64"/>
    </w:p>
    <w:p w14:paraId="2FD0A319" w14:textId="6AD606A5" w:rsidR="004872A6" w:rsidRDefault="00556535" w:rsidP="00EC4A7F">
      <w:pPr>
        <w:pStyle w:val="docev"/>
        <w:ind w:left="1440" w:hanging="1440"/>
      </w:pPr>
      <w:r>
        <w:rPr>
          <w:b/>
        </w:rPr>
        <w:t xml:space="preserve">Documentary evidence: </w:t>
      </w:r>
      <w:r w:rsidR="004872A6">
        <w:t xml:space="preserve">Where a </w:t>
      </w:r>
      <w:r w:rsidR="00832FE3">
        <w:t>Provider</w:t>
      </w:r>
      <w:r w:rsidR="004872A6">
        <w:t xml:space="preserve"> Suspends a </w:t>
      </w:r>
      <w:r w:rsidR="00832FE3">
        <w:t>Participant</w:t>
      </w:r>
      <w:r w:rsidR="004872A6">
        <w:t xml:space="preserve">, </w:t>
      </w:r>
      <w:r w:rsidR="00756A7B">
        <w:t xml:space="preserve">the </w:t>
      </w:r>
      <w:r w:rsidR="00832FE3">
        <w:t>Provider</w:t>
      </w:r>
      <w:r w:rsidR="004872A6">
        <w:t xml:space="preserve"> must record the reason for the Suspension, and the start and end dates for the Suspension, in the Department’s IT System.</w:t>
      </w:r>
    </w:p>
    <w:p w14:paraId="665EF7D8" w14:textId="6D7760CF" w:rsidR="004872A6" w:rsidRDefault="00556535" w:rsidP="00303634">
      <w:pPr>
        <w:pStyle w:val="docev"/>
        <w:keepLines/>
        <w:ind w:left="1440" w:hanging="1440"/>
      </w:pPr>
      <w:r>
        <w:rPr>
          <w:b/>
        </w:rPr>
        <w:lastRenderedPageBreak/>
        <w:t xml:space="preserve">Documentary evidence: </w:t>
      </w:r>
      <w:r w:rsidR="004872A6">
        <w:t xml:space="preserve">Where a </w:t>
      </w:r>
      <w:r w:rsidR="00832FE3">
        <w:t>Participant</w:t>
      </w:r>
      <w:r w:rsidR="004872A6">
        <w:t xml:space="preserve"> elects to volunteer while Suspended, the </w:t>
      </w:r>
      <w:r w:rsidR="00832FE3">
        <w:t>Provider</w:t>
      </w:r>
      <w:r w:rsidR="004872A6">
        <w:t xml:space="preserve"> must record, in the Department’s IT system:</w:t>
      </w:r>
    </w:p>
    <w:p w14:paraId="7AAC223C" w14:textId="22C1BF8B" w:rsidR="004872A6" w:rsidRDefault="004872A6" w:rsidP="00303634">
      <w:pPr>
        <w:pStyle w:val="guidelinebullet"/>
        <w:keepLines/>
      </w:pPr>
      <w:r>
        <w:t xml:space="preserve">the agreed </w:t>
      </w:r>
      <w:r w:rsidR="00F8708A">
        <w:t>start</w:t>
      </w:r>
      <w:r>
        <w:t xml:space="preserve"> and end dates for the volunteering period</w:t>
      </w:r>
    </w:p>
    <w:p w14:paraId="38AA44BE" w14:textId="1FC7184B" w:rsidR="004872A6" w:rsidRDefault="004872A6" w:rsidP="00303634">
      <w:pPr>
        <w:pStyle w:val="guidelinebullet"/>
        <w:keepLines/>
      </w:pPr>
      <w:r>
        <w:t>the agreed voluntary Activities in the Job Plan</w:t>
      </w:r>
    </w:p>
    <w:p w14:paraId="09E116B8" w14:textId="3308C511" w:rsidR="004872A6" w:rsidRDefault="004872A6" w:rsidP="00303634">
      <w:pPr>
        <w:pStyle w:val="guidelinebullet"/>
        <w:keepLines/>
      </w:pPr>
      <w:r>
        <w:t xml:space="preserve">that the </w:t>
      </w:r>
      <w:r w:rsidR="00832FE3">
        <w:t>Participant</w:t>
      </w:r>
      <w:r>
        <w:t xml:space="preserve"> is participating as a Volunteer.</w:t>
      </w:r>
    </w:p>
    <w:p w14:paraId="2470E172" w14:textId="3AD2E861" w:rsidR="004872A6" w:rsidRDefault="00556535" w:rsidP="00EC4A7F">
      <w:pPr>
        <w:pStyle w:val="docev"/>
        <w:ind w:left="1440" w:hanging="1440"/>
      </w:pPr>
      <w:r>
        <w:rPr>
          <w:b/>
        </w:rPr>
        <w:t xml:space="preserve">Documentary evidence: </w:t>
      </w:r>
      <w:r w:rsidR="004872A6">
        <w:t xml:space="preserve">The </w:t>
      </w:r>
      <w:r w:rsidR="00832FE3">
        <w:t>Provider</w:t>
      </w:r>
      <w:r w:rsidR="004872A6">
        <w:t xml:space="preserve"> must immediately record the end of the Suspension or volunteering period in the Department’s IT System.</w:t>
      </w:r>
    </w:p>
    <w:p w14:paraId="4E9F077F" w14:textId="45EF816E" w:rsidR="004872A6" w:rsidRDefault="004872A6" w:rsidP="00CD0B70">
      <w:pPr>
        <w:pStyle w:val="Heading2"/>
      </w:pPr>
      <w:bookmarkStart w:id="65" w:name="_Toc40103124"/>
      <w:r>
        <w:t>Exits</w:t>
      </w:r>
      <w:bookmarkEnd w:id="65"/>
    </w:p>
    <w:p w14:paraId="7C8E6445" w14:textId="3CA1E2B5" w:rsidR="007D313A" w:rsidRDefault="00556535" w:rsidP="00EC4A7F">
      <w:pPr>
        <w:pStyle w:val="docev"/>
        <w:ind w:left="1440" w:hanging="1440"/>
      </w:pPr>
      <w:r>
        <w:rPr>
          <w:b/>
        </w:rPr>
        <w:t xml:space="preserve">Documentary evidence: </w:t>
      </w:r>
      <w:r w:rsidR="007D313A">
        <w:t xml:space="preserve">Where the </w:t>
      </w:r>
      <w:r w:rsidR="00832FE3">
        <w:t>Provider</w:t>
      </w:r>
      <w:r w:rsidR="007D313A">
        <w:t xml:space="preserve"> determines it is appropriate to Exit a </w:t>
      </w:r>
      <w:r w:rsidR="00832FE3">
        <w:t>Participant</w:t>
      </w:r>
      <w:r w:rsidR="007D313A">
        <w:t xml:space="preserve">, the </w:t>
      </w:r>
      <w:r w:rsidR="00832FE3">
        <w:t>Provider</w:t>
      </w:r>
      <w:r w:rsidR="00040C1D">
        <w:t xml:space="preserve"> must record this in the </w:t>
      </w:r>
      <w:r w:rsidR="004872A6">
        <w:t>Department</w:t>
      </w:r>
      <w:r w:rsidR="007D313A">
        <w:t>’s IT Systems, including</w:t>
      </w:r>
      <w:r w:rsidR="007D313A" w:rsidRPr="000A57D3">
        <w:t xml:space="preserve"> the reason</w:t>
      </w:r>
      <w:r w:rsidR="00F44DE3">
        <w:t xml:space="preserve"> for the decisio</w:t>
      </w:r>
      <w:bookmarkStart w:id="66" w:name="_GoBack"/>
      <w:bookmarkEnd w:id="66"/>
      <w:r w:rsidR="00F44DE3">
        <w:t>n</w:t>
      </w:r>
      <w:r w:rsidR="007D313A">
        <w:t>.</w:t>
      </w:r>
      <w:r w:rsidR="007D313A" w:rsidRPr="000A57D3">
        <w:t xml:space="preserve"> No additional Documentary Evidence is required.</w:t>
      </w:r>
    </w:p>
    <w:p w14:paraId="79EC40A1" w14:textId="126D7B98" w:rsidR="00BE30F8" w:rsidRPr="00EC3F09" w:rsidRDefault="00BE30F8" w:rsidP="00EC3F09">
      <w:pPr>
        <w:pStyle w:val="docev"/>
        <w:ind w:left="1440" w:hanging="1440"/>
      </w:pPr>
      <w:r>
        <w:rPr>
          <w:b/>
        </w:rPr>
        <w:t xml:space="preserve">Documentary evidence: </w:t>
      </w:r>
      <w:r w:rsidRPr="00EC3F09">
        <w:t xml:space="preserve">Where an Exit occurs but the </w:t>
      </w:r>
      <w:r w:rsidR="00832FE3" w:rsidRPr="00EC3F09">
        <w:t>Participant</w:t>
      </w:r>
      <w:r w:rsidRPr="00EC3F09">
        <w:t xml:space="preserve"> returns to services less than 13 consecutive weeks after the Exit, the </w:t>
      </w:r>
      <w:r w:rsidR="00832FE3" w:rsidRPr="00EC3F09">
        <w:t>Provider</w:t>
      </w:r>
      <w:r w:rsidRPr="00EC3F09">
        <w:t xml:space="preserve"> must record the resumption of Services on the Department’s IT Systems. </w:t>
      </w:r>
    </w:p>
    <w:p w14:paraId="2409ADEE" w14:textId="300DB6A3" w:rsidR="00BE30F8" w:rsidRDefault="00BE30F8">
      <w:pPr>
        <w:rPr>
          <w:rStyle w:val="guidelinedeedrefChar"/>
          <w:rFonts w:asciiTheme="minorHAnsi" w:hAnsiTheme="minorHAnsi"/>
          <w:sz w:val="22"/>
        </w:rPr>
      </w:pPr>
      <w:r>
        <w:rPr>
          <w:rStyle w:val="guidelinedeedrefChar"/>
          <w:rFonts w:asciiTheme="minorHAnsi" w:hAnsiTheme="minorHAnsi"/>
          <w:sz w:val="22"/>
        </w:rPr>
        <w:br w:type="page"/>
      </w:r>
    </w:p>
    <w:p w14:paraId="507CF2CB" w14:textId="286A0761" w:rsidR="007409C6" w:rsidRPr="00631327" w:rsidRDefault="007409C6" w:rsidP="007409C6">
      <w:pPr>
        <w:pBdr>
          <w:top w:val="single" w:sz="4" w:space="1" w:color="auto"/>
        </w:pBdr>
        <w:ind w:right="-23"/>
        <w:rPr>
          <w:sz w:val="20"/>
        </w:rPr>
      </w:pPr>
      <w:r w:rsidRPr="00631327">
        <w:rPr>
          <w:sz w:val="20"/>
        </w:rPr>
        <w:lastRenderedPageBreak/>
        <w:t xml:space="preserve">All capitalised terms in this guideline have the same meaning as in the </w:t>
      </w:r>
      <w:r w:rsidR="005E3AF7" w:rsidRPr="00631327">
        <w:rPr>
          <w:sz w:val="20"/>
        </w:rPr>
        <w:t xml:space="preserve">New Employment Services Trial Deed 2019-2022 </w:t>
      </w:r>
      <w:r w:rsidRPr="00631327">
        <w:rPr>
          <w:sz w:val="20"/>
        </w:rPr>
        <w:t>(the Deed).</w:t>
      </w:r>
    </w:p>
    <w:p w14:paraId="6BAEB006" w14:textId="28959208" w:rsidR="004F3103" w:rsidRDefault="007409C6" w:rsidP="007409C6">
      <w:pPr>
        <w:pBdr>
          <w:top w:val="single" w:sz="4" w:space="1" w:color="auto"/>
        </w:pBdr>
        <w:ind w:right="-23"/>
        <w:rPr>
          <w:sz w:val="20"/>
        </w:rPr>
      </w:pPr>
      <w:r w:rsidRPr="00631327">
        <w:rPr>
          <w:sz w:val="20"/>
        </w:rPr>
        <w:t xml:space="preserve">In this guideline, references to </w:t>
      </w:r>
      <w:r w:rsidR="00556556">
        <w:rPr>
          <w:sz w:val="20"/>
        </w:rPr>
        <w:t>Trial</w:t>
      </w:r>
      <w:r w:rsidR="00CA3187">
        <w:rPr>
          <w:sz w:val="20"/>
        </w:rPr>
        <w:t xml:space="preserve"> </w:t>
      </w:r>
      <w:r w:rsidR="00832FE3">
        <w:rPr>
          <w:sz w:val="20"/>
        </w:rPr>
        <w:t>Provider</w:t>
      </w:r>
      <w:r w:rsidRPr="00631327">
        <w:rPr>
          <w:sz w:val="20"/>
        </w:rPr>
        <w:t xml:space="preserve"> mean </w:t>
      </w:r>
      <w:r w:rsidR="005E3AF7" w:rsidRPr="00631327">
        <w:rPr>
          <w:sz w:val="20"/>
        </w:rPr>
        <w:t xml:space="preserve">a </w:t>
      </w:r>
      <w:r w:rsidR="00CA3187">
        <w:rPr>
          <w:sz w:val="20"/>
        </w:rPr>
        <w:t xml:space="preserve">New Employment Services </w:t>
      </w:r>
      <w:r w:rsidR="005E3AF7" w:rsidRPr="00631327">
        <w:rPr>
          <w:sz w:val="20"/>
        </w:rPr>
        <w:t>Trial</w:t>
      </w:r>
      <w:r w:rsidRPr="00631327">
        <w:rPr>
          <w:sz w:val="20"/>
        </w:rPr>
        <w:t xml:space="preserve"> </w:t>
      </w:r>
      <w:r w:rsidR="004F3103">
        <w:rPr>
          <w:sz w:val="20"/>
        </w:rPr>
        <w:t>Provider.</w:t>
      </w:r>
    </w:p>
    <w:p w14:paraId="647B2AF0" w14:textId="7C511949" w:rsidR="007409C6" w:rsidRPr="00631327" w:rsidRDefault="004F3103" w:rsidP="007409C6">
      <w:pPr>
        <w:pBdr>
          <w:top w:val="single" w:sz="4" w:space="1" w:color="auto"/>
        </w:pBdr>
        <w:ind w:right="-23"/>
        <w:rPr>
          <w:sz w:val="20"/>
        </w:rPr>
      </w:pPr>
      <w:r>
        <w:rPr>
          <w:sz w:val="20"/>
        </w:rPr>
        <w:t>R</w:t>
      </w:r>
      <w:r w:rsidR="007409C6" w:rsidRPr="00631327">
        <w:rPr>
          <w:sz w:val="20"/>
        </w:rPr>
        <w:t xml:space="preserve">eferences to </w:t>
      </w:r>
      <w:r w:rsidR="002B1B8C" w:rsidRPr="00631327">
        <w:rPr>
          <w:sz w:val="20"/>
        </w:rPr>
        <w:t xml:space="preserve">a </w:t>
      </w:r>
      <w:r w:rsidR="00832FE3">
        <w:rPr>
          <w:sz w:val="20"/>
        </w:rPr>
        <w:t>Participant</w:t>
      </w:r>
      <w:r w:rsidR="007409C6" w:rsidRPr="00631327">
        <w:rPr>
          <w:sz w:val="20"/>
        </w:rPr>
        <w:t xml:space="preserve"> mean</w:t>
      </w:r>
      <w:r w:rsidR="005E3AF7" w:rsidRPr="00631327">
        <w:rPr>
          <w:sz w:val="20"/>
        </w:rPr>
        <w:t xml:space="preserve"> a person, who is identified </w:t>
      </w:r>
      <w:r w:rsidR="002B1B8C" w:rsidRPr="00631327">
        <w:rPr>
          <w:sz w:val="20"/>
        </w:rPr>
        <w:t>in</w:t>
      </w:r>
      <w:r w:rsidR="005E3AF7" w:rsidRPr="00631327">
        <w:rPr>
          <w:sz w:val="20"/>
        </w:rPr>
        <w:t xml:space="preserve"> the Department’s IT Systems as eligible for receiving Trial Services</w:t>
      </w:r>
      <w:r w:rsidR="007409C6" w:rsidRPr="00631327">
        <w:rPr>
          <w:sz w:val="20"/>
        </w:rPr>
        <w:t xml:space="preserve"> and references to services mean </w:t>
      </w:r>
      <w:r w:rsidR="005E3AF7" w:rsidRPr="00631327">
        <w:rPr>
          <w:sz w:val="20"/>
        </w:rPr>
        <w:t xml:space="preserve">Trial </w:t>
      </w:r>
      <w:r w:rsidR="00832FE3">
        <w:rPr>
          <w:sz w:val="20"/>
        </w:rPr>
        <w:t>Provider</w:t>
      </w:r>
      <w:r w:rsidR="007409C6" w:rsidRPr="00631327">
        <w:rPr>
          <w:sz w:val="20"/>
        </w:rPr>
        <w:t xml:space="preserve"> Services as defined in the Deed.</w:t>
      </w:r>
    </w:p>
    <w:p w14:paraId="68F9C163" w14:textId="5168777F" w:rsidR="007D313A" w:rsidRPr="00204CFA" w:rsidRDefault="007409C6" w:rsidP="00204CFA">
      <w:pPr>
        <w:rPr>
          <w:rStyle w:val="guidelinedeedrefChar"/>
          <w:rFonts w:asciiTheme="minorHAnsi" w:hAnsiTheme="minorHAnsi"/>
        </w:rPr>
      </w:pPr>
      <w:r w:rsidRPr="00631327">
        <w:rPr>
          <w:sz w:val="20"/>
        </w:rPr>
        <w:t xml:space="preserve">This Guideline is not a stand-alone document and does not contain the entirety of </w:t>
      </w:r>
      <w:r w:rsidR="00832FE3">
        <w:rPr>
          <w:sz w:val="20"/>
        </w:rPr>
        <w:t>Provider</w:t>
      </w:r>
      <w:r w:rsidRPr="00631327">
        <w:rPr>
          <w:sz w:val="20"/>
        </w:rPr>
        <w:t xml:space="preserve">s’ obligations. It must be read in conjunction with the Deed and any relevant Guidelines or reference material issued by Department of </w:t>
      </w:r>
      <w:r w:rsidR="004B7FAF" w:rsidRPr="004B7FAF">
        <w:rPr>
          <w:sz w:val="20"/>
        </w:rPr>
        <w:t>Education, Skills and Employment</w:t>
      </w:r>
      <w:r w:rsidR="004B7FAF">
        <w:rPr>
          <w:sz w:val="20"/>
        </w:rPr>
        <w:t xml:space="preserve"> </w:t>
      </w:r>
      <w:r w:rsidRPr="00631327">
        <w:rPr>
          <w:sz w:val="20"/>
        </w:rPr>
        <w:t>under or in connection with the Deed.</w:t>
      </w:r>
    </w:p>
    <w:sectPr w:rsidR="007D313A" w:rsidRPr="00204CFA" w:rsidSect="00F46AEF">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DF48" w14:textId="77777777" w:rsidR="00295BA6" w:rsidRDefault="00295BA6" w:rsidP="008A194F">
      <w:pPr>
        <w:spacing w:before="0"/>
      </w:pPr>
      <w:r>
        <w:separator/>
      </w:r>
    </w:p>
  </w:endnote>
  <w:endnote w:type="continuationSeparator" w:id="0">
    <w:p w14:paraId="783D182C" w14:textId="77777777" w:rsidR="00295BA6" w:rsidRDefault="00295BA6" w:rsidP="008A194F">
      <w:pPr>
        <w:spacing w:before="0"/>
      </w:pPr>
      <w:r>
        <w:continuationSeparator/>
      </w:r>
    </w:p>
  </w:endnote>
  <w:endnote w:type="continuationNotice" w:id="1">
    <w:p w14:paraId="4761E571" w14:textId="77777777" w:rsidR="00295BA6" w:rsidRDefault="00295B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83DB" w14:textId="018ACCCA" w:rsidR="004E1C2A" w:rsidRPr="001F19A3" w:rsidRDefault="004E1C2A" w:rsidP="00E112A1">
    <w:pPr>
      <w:pStyle w:val="Footer"/>
      <w:pBdr>
        <w:top w:val="single" w:sz="4" w:space="1" w:color="767171" w:themeColor="background2" w:themeShade="80"/>
      </w:pBdr>
      <w:rPr>
        <w:sz w:val="20"/>
        <w:szCs w:val="20"/>
      </w:rPr>
    </w:pPr>
    <w:r w:rsidRPr="00CA3187">
      <w:rPr>
        <w:sz w:val="20"/>
        <w:szCs w:val="20"/>
      </w:rPr>
      <w:t>Effective from:</w:t>
    </w:r>
    <w:r w:rsidR="00CA3187" w:rsidRPr="00CA3187">
      <w:rPr>
        <w:sz w:val="20"/>
        <w:szCs w:val="20"/>
      </w:rPr>
      <w:t xml:space="preserve"> </w:t>
    </w:r>
    <w:r w:rsidR="00B36145" w:rsidRPr="00507D6D">
      <w:rPr>
        <w:sz w:val="20"/>
        <w:szCs w:val="20"/>
      </w:rPr>
      <w:t>1 Jul</w:t>
    </w:r>
    <w:r w:rsidR="00510482">
      <w:rPr>
        <w:sz w:val="20"/>
        <w:szCs w:val="20"/>
      </w:rPr>
      <w:t>y</w:t>
    </w:r>
    <w:r w:rsidR="00B36145" w:rsidRPr="00507D6D">
      <w:rPr>
        <w:sz w:val="20"/>
        <w:szCs w:val="20"/>
      </w:rPr>
      <w:t xml:space="preserve"> 20</w:t>
    </w:r>
    <w:r w:rsidR="00510482">
      <w:rPr>
        <w:sz w:val="20"/>
        <w:szCs w:val="20"/>
      </w:rPr>
      <w:t>20</w:t>
    </w:r>
    <w:r w:rsidRPr="001F19A3">
      <w:rPr>
        <w:sz w:val="20"/>
        <w:szCs w:val="20"/>
      </w:rPr>
      <w:tab/>
    </w:r>
    <w:r w:rsidR="00CD42E0">
      <w:rPr>
        <w:sz w:val="20"/>
        <w:szCs w:val="20"/>
      </w:rPr>
      <w:t>TRIM ID:</w:t>
    </w:r>
    <w:r w:rsidR="009037AA" w:rsidRPr="009037AA">
      <w:rPr>
        <w:sz w:val="20"/>
        <w:szCs w:val="20"/>
      </w:rPr>
      <w:t xml:space="preserve"> </w:t>
    </w:r>
    <w:r w:rsidR="00510482" w:rsidRPr="00510482">
      <w:rPr>
        <w:sz w:val="20"/>
        <w:szCs w:val="20"/>
      </w:rPr>
      <w:t>D20/709099</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035C7C">
      <w:rPr>
        <w:noProof/>
        <w:sz w:val="20"/>
        <w:szCs w:val="20"/>
      </w:rPr>
      <w:t>10</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035C7C">
      <w:rPr>
        <w:noProof/>
        <w:sz w:val="20"/>
        <w:szCs w:val="20"/>
      </w:rPr>
      <w:t>10</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B86CE" w14:textId="77777777" w:rsidR="00295BA6" w:rsidRDefault="00295BA6" w:rsidP="008A194F">
      <w:pPr>
        <w:spacing w:before="0"/>
      </w:pPr>
      <w:r>
        <w:separator/>
      </w:r>
    </w:p>
  </w:footnote>
  <w:footnote w:type="continuationSeparator" w:id="0">
    <w:p w14:paraId="540F3A5B" w14:textId="77777777" w:rsidR="00295BA6" w:rsidRDefault="00295BA6" w:rsidP="008A194F">
      <w:pPr>
        <w:spacing w:before="0"/>
      </w:pPr>
      <w:r>
        <w:continuationSeparator/>
      </w:r>
    </w:p>
  </w:footnote>
  <w:footnote w:type="continuationNotice" w:id="1">
    <w:p w14:paraId="6CFD16DC" w14:textId="77777777" w:rsidR="00295BA6" w:rsidRDefault="00295B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C906" w14:textId="4F76BEA9" w:rsidR="004E1C2A" w:rsidRDefault="004E1C2A" w:rsidP="00E112A1">
    <w:pPr>
      <w:pStyle w:val="Header"/>
      <w:pBdr>
        <w:bottom w:val="single" w:sz="4" w:space="1" w:color="767171" w:themeColor="background2" w:themeShade="80"/>
      </w:pBdr>
      <w:tabs>
        <w:tab w:val="clear" w:pos="4513"/>
      </w:tabs>
    </w:pPr>
    <w:r>
      <w:t>New Employment Services Trial guideline</w:t>
    </w:r>
    <w:r>
      <w:tab/>
    </w:r>
    <w:r w:rsidR="000F428F" w:rsidRPr="000F428F">
      <w:t>Defined Periods, Suspensions and Exits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2862" w14:textId="09230137" w:rsidR="004E1C2A" w:rsidRDefault="004E1C2A" w:rsidP="00300D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898"/>
    <w:multiLevelType w:val="multilevel"/>
    <w:tmpl w:val="CD6EAD30"/>
    <w:lvl w:ilvl="0">
      <w:start w:val="1"/>
      <w:numFmt w:val="decimal"/>
      <w:lvlText w:val="%1."/>
      <w:lvlJc w:val="left"/>
      <w:pPr>
        <w:tabs>
          <w:tab w:val="num" w:pos="510"/>
        </w:tabs>
        <w:ind w:left="510"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bullet"/>
      <w:lvlText w:val=""/>
      <w:lvlJc w:val="left"/>
      <w:pPr>
        <w:tabs>
          <w:tab w:val="num" w:pos="2381"/>
        </w:tabs>
        <w:ind w:left="2381" w:hanging="510"/>
      </w:pPr>
      <w:rPr>
        <w:rFonts w:ascii="Symbol" w:hAnsi="Symbol"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 w15:restartNumberingAfterBreak="0">
    <w:nsid w:val="20575DAC"/>
    <w:multiLevelType w:val="hybridMultilevel"/>
    <w:tmpl w:val="A7C0F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7F15B5"/>
    <w:multiLevelType w:val="multilevel"/>
    <w:tmpl w:val="CC684978"/>
    <w:lvl w:ilvl="0">
      <w:start w:val="1"/>
      <w:numFmt w:val="decimal"/>
      <w:pStyle w:val="StandardClause"/>
      <w:lvlText w:val="%1."/>
      <w:lvlJc w:val="left"/>
      <w:pPr>
        <w:tabs>
          <w:tab w:val="num" w:pos="510"/>
        </w:tabs>
        <w:ind w:left="510"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304"/>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afternumb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pStyle w:val="Subclausewith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pStyle w:val="SubclausewithUpperAlpha"/>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 w15:restartNumberingAfterBreak="0">
    <w:nsid w:val="22D15A1C"/>
    <w:multiLevelType w:val="multilevel"/>
    <w:tmpl w:val="407AE4CA"/>
    <w:lvl w:ilvl="0">
      <w:start w:val="1"/>
      <w:numFmt w:val="lowerLetter"/>
      <w:pStyle w:val="ListparaAddendum"/>
      <w:lvlText w:val="(%1)"/>
      <w:lvlJc w:val="left"/>
      <w:pPr>
        <w:ind w:left="1020" w:hanging="510"/>
      </w:pPr>
      <w:rPr>
        <w:rFonts w:cs="Times New Roman" w:hint="default"/>
        <w:b w:val="0"/>
        <w:i w:val="0"/>
        <w:color w:val="auto"/>
      </w:rPr>
    </w:lvl>
    <w:lvl w:ilvl="1">
      <w:start w:val="1"/>
      <w:numFmt w:val="lowerRoman"/>
      <w:lvlText w:val="(%2)"/>
      <w:lvlJc w:val="left"/>
      <w:pPr>
        <w:ind w:left="1531" w:hanging="511"/>
      </w:pPr>
      <w:rPr>
        <w:rFonts w:hint="default"/>
        <w:b w:val="0"/>
      </w:rPr>
    </w:lvl>
    <w:lvl w:ilvl="2">
      <w:start w:val="1"/>
      <w:numFmt w:val="upperLetter"/>
      <w:lvlText w:val="(%3)"/>
      <w:lvlJc w:val="left"/>
      <w:pPr>
        <w:tabs>
          <w:tab w:val="num" w:pos="2551"/>
        </w:tabs>
        <w:ind w:left="2041" w:hanging="567"/>
      </w:pPr>
      <w:rPr>
        <w:rFonts w:hint="default"/>
      </w:rPr>
    </w:lvl>
    <w:lvl w:ilvl="3">
      <w:start w:val="1"/>
      <w:numFmt w:val="decimal"/>
      <w:lvlText w:val="(%4)"/>
      <w:lvlJc w:val="left"/>
      <w:pPr>
        <w:ind w:left="3911" w:hanging="680"/>
      </w:pPr>
      <w:rPr>
        <w:rFonts w:hint="default"/>
      </w:rPr>
    </w:lvl>
    <w:lvl w:ilvl="4">
      <w:start w:val="1"/>
      <w:numFmt w:val="lowerLetter"/>
      <w:lvlText w:val="(%5)"/>
      <w:lvlJc w:val="left"/>
      <w:pPr>
        <w:ind w:left="4818" w:hanging="680"/>
      </w:pPr>
      <w:rPr>
        <w:rFonts w:hint="default"/>
      </w:rPr>
    </w:lvl>
    <w:lvl w:ilvl="5">
      <w:start w:val="1"/>
      <w:numFmt w:val="lowerRoman"/>
      <w:lvlText w:val="(%6)"/>
      <w:lvlJc w:val="left"/>
      <w:pPr>
        <w:ind w:left="5725" w:hanging="680"/>
      </w:pPr>
      <w:rPr>
        <w:rFonts w:hint="default"/>
      </w:rPr>
    </w:lvl>
    <w:lvl w:ilvl="6">
      <w:start w:val="1"/>
      <w:numFmt w:val="decimal"/>
      <w:lvlText w:val="%7."/>
      <w:lvlJc w:val="left"/>
      <w:pPr>
        <w:ind w:left="6632" w:hanging="680"/>
      </w:pPr>
      <w:rPr>
        <w:rFonts w:hint="default"/>
      </w:rPr>
    </w:lvl>
    <w:lvl w:ilvl="7">
      <w:start w:val="1"/>
      <w:numFmt w:val="lowerLetter"/>
      <w:lvlText w:val="%8."/>
      <w:lvlJc w:val="left"/>
      <w:pPr>
        <w:ind w:left="7539" w:hanging="680"/>
      </w:pPr>
      <w:rPr>
        <w:rFonts w:hint="default"/>
      </w:rPr>
    </w:lvl>
    <w:lvl w:ilvl="8">
      <w:start w:val="1"/>
      <w:numFmt w:val="lowerRoman"/>
      <w:lvlText w:val="%9."/>
      <w:lvlJc w:val="left"/>
      <w:pPr>
        <w:ind w:left="8446" w:hanging="680"/>
      </w:pPr>
      <w:rPr>
        <w:rFonts w:hint="default"/>
      </w:rPr>
    </w:lvl>
  </w:abstractNum>
  <w:abstractNum w:abstractNumId="4" w15:restartNumberingAfterBreak="0">
    <w:nsid w:val="232031F1"/>
    <w:multiLevelType w:val="multilevel"/>
    <w:tmpl w:val="34527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A51BA7"/>
    <w:multiLevelType w:val="hybridMultilevel"/>
    <w:tmpl w:val="0A48E7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A004E8"/>
    <w:multiLevelType w:val="hybridMultilevel"/>
    <w:tmpl w:val="D1702B2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C2744"/>
    <w:multiLevelType w:val="hybridMultilevel"/>
    <w:tmpl w:val="48F8C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1F1E68"/>
    <w:multiLevelType w:val="hybridMultilevel"/>
    <w:tmpl w:val="79204BE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5DF1F44"/>
    <w:multiLevelType w:val="hybridMultilevel"/>
    <w:tmpl w:val="7DF6EBC4"/>
    <w:lvl w:ilvl="0" w:tplc="EFA64B3A">
      <w:start w:val="1"/>
      <w:numFmt w:val="bullet"/>
      <w:pStyle w:val="Systemstep"/>
      <w:lvlText w:val=""/>
      <w:lvlJc w:val="left"/>
      <w:pPr>
        <w:ind w:left="1800" w:hanging="360"/>
      </w:pPr>
      <w:rPr>
        <w:rFonts w:ascii="Wingdings" w:hAnsi="Wingdings" w:hint="default"/>
        <w:b w:val="0"/>
        <w:i w:val="0"/>
        <w:sz w:val="28"/>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6F277259"/>
    <w:multiLevelType w:val="hybridMultilevel"/>
    <w:tmpl w:val="0434B284"/>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7C727836"/>
    <w:multiLevelType w:val="hybridMultilevel"/>
    <w:tmpl w:val="E68E56FA"/>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4090003">
      <w:start w:val="1"/>
      <w:numFmt w:val="bullet"/>
      <w:lvlText w:val="o"/>
      <w:lvlJc w:val="left"/>
      <w:pPr>
        <w:ind w:left="3240" w:hanging="360"/>
      </w:pPr>
      <w:rPr>
        <w:rFonts w:ascii="Courier New" w:hAnsi="Courier New" w:cs="Courier New"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3"/>
  </w:num>
  <w:num w:numId="2">
    <w:abstractNumId w:val="11"/>
  </w:num>
  <w:num w:numId="3">
    <w:abstractNumId w:val="6"/>
  </w:num>
  <w:num w:numId="4">
    <w:abstractNumId w:val="8"/>
  </w:num>
  <w:num w:numId="5">
    <w:abstractNumId w:val="7"/>
  </w:num>
  <w:num w:numId="6">
    <w:abstractNumId w:val="12"/>
  </w:num>
  <w:num w:numId="7">
    <w:abstractNumId w:val="10"/>
  </w:num>
  <w:num w:numId="8">
    <w:abstractNumId w:val="2"/>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B"/>
    <w:rsid w:val="00011A66"/>
    <w:rsid w:val="00012EF4"/>
    <w:rsid w:val="0003044A"/>
    <w:rsid w:val="00035C7C"/>
    <w:rsid w:val="00040C1D"/>
    <w:rsid w:val="0004506B"/>
    <w:rsid w:val="00054EA1"/>
    <w:rsid w:val="000657D2"/>
    <w:rsid w:val="00072830"/>
    <w:rsid w:val="00072B6D"/>
    <w:rsid w:val="00085118"/>
    <w:rsid w:val="00085CD1"/>
    <w:rsid w:val="0008679B"/>
    <w:rsid w:val="000936AA"/>
    <w:rsid w:val="00095597"/>
    <w:rsid w:val="000B78EC"/>
    <w:rsid w:val="000C53E3"/>
    <w:rsid w:val="000D37BE"/>
    <w:rsid w:val="000E2EB4"/>
    <w:rsid w:val="000E41A8"/>
    <w:rsid w:val="000F428F"/>
    <w:rsid w:val="000F694B"/>
    <w:rsid w:val="00101FC4"/>
    <w:rsid w:val="00102DB8"/>
    <w:rsid w:val="00110014"/>
    <w:rsid w:val="00114C63"/>
    <w:rsid w:val="00116902"/>
    <w:rsid w:val="001300F7"/>
    <w:rsid w:val="00130573"/>
    <w:rsid w:val="0013653E"/>
    <w:rsid w:val="00146FF3"/>
    <w:rsid w:val="0015267E"/>
    <w:rsid w:val="001846C2"/>
    <w:rsid w:val="001849B6"/>
    <w:rsid w:val="0019481D"/>
    <w:rsid w:val="0019586C"/>
    <w:rsid w:val="00195D89"/>
    <w:rsid w:val="001B0E0C"/>
    <w:rsid w:val="001B36A1"/>
    <w:rsid w:val="001B40F1"/>
    <w:rsid w:val="001B536A"/>
    <w:rsid w:val="001B5383"/>
    <w:rsid w:val="001B671A"/>
    <w:rsid w:val="001C34DD"/>
    <w:rsid w:val="001C650A"/>
    <w:rsid w:val="001C776B"/>
    <w:rsid w:val="001D15D4"/>
    <w:rsid w:val="001D7A33"/>
    <w:rsid w:val="001E6672"/>
    <w:rsid w:val="001E7CFE"/>
    <w:rsid w:val="001F19A3"/>
    <w:rsid w:val="001F43C1"/>
    <w:rsid w:val="00204CFA"/>
    <w:rsid w:val="0020754E"/>
    <w:rsid w:val="00215F1A"/>
    <w:rsid w:val="0021796A"/>
    <w:rsid w:val="002209D6"/>
    <w:rsid w:val="0022388F"/>
    <w:rsid w:val="002276C0"/>
    <w:rsid w:val="0023724A"/>
    <w:rsid w:val="00237805"/>
    <w:rsid w:val="002450E1"/>
    <w:rsid w:val="00246937"/>
    <w:rsid w:val="00250E43"/>
    <w:rsid w:val="00261FAC"/>
    <w:rsid w:val="0027290B"/>
    <w:rsid w:val="00273B04"/>
    <w:rsid w:val="0027592B"/>
    <w:rsid w:val="00280D21"/>
    <w:rsid w:val="00291617"/>
    <w:rsid w:val="00295BA6"/>
    <w:rsid w:val="002A7C48"/>
    <w:rsid w:val="002B14DC"/>
    <w:rsid w:val="002B1B8C"/>
    <w:rsid w:val="002B4617"/>
    <w:rsid w:val="002B4DB9"/>
    <w:rsid w:val="002B5948"/>
    <w:rsid w:val="002B739E"/>
    <w:rsid w:val="002C5231"/>
    <w:rsid w:val="002D1607"/>
    <w:rsid w:val="002E4346"/>
    <w:rsid w:val="002E6FDB"/>
    <w:rsid w:val="002F2464"/>
    <w:rsid w:val="002F5416"/>
    <w:rsid w:val="00300D2A"/>
    <w:rsid w:val="00302851"/>
    <w:rsid w:val="00303634"/>
    <w:rsid w:val="00315B91"/>
    <w:rsid w:val="00315E27"/>
    <w:rsid w:val="0031660A"/>
    <w:rsid w:val="00343B95"/>
    <w:rsid w:val="00360106"/>
    <w:rsid w:val="00364460"/>
    <w:rsid w:val="00367C1A"/>
    <w:rsid w:val="0038035E"/>
    <w:rsid w:val="00381C14"/>
    <w:rsid w:val="0038206E"/>
    <w:rsid w:val="00382394"/>
    <w:rsid w:val="003826F2"/>
    <w:rsid w:val="003925D0"/>
    <w:rsid w:val="00394F6B"/>
    <w:rsid w:val="003B2E4D"/>
    <w:rsid w:val="003B4BAE"/>
    <w:rsid w:val="003B7F1E"/>
    <w:rsid w:val="003E376D"/>
    <w:rsid w:val="003F3648"/>
    <w:rsid w:val="00401056"/>
    <w:rsid w:val="004034E2"/>
    <w:rsid w:val="00404EF9"/>
    <w:rsid w:val="00414937"/>
    <w:rsid w:val="0042088E"/>
    <w:rsid w:val="00433192"/>
    <w:rsid w:val="004352B0"/>
    <w:rsid w:val="00443CB9"/>
    <w:rsid w:val="00445E69"/>
    <w:rsid w:val="00447DAB"/>
    <w:rsid w:val="00463763"/>
    <w:rsid w:val="004644C3"/>
    <w:rsid w:val="00465721"/>
    <w:rsid w:val="0046670D"/>
    <w:rsid w:val="004740BD"/>
    <w:rsid w:val="0048262B"/>
    <w:rsid w:val="004850AB"/>
    <w:rsid w:val="004872A6"/>
    <w:rsid w:val="004907FA"/>
    <w:rsid w:val="00490BD2"/>
    <w:rsid w:val="00491219"/>
    <w:rsid w:val="0049758A"/>
    <w:rsid w:val="004A2DB4"/>
    <w:rsid w:val="004A7D9B"/>
    <w:rsid w:val="004B0F48"/>
    <w:rsid w:val="004B3FD5"/>
    <w:rsid w:val="004B7969"/>
    <w:rsid w:val="004B79E1"/>
    <w:rsid w:val="004B7FAF"/>
    <w:rsid w:val="004C4A97"/>
    <w:rsid w:val="004C4C55"/>
    <w:rsid w:val="004C5158"/>
    <w:rsid w:val="004C5AD1"/>
    <w:rsid w:val="004E1C2A"/>
    <w:rsid w:val="004E638F"/>
    <w:rsid w:val="004F1037"/>
    <w:rsid w:val="004F3103"/>
    <w:rsid w:val="00507D6D"/>
    <w:rsid w:val="00510482"/>
    <w:rsid w:val="0051639D"/>
    <w:rsid w:val="0052785E"/>
    <w:rsid w:val="00534561"/>
    <w:rsid w:val="00534F1D"/>
    <w:rsid w:val="005406F6"/>
    <w:rsid w:val="00541596"/>
    <w:rsid w:val="00542F92"/>
    <w:rsid w:val="00544C3E"/>
    <w:rsid w:val="00556535"/>
    <w:rsid w:val="00556556"/>
    <w:rsid w:val="00564111"/>
    <w:rsid w:val="00564A61"/>
    <w:rsid w:val="00564B5F"/>
    <w:rsid w:val="00572959"/>
    <w:rsid w:val="00577115"/>
    <w:rsid w:val="0058455A"/>
    <w:rsid w:val="0058684F"/>
    <w:rsid w:val="005922DC"/>
    <w:rsid w:val="00595365"/>
    <w:rsid w:val="005A2BFA"/>
    <w:rsid w:val="005B2D95"/>
    <w:rsid w:val="005B3D76"/>
    <w:rsid w:val="005C6364"/>
    <w:rsid w:val="005D0B1D"/>
    <w:rsid w:val="005D30A0"/>
    <w:rsid w:val="005D558F"/>
    <w:rsid w:val="005D72CD"/>
    <w:rsid w:val="005E1A86"/>
    <w:rsid w:val="005E3856"/>
    <w:rsid w:val="005E3AF7"/>
    <w:rsid w:val="005E4F2B"/>
    <w:rsid w:val="005E704B"/>
    <w:rsid w:val="005F46F2"/>
    <w:rsid w:val="005F4E73"/>
    <w:rsid w:val="005F6C86"/>
    <w:rsid w:val="006038B8"/>
    <w:rsid w:val="0061561E"/>
    <w:rsid w:val="00631327"/>
    <w:rsid w:val="00635110"/>
    <w:rsid w:val="00642BC2"/>
    <w:rsid w:val="00652213"/>
    <w:rsid w:val="0066267A"/>
    <w:rsid w:val="00667B62"/>
    <w:rsid w:val="00671888"/>
    <w:rsid w:val="0068066F"/>
    <w:rsid w:val="006812E5"/>
    <w:rsid w:val="0068370E"/>
    <w:rsid w:val="00695125"/>
    <w:rsid w:val="006A3A0A"/>
    <w:rsid w:val="006B2C9E"/>
    <w:rsid w:val="006B504E"/>
    <w:rsid w:val="006B6256"/>
    <w:rsid w:val="006B7F31"/>
    <w:rsid w:val="006D237F"/>
    <w:rsid w:val="006D43B3"/>
    <w:rsid w:val="006E6AD6"/>
    <w:rsid w:val="006F0763"/>
    <w:rsid w:val="006F63C9"/>
    <w:rsid w:val="006F7FB1"/>
    <w:rsid w:val="00707BAA"/>
    <w:rsid w:val="00710A47"/>
    <w:rsid w:val="007278B0"/>
    <w:rsid w:val="007321E4"/>
    <w:rsid w:val="007334B5"/>
    <w:rsid w:val="00733501"/>
    <w:rsid w:val="007409C6"/>
    <w:rsid w:val="007427C6"/>
    <w:rsid w:val="00742951"/>
    <w:rsid w:val="00742E26"/>
    <w:rsid w:val="007469A8"/>
    <w:rsid w:val="007520CE"/>
    <w:rsid w:val="00752BB4"/>
    <w:rsid w:val="00756A7B"/>
    <w:rsid w:val="0076585E"/>
    <w:rsid w:val="007753B1"/>
    <w:rsid w:val="00776CD5"/>
    <w:rsid w:val="007A5388"/>
    <w:rsid w:val="007B5260"/>
    <w:rsid w:val="007C5162"/>
    <w:rsid w:val="007C7853"/>
    <w:rsid w:val="007D313A"/>
    <w:rsid w:val="007D323D"/>
    <w:rsid w:val="007D53DD"/>
    <w:rsid w:val="007D5A01"/>
    <w:rsid w:val="007E7E41"/>
    <w:rsid w:val="007F045A"/>
    <w:rsid w:val="007F2DB7"/>
    <w:rsid w:val="00816086"/>
    <w:rsid w:val="00816177"/>
    <w:rsid w:val="00820BB4"/>
    <w:rsid w:val="00830572"/>
    <w:rsid w:val="00830CA7"/>
    <w:rsid w:val="008312D2"/>
    <w:rsid w:val="008316A7"/>
    <w:rsid w:val="00832FE3"/>
    <w:rsid w:val="00837B7B"/>
    <w:rsid w:val="00837E53"/>
    <w:rsid w:val="00841D27"/>
    <w:rsid w:val="00854058"/>
    <w:rsid w:val="008569A8"/>
    <w:rsid w:val="00857DB0"/>
    <w:rsid w:val="008607DB"/>
    <w:rsid w:val="00862C38"/>
    <w:rsid w:val="00865DBF"/>
    <w:rsid w:val="0087226E"/>
    <w:rsid w:val="00876ABE"/>
    <w:rsid w:val="0087795B"/>
    <w:rsid w:val="008907CB"/>
    <w:rsid w:val="00894CC5"/>
    <w:rsid w:val="008A194F"/>
    <w:rsid w:val="008A5AF4"/>
    <w:rsid w:val="008C7B46"/>
    <w:rsid w:val="008D5CCA"/>
    <w:rsid w:val="008E2229"/>
    <w:rsid w:val="008F0CED"/>
    <w:rsid w:val="00902DDE"/>
    <w:rsid w:val="009037AA"/>
    <w:rsid w:val="00907374"/>
    <w:rsid w:val="009230AD"/>
    <w:rsid w:val="009254C2"/>
    <w:rsid w:val="0093529D"/>
    <w:rsid w:val="00936C45"/>
    <w:rsid w:val="00940205"/>
    <w:rsid w:val="00942C88"/>
    <w:rsid w:val="00943C28"/>
    <w:rsid w:val="009461BF"/>
    <w:rsid w:val="00947FD5"/>
    <w:rsid w:val="00951A92"/>
    <w:rsid w:val="00963BC8"/>
    <w:rsid w:val="00972504"/>
    <w:rsid w:val="00972D14"/>
    <w:rsid w:val="00975D74"/>
    <w:rsid w:val="009829F8"/>
    <w:rsid w:val="00982FBA"/>
    <w:rsid w:val="009A3DAF"/>
    <w:rsid w:val="009C02DE"/>
    <w:rsid w:val="009D37C2"/>
    <w:rsid w:val="009E2DBF"/>
    <w:rsid w:val="009E4BAA"/>
    <w:rsid w:val="009E78C4"/>
    <w:rsid w:val="009F39A1"/>
    <w:rsid w:val="00A129E4"/>
    <w:rsid w:val="00A159C7"/>
    <w:rsid w:val="00A33E67"/>
    <w:rsid w:val="00A427B7"/>
    <w:rsid w:val="00A541E8"/>
    <w:rsid w:val="00A54A1B"/>
    <w:rsid w:val="00A561B1"/>
    <w:rsid w:val="00A65B6B"/>
    <w:rsid w:val="00A842FD"/>
    <w:rsid w:val="00A86765"/>
    <w:rsid w:val="00A97BC9"/>
    <w:rsid w:val="00AA0A34"/>
    <w:rsid w:val="00AA2DD3"/>
    <w:rsid w:val="00AA5DF4"/>
    <w:rsid w:val="00AB042F"/>
    <w:rsid w:val="00AB0C8F"/>
    <w:rsid w:val="00AB28D3"/>
    <w:rsid w:val="00AC1EC4"/>
    <w:rsid w:val="00AD178B"/>
    <w:rsid w:val="00AD6E24"/>
    <w:rsid w:val="00AE5CEB"/>
    <w:rsid w:val="00AF2D71"/>
    <w:rsid w:val="00AF5514"/>
    <w:rsid w:val="00AF57E5"/>
    <w:rsid w:val="00AF69B8"/>
    <w:rsid w:val="00B14210"/>
    <w:rsid w:val="00B14F0A"/>
    <w:rsid w:val="00B24017"/>
    <w:rsid w:val="00B34416"/>
    <w:rsid w:val="00B36145"/>
    <w:rsid w:val="00B44FBC"/>
    <w:rsid w:val="00B620AB"/>
    <w:rsid w:val="00B6439D"/>
    <w:rsid w:val="00B64562"/>
    <w:rsid w:val="00B6593A"/>
    <w:rsid w:val="00B66DA2"/>
    <w:rsid w:val="00B76B39"/>
    <w:rsid w:val="00B815E0"/>
    <w:rsid w:val="00BA0F58"/>
    <w:rsid w:val="00BA1D96"/>
    <w:rsid w:val="00BD1047"/>
    <w:rsid w:val="00BD6385"/>
    <w:rsid w:val="00BD6820"/>
    <w:rsid w:val="00BE30F8"/>
    <w:rsid w:val="00BE3DE0"/>
    <w:rsid w:val="00BF22F9"/>
    <w:rsid w:val="00BF2E36"/>
    <w:rsid w:val="00BF3D14"/>
    <w:rsid w:val="00BF7853"/>
    <w:rsid w:val="00C06041"/>
    <w:rsid w:val="00C167E9"/>
    <w:rsid w:val="00C257DF"/>
    <w:rsid w:val="00C25B23"/>
    <w:rsid w:val="00C4156C"/>
    <w:rsid w:val="00C446F1"/>
    <w:rsid w:val="00C50996"/>
    <w:rsid w:val="00C50C7C"/>
    <w:rsid w:val="00C611D0"/>
    <w:rsid w:val="00C639B9"/>
    <w:rsid w:val="00C67EED"/>
    <w:rsid w:val="00C77077"/>
    <w:rsid w:val="00C822A8"/>
    <w:rsid w:val="00C925FE"/>
    <w:rsid w:val="00C95B19"/>
    <w:rsid w:val="00CA1832"/>
    <w:rsid w:val="00CA3187"/>
    <w:rsid w:val="00CA4016"/>
    <w:rsid w:val="00CB1E81"/>
    <w:rsid w:val="00CB3F5B"/>
    <w:rsid w:val="00CB716D"/>
    <w:rsid w:val="00CC230A"/>
    <w:rsid w:val="00CC2DEF"/>
    <w:rsid w:val="00CD0B70"/>
    <w:rsid w:val="00CD1237"/>
    <w:rsid w:val="00CD42E0"/>
    <w:rsid w:val="00CD511E"/>
    <w:rsid w:val="00CE340A"/>
    <w:rsid w:val="00CF2D07"/>
    <w:rsid w:val="00CF71E6"/>
    <w:rsid w:val="00D00BED"/>
    <w:rsid w:val="00D067E3"/>
    <w:rsid w:val="00D07E7C"/>
    <w:rsid w:val="00D11260"/>
    <w:rsid w:val="00D115F3"/>
    <w:rsid w:val="00D1232F"/>
    <w:rsid w:val="00D144B1"/>
    <w:rsid w:val="00D209E4"/>
    <w:rsid w:val="00D22C28"/>
    <w:rsid w:val="00D4547C"/>
    <w:rsid w:val="00D4767B"/>
    <w:rsid w:val="00D47F39"/>
    <w:rsid w:val="00D52227"/>
    <w:rsid w:val="00D6057B"/>
    <w:rsid w:val="00D731EF"/>
    <w:rsid w:val="00D80381"/>
    <w:rsid w:val="00D84E95"/>
    <w:rsid w:val="00D90765"/>
    <w:rsid w:val="00D911DD"/>
    <w:rsid w:val="00D93BBE"/>
    <w:rsid w:val="00D96638"/>
    <w:rsid w:val="00DA30A9"/>
    <w:rsid w:val="00DA4A2A"/>
    <w:rsid w:val="00DB7786"/>
    <w:rsid w:val="00DC094D"/>
    <w:rsid w:val="00DC3D2F"/>
    <w:rsid w:val="00DD5578"/>
    <w:rsid w:val="00DE11E4"/>
    <w:rsid w:val="00DF07D3"/>
    <w:rsid w:val="00DF4F8A"/>
    <w:rsid w:val="00DF70F2"/>
    <w:rsid w:val="00E01A0A"/>
    <w:rsid w:val="00E07178"/>
    <w:rsid w:val="00E112A1"/>
    <w:rsid w:val="00E12AFD"/>
    <w:rsid w:val="00E15ADA"/>
    <w:rsid w:val="00E17E75"/>
    <w:rsid w:val="00E24FEC"/>
    <w:rsid w:val="00E34C30"/>
    <w:rsid w:val="00E40991"/>
    <w:rsid w:val="00E52C3D"/>
    <w:rsid w:val="00E539B3"/>
    <w:rsid w:val="00E56F79"/>
    <w:rsid w:val="00E60A4A"/>
    <w:rsid w:val="00E63081"/>
    <w:rsid w:val="00E64FCD"/>
    <w:rsid w:val="00E71D7E"/>
    <w:rsid w:val="00E73745"/>
    <w:rsid w:val="00E73C9C"/>
    <w:rsid w:val="00E74E58"/>
    <w:rsid w:val="00E811CD"/>
    <w:rsid w:val="00E84D81"/>
    <w:rsid w:val="00E877A8"/>
    <w:rsid w:val="00E94C12"/>
    <w:rsid w:val="00EA1998"/>
    <w:rsid w:val="00EC1B16"/>
    <w:rsid w:val="00EC3F09"/>
    <w:rsid w:val="00EC4A7F"/>
    <w:rsid w:val="00ED23AF"/>
    <w:rsid w:val="00ED492E"/>
    <w:rsid w:val="00ED7F2B"/>
    <w:rsid w:val="00EF5AC8"/>
    <w:rsid w:val="00EF685B"/>
    <w:rsid w:val="00EF7C08"/>
    <w:rsid w:val="00F07FCD"/>
    <w:rsid w:val="00F24D71"/>
    <w:rsid w:val="00F26C74"/>
    <w:rsid w:val="00F27DFB"/>
    <w:rsid w:val="00F32650"/>
    <w:rsid w:val="00F34350"/>
    <w:rsid w:val="00F44DE3"/>
    <w:rsid w:val="00F46AEF"/>
    <w:rsid w:val="00F57C6F"/>
    <w:rsid w:val="00F857A0"/>
    <w:rsid w:val="00F8708A"/>
    <w:rsid w:val="00F902B2"/>
    <w:rsid w:val="00F94529"/>
    <w:rsid w:val="00F97399"/>
    <w:rsid w:val="00FA4B4D"/>
    <w:rsid w:val="00FB523E"/>
    <w:rsid w:val="00FB71AB"/>
    <w:rsid w:val="00FC0563"/>
    <w:rsid w:val="00FC45C4"/>
    <w:rsid w:val="00FD3BCC"/>
    <w:rsid w:val="00FD3FBB"/>
    <w:rsid w:val="00FE3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C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16"/>
  </w:style>
  <w:style w:type="paragraph" w:styleId="Heading1">
    <w:name w:val="heading 1"/>
    <w:basedOn w:val="Normal"/>
    <w:next w:val="Normal"/>
    <w:link w:val="Heading1Char"/>
    <w:uiPriority w:val="9"/>
    <w:qFormat/>
    <w:rsid w:val="0027592B"/>
    <w:pPr>
      <w:keepNext/>
      <w:keepLines/>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BD1047"/>
    <w:pPr>
      <w:tabs>
        <w:tab w:val="left" w:pos="426"/>
        <w:tab w:val="right" w:pos="9016"/>
      </w:tabs>
    </w:pPr>
  </w:style>
  <w:style w:type="paragraph" w:styleId="TOC3">
    <w:name w:val="toc 3"/>
    <w:basedOn w:val="Normal"/>
    <w:next w:val="Normal"/>
    <w:autoRedefine/>
    <w:uiPriority w:val="39"/>
    <w:unhideWhenUsed/>
    <w:rsid w:val="00C77077"/>
    <w:pPr>
      <w:tabs>
        <w:tab w:val="right" w:pos="9016"/>
      </w:tabs>
      <w:spacing w:before="60"/>
      <w:ind w:left="720"/>
    </w:pPr>
  </w:style>
  <w:style w:type="paragraph" w:styleId="TOC2">
    <w:name w:val="toc 2"/>
    <w:basedOn w:val="Normal"/>
    <w:next w:val="Normal"/>
    <w:autoRedefine/>
    <w:uiPriority w:val="39"/>
    <w:unhideWhenUsed/>
    <w:rsid w:val="00C77077"/>
    <w:pPr>
      <w:tabs>
        <w:tab w:val="right" w:pos="9016"/>
      </w:tabs>
      <w:ind w:left="720"/>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numPr>
        <w:numId w:val="2"/>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semiHidden/>
    <w:unhideWhenUsed/>
    <w:rsid w:val="002E6FDB"/>
    <w:rPr>
      <w:sz w:val="20"/>
      <w:szCs w:val="20"/>
    </w:rPr>
  </w:style>
  <w:style w:type="character" w:customStyle="1" w:styleId="CommentTextChar">
    <w:name w:val="Comment Text Char"/>
    <w:basedOn w:val="DefaultParagraphFont"/>
    <w:link w:val="CommentText"/>
    <w:uiPriority w:val="99"/>
    <w:semiHidden/>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3"/>
      </w:numPr>
    </w:pPr>
  </w:style>
  <w:style w:type="paragraph" w:customStyle="1" w:styleId="WHS">
    <w:name w:val="WHS"/>
    <w:basedOn w:val="guidelinetext"/>
    <w:link w:val="WHSChar"/>
    <w:qFormat/>
    <w:rsid w:val="00AF57E5"/>
    <w:pPr>
      <w:numPr>
        <w:numId w:val="4"/>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styleId="Revision">
    <w:name w:val="Revision"/>
    <w:hidden/>
    <w:uiPriority w:val="99"/>
    <w:semiHidden/>
    <w:rsid w:val="0058455A"/>
    <w:pPr>
      <w:spacing w:before="0"/>
    </w:pPr>
  </w:style>
  <w:style w:type="paragraph" w:customStyle="1" w:styleId="Frontpagesub-heading">
    <w:name w:val="Front page sub-heading"/>
    <w:basedOn w:val="Heading2"/>
    <w:link w:val="Frontpagesub-headingChar"/>
    <w:qFormat/>
    <w:rsid w:val="00556535"/>
    <w:rPr>
      <w:b/>
      <w:color w:val="000000" w:themeColor="text1"/>
      <w:sz w:val="20"/>
    </w:rPr>
  </w:style>
  <w:style w:type="character" w:customStyle="1" w:styleId="Frontpagesub-headingChar">
    <w:name w:val="Front page sub-heading Char"/>
    <w:basedOn w:val="Heading3Char"/>
    <w:link w:val="Frontpagesub-heading"/>
    <w:rsid w:val="00556535"/>
    <w:rPr>
      <w:rFonts w:asciiTheme="majorHAnsi" w:eastAsiaTheme="majorEastAsia" w:hAnsiTheme="majorHAnsi" w:cstheme="majorBidi"/>
      <w:b/>
      <w:color w:val="000000" w:themeColor="text1"/>
      <w:sz w:val="20"/>
      <w:szCs w:val="26"/>
    </w:rPr>
  </w:style>
  <w:style w:type="character" w:styleId="FollowedHyperlink">
    <w:name w:val="FollowedHyperlink"/>
    <w:basedOn w:val="DefaultParagraphFont"/>
    <w:uiPriority w:val="99"/>
    <w:semiHidden/>
    <w:unhideWhenUsed/>
    <w:rsid w:val="00982FBA"/>
    <w:rPr>
      <w:color w:val="954F72" w:themeColor="followedHyperlink"/>
      <w:u w:val="single"/>
    </w:rPr>
  </w:style>
  <w:style w:type="paragraph" w:customStyle="1" w:styleId="DeedReference">
    <w:name w:val="Deed Reference"/>
    <w:basedOn w:val="guidelinetext"/>
    <w:link w:val="DeedReferenceChar"/>
    <w:qFormat/>
    <w:rsid w:val="00F857A0"/>
    <w:rPr>
      <w:rFonts w:ascii="Garamond" w:hAnsi="Garamond"/>
      <w:sz w:val="20"/>
      <w:szCs w:val="20"/>
    </w:rPr>
  </w:style>
  <w:style w:type="character" w:customStyle="1" w:styleId="DeedReferenceChar">
    <w:name w:val="Deed Reference Char"/>
    <w:basedOn w:val="guidelinetextChar"/>
    <w:link w:val="DeedReference"/>
    <w:rsid w:val="00F857A0"/>
    <w:rPr>
      <w:rFonts w:ascii="Garamond" w:hAnsi="Garamond"/>
      <w:sz w:val="20"/>
      <w:szCs w:val="20"/>
    </w:rPr>
  </w:style>
  <w:style w:type="paragraph" w:customStyle="1" w:styleId="StandardClause">
    <w:name w:val="Standard Clause"/>
    <w:basedOn w:val="Normal"/>
    <w:next w:val="StandardSubclause"/>
    <w:qFormat/>
    <w:rsid w:val="00F27DFB"/>
    <w:pPr>
      <w:keepNext/>
      <w:numPr>
        <w:numId w:val="8"/>
      </w:numPr>
      <w:spacing w:before="0" w:after="120"/>
    </w:pPr>
    <w:rPr>
      <w:rFonts w:ascii="Calibri" w:eastAsia="Times New Roman" w:hAnsi="Calibri" w:cs="Times New Roman"/>
      <w:b/>
      <w:sz w:val="26"/>
      <w:szCs w:val="24"/>
    </w:rPr>
  </w:style>
  <w:style w:type="paragraph" w:customStyle="1" w:styleId="StandardSubclause">
    <w:name w:val="Standard Subclause"/>
    <w:basedOn w:val="StandardClause"/>
    <w:link w:val="StandardSubclauseChar"/>
    <w:qFormat/>
    <w:rsid w:val="00F27DFB"/>
    <w:pPr>
      <w:keepNext w:val="0"/>
      <w:numPr>
        <w:ilvl w:val="1"/>
      </w:numPr>
    </w:pPr>
    <w:rPr>
      <w:b w:val="0"/>
      <w:sz w:val="24"/>
    </w:rPr>
  </w:style>
  <w:style w:type="character" w:customStyle="1" w:styleId="StandardSubclauseChar">
    <w:name w:val="Standard Subclause Char"/>
    <w:basedOn w:val="DefaultParagraphFont"/>
    <w:link w:val="StandardSubclause"/>
    <w:rsid w:val="00F27DFB"/>
    <w:rPr>
      <w:rFonts w:ascii="Calibri" w:eastAsia="Times New Roman" w:hAnsi="Calibri" w:cs="Times New Roman"/>
      <w:sz w:val="24"/>
      <w:szCs w:val="24"/>
    </w:rPr>
  </w:style>
  <w:style w:type="paragraph" w:customStyle="1" w:styleId="SubclausewithAlphaafternumber">
    <w:name w:val="Subclause with Alpha after number"/>
    <w:basedOn w:val="StandardSubclause"/>
    <w:qFormat/>
    <w:rsid w:val="00F27DFB"/>
    <w:pPr>
      <w:numPr>
        <w:ilvl w:val="2"/>
      </w:numPr>
      <w:tabs>
        <w:tab w:val="clear" w:pos="1871"/>
        <w:tab w:val="num" w:pos="360"/>
      </w:tabs>
    </w:pPr>
  </w:style>
  <w:style w:type="paragraph" w:customStyle="1" w:styleId="SubclausewithRoman">
    <w:name w:val="Subclause with Roman"/>
    <w:basedOn w:val="SubclausewithAlphaafternumber"/>
    <w:qFormat/>
    <w:rsid w:val="00F27DFB"/>
    <w:pPr>
      <w:numPr>
        <w:ilvl w:val="3"/>
      </w:numPr>
    </w:pPr>
    <w:rPr>
      <w:rFonts w:cstheme="minorHAnsi"/>
      <w:position w:val="1"/>
      <w:szCs w:val="22"/>
    </w:rPr>
  </w:style>
  <w:style w:type="paragraph" w:customStyle="1" w:styleId="SubclausewithUpperAlpha">
    <w:name w:val="Subclause with Upper Alpha"/>
    <w:basedOn w:val="SubclausewithRoman"/>
    <w:qFormat/>
    <w:rsid w:val="00F27DFB"/>
    <w:pPr>
      <w:numPr>
        <w:ilvl w:val="4"/>
      </w:numPr>
      <w:tabs>
        <w:tab w:val="clear" w:pos="2892"/>
        <w:tab w:val="num" w:pos="360"/>
      </w:tabs>
      <w:ind w:left="2891" w:hanging="510"/>
    </w:pPr>
  </w:style>
  <w:style w:type="paragraph" w:customStyle="1" w:styleId="ListparaAddendum">
    <w:name w:val="List para Addendum"/>
    <w:basedOn w:val="Normal"/>
    <w:qFormat/>
    <w:rsid w:val="00D6057B"/>
    <w:pPr>
      <w:numPr>
        <w:numId w:val="10"/>
      </w:numPr>
      <w:spacing w:before="0" w:after="120"/>
    </w:pPr>
    <w:rPr>
      <w:rFonts w:ascii="Calibri" w:eastAsia="Times New Roman" w:hAnsi="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1564294973">
      <w:bodyDiv w:val="1"/>
      <w:marLeft w:val="0"/>
      <w:marRight w:val="0"/>
      <w:marTop w:val="0"/>
      <w:marBottom w:val="0"/>
      <w:divBdr>
        <w:top w:val="none" w:sz="0" w:space="0" w:color="auto"/>
        <w:left w:val="none" w:sz="0" w:space="0" w:color="auto"/>
        <w:bottom w:val="none" w:sz="0" w:space="0" w:color="auto"/>
        <w:right w:val="none" w:sz="0" w:space="0" w:color="auto"/>
      </w:divBdr>
    </w:div>
    <w:div w:id="16068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access.gov.au/ProviderPortal/NEST/Guidelines/pages/Default.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snaccess.gov.au/ProviderPortal/NEST/Guidelines/pages/Default.aspx" TargetMode="External"/><Relationship Id="rId2" Type="http://schemas.openxmlformats.org/officeDocument/2006/relationships/customXml" Target="../customXml/item2.xml"/><Relationship Id="rId16" Type="http://schemas.openxmlformats.org/officeDocument/2006/relationships/hyperlink" Target="https://ecsnaccess.gov.au/ProviderPortal/NEST/Guideline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snaccess.gov.au/ProviderPortal/NEST/pages/Default.aspx" TargetMode="External"/><Relationship Id="rId10" Type="http://schemas.openxmlformats.org/officeDocument/2006/relationships/endnotes" Target="endnotes.xml"/><Relationship Id="rId19" Type="http://schemas.openxmlformats.org/officeDocument/2006/relationships/hyperlink" Target="https://ecsnaccess.gov.au/ProviderPortal/NEST/Guidelin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Defined; Periods; Suspensions; Exits; Enhanced Services;</ESCSSKeywords>
    <ESCSSReviewDate xmlns="d4ed92f1-b901-42a9-bcc3-7b24959a6f87" xsi:nil="true"/>
    <ESCSSContentAuthor xmlns="d4ed92f1-b901-42a9-bcc3-7b24959a6f87">1907</ESCSSContentAuthor>
    <ESCSSResourceType xmlns="d4ed92f1-b901-42a9-bcc3-7b24959a6f87">22</ESCSSResourceType>
    <ESCSSSubject xmlns="d4ed92f1-b901-42a9-bcc3-7b24959a6f87">20200221-100627241346</ESCSSSubject>
    <ESCSSEffectiveStartDate xmlns="d4ed92f1-b901-42a9-bcc3-7b24959a6f87">2020-07-01T01:00:00+00:00</ESCSSEffectiveStartDate>
    <ESCSSContentApprover xmlns="d4ed92f1-b901-42a9-bcc3-7b24959a6f87">1652</ESCSSContentApprover>
    <ESCSSTopic xmlns="d4ed92f1-b901-42a9-bcc3-7b24959a6f87">498</ESCSSTopic>
    <ESCSSContentStatus xmlns="d4ed92f1-b901-42a9-bcc3-7b24959a6f87">Current</ESCSSContentStatus>
    <ESCSSIncludeInLatestUpdates xmlns="d4ed92f1-b901-42a9-bcc3-7b24959a6f87">false</ESCSSIncludeInLatestUpdates>
    <ESCSSSummaryOfUpdate xmlns="d4ed92f1-b901-42a9-bcc3-7b24959a6f87">Refer to update history in the Guideline</ESCSSSummaryOfUpdate>
    <ESCSSDescription xmlns="d4ed92f1-b901-42a9-bcc3-7b24959a6f87">There are a range of defined Periods in NEST which determine when Participants must participate in activities, which services a Participant should receive and whether NEST Providers are eligible for payments</ESCSSDescription>
    <ESCSSContentAuthorBranch xmlns="d4ed92f1-b901-42a9-bcc3-7b24959a6f87">128</ESCSSContentAuthorBranch>
    <ESCSSLocation xmlns="a232d271-55e7-4aa6-9ab7-ccc10e765e65">NEST &gt; NEST Guidelines</ESCSSLocation>
    <ESCSSSiteGroup xmlns="d4ed92f1-b901-42a9-bcc3-7b24959a6f87">
      <Value>2</Value>
    </ESCSSSiteGroup>
    <ESCSSPublishingInstructions xmlns="d4ed92f1-b901-42a9-bcc3-7b24959a6f87">Update Guideline</ESCSSPublishingInstructions>
    <ESCSSContentAuthorTeam xmlns="d4ed92f1-b901-42a9-bcc3-7b24959a6f87">296</ESCSSContentAuthorTeam>
    <ESCSSPublishingContentAuthorEmail xmlns="d4ed92f1-b901-42a9-bcc3-7b24959a6f87">daniel.kirby@dese.gov.au</ESCSSPublishingContentAuthorEmail>
    <ESCSSPublishingAuthorisingBranchHead xmlns="d4ed92f1-b901-42a9-bcc3-7b24959a6f87">2402</ESCSSPublishingAuthorisingBranchHead>
    <ESCSSDocumentId xmlns="d4ed92f1-b901-42a9-bcc3-7b24959a6f87">D20/709099</ESCSSDocumen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9C825AA53ABE1E46BAACA2C47B9751C8" ma:contentTypeVersion="48" ma:contentTypeDescription="Secure Site content type template for recording metadata for documents." ma:contentTypeScope="" ma:versionID="1e9e68523307e22a08ca038d13e6def5">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9764-6BCA-41FD-9A8B-B7DAAF3FDB1E}">
  <ds:schemaRefs>
    <ds:schemaRef ds:uri="http://purl.org/dc/terms/"/>
    <ds:schemaRef ds:uri="http://schemas.openxmlformats.org/package/2006/metadata/core-properties"/>
    <ds:schemaRef ds:uri="http://schemas.microsoft.com/office/2006/documentManagement/types"/>
    <ds:schemaRef ds:uri="d4ed92f1-b901-42a9-bcc3-7b24959a6f87"/>
    <ds:schemaRef ds:uri="http://purl.org/dc/elements/1.1/"/>
    <ds:schemaRef ds:uri="http://schemas.microsoft.com/office/2006/metadata/properties"/>
    <ds:schemaRef ds:uri="http://schemas.microsoft.com/office/infopath/2007/PartnerControls"/>
    <ds:schemaRef ds:uri="a232d271-55e7-4aa6-9ab7-ccc10e765e65"/>
    <ds:schemaRef ds:uri="http://www.w3.org/XML/1998/namespace"/>
    <ds:schemaRef ds:uri="http://purl.org/dc/dcmitype/"/>
  </ds:schemaRefs>
</ds:datastoreItem>
</file>

<file path=customXml/itemProps2.xml><?xml version="1.0" encoding="utf-8"?>
<ds:datastoreItem xmlns:ds="http://schemas.openxmlformats.org/officeDocument/2006/customXml" ds:itemID="{BE44A085-7603-430F-B453-9F1C73B2931C}">
  <ds:schemaRefs>
    <ds:schemaRef ds:uri="http://schemas.microsoft.com/sharepoint/v3/contenttype/forms"/>
  </ds:schemaRefs>
</ds:datastoreItem>
</file>

<file path=customXml/itemProps3.xml><?xml version="1.0" encoding="utf-8"?>
<ds:datastoreItem xmlns:ds="http://schemas.openxmlformats.org/officeDocument/2006/customXml" ds:itemID="{A83A1ABB-AEB0-42B5-A3BB-D53D98F576FB}"/>
</file>

<file path=customXml/itemProps4.xml><?xml version="1.0" encoding="utf-8"?>
<ds:datastoreItem xmlns:ds="http://schemas.openxmlformats.org/officeDocument/2006/customXml" ds:itemID="{BE956E77-634A-493B-96A4-21F58BBE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3FD166A7.dotm</Template>
  <TotalTime>0</TotalTime>
  <Pages>10</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Defined Periods Suspensions and Exits Guideline V1.1</dc:title>
  <dc:subject/>
  <dc:creator/>
  <cp:keywords/>
  <dc:description/>
  <cp:lastModifiedBy/>
  <cp:revision>1</cp:revision>
  <dcterms:created xsi:type="dcterms:W3CDTF">2020-05-19T06:10:00Z</dcterms:created>
  <dcterms:modified xsi:type="dcterms:W3CDTF">2020-05-19T06:11:00Z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0x0101001FFFC1AF147C4F5C9369E689092D514B009C825AA53ABE1E46BAACA2C47B9751C8</vt:lpwstr>
  </property>
  <property fmtid="{D5CDD505-2E9C-101B-9397-08002B2CF9AE}" pid="3" name="Order">
    <vt:r8>7700</vt:r8>
  </property>
  <property fmtid="{D5CDD505-2E9C-101B-9397-08002B2CF9AE}" pid="4" name="xd_ProgID">
    <vt:lpwstr/>
  </property>
  <property fmtid="{D5CDD505-2E9C-101B-9397-08002B2CF9AE}" pid="5" name="TemplateUrl">
    <vt:lpwstr/>
  </property>
</Properties>
</file>