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0E11" w14:textId="77777777" w:rsidR="00984FB8" w:rsidRPr="00C90260" w:rsidRDefault="00984FB8" w:rsidP="00C90260">
      <w:r>
        <w:rPr>
          <w:noProof/>
        </w:rPr>
        <w:drawing>
          <wp:inline distT="0" distB="0" distL="0" distR="0" wp14:anchorId="1DAD83BF" wp14:editId="24A3FB06">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1E1D757" wp14:editId="100F0D5C">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3CF8501B" w14:textId="34DA1D1B" w:rsidR="00930CDA" w:rsidRPr="00984FB8" w:rsidRDefault="00177B3E" w:rsidP="00C90260">
      <w:pPr>
        <w:pStyle w:val="Title"/>
        <w:spacing w:line="240" w:lineRule="auto"/>
        <w:ind w:left="1276"/>
        <w:rPr>
          <w:noProof/>
          <w:color w:val="404246"/>
          <w:lang w:eastAsia="en-AU"/>
        </w:rPr>
      </w:pPr>
      <w:r>
        <w:rPr>
          <w:noProof/>
          <w:color w:val="404246"/>
          <w:lang w:eastAsia="en-AU"/>
        </w:rPr>
        <w:t>Trades Recognition Australia</w:t>
      </w:r>
      <w:r w:rsidR="005925C9">
        <w:rPr>
          <w:noProof/>
          <w:color w:val="404246"/>
          <w:lang w:eastAsia="en-AU"/>
        </w:rPr>
        <w:br/>
      </w:r>
      <w:r w:rsidR="00930CDA" w:rsidRPr="005925C9">
        <w:rPr>
          <w:noProof/>
          <w:color w:val="404246"/>
          <w:sz w:val="20"/>
          <w:szCs w:val="20"/>
          <w:lang w:eastAsia="en-AU"/>
        </w:rPr>
        <w:t xml:space="preserve"> </w:t>
      </w:r>
      <w:r w:rsidR="007855CC" w:rsidRPr="005925C9">
        <w:rPr>
          <w:noProof/>
          <w:color w:val="404246"/>
          <w:sz w:val="20"/>
          <w:szCs w:val="20"/>
          <w:lang w:eastAsia="en-AU"/>
        </w:rPr>
        <w:br/>
      </w:r>
      <w:r w:rsidR="00CB40E2" w:rsidRPr="005925C9">
        <w:rPr>
          <w:noProof/>
          <w:color w:val="404246"/>
          <w:lang w:eastAsia="en-AU"/>
        </w:rPr>
        <w:t>Consultation paper on cost recovery</w:t>
      </w:r>
      <w:r w:rsidR="005925C9" w:rsidRPr="005925C9">
        <w:rPr>
          <w:noProof/>
          <w:color w:val="404246"/>
          <w:lang w:eastAsia="en-AU"/>
        </w:rPr>
        <w:t xml:space="preserve"> for Migrant Skills Assessment Services</w:t>
      </w:r>
    </w:p>
    <w:p w14:paraId="19B6CF9C" w14:textId="47159BBD" w:rsidR="00177B3E" w:rsidRPr="00177B3E" w:rsidRDefault="00C3689F" w:rsidP="00177B3E">
      <w:pPr>
        <w:pStyle w:val="Subtitle"/>
        <w:spacing w:before="240"/>
        <w:ind w:left="1276"/>
        <w:contextualSpacing/>
        <w:rPr>
          <w:noProof/>
          <w:lang w:eastAsia="en-AU"/>
        </w:rPr>
      </w:pPr>
      <w:r>
        <w:rPr>
          <w:noProof/>
          <w:lang w:eastAsia="en-AU"/>
        </w:rPr>
        <w:t>August</w:t>
      </w:r>
      <w:r w:rsidR="00177B3E">
        <w:rPr>
          <w:noProof/>
          <w:lang w:eastAsia="en-AU"/>
        </w:rPr>
        <w:t xml:space="preserve"> 2022</w:t>
      </w:r>
    </w:p>
    <w:p w14:paraId="564A9316" w14:textId="77777777" w:rsidR="00930CDA" w:rsidRPr="0095636C" w:rsidRDefault="00930CDA" w:rsidP="0095636C">
      <w:r>
        <w:rPr>
          <w:noProof/>
          <w:lang w:eastAsia="en-AU"/>
        </w:rPr>
        <w:br w:type="page"/>
      </w:r>
    </w:p>
    <w:p w14:paraId="05F9A928" w14:textId="77777777" w:rsidR="002B1CE5" w:rsidRDefault="002B1CE5" w:rsidP="002B1CE5">
      <w:pPr>
        <w:pStyle w:val="Title"/>
      </w:pPr>
      <w:r>
        <w:lastRenderedPageBreak/>
        <w:t>Title</w:t>
      </w:r>
    </w:p>
    <w:p w14:paraId="55DB282A" w14:textId="4654F732" w:rsidR="007855CC" w:rsidRPr="003C539C" w:rsidRDefault="007855CC" w:rsidP="00EA67FC">
      <w:pPr>
        <w:tabs>
          <w:tab w:val="left" w:pos="5856"/>
        </w:tabs>
        <w:spacing w:before="8400"/>
        <w:contextualSpacing/>
      </w:pPr>
      <w:bookmarkStart w:id="0" w:name="_Toc30065222"/>
    </w:p>
    <w:p w14:paraId="317DEB74" w14:textId="77777777" w:rsidR="0064180D" w:rsidRDefault="0064180D" w:rsidP="007855CC">
      <w:pPr>
        <w:pStyle w:val="numberedpara"/>
        <w:numPr>
          <w:ilvl w:val="0"/>
          <w:numId w:val="0"/>
        </w:numPr>
      </w:pPr>
    </w:p>
    <w:p w14:paraId="15474F28" w14:textId="77777777" w:rsidR="0064180D" w:rsidRDefault="0064180D" w:rsidP="007855CC">
      <w:pPr>
        <w:pStyle w:val="numberedpara"/>
        <w:numPr>
          <w:ilvl w:val="0"/>
          <w:numId w:val="0"/>
        </w:numPr>
      </w:pPr>
    </w:p>
    <w:p w14:paraId="5850D068" w14:textId="46BE8028" w:rsidR="007855CC" w:rsidRPr="003C539C" w:rsidRDefault="007855CC" w:rsidP="007855CC">
      <w:pPr>
        <w:pStyle w:val="numberedpara"/>
        <w:numPr>
          <w:ilvl w:val="0"/>
          <w:numId w:val="0"/>
        </w:numPr>
      </w:pPr>
      <w:r w:rsidRPr="003C539C">
        <w:rPr>
          <w:noProof/>
        </w:rPr>
        <w:drawing>
          <wp:inline distT="0" distB="0" distL="0" distR="0" wp14:anchorId="2C80335A" wp14:editId="4D3ECEA0">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F57FD13"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6"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7" w:history="1">
        <w:r w:rsidRPr="003C539C">
          <w:rPr>
            <w:rStyle w:val="Hyperlink"/>
            <w:color w:val="002D3F" w:themeColor="text2"/>
          </w:rPr>
          <w:t>CC BY 3.0 AU licence</w:t>
        </w:r>
      </w:hyperlink>
      <w:r>
        <w:t>.</w:t>
      </w:r>
    </w:p>
    <w:p w14:paraId="5D948CD4" w14:textId="07711EFC" w:rsidR="007855CC" w:rsidRDefault="007855CC" w:rsidP="007855CC">
      <w:r w:rsidRPr="003C539C">
        <w:t xml:space="preserve">The document must be attributed as the </w:t>
      </w:r>
      <w:r w:rsidR="0064180D">
        <w:t>TRA 2022 Cost Recovery Consultation Paper</w:t>
      </w:r>
      <w:r w:rsidRPr="003C539C">
        <w:t>.</w:t>
      </w:r>
    </w:p>
    <w:p w14:paraId="26EB936F" w14:textId="77777777" w:rsidR="00EA67FC" w:rsidRDefault="00EA67FC" w:rsidP="007855CC">
      <w:r>
        <w:br w:type="page"/>
      </w:r>
    </w:p>
    <w:p w14:paraId="3683CAD0" w14:textId="77777777" w:rsidR="007855CC" w:rsidRDefault="007855CC" w:rsidP="007855CC">
      <w:pPr>
        <w:sectPr w:rsidR="007855CC" w:rsidSect="00EA67F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79085DF5" w14:textId="77777777" w:rsidR="007855CC" w:rsidRPr="003C539C" w:rsidRDefault="007855CC" w:rsidP="007855CC">
          <w:pPr>
            <w:pStyle w:val="TOCHeading"/>
          </w:pPr>
          <w:r w:rsidRPr="00D84395">
            <w:t>Contents</w:t>
          </w:r>
        </w:p>
        <w:p w14:paraId="76802114" w14:textId="19CBE5F0" w:rsidR="00964B05" w:rsidRDefault="0095636C">
          <w:pPr>
            <w:pStyle w:val="TOC1"/>
            <w:tabs>
              <w:tab w:val="left" w:pos="440"/>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09313698" w:history="1">
            <w:r w:rsidR="00964B05" w:rsidRPr="006407D0">
              <w:rPr>
                <w:rStyle w:val="Hyperlink"/>
                <w:noProof/>
              </w:rPr>
              <w:t>1.</w:t>
            </w:r>
            <w:r w:rsidR="00964B05">
              <w:rPr>
                <w:rFonts w:eastAsiaTheme="minorEastAsia"/>
                <w:b w:val="0"/>
                <w:noProof/>
                <w:lang w:eastAsia="en-AU"/>
              </w:rPr>
              <w:tab/>
            </w:r>
            <w:r w:rsidR="00964B05" w:rsidRPr="006407D0">
              <w:rPr>
                <w:rStyle w:val="Hyperlink"/>
                <w:noProof/>
              </w:rPr>
              <w:t>Introduction</w:t>
            </w:r>
            <w:r w:rsidR="00964B05">
              <w:rPr>
                <w:noProof/>
                <w:webHidden/>
              </w:rPr>
              <w:tab/>
            </w:r>
            <w:r w:rsidR="00964B05">
              <w:rPr>
                <w:noProof/>
                <w:webHidden/>
              </w:rPr>
              <w:fldChar w:fldCharType="begin"/>
            </w:r>
            <w:r w:rsidR="00964B05">
              <w:rPr>
                <w:noProof/>
                <w:webHidden/>
              </w:rPr>
              <w:instrText xml:space="preserve"> PAGEREF _Toc109313698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2C8200F7" w14:textId="43D16C10" w:rsidR="00964B05" w:rsidRDefault="001D60A9">
          <w:pPr>
            <w:pStyle w:val="TOC1"/>
            <w:tabs>
              <w:tab w:val="left" w:pos="440"/>
              <w:tab w:val="right" w:leader="dot" w:pos="9060"/>
            </w:tabs>
            <w:rPr>
              <w:rFonts w:eastAsiaTheme="minorEastAsia"/>
              <w:b w:val="0"/>
              <w:noProof/>
              <w:lang w:eastAsia="en-AU"/>
            </w:rPr>
          </w:pPr>
          <w:hyperlink w:anchor="_Toc109313699" w:history="1">
            <w:r w:rsidR="00964B05" w:rsidRPr="006407D0">
              <w:rPr>
                <w:rStyle w:val="Hyperlink"/>
                <w:noProof/>
              </w:rPr>
              <w:t>2.</w:t>
            </w:r>
            <w:r w:rsidR="00964B05">
              <w:rPr>
                <w:rFonts w:eastAsiaTheme="minorEastAsia"/>
                <w:b w:val="0"/>
                <w:noProof/>
                <w:lang w:eastAsia="en-AU"/>
              </w:rPr>
              <w:tab/>
            </w:r>
            <w:r w:rsidR="00964B05" w:rsidRPr="006407D0">
              <w:rPr>
                <w:rStyle w:val="Hyperlink"/>
                <w:noProof/>
              </w:rPr>
              <w:t>Purpose of this consultation paper</w:t>
            </w:r>
            <w:r w:rsidR="00964B05">
              <w:rPr>
                <w:noProof/>
                <w:webHidden/>
              </w:rPr>
              <w:tab/>
            </w:r>
            <w:r w:rsidR="00964B05">
              <w:rPr>
                <w:noProof/>
                <w:webHidden/>
              </w:rPr>
              <w:fldChar w:fldCharType="begin"/>
            </w:r>
            <w:r w:rsidR="00964B05">
              <w:rPr>
                <w:noProof/>
                <w:webHidden/>
              </w:rPr>
              <w:instrText xml:space="preserve"> PAGEREF _Toc109313699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126BD196" w14:textId="207EC682" w:rsidR="00964B05" w:rsidRDefault="001D60A9">
          <w:pPr>
            <w:pStyle w:val="TOC1"/>
            <w:tabs>
              <w:tab w:val="left" w:pos="440"/>
              <w:tab w:val="right" w:leader="dot" w:pos="9060"/>
            </w:tabs>
            <w:rPr>
              <w:rFonts w:eastAsiaTheme="minorEastAsia"/>
              <w:b w:val="0"/>
              <w:noProof/>
              <w:lang w:eastAsia="en-AU"/>
            </w:rPr>
          </w:pPr>
          <w:hyperlink w:anchor="_Toc109313700" w:history="1">
            <w:r w:rsidR="00964B05" w:rsidRPr="006407D0">
              <w:rPr>
                <w:rStyle w:val="Hyperlink"/>
                <w:noProof/>
              </w:rPr>
              <w:t>3.</w:t>
            </w:r>
            <w:r w:rsidR="00964B05">
              <w:rPr>
                <w:rFonts w:eastAsiaTheme="minorEastAsia"/>
                <w:b w:val="0"/>
                <w:noProof/>
                <w:lang w:eastAsia="en-AU"/>
              </w:rPr>
              <w:tab/>
            </w:r>
            <w:r w:rsidR="00964B05" w:rsidRPr="006407D0">
              <w:rPr>
                <w:rStyle w:val="Hyperlink"/>
                <w:noProof/>
              </w:rPr>
              <w:t>Trades Recognition Australia</w:t>
            </w:r>
            <w:r w:rsidR="00964B05">
              <w:rPr>
                <w:noProof/>
                <w:webHidden/>
              </w:rPr>
              <w:tab/>
            </w:r>
            <w:r w:rsidR="00964B05">
              <w:rPr>
                <w:noProof/>
                <w:webHidden/>
              </w:rPr>
              <w:fldChar w:fldCharType="begin"/>
            </w:r>
            <w:r w:rsidR="00964B05">
              <w:rPr>
                <w:noProof/>
                <w:webHidden/>
              </w:rPr>
              <w:instrText xml:space="preserve"> PAGEREF _Toc109313700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4D541067" w14:textId="176E9CFF" w:rsidR="00964B05" w:rsidRDefault="001D60A9">
          <w:pPr>
            <w:pStyle w:val="TOC3"/>
            <w:tabs>
              <w:tab w:val="right" w:leader="dot" w:pos="9060"/>
            </w:tabs>
            <w:rPr>
              <w:rFonts w:eastAsiaTheme="minorEastAsia"/>
              <w:noProof/>
              <w:lang w:eastAsia="en-AU"/>
            </w:rPr>
          </w:pPr>
          <w:hyperlink w:anchor="_Toc109313701" w:history="1">
            <w:r w:rsidR="00964B05" w:rsidRPr="006407D0">
              <w:rPr>
                <w:rStyle w:val="Hyperlink"/>
                <w:noProof/>
              </w:rPr>
              <w:t>Pathway 1: Job Ready Program</w:t>
            </w:r>
            <w:r w:rsidR="00964B05">
              <w:rPr>
                <w:noProof/>
                <w:webHidden/>
              </w:rPr>
              <w:tab/>
            </w:r>
            <w:r w:rsidR="00964B05">
              <w:rPr>
                <w:noProof/>
                <w:webHidden/>
              </w:rPr>
              <w:fldChar w:fldCharType="begin"/>
            </w:r>
            <w:r w:rsidR="00964B05">
              <w:rPr>
                <w:noProof/>
                <w:webHidden/>
              </w:rPr>
              <w:instrText xml:space="preserve"> PAGEREF _Toc109313701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2D062001" w14:textId="02A91629" w:rsidR="00964B05" w:rsidRDefault="001D60A9">
          <w:pPr>
            <w:pStyle w:val="TOC3"/>
            <w:tabs>
              <w:tab w:val="right" w:leader="dot" w:pos="9060"/>
            </w:tabs>
            <w:rPr>
              <w:rFonts w:eastAsiaTheme="minorEastAsia"/>
              <w:noProof/>
              <w:lang w:eastAsia="en-AU"/>
            </w:rPr>
          </w:pPr>
          <w:hyperlink w:anchor="_Toc109313702" w:history="1">
            <w:r w:rsidR="00964B05" w:rsidRPr="006407D0">
              <w:rPr>
                <w:rStyle w:val="Hyperlink"/>
                <w:noProof/>
              </w:rPr>
              <w:t>Pathway 2: Migration Skills Assessment</w:t>
            </w:r>
            <w:r w:rsidR="00964B05">
              <w:rPr>
                <w:noProof/>
                <w:webHidden/>
              </w:rPr>
              <w:tab/>
            </w:r>
            <w:r w:rsidR="00964B05">
              <w:rPr>
                <w:noProof/>
                <w:webHidden/>
              </w:rPr>
              <w:fldChar w:fldCharType="begin"/>
            </w:r>
            <w:r w:rsidR="00964B05">
              <w:rPr>
                <w:noProof/>
                <w:webHidden/>
              </w:rPr>
              <w:instrText xml:space="preserve"> PAGEREF _Toc109313702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5F067F02" w14:textId="156810A4" w:rsidR="00964B05" w:rsidRDefault="001D60A9">
          <w:pPr>
            <w:pStyle w:val="TOC3"/>
            <w:tabs>
              <w:tab w:val="right" w:leader="dot" w:pos="9060"/>
            </w:tabs>
            <w:rPr>
              <w:rFonts w:eastAsiaTheme="minorEastAsia"/>
              <w:noProof/>
              <w:lang w:eastAsia="en-AU"/>
            </w:rPr>
          </w:pPr>
          <w:hyperlink w:anchor="_Toc109313703" w:history="1">
            <w:r w:rsidR="00964B05" w:rsidRPr="006407D0">
              <w:rPr>
                <w:rStyle w:val="Hyperlink"/>
                <w:noProof/>
              </w:rPr>
              <w:t>Pathway 3: Migration Points Advice</w:t>
            </w:r>
            <w:r w:rsidR="00964B05">
              <w:rPr>
                <w:noProof/>
                <w:webHidden/>
              </w:rPr>
              <w:tab/>
            </w:r>
            <w:r w:rsidR="00964B05">
              <w:rPr>
                <w:noProof/>
                <w:webHidden/>
              </w:rPr>
              <w:fldChar w:fldCharType="begin"/>
            </w:r>
            <w:r w:rsidR="00964B05">
              <w:rPr>
                <w:noProof/>
                <w:webHidden/>
              </w:rPr>
              <w:instrText xml:space="preserve"> PAGEREF _Toc109313703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174355DB" w14:textId="16B8D6F2" w:rsidR="00964B05" w:rsidRDefault="001D60A9">
          <w:pPr>
            <w:pStyle w:val="TOC3"/>
            <w:tabs>
              <w:tab w:val="right" w:leader="dot" w:pos="9060"/>
            </w:tabs>
            <w:rPr>
              <w:rFonts w:eastAsiaTheme="minorEastAsia"/>
              <w:noProof/>
              <w:lang w:eastAsia="en-AU"/>
            </w:rPr>
          </w:pPr>
          <w:hyperlink w:anchor="_Toc109313704" w:history="1">
            <w:r w:rsidR="00964B05" w:rsidRPr="006407D0">
              <w:rPr>
                <w:rStyle w:val="Hyperlink"/>
                <w:noProof/>
              </w:rPr>
              <w:t>Pathway 4 and 5: RTO Assessment Services | Offshore Skills Assessment Program and the Temporary Skills Shortage Skills Assessment</w:t>
            </w:r>
            <w:r w:rsidR="00964B05">
              <w:rPr>
                <w:noProof/>
                <w:webHidden/>
              </w:rPr>
              <w:tab/>
            </w:r>
            <w:r w:rsidR="00964B05">
              <w:rPr>
                <w:noProof/>
                <w:webHidden/>
              </w:rPr>
              <w:fldChar w:fldCharType="begin"/>
            </w:r>
            <w:r w:rsidR="00964B05">
              <w:rPr>
                <w:noProof/>
                <w:webHidden/>
              </w:rPr>
              <w:instrText xml:space="preserve"> PAGEREF _Toc109313704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0D417C24" w14:textId="38430847" w:rsidR="00964B05" w:rsidRDefault="001D60A9">
          <w:pPr>
            <w:pStyle w:val="TOC1"/>
            <w:tabs>
              <w:tab w:val="left" w:pos="440"/>
              <w:tab w:val="right" w:leader="dot" w:pos="9060"/>
            </w:tabs>
            <w:rPr>
              <w:rFonts w:eastAsiaTheme="minorEastAsia"/>
              <w:b w:val="0"/>
              <w:noProof/>
              <w:lang w:eastAsia="en-AU"/>
            </w:rPr>
          </w:pPr>
          <w:hyperlink w:anchor="_Toc109313705" w:history="1">
            <w:r w:rsidR="00964B05" w:rsidRPr="006407D0">
              <w:rPr>
                <w:rStyle w:val="Hyperlink"/>
                <w:noProof/>
              </w:rPr>
              <w:t>4.</w:t>
            </w:r>
            <w:r w:rsidR="00964B05">
              <w:rPr>
                <w:rFonts w:eastAsiaTheme="minorEastAsia"/>
                <w:b w:val="0"/>
                <w:noProof/>
                <w:lang w:eastAsia="en-AU"/>
              </w:rPr>
              <w:tab/>
            </w:r>
            <w:r w:rsidR="00964B05" w:rsidRPr="006407D0">
              <w:rPr>
                <w:rStyle w:val="Hyperlink"/>
                <w:noProof/>
              </w:rPr>
              <w:t>Cost recovery framework</w:t>
            </w:r>
            <w:r w:rsidR="00964B05">
              <w:rPr>
                <w:noProof/>
                <w:webHidden/>
              </w:rPr>
              <w:tab/>
            </w:r>
            <w:r w:rsidR="00964B05">
              <w:rPr>
                <w:noProof/>
                <w:webHidden/>
              </w:rPr>
              <w:fldChar w:fldCharType="begin"/>
            </w:r>
            <w:r w:rsidR="00964B05">
              <w:rPr>
                <w:noProof/>
                <w:webHidden/>
              </w:rPr>
              <w:instrText xml:space="preserve"> PAGEREF _Toc109313705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244432CB" w14:textId="0D55311A" w:rsidR="00964B05" w:rsidRDefault="001D60A9">
          <w:pPr>
            <w:pStyle w:val="TOC1"/>
            <w:tabs>
              <w:tab w:val="left" w:pos="440"/>
              <w:tab w:val="right" w:leader="dot" w:pos="9060"/>
            </w:tabs>
            <w:rPr>
              <w:rFonts w:eastAsiaTheme="minorEastAsia"/>
              <w:b w:val="0"/>
              <w:noProof/>
              <w:lang w:eastAsia="en-AU"/>
            </w:rPr>
          </w:pPr>
          <w:hyperlink w:anchor="_Toc109313706" w:history="1">
            <w:r w:rsidR="00964B05" w:rsidRPr="006407D0">
              <w:rPr>
                <w:rStyle w:val="Hyperlink"/>
                <w:noProof/>
              </w:rPr>
              <w:t>5.</w:t>
            </w:r>
            <w:r w:rsidR="00964B05">
              <w:rPr>
                <w:rFonts w:eastAsiaTheme="minorEastAsia"/>
                <w:b w:val="0"/>
                <w:noProof/>
                <w:lang w:eastAsia="en-AU"/>
              </w:rPr>
              <w:tab/>
            </w:r>
            <w:r w:rsidR="00964B05" w:rsidRPr="006407D0">
              <w:rPr>
                <w:rStyle w:val="Hyperlink"/>
                <w:noProof/>
              </w:rPr>
              <w:t>Cost recovery model</w:t>
            </w:r>
            <w:r w:rsidR="00964B05">
              <w:rPr>
                <w:noProof/>
                <w:webHidden/>
              </w:rPr>
              <w:tab/>
            </w:r>
            <w:r w:rsidR="00964B05">
              <w:rPr>
                <w:noProof/>
                <w:webHidden/>
              </w:rPr>
              <w:fldChar w:fldCharType="begin"/>
            </w:r>
            <w:r w:rsidR="00964B05">
              <w:rPr>
                <w:noProof/>
                <w:webHidden/>
              </w:rPr>
              <w:instrText xml:space="preserve"> PAGEREF _Toc109313706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675D54AF" w14:textId="5208E9B8" w:rsidR="00964B05" w:rsidRDefault="001D60A9">
          <w:pPr>
            <w:pStyle w:val="TOC3"/>
            <w:tabs>
              <w:tab w:val="right" w:leader="dot" w:pos="9060"/>
            </w:tabs>
            <w:rPr>
              <w:rFonts w:eastAsiaTheme="minorEastAsia"/>
              <w:noProof/>
              <w:lang w:eastAsia="en-AU"/>
            </w:rPr>
          </w:pPr>
          <w:hyperlink w:anchor="_Toc109313707" w:history="1">
            <w:r w:rsidR="00964B05" w:rsidRPr="006407D0">
              <w:rPr>
                <w:rStyle w:val="Hyperlink"/>
                <w:noProof/>
              </w:rPr>
              <w:t>Figure 1. Activity 1 –applications delivery and review.</w:t>
            </w:r>
            <w:r w:rsidR="00964B05">
              <w:rPr>
                <w:noProof/>
                <w:webHidden/>
              </w:rPr>
              <w:tab/>
            </w:r>
            <w:r w:rsidR="00964B05">
              <w:rPr>
                <w:noProof/>
                <w:webHidden/>
              </w:rPr>
              <w:fldChar w:fldCharType="begin"/>
            </w:r>
            <w:r w:rsidR="00964B05">
              <w:rPr>
                <w:noProof/>
                <w:webHidden/>
              </w:rPr>
              <w:instrText xml:space="preserve"> PAGEREF _Toc109313707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0286AD99" w14:textId="4B4A0A9C" w:rsidR="00964B05" w:rsidRDefault="001D60A9">
          <w:pPr>
            <w:pStyle w:val="TOC3"/>
            <w:tabs>
              <w:tab w:val="right" w:leader="dot" w:pos="9060"/>
            </w:tabs>
            <w:rPr>
              <w:rFonts w:eastAsiaTheme="minorEastAsia"/>
              <w:noProof/>
              <w:lang w:eastAsia="en-AU"/>
            </w:rPr>
          </w:pPr>
          <w:hyperlink w:anchor="_Toc109313708" w:history="1">
            <w:r w:rsidR="00964B05" w:rsidRPr="006407D0">
              <w:rPr>
                <w:rStyle w:val="Hyperlink"/>
                <w:noProof/>
              </w:rPr>
              <w:t>Figure 2. Activity 2 – program management and administration.</w:t>
            </w:r>
            <w:r w:rsidR="00964B05">
              <w:rPr>
                <w:noProof/>
                <w:webHidden/>
              </w:rPr>
              <w:tab/>
            </w:r>
            <w:r w:rsidR="00964B05">
              <w:rPr>
                <w:noProof/>
                <w:webHidden/>
              </w:rPr>
              <w:fldChar w:fldCharType="begin"/>
            </w:r>
            <w:r w:rsidR="00964B05">
              <w:rPr>
                <w:noProof/>
                <w:webHidden/>
              </w:rPr>
              <w:instrText xml:space="preserve"> PAGEREF _Toc109313708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03BE68E7" w14:textId="15CDCF3A" w:rsidR="00964B05" w:rsidRDefault="001D60A9">
          <w:pPr>
            <w:pStyle w:val="TOC3"/>
            <w:tabs>
              <w:tab w:val="right" w:leader="dot" w:pos="9060"/>
            </w:tabs>
            <w:rPr>
              <w:rFonts w:eastAsiaTheme="minorEastAsia"/>
              <w:noProof/>
              <w:lang w:eastAsia="en-AU"/>
            </w:rPr>
          </w:pPr>
          <w:hyperlink w:anchor="_Toc109313709" w:history="1">
            <w:r w:rsidR="00964B05" w:rsidRPr="006407D0">
              <w:rPr>
                <w:rStyle w:val="Hyperlink"/>
                <w:noProof/>
              </w:rPr>
              <w:t>Costs of the regulatory charging activity</w:t>
            </w:r>
            <w:r w:rsidR="00964B05">
              <w:rPr>
                <w:noProof/>
                <w:webHidden/>
              </w:rPr>
              <w:tab/>
            </w:r>
            <w:r w:rsidR="00964B05">
              <w:rPr>
                <w:noProof/>
                <w:webHidden/>
              </w:rPr>
              <w:fldChar w:fldCharType="begin"/>
            </w:r>
            <w:r w:rsidR="00964B05">
              <w:rPr>
                <w:noProof/>
                <w:webHidden/>
              </w:rPr>
              <w:instrText xml:space="preserve"> PAGEREF _Toc109313709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3ACB20BD" w14:textId="24067B0C" w:rsidR="00964B05" w:rsidRDefault="001D60A9">
          <w:pPr>
            <w:pStyle w:val="TOC3"/>
            <w:tabs>
              <w:tab w:val="right" w:leader="dot" w:pos="9060"/>
            </w:tabs>
            <w:rPr>
              <w:rFonts w:eastAsiaTheme="minorEastAsia"/>
              <w:noProof/>
              <w:lang w:eastAsia="en-AU"/>
            </w:rPr>
          </w:pPr>
          <w:hyperlink w:anchor="_Toc109313710" w:history="1">
            <w:r w:rsidR="00964B05" w:rsidRPr="006407D0">
              <w:rPr>
                <w:rStyle w:val="Hyperlink"/>
                <w:noProof/>
              </w:rPr>
              <w:t>Design of regulatory charges</w:t>
            </w:r>
            <w:r w:rsidR="00964B05">
              <w:rPr>
                <w:noProof/>
                <w:webHidden/>
              </w:rPr>
              <w:tab/>
            </w:r>
            <w:r w:rsidR="00964B05">
              <w:rPr>
                <w:noProof/>
                <w:webHidden/>
              </w:rPr>
              <w:fldChar w:fldCharType="begin"/>
            </w:r>
            <w:r w:rsidR="00964B05">
              <w:rPr>
                <w:noProof/>
                <w:webHidden/>
              </w:rPr>
              <w:instrText xml:space="preserve"> PAGEREF _Toc109313710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1DB3D3AF" w14:textId="6D645715" w:rsidR="00964B05" w:rsidRDefault="001D60A9">
          <w:pPr>
            <w:pStyle w:val="TOC1"/>
            <w:tabs>
              <w:tab w:val="left" w:pos="440"/>
              <w:tab w:val="right" w:leader="dot" w:pos="9060"/>
            </w:tabs>
            <w:rPr>
              <w:rFonts w:eastAsiaTheme="minorEastAsia"/>
              <w:b w:val="0"/>
              <w:noProof/>
              <w:lang w:eastAsia="en-AU"/>
            </w:rPr>
          </w:pPr>
          <w:hyperlink w:anchor="_Toc109313711" w:history="1">
            <w:r w:rsidR="00964B05" w:rsidRPr="006407D0">
              <w:rPr>
                <w:rStyle w:val="Hyperlink"/>
                <w:noProof/>
              </w:rPr>
              <w:t>6.</w:t>
            </w:r>
            <w:r w:rsidR="00964B05">
              <w:rPr>
                <w:rFonts w:eastAsiaTheme="minorEastAsia"/>
                <w:b w:val="0"/>
                <w:noProof/>
                <w:lang w:eastAsia="en-AU"/>
              </w:rPr>
              <w:tab/>
            </w:r>
            <w:r w:rsidR="00964B05" w:rsidRPr="006407D0">
              <w:rPr>
                <w:rStyle w:val="Hyperlink"/>
                <w:noProof/>
              </w:rPr>
              <w:t>Risk assessment</w:t>
            </w:r>
            <w:r w:rsidR="00964B05">
              <w:rPr>
                <w:noProof/>
                <w:webHidden/>
              </w:rPr>
              <w:tab/>
            </w:r>
            <w:r w:rsidR="00964B05">
              <w:rPr>
                <w:noProof/>
                <w:webHidden/>
              </w:rPr>
              <w:fldChar w:fldCharType="begin"/>
            </w:r>
            <w:r w:rsidR="00964B05">
              <w:rPr>
                <w:noProof/>
                <w:webHidden/>
              </w:rPr>
              <w:instrText xml:space="preserve"> PAGEREF _Toc109313711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16CCB3BF" w14:textId="36DBF981" w:rsidR="00964B05" w:rsidRDefault="001D60A9">
          <w:pPr>
            <w:pStyle w:val="TOC1"/>
            <w:tabs>
              <w:tab w:val="left" w:pos="440"/>
              <w:tab w:val="right" w:leader="dot" w:pos="9060"/>
            </w:tabs>
            <w:rPr>
              <w:rFonts w:eastAsiaTheme="minorEastAsia"/>
              <w:b w:val="0"/>
              <w:noProof/>
              <w:lang w:eastAsia="en-AU"/>
            </w:rPr>
          </w:pPr>
          <w:hyperlink w:anchor="_Toc109313712" w:history="1">
            <w:r w:rsidR="00964B05" w:rsidRPr="006407D0">
              <w:rPr>
                <w:rStyle w:val="Hyperlink"/>
                <w:noProof/>
              </w:rPr>
              <w:t>7.</w:t>
            </w:r>
            <w:r w:rsidR="00964B05">
              <w:rPr>
                <w:rFonts w:eastAsiaTheme="minorEastAsia"/>
                <w:b w:val="0"/>
                <w:noProof/>
                <w:lang w:eastAsia="en-AU"/>
              </w:rPr>
              <w:tab/>
            </w:r>
            <w:r w:rsidR="00964B05" w:rsidRPr="006407D0">
              <w:rPr>
                <w:rStyle w:val="Hyperlink"/>
                <w:noProof/>
              </w:rPr>
              <w:t>Providing feedback</w:t>
            </w:r>
            <w:r w:rsidR="00964B05">
              <w:rPr>
                <w:noProof/>
                <w:webHidden/>
              </w:rPr>
              <w:tab/>
            </w:r>
            <w:r w:rsidR="00964B05">
              <w:rPr>
                <w:noProof/>
                <w:webHidden/>
              </w:rPr>
              <w:fldChar w:fldCharType="begin"/>
            </w:r>
            <w:r w:rsidR="00964B05">
              <w:rPr>
                <w:noProof/>
                <w:webHidden/>
              </w:rPr>
              <w:instrText xml:space="preserve"> PAGEREF _Toc109313712 \h </w:instrText>
            </w:r>
            <w:r w:rsidR="00964B05">
              <w:rPr>
                <w:noProof/>
                <w:webHidden/>
              </w:rPr>
            </w:r>
            <w:r w:rsidR="00964B05">
              <w:rPr>
                <w:noProof/>
                <w:webHidden/>
              </w:rPr>
              <w:fldChar w:fldCharType="separate"/>
            </w:r>
            <w:r w:rsidR="00527640">
              <w:rPr>
                <w:noProof/>
                <w:webHidden/>
              </w:rPr>
              <w:t>2</w:t>
            </w:r>
            <w:r w:rsidR="00964B05">
              <w:rPr>
                <w:noProof/>
                <w:webHidden/>
              </w:rPr>
              <w:fldChar w:fldCharType="end"/>
            </w:r>
          </w:hyperlink>
        </w:p>
        <w:p w14:paraId="57012A71" w14:textId="461871B1" w:rsidR="007855CC" w:rsidRPr="0095636C" w:rsidRDefault="0095636C" w:rsidP="0095636C">
          <w:r>
            <w:rPr>
              <w:rFonts w:ascii="Calibri" w:eastAsiaTheme="majorEastAsia" w:hAnsi="Calibri" w:cstheme="majorBidi"/>
              <w:b/>
              <w:color w:val="343741"/>
              <w:sz w:val="32"/>
              <w:szCs w:val="32"/>
            </w:rPr>
            <w:fldChar w:fldCharType="end"/>
          </w:r>
        </w:p>
      </w:sdtContent>
    </w:sdt>
    <w:p w14:paraId="62C624E3" w14:textId="77777777" w:rsidR="007855CC" w:rsidRPr="0095636C" w:rsidRDefault="007855CC" w:rsidP="0095636C">
      <w:r>
        <w:br w:type="page"/>
      </w:r>
    </w:p>
    <w:p w14:paraId="6682119F" w14:textId="40003944" w:rsidR="002B1CE5" w:rsidRPr="00F51C18" w:rsidRDefault="0034461A" w:rsidP="00563815">
      <w:pPr>
        <w:pStyle w:val="Heading1"/>
        <w:numPr>
          <w:ilvl w:val="0"/>
          <w:numId w:val="20"/>
        </w:numPr>
      </w:pPr>
      <w:bookmarkStart w:id="1" w:name="_Toc109313698"/>
      <w:bookmarkEnd w:id="0"/>
      <w:r>
        <w:lastRenderedPageBreak/>
        <w:t>Introduction</w:t>
      </w:r>
      <w:bookmarkEnd w:id="1"/>
    </w:p>
    <w:p w14:paraId="04830312" w14:textId="32DF788E" w:rsidR="00BA6CFC" w:rsidRDefault="0034461A" w:rsidP="002B1CE5">
      <w:r w:rsidRPr="0034461A">
        <w:t xml:space="preserve">The Australian Government Department of </w:t>
      </w:r>
      <w:r>
        <w:t>Employment and Workplace Relations</w:t>
      </w:r>
      <w:r w:rsidRPr="0034461A">
        <w:t xml:space="preserve"> (the Department) is proposing</w:t>
      </w:r>
      <w:r w:rsidR="00B7372B">
        <w:t>, from 1 October 2022,</w:t>
      </w:r>
      <w:r w:rsidRPr="0034461A">
        <w:t xml:space="preserve"> to change the fees charged by Trades Recognition Australia</w:t>
      </w:r>
      <w:r w:rsidR="00BA6CFC">
        <w:t>,</w:t>
      </w:r>
      <w:r w:rsidRPr="0034461A">
        <w:t xml:space="preserve"> </w:t>
      </w:r>
      <w:r w:rsidR="00BA6CFC">
        <w:t xml:space="preserve">under its Cost Recovery Implementation Statement, </w:t>
      </w:r>
      <w:r w:rsidRPr="0034461A">
        <w:t xml:space="preserve">for </w:t>
      </w:r>
      <w:r w:rsidR="005925C9">
        <w:t xml:space="preserve">migrant </w:t>
      </w:r>
      <w:r w:rsidRPr="0034461A">
        <w:t>skills assessment services provided under the</w:t>
      </w:r>
      <w:r w:rsidR="00BA6CFC">
        <w:t>:</w:t>
      </w:r>
    </w:p>
    <w:p w14:paraId="0011DD29" w14:textId="2A36264D" w:rsidR="00BA6CFC" w:rsidRDefault="0034461A" w:rsidP="00BA6CFC">
      <w:pPr>
        <w:pStyle w:val="ListParagraph"/>
        <w:numPr>
          <w:ilvl w:val="0"/>
          <w:numId w:val="16"/>
        </w:numPr>
      </w:pPr>
      <w:r w:rsidRPr="0034461A">
        <w:t>Job Ready Program (</w:t>
      </w:r>
      <w:proofErr w:type="spellStart"/>
      <w:r w:rsidRPr="0034461A">
        <w:t>JRP</w:t>
      </w:r>
      <w:proofErr w:type="spellEnd"/>
      <w:r w:rsidRPr="0034461A">
        <w:t>)</w:t>
      </w:r>
    </w:p>
    <w:p w14:paraId="6015F575" w14:textId="073DED6A" w:rsidR="00BA6CFC" w:rsidRDefault="0034461A" w:rsidP="00BA6CFC">
      <w:pPr>
        <w:pStyle w:val="ListParagraph"/>
        <w:numPr>
          <w:ilvl w:val="0"/>
          <w:numId w:val="16"/>
        </w:numPr>
      </w:pPr>
      <w:r w:rsidRPr="0034461A">
        <w:t>Migration Skills Assessment (</w:t>
      </w:r>
      <w:proofErr w:type="spellStart"/>
      <w:r w:rsidRPr="0034461A">
        <w:t>MSA</w:t>
      </w:r>
      <w:proofErr w:type="spellEnd"/>
      <w:r w:rsidRPr="0034461A">
        <w:t>)</w:t>
      </w:r>
    </w:p>
    <w:p w14:paraId="6B82E4FB" w14:textId="6E813D40" w:rsidR="00BA6CFC" w:rsidRDefault="0034461A" w:rsidP="00BA6CFC">
      <w:pPr>
        <w:pStyle w:val="ListParagraph"/>
        <w:numPr>
          <w:ilvl w:val="0"/>
          <w:numId w:val="16"/>
        </w:numPr>
      </w:pPr>
      <w:r w:rsidRPr="0034461A">
        <w:t>Migration Points Advice (MPA)</w:t>
      </w:r>
    </w:p>
    <w:p w14:paraId="25F18B37" w14:textId="77777777" w:rsidR="00BA6CFC" w:rsidRDefault="0034461A" w:rsidP="00BA6CFC">
      <w:pPr>
        <w:pStyle w:val="ListParagraph"/>
        <w:numPr>
          <w:ilvl w:val="0"/>
          <w:numId w:val="16"/>
        </w:numPr>
      </w:pPr>
      <w:r>
        <w:t>RTO Assessment Services</w:t>
      </w:r>
      <w:r w:rsidR="00BA6CFC">
        <w:t xml:space="preserve">: Offshore Skills Assessment Program, and </w:t>
      </w:r>
    </w:p>
    <w:p w14:paraId="78E87FCF" w14:textId="0624597C" w:rsidR="0034461A" w:rsidRDefault="00BA6CFC" w:rsidP="00BA6CFC">
      <w:pPr>
        <w:pStyle w:val="ListParagraph"/>
        <w:numPr>
          <w:ilvl w:val="0"/>
          <w:numId w:val="16"/>
        </w:numPr>
      </w:pPr>
      <w:r w:rsidRPr="00BA6CFC">
        <w:t>RTO Assessment Services: Temporary Skills Shortage Skills Assessment Program</w:t>
      </w:r>
      <w:r w:rsidR="0034461A">
        <w:t>.</w:t>
      </w:r>
    </w:p>
    <w:p w14:paraId="62169508" w14:textId="6AA51436" w:rsidR="00B7372B" w:rsidRDefault="0034461A" w:rsidP="002B1CE5">
      <w:r w:rsidRPr="0034461A">
        <w:t xml:space="preserve">This proposal </w:t>
      </w:r>
      <w:r>
        <w:t>aligns</w:t>
      </w:r>
      <w:r w:rsidRPr="0034461A">
        <w:t xml:space="preserve"> with the whole-of-government </w:t>
      </w:r>
      <w:r w:rsidRPr="00B7372B">
        <w:t>Australian Government Charging Framework (the Charging Framework)</w:t>
      </w:r>
      <w:r w:rsidR="00B7372B">
        <w:rPr>
          <w:rStyle w:val="FootnoteReference"/>
        </w:rPr>
        <w:footnoteReference w:id="1"/>
      </w:r>
      <w:r w:rsidRPr="0034461A">
        <w:t xml:space="preserve">. </w:t>
      </w:r>
    </w:p>
    <w:p w14:paraId="578B9026" w14:textId="04058045" w:rsidR="0034461A" w:rsidRDefault="0034461A" w:rsidP="002B1CE5">
      <w:r w:rsidRPr="0034461A">
        <w:t xml:space="preserve">The Charging Framework provides that where an individual or organisation creates the demand for a government activity, they should generally be charged for it. Cost recovery promotes consistent, </w:t>
      </w:r>
      <w:proofErr w:type="gramStart"/>
      <w:r w:rsidRPr="0034461A">
        <w:t>transparent</w:t>
      </w:r>
      <w:proofErr w:type="gramEnd"/>
      <w:r w:rsidRPr="0034461A">
        <w:t xml:space="preserve"> and accountable charging for government regulatory activity and supports the proper use of public resources.</w:t>
      </w:r>
    </w:p>
    <w:p w14:paraId="3A0B0DCF" w14:textId="79307806" w:rsidR="0034461A" w:rsidRPr="00F51C18" w:rsidRDefault="0034461A" w:rsidP="00563815">
      <w:pPr>
        <w:pStyle w:val="Heading1"/>
        <w:numPr>
          <w:ilvl w:val="0"/>
          <w:numId w:val="20"/>
        </w:numPr>
      </w:pPr>
      <w:bookmarkStart w:id="2" w:name="_Toc109313699"/>
      <w:bookmarkStart w:id="3" w:name="_Toc30065223"/>
      <w:r>
        <w:t>Purpose of this consultation paper</w:t>
      </w:r>
      <w:bookmarkEnd w:id="2"/>
    </w:p>
    <w:p w14:paraId="551DA23A" w14:textId="39A0409D" w:rsidR="0034461A" w:rsidRDefault="008664AC" w:rsidP="0034461A">
      <w:r>
        <w:t xml:space="preserve">This consultation paper provides information on </w:t>
      </w:r>
      <w:r w:rsidRPr="0034461A">
        <w:t>Trades Recognition Australia</w:t>
      </w:r>
      <w:r>
        <w:t xml:space="preserve">’s review into its Cost Recovery arrangements and proposed fee structure for its </w:t>
      </w:r>
      <w:r w:rsidR="005925C9">
        <w:t xml:space="preserve">migrant </w:t>
      </w:r>
      <w:r>
        <w:t>skills assessment services</w:t>
      </w:r>
      <w:r w:rsidR="0006157E">
        <w:t xml:space="preserve"> (Table 1 refers)</w:t>
      </w:r>
      <w:r>
        <w:t>.</w:t>
      </w:r>
    </w:p>
    <w:p w14:paraId="6CBDF555" w14:textId="2230B8CB" w:rsidR="008664AC" w:rsidRDefault="008664AC" w:rsidP="0034461A">
      <w:r w:rsidRPr="0034461A">
        <w:t>Trades Recognition Australia</w:t>
      </w:r>
      <w:r>
        <w:t xml:space="preserve"> is seeking feedback on the proposal from interested parties and stakeholders in the skilled migration sector. Feedback will inform decisions on how the proposal may be adapted or improved. The feedback will be incorporated into the Cost Recovery Implementation Statement (</w:t>
      </w:r>
      <w:proofErr w:type="spellStart"/>
      <w:r>
        <w:t>CRIS</w:t>
      </w:r>
      <w:proofErr w:type="spellEnd"/>
      <w:r>
        <w:t>).</w:t>
      </w:r>
    </w:p>
    <w:p w14:paraId="422E090E" w14:textId="5ABA210F" w:rsidR="008664AC" w:rsidRDefault="008664AC" w:rsidP="0034461A">
      <w:r>
        <w:t xml:space="preserve">Submissions will be accepted until </w:t>
      </w:r>
      <w:r w:rsidRPr="00B7372B">
        <w:rPr>
          <w:b/>
          <w:bCs/>
        </w:rPr>
        <w:t xml:space="preserve">4pm </w:t>
      </w:r>
      <w:r w:rsidR="000801EA">
        <w:rPr>
          <w:b/>
          <w:bCs/>
        </w:rPr>
        <w:t>Friday</w:t>
      </w:r>
      <w:r w:rsidRPr="00B7372B">
        <w:rPr>
          <w:b/>
          <w:bCs/>
        </w:rPr>
        <w:t xml:space="preserve">, </w:t>
      </w:r>
      <w:r w:rsidR="008806F8">
        <w:rPr>
          <w:b/>
          <w:bCs/>
        </w:rPr>
        <w:t>1</w:t>
      </w:r>
      <w:r w:rsidR="000801EA">
        <w:rPr>
          <w:b/>
          <w:bCs/>
        </w:rPr>
        <w:t>2</w:t>
      </w:r>
      <w:r w:rsidR="008806F8" w:rsidRPr="00B7372B">
        <w:rPr>
          <w:b/>
          <w:bCs/>
        </w:rPr>
        <w:t xml:space="preserve"> </w:t>
      </w:r>
      <w:r w:rsidRPr="00B7372B">
        <w:rPr>
          <w:b/>
          <w:bCs/>
        </w:rPr>
        <w:t>August 2022</w:t>
      </w:r>
      <w:r>
        <w:t>.</w:t>
      </w:r>
    </w:p>
    <w:p w14:paraId="5EBAD14B" w14:textId="44FD7535" w:rsidR="008664AC" w:rsidRDefault="008664AC" w:rsidP="0034461A">
      <w:r>
        <w:t xml:space="preserve">Please provide your feedback on </w:t>
      </w:r>
      <w:r w:rsidR="00B7372B" w:rsidRPr="0034461A">
        <w:t>Trades Recognition Australia</w:t>
      </w:r>
      <w:r>
        <w:t>’s proposed change</w:t>
      </w:r>
      <w:r w:rsidR="00B7372B">
        <w:t>s</w:t>
      </w:r>
      <w:r>
        <w:t xml:space="preserve"> to </w:t>
      </w:r>
      <w:r w:rsidR="00B7372B">
        <w:t>its</w:t>
      </w:r>
      <w:r>
        <w:t xml:space="preserve"> cost recovery </w:t>
      </w:r>
      <w:r w:rsidR="00B7372B">
        <w:t>arrangements</w:t>
      </w:r>
      <w:r>
        <w:t xml:space="preserve"> via email at </w:t>
      </w:r>
      <w:hyperlink r:id="rId24" w:history="1">
        <w:r w:rsidR="008806F8" w:rsidRPr="00C3689F">
          <w:rPr>
            <w:rStyle w:val="Hyperlink"/>
          </w:rPr>
          <w:t>TRAConsultations@dese.gov.au</w:t>
        </w:r>
      </w:hyperlink>
      <w:r>
        <w:t>.</w:t>
      </w:r>
    </w:p>
    <w:p w14:paraId="2E39251F" w14:textId="4E1A28FD" w:rsidR="008664AC" w:rsidRDefault="00B7372B" w:rsidP="0034461A">
      <w:r w:rsidRPr="0034461A">
        <w:t>Trades Recognition Australia</w:t>
      </w:r>
      <w:r w:rsidR="008664AC">
        <w:t xml:space="preserve">’s current schedule of fees and charges are available at </w:t>
      </w:r>
      <w:hyperlink r:id="rId25" w:history="1">
        <w:r w:rsidR="008806F8" w:rsidRPr="00C3689F">
          <w:rPr>
            <w:rStyle w:val="Hyperlink"/>
          </w:rPr>
          <w:t>www.tradesrecognitionaustralia.gov.au</w:t>
        </w:r>
      </w:hyperlink>
      <w:r w:rsidR="008664AC">
        <w:t>.</w:t>
      </w:r>
    </w:p>
    <w:p w14:paraId="42D63F2A" w14:textId="64141369" w:rsidR="0034461A" w:rsidRPr="00F51C18" w:rsidRDefault="0034461A" w:rsidP="00563815">
      <w:pPr>
        <w:pStyle w:val="Heading1"/>
        <w:numPr>
          <w:ilvl w:val="0"/>
          <w:numId w:val="20"/>
        </w:numPr>
      </w:pPr>
      <w:bookmarkStart w:id="4" w:name="_Toc109313700"/>
      <w:r>
        <w:t>Trades Recognition Australia</w:t>
      </w:r>
      <w:bookmarkEnd w:id="4"/>
    </w:p>
    <w:p w14:paraId="016211B8" w14:textId="323F58A7" w:rsidR="008664AC" w:rsidRPr="008664AC" w:rsidRDefault="00B7372B" w:rsidP="00024576">
      <w:r w:rsidRPr="0034461A">
        <w:t>Trades Recognition Australia</w:t>
      </w:r>
      <w:r w:rsidR="008664AC" w:rsidRPr="008664AC">
        <w:t xml:space="preserve"> is a skilled migration assessing authority, authorised under the </w:t>
      </w:r>
      <w:r w:rsidR="008664AC" w:rsidRPr="00B7372B">
        <w:rPr>
          <w:i/>
          <w:iCs/>
        </w:rPr>
        <w:t>Migration Regulations 1994</w:t>
      </w:r>
      <w:r>
        <w:rPr>
          <w:rStyle w:val="FootnoteReference"/>
          <w:i/>
          <w:iCs/>
        </w:rPr>
        <w:footnoteReference w:id="2"/>
      </w:r>
      <w:r w:rsidR="008664AC" w:rsidRPr="008664AC">
        <w:t xml:space="preserve"> (Migration Regulations) to assess the trade and technical skills of prospective migrants under the Skilled Migration Program. The purpose of these assessments is to </w:t>
      </w:r>
      <w:r w:rsidR="008664AC" w:rsidRPr="008664AC">
        <w:lastRenderedPageBreak/>
        <w:t>ensure that an applicant can perform at the required skill level for their nominated occupation in Australia. This is an output to achieve the Government’s skilled migration policy outcomes to attract migrants that make a significant contribution to the Australian economy and fill positions where no Australian workers are available.</w:t>
      </w:r>
    </w:p>
    <w:p w14:paraId="12E864BC" w14:textId="31932666" w:rsidR="008664AC" w:rsidRPr="00024576" w:rsidRDefault="00B7372B" w:rsidP="00024576">
      <w:r w:rsidRPr="0034461A">
        <w:t>Trades Recognition Australia</w:t>
      </w:r>
      <w:r w:rsidRPr="008664AC">
        <w:t xml:space="preserve"> </w:t>
      </w:r>
      <w:r w:rsidR="008664AC" w:rsidRPr="008664AC">
        <w:t xml:space="preserve">is one of 39 approved skilled migration assessing authorities and is the approved authority for assessing applicants for 131 of the occupations designated on the Skilled Occupation List maintained by the Department of Home Affairs (Home Affairs). </w:t>
      </w:r>
    </w:p>
    <w:p w14:paraId="2E1D58F0" w14:textId="4491DA5F" w:rsidR="008664AC" w:rsidRDefault="00B7372B" w:rsidP="00024576">
      <w:r w:rsidRPr="0034461A">
        <w:t>Trades Recognition Australia</w:t>
      </w:r>
      <w:r w:rsidRPr="008664AC">
        <w:t xml:space="preserve"> </w:t>
      </w:r>
      <w:r w:rsidR="00024576" w:rsidRPr="00024576">
        <w:t xml:space="preserve">conducts </w:t>
      </w:r>
      <w:r w:rsidR="005925C9">
        <w:t xml:space="preserve">migrant </w:t>
      </w:r>
      <w:r w:rsidR="00024576" w:rsidRPr="00024576">
        <w:t xml:space="preserve">skills assessments through five pathways which differ depending on their eligibility criteria, processes, </w:t>
      </w:r>
      <w:proofErr w:type="gramStart"/>
      <w:r w:rsidR="00024576" w:rsidRPr="00024576">
        <w:t>fees</w:t>
      </w:r>
      <w:proofErr w:type="gramEnd"/>
      <w:r w:rsidR="00024576" w:rsidRPr="00024576">
        <w:t xml:space="preserve"> and final outcomes.</w:t>
      </w:r>
    </w:p>
    <w:p w14:paraId="7770146D" w14:textId="18259961" w:rsidR="00024576" w:rsidRDefault="00024576" w:rsidP="00024576">
      <w:pPr>
        <w:pStyle w:val="Heading3"/>
        <w:tabs>
          <w:tab w:val="left" w:pos="284"/>
          <w:tab w:val="left" w:pos="426"/>
        </w:tabs>
        <w:jc w:val="both"/>
      </w:pPr>
      <w:bookmarkStart w:id="5" w:name="_Toc108099411"/>
      <w:bookmarkStart w:id="6" w:name="_Toc109313701"/>
      <w:r>
        <w:t xml:space="preserve">Pathway 1: </w:t>
      </w:r>
      <w:r w:rsidRPr="002E2585">
        <w:t>Job Ready Program</w:t>
      </w:r>
      <w:bookmarkEnd w:id="5"/>
      <w:bookmarkEnd w:id="6"/>
    </w:p>
    <w:p w14:paraId="21CC936F" w14:textId="15259F32" w:rsidR="00024576" w:rsidRDefault="00024576" w:rsidP="00024576">
      <w:r>
        <w:t xml:space="preserve">Under the Job Ready Program, </w:t>
      </w:r>
      <w:r w:rsidR="00B7372B" w:rsidRPr="0034461A">
        <w:t>Trades Recognition Australia</w:t>
      </w:r>
      <w:r w:rsidR="00B7372B" w:rsidRPr="008664AC">
        <w:t xml:space="preserve"> </w:t>
      </w:r>
      <w:r w:rsidRPr="001A7942">
        <w:t xml:space="preserve">staff monitor participants as they gain relevant experience in their nominated trade in Australian workplaces. Participants </w:t>
      </w:r>
      <w:r>
        <w:t xml:space="preserve">also </w:t>
      </w:r>
      <w:r w:rsidRPr="001A7942">
        <w:t>have their work capacity verified by a qualified assessor</w:t>
      </w:r>
      <w:r>
        <w:t xml:space="preserve"> to determine if they </w:t>
      </w:r>
      <w:proofErr w:type="gramStart"/>
      <w:r>
        <w:t>are considered to be</w:t>
      </w:r>
      <w:proofErr w:type="gramEnd"/>
      <w:r>
        <w:t xml:space="preserve"> ‘job ready’</w:t>
      </w:r>
      <w:r w:rsidRPr="001A7942">
        <w:t xml:space="preserve">. </w:t>
      </w:r>
    </w:p>
    <w:p w14:paraId="4040CA4A" w14:textId="77777777" w:rsidR="00024576" w:rsidRDefault="00024576" w:rsidP="00024576">
      <w:r w:rsidRPr="001A7942">
        <w:t>The program is for international students who have graduated with a trade qualification issued by a Commonwealth Register of Institutions and Courses for Overseas Students registered training organisation (RTO) and require a skills assessment for temporary or permanent migration.</w:t>
      </w:r>
    </w:p>
    <w:p w14:paraId="109D3EDE" w14:textId="6E270B3A" w:rsidR="00024576" w:rsidRPr="004275B3" w:rsidRDefault="00024576" w:rsidP="00024576">
      <w:r w:rsidRPr="004275B3">
        <w:t>For the 2022-23 financial year</w:t>
      </w:r>
      <w:r>
        <w:t xml:space="preserve"> (</w:t>
      </w:r>
      <w:r w:rsidR="00C3689F">
        <w:t>i.e.,</w:t>
      </w:r>
      <w:r>
        <w:t xml:space="preserve"> 1 July 2022 to 30 June 2023)</w:t>
      </w:r>
      <w:r w:rsidRPr="004275B3">
        <w:t xml:space="preserve">, the </w:t>
      </w:r>
      <w:r>
        <w:t>first step of the Job Ready Program (Provisional Skills Assessment)</w:t>
      </w:r>
      <w:r w:rsidRPr="004275B3">
        <w:t xml:space="preserve"> will </w:t>
      </w:r>
      <w:r>
        <w:t>be</w:t>
      </w:r>
      <w:r w:rsidRPr="004275B3">
        <w:t xml:space="preserve"> </w:t>
      </w:r>
      <w:r>
        <w:t xml:space="preserve">replaced by a simpler registration and eligibility check </w:t>
      </w:r>
      <w:r w:rsidRPr="004275B3">
        <w:t xml:space="preserve">in response to a decision by the Minister for Immigration to remove occupation nomination and skills assessment requirements for Temporary Graduate visa Graduate Work stream applicants. </w:t>
      </w:r>
      <w:r>
        <w:t>Under current policy settings, the standard four-step employment-based skills assessment program will recommence on 1 July 2023.</w:t>
      </w:r>
    </w:p>
    <w:p w14:paraId="3590781A" w14:textId="77777777" w:rsidR="00024576" w:rsidRDefault="00024576" w:rsidP="00024576">
      <w:r>
        <w:t>The Job Ready Program is comprised of the following with a fee payable at each point:</w:t>
      </w:r>
      <w:r w:rsidRPr="004D5224">
        <w:t xml:space="preserve"> </w:t>
      </w:r>
    </w:p>
    <w:p w14:paraId="025C5B7C" w14:textId="77777777" w:rsidR="00024576" w:rsidRPr="006F30BB" w:rsidRDefault="00024576" w:rsidP="00024576">
      <w:pPr>
        <w:tabs>
          <w:tab w:val="left" w:pos="567"/>
        </w:tabs>
        <w:spacing w:after="0"/>
      </w:pPr>
      <w:r>
        <w:rPr>
          <w:rStyle w:val="Heading4Char"/>
        </w:rPr>
        <w:tab/>
      </w:r>
      <w:r w:rsidRPr="0028250C">
        <w:rPr>
          <w:rStyle w:val="Heading4Char"/>
        </w:rPr>
        <w:t>Registration and Eligibility</w:t>
      </w:r>
      <w:r>
        <w:t xml:space="preserve"> (1 July 2022 to 30 June 2023 only)</w:t>
      </w:r>
    </w:p>
    <w:p w14:paraId="2C2E55F3" w14:textId="1E63F7E9" w:rsidR="00024576" w:rsidRDefault="00024576" w:rsidP="00024576">
      <w:pPr>
        <w:ind w:left="567"/>
      </w:pPr>
      <w:r>
        <w:t xml:space="preserve">Registration and </w:t>
      </w:r>
      <w:r w:rsidR="00C3689F">
        <w:t xml:space="preserve">Eligibility </w:t>
      </w:r>
      <w:r w:rsidRPr="004275B3">
        <w:t>is a</w:t>
      </w:r>
      <w:r>
        <w:t xml:space="preserve"> preliminary</w:t>
      </w:r>
      <w:r w:rsidRPr="004275B3">
        <w:t xml:space="preserve"> desktop verification of an applicant’s Australian</w:t>
      </w:r>
      <w:r>
        <w:t xml:space="preserve"> </w:t>
      </w:r>
      <w:r w:rsidRPr="004275B3">
        <w:t>Qualifications Framework (</w:t>
      </w:r>
      <w:proofErr w:type="spellStart"/>
      <w:r w:rsidRPr="004275B3">
        <w:t>AQF</w:t>
      </w:r>
      <w:proofErr w:type="spellEnd"/>
      <w:r w:rsidRPr="004275B3">
        <w:t xml:space="preserve">) qualification and relevant employment </w:t>
      </w:r>
      <w:r>
        <w:t>to meet workplace monitoring requirements</w:t>
      </w:r>
      <w:r w:rsidRPr="004275B3">
        <w:t xml:space="preserve">. This </w:t>
      </w:r>
      <w:r>
        <w:t>activity</w:t>
      </w:r>
      <w:r w:rsidRPr="004275B3">
        <w:t xml:space="preserve"> is undertaken by </w:t>
      </w:r>
      <w:r w:rsidR="00B7372B" w:rsidRPr="0034461A">
        <w:t>Trades Recognition Australia</w:t>
      </w:r>
      <w:r w:rsidR="00B7372B" w:rsidRPr="008664AC">
        <w:t xml:space="preserve"> </w:t>
      </w:r>
      <w:r w:rsidRPr="004275B3">
        <w:t xml:space="preserve">staff and a successful outcome </w:t>
      </w:r>
      <w:r>
        <w:t>will enable a participant to progress through the Job Ready Program</w:t>
      </w:r>
      <w:r w:rsidRPr="004275B3">
        <w:t xml:space="preserve">. </w:t>
      </w:r>
    </w:p>
    <w:p w14:paraId="08A42413" w14:textId="77777777" w:rsidR="00024576" w:rsidRPr="006F30BB" w:rsidRDefault="00024576" w:rsidP="00024576">
      <w:pPr>
        <w:tabs>
          <w:tab w:val="left" w:pos="567"/>
        </w:tabs>
        <w:spacing w:after="0"/>
      </w:pPr>
      <w:r>
        <w:rPr>
          <w:rStyle w:val="Heading4Char"/>
        </w:rPr>
        <w:tab/>
      </w:r>
      <w:r w:rsidRPr="0028250C">
        <w:rPr>
          <w:rStyle w:val="Heading4Char"/>
        </w:rPr>
        <w:t>Provisional Skills Assessment</w:t>
      </w:r>
      <w:r>
        <w:t xml:space="preserve"> (resumption from 1 July 2023)</w:t>
      </w:r>
    </w:p>
    <w:p w14:paraId="1C089A63" w14:textId="0DAF6AF0" w:rsidR="00024576" w:rsidRDefault="00024576" w:rsidP="00024576">
      <w:pPr>
        <w:ind w:left="567"/>
      </w:pPr>
      <w:r w:rsidRPr="006F30BB">
        <w:t>Provisional Skills Assessment is a desktop verification of an applicant’s Australian Qualifications Framework qualification and any relevant employment or vocational placement undertaken in an Australian</w:t>
      </w:r>
      <w:r>
        <w:t xml:space="preserve"> </w:t>
      </w:r>
      <w:r w:rsidRPr="006F30BB">
        <w:t xml:space="preserve">workplace. This step is undertaken by </w:t>
      </w:r>
      <w:r w:rsidR="00B7372B" w:rsidRPr="0034461A">
        <w:t>Trades Recognition Australia</w:t>
      </w:r>
      <w:r w:rsidR="00B7372B" w:rsidRPr="008664AC">
        <w:t xml:space="preserve"> </w:t>
      </w:r>
      <w:r w:rsidRPr="006F30BB">
        <w:t>staff and a successful outcome can be used for a Temporary Graduate work stream visa (subclass 485)</w:t>
      </w:r>
      <w:r>
        <w:t xml:space="preserve"> and will enable a participant to progress through the Job Ready Program</w:t>
      </w:r>
      <w:r w:rsidRPr="006F30BB">
        <w:t>.</w:t>
      </w:r>
      <w:r w:rsidRPr="004275B3">
        <w:t xml:space="preserve"> </w:t>
      </w:r>
    </w:p>
    <w:p w14:paraId="11178542" w14:textId="77777777" w:rsidR="00024576" w:rsidRDefault="00024576" w:rsidP="00024576">
      <w:pPr>
        <w:pStyle w:val="Heading4"/>
        <w:tabs>
          <w:tab w:val="center" w:pos="1560"/>
        </w:tabs>
        <w:ind w:left="567"/>
      </w:pPr>
      <w:r>
        <w:tab/>
      </w:r>
      <w:r w:rsidRPr="0028250C">
        <w:t>Job Ready Employment</w:t>
      </w:r>
      <w:r>
        <w:t xml:space="preserve"> </w:t>
      </w:r>
    </w:p>
    <w:p w14:paraId="4E5FFEC8" w14:textId="095FFAB4" w:rsidR="00024576" w:rsidRDefault="00024576" w:rsidP="00024576">
      <w:pPr>
        <w:ind w:left="567"/>
      </w:pPr>
      <w:r>
        <w:t xml:space="preserve">Job Ready Employment is </w:t>
      </w:r>
      <w:r w:rsidRPr="001A7942">
        <w:t xml:space="preserve">undertaken by </w:t>
      </w:r>
      <w:r w:rsidR="00B7372B" w:rsidRPr="0034461A">
        <w:t>Trades Recognition Australia</w:t>
      </w:r>
      <w:r w:rsidR="00B7372B" w:rsidRPr="008664AC">
        <w:t xml:space="preserve"> </w:t>
      </w:r>
      <w:r w:rsidRPr="001A7942">
        <w:t>staff who monitor a participant over a minimum 12</w:t>
      </w:r>
      <w:r>
        <w:noBreakHyphen/>
      </w:r>
      <w:r w:rsidRPr="001A7942">
        <w:t>month period as they gain experience in an Australian workplace to further develop skills relevant to their nominated occupation.</w:t>
      </w:r>
    </w:p>
    <w:p w14:paraId="53BE1546" w14:textId="77777777" w:rsidR="00024576" w:rsidRPr="005160BD" w:rsidRDefault="00024576" w:rsidP="00024576">
      <w:pPr>
        <w:pStyle w:val="Heading4"/>
        <w:ind w:firstLine="567"/>
      </w:pPr>
      <w:r w:rsidRPr="00AD223D">
        <w:lastRenderedPageBreak/>
        <w:t>Job Ready Workplace Assessment</w:t>
      </w:r>
    </w:p>
    <w:p w14:paraId="3E42F75F" w14:textId="6AE69898" w:rsidR="00024576" w:rsidRDefault="00024576" w:rsidP="00024576">
      <w:pPr>
        <w:ind w:left="567"/>
      </w:pPr>
      <w:r>
        <w:t xml:space="preserve">These assessments are </w:t>
      </w:r>
      <w:r w:rsidRPr="004275B3">
        <w:t xml:space="preserve">undertaken by </w:t>
      </w:r>
      <w:r w:rsidR="00B7372B" w:rsidRPr="0034461A">
        <w:t>Trades Recognition Australia</w:t>
      </w:r>
      <w:r w:rsidR="00B7372B" w:rsidRPr="008664AC">
        <w:t xml:space="preserve"> </w:t>
      </w:r>
      <w:r w:rsidRPr="004275B3">
        <w:t xml:space="preserve">approved </w:t>
      </w:r>
      <w:r>
        <w:t>RTOs</w:t>
      </w:r>
      <w:r w:rsidRPr="004275B3">
        <w:t xml:space="preserve"> contracted to deliver this service. It is generally conducted in the participant’s workplace to determine whether they are working at the required skill level for their nominated occupation.</w:t>
      </w:r>
    </w:p>
    <w:p w14:paraId="2A18C24B" w14:textId="77777777" w:rsidR="00024576" w:rsidRPr="005160BD" w:rsidRDefault="00024576" w:rsidP="00024576">
      <w:pPr>
        <w:pStyle w:val="Heading4"/>
        <w:ind w:firstLine="567"/>
      </w:pPr>
      <w:r w:rsidRPr="00AD223D">
        <w:t>Job Ready Final Assessment</w:t>
      </w:r>
    </w:p>
    <w:p w14:paraId="12E2755D" w14:textId="3B073554" w:rsidR="00024576" w:rsidRPr="004275B3" w:rsidRDefault="00024576" w:rsidP="00024576">
      <w:pPr>
        <w:ind w:left="567"/>
      </w:pPr>
      <w:r>
        <w:t xml:space="preserve">The final assessment is undertaken </w:t>
      </w:r>
      <w:r w:rsidRPr="001A7942">
        <w:t xml:space="preserve">by </w:t>
      </w:r>
      <w:r w:rsidR="00B7372B" w:rsidRPr="0034461A">
        <w:t>Trades Recognition Australia</w:t>
      </w:r>
      <w:r w:rsidR="00B7372B" w:rsidRPr="008664AC">
        <w:t xml:space="preserve"> </w:t>
      </w:r>
      <w:r w:rsidRPr="001A7942">
        <w:t>staff</w:t>
      </w:r>
      <w:r>
        <w:t xml:space="preserve"> once the participant has met program requirements with the issuing of a</w:t>
      </w:r>
      <w:r w:rsidRPr="001A7942">
        <w:t xml:space="preserve"> successful outcome</w:t>
      </w:r>
      <w:r>
        <w:t>. The outcome</w:t>
      </w:r>
      <w:r w:rsidRPr="001A7942">
        <w:t xml:space="preserve"> will satisfy the skills assessment requirement for an application with Home Affairs for an independent skilled migration visa.</w:t>
      </w:r>
    </w:p>
    <w:p w14:paraId="14BD3A84" w14:textId="7579EB43" w:rsidR="00024576" w:rsidRDefault="00024576" w:rsidP="00024576">
      <w:pPr>
        <w:pStyle w:val="Heading3"/>
        <w:tabs>
          <w:tab w:val="left" w:pos="284"/>
          <w:tab w:val="left" w:pos="426"/>
        </w:tabs>
        <w:jc w:val="both"/>
      </w:pPr>
      <w:bookmarkStart w:id="7" w:name="_Toc108099412"/>
      <w:bookmarkStart w:id="8" w:name="_Toc109313702"/>
      <w:r w:rsidRPr="002E2585">
        <w:t xml:space="preserve">Pathway </w:t>
      </w:r>
      <w:r>
        <w:t>2</w:t>
      </w:r>
      <w:r w:rsidRPr="002E2585">
        <w:t xml:space="preserve">: </w:t>
      </w:r>
      <w:r w:rsidRPr="00355D64">
        <w:t xml:space="preserve">Migration </w:t>
      </w:r>
      <w:r>
        <w:t>Skills Assessment</w:t>
      </w:r>
      <w:bookmarkEnd w:id="7"/>
      <w:bookmarkEnd w:id="8"/>
    </w:p>
    <w:p w14:paraId="3A7AA99A" w14:textId="6F3AA7CE" w:rsidR="00024576" w:rsidRDefault="00024576" w:rsidP="00024576">
      <w:r>
        <w:t>Migration Skills Assessment is</w:t>
      </w:r>
      <w:r w:rsidRPr="004D5224">
        <w:t xml:space="preserve"> available to anyone, onshore and offshore, applying for a permanent skilled migration visa in an occupation and country that are not required to be assessed by another </w:t>
      </w:r>
      <w:r w:rsidR="00B7372B" w:rsidRPr="0034461A">
        <w:t>Trades Recognition Australia</w:t>
      </w:r>
      <w:r w:rsidR="00B7372B" w:rsidRPr="008664AC">
        <w:t xml:space="preserve"> </w:t>
      </w:r>
      <w:r w:rsidRPr="004D5224">
        <w:t xml:space="preserve">pathway. To be eligible, an applicant’s occupation must be listed on the Medium and Long-term Strategic Skills List or the Short-term Skilled Occupations List, must be directly relevant to their qualification or apprenticeship and must be directly relevant to their employment. </w:t>
      </w:r>
    </w:p>
    <w:p w14:paraId="0EC95602" w14:textId="77777777" w:rsidR="00024576" w:rsidRDefault="00024576" w:rsidP="00024576">
      <w:r w:rsidRPr="004D5224">
        <w:t xml:space="preserve">The </w:t>
      </w:r>
      <w:r>
        <w:t xml:space="preserve">Migration Skills Assessment </w:t>
      </w:r>
      <w:r w:rsidRPr="004D5224">
        <w:t xml:space="preserve">is a documentary evidence-based assessment of an applicant’s qualification and employment history to determine whether this is comparable with Australian standards for a skilled worker in their nominated occupation. </w:t>
      </w:r>
    </w:p>
    <w:p w14:paraId="5CF55521" w14:textId="38A71100" w:rsidR="00024576" w:rsidRPr="002E2585" w:rsidRDefault="00B7372B" w:rsidP="00024576">
      <w:pPr>
        <w:rPr>
          <w:b/>
          <w:bCs/>
        </w:rPr>
      </w:pPr>
      <w:r w:rsidRPr="0034461A">
        <w:t>Trades Recognition Australia</w:t>
      </w:r>
      <w:r w:rsidRPr="008664AC">
        <w:t xml:space="preserve"> </w:t>
      </w:r>
      <w:r w:rsidR="00024576" w:rsidRPr="004D5224">
        <w:t>staff review the</w:t>
      </w:r>
      <w:r w:rsidR="00024576">
        <w:t xml:space="preserve"> verifiable</w:t>
      </w:r>
      <w:r w:rsidR="00024576" w:rsidRPr="004D5224">
        <w:t xml:space="preserve"> documentary evidence provided by applicants </w:t>
      </w:r>
      <w:r w:rsidR="00024576">
        <w:t>to confirm it is</w:t>
      </w:r>
      <w:r w:rsidR="00024576" w:rsidRPr="004D5224">
        <w:t xml:space="preserve"> comparable to an </w:t>
      </w:r>
      <w:proofErr w:type="spellStart"/>
      <w:r w:rsidR="00024576">
        <w:t>AQF</w:t>
      </w:r>
      <w:proofErr w:type="spellEnd"/>
      <w:r w:rsidR="00024576" w:rsidRPr="004D5224">
        <w:t xml:space="preserve"> qualification for the applicants’ nominated occupation, as well as employment evidence demonstrating the applicants’ skills and experience at the standard necessary to work in their nominated occupation in Australia.</w:t>
      </w:r>
    </w:p>
    <w:p w14:paraId="4ACFBAFD" w14:textId="61435F0D" w:rsidR="00024576" w:rsidRPr="002E2585" w:rsidRDefault="00024576" w:rsidP="00024576">
      <w:pPr>
        <w:pStyle w:val="Heading3"/>
        <w:tabs>
          <w:tab w:val="left" w:pos="284"/>
          <w:tab w:val="left" w:pos="426"/>
        </w:tabs>
        <w:jc w:val="both"/>
      </w:pPr>
      <w:bookmarkStart w:id="9" w:name="_Toc108099413"/>
      <w:bookmarkStart w:id="10" w:name="_Toc109313703"/>
      <w:r w:rsidRPr="002E2585">
        <w:t xml:space="preserve">Pathway </w:t>
      </w:r>
      <w:r>
        <w:t>3</w:t>
      </w:r>
      <w:r w:rsidRPr="002E2585">
        <w:t>: Migration Points Advice</w:t>
      </w:r>
      <w:bookmarkEnd w:id="9"/>
      <w:bookmarkEnd w:id="10"/>
    </w:p>
    <w:p w14:paraId="2170738E" w14:textId="218E80FD" w:rsidR="0036481C" w:rsidRDefault="0036481C" w:rsidP="00024576">
      <w:r w:rsidRPr="0036481C">
        <w:t xml:space="preserve">The </w:t>
      </w:r>
      <w:r w:rsidR="003E2988">
        <w:t xml:space="preserve">Migration Points Advice </w:t>
      </w:r>
      <w:r w:rsidRPr="0036481C">
        <w:t xml:space="preserve">program is </w:t>
      </w:r>
      <w:r w:rsidR="00D52315">
        <w:t xml:space="preserve">available </w:t>
      </w:r>
      <w:r w:rsidRPr="0036481C">
        <w:t xml:space="preserve">for </w:t>
      </w:r>
      <w:r w:rsidRPr="004D5224">
        <w:t xml:space="preserve">anyone, onshore </w:t>
      </w:r>
      <w:r>
        <w:t>or</w:t>
      </w:r>
      <w:r w:rsidRPr="004D5224">
        <w:t xml:space="preserve"> offshore</w:t>
      </w:r>
      <w:r>
        <w:t>,</w:t>
      </w:r>
      <w:r w:rsidRPr="0036481C">
        <w:t xml:space="preserve"> with a successful Trades Recognition Australia skills assessment outcome</w:t>
      </w:r>
      <w:r>
        <w:t>,</w:t>
      </w:r>
      <w:r w:rsidRPr="0036481C">
        <w:t xml:space="preserve"> who want</w:t>
      </w:r>
      <w:r>
        <w:t>s</w:t>
      </w:r>
      <w:r w:rsidRPr="0036481C">
        <w:t xml:space="preserve"> to apply to the Department of Home Affairs for a points-tested, independent skilled migration visa.</w:t>
      </w:r>
    </w:p>
    <w:p w14:paraId="65A3F0A9" w14:textId="77777777" w:rsidR="00024576" w:rsidRDefault="00024576" w:rsidP="00024576">
      <w:r w:rsidRPr="004D5224">
        <w:t xml:space="preserve">The </w:t>
      </w:r>
      <w:r>
        <w:t>Migration Points Advice</w:t>
      </w:r>
      <w:r w:rsidRPr="004D5224">
        <w:t xml:space="preserve"> is a documentary evidence-based assessment which is used to meet Home Affairs points requirements for skilled migration. A </w:t>
      </w:r>
      <w:r>
        <w:t>Migration Points Advice</w:t>
      </w:r>
      <w:r w:rsidRPr="004D5224">
        <w:t xml:space="preserve"> identifies an applicant’s comparable qualifications and periods of relevant employment. </w:t>
      </w:r>
    </w:p>
    <w:p w14:paraId="5D547210" w14:textId="13D69E19" w:rsidR="00024576" w:rsidRDefault="00B7372B" w:rsidP="00024576">
      <w:r w:rsidRPr="0034461A">
        <w:t>Trades Recognition Australia</w:t>
      </w:r>
      <w:r w:rsidRPr="008664AC">
        <w:t xml:space="preserve"> </w:t>
      </w:r>
      <w:r w:rsidR="00024576" w:rsidRPr="004D5224">
        <w:t>staff review the</w:t>
      </w:r>
      <w:r w:rsidR="00024576">
        <w:t xml:space="preserve"> verifiable</w:t>
      </w:r>
      <w:r w:rsidR="00024576" w:rsidRPr="004D5224">
        <w:t xml:space="preserve"> documentary evidence provided by applicants </w:t>
      </w:r>
      <w:r w:rsidR="00024576">
        <w:t>to confirm it is</w:t>
      </w:r>
      <w:r w:rsidR="00024576" w:rsidRPr="004D5224">
        <w:t xml:space="preserve"> comparable to an </w:t>
      </w:r>
      <w:proofErr w:type="spellStart"/>
      <w:r w:rsidR="00024576" w:rsidRPr="004D5224">
        <w:t>AQF</w:t>
      </w:r>
      <w:proofErr w:type="spellEnd"/>
      <w:r w:rsidR="00024576" w:rsidRPr="004D5224">
        <w:t xml:space="preserve"> qualification for the applicants’ nominated occupation, as well as employment evidence demonstrating the applicants’ skills and experience at the standard necessary to work in their nominated occupation in Australia.</w:t>
      </w:r>
    </w:p>
    <w:p w14:paraId="0BA8B485" w14:textId="70A25D59" w:rsidR="00024576" w:rsidRDefault="00024576" w:rsidP="00024576">
      <w:pPr>
        <w:pStyle w:val="Heading3"/>
        <w:tabs>
          <w:tab w:val="left" w:pos="0"/>
          <w:tab w:val="left" w:pos="426"/>
        </w:tabs>
        <w:jc w:val="both"/>
      </w:pPr>
      <w:bookmarkStart w:id="11" w:name="_Toc108099414"/>
      <w:bookmarkStart w:id="12" w:name="_Toc109313704"/>
      <w:r>
        <w:t>Pathway 4 and 5</w:t>
      </w:r>
      <w:r w:rsidRPr="002E2585">
        <w:t>: RTO Assessment Services</w:t>
      </w:r>
      <w:r>
        <w:t xml:space="preserve"> | Offshore Skills Assessment Program and the Temporary Skills Shortage Skills Assessment</w:t>
      </w:r>
      <w:bookmarkEnd w:id="11"/>
      <w:bookmarkEnd w:id="12"/>
      <w:r>
        <w:t xml:space="preserve"> </w:t>
      </w:r>
    </w:p>
    <w:p w14:paraId="62220A96" w14:textId="48C83C47" w:rsidR="00024576" w:rsidRDefault="00024576" w:rsidP="00024576">
      <w:r>
        <w:t xml:space="preserve">The Offshore Skills Assessment Program and Temporary Skills Shortage Skills Assessment Program are for permanent and temporary migration respectively. </w:t>
      </w:r>
      <w:r w:rsidR="00B7372B" w:rsidRPr="0034461A">
        <w:t>Trades Recognition Australia</w:t>
      </w:r>
      <w:r w:rsidR="00B7372B" w:rsidRPr="008664AC">
        <w:t xml:space="preserve"> </w:t>
      </w:r>
      <w:r>
        <w:t xml:space="preserve">engages RTOs </w:t>
      </w:r>
      <w:r>
        <w:lastRenderedPageBreak/>
        <w:t>to perform aspects of the skills assessment process on its behalf under these programs. The skills assessments are for non</w:t>
      </w:r>
      <w:r>
        <w:noBreakHyphen/>
        <w:t>Australian passport holders who have gained trade skills overseas or in Australia in nominated occupations (Offshore Skills Assessment Program has 30 and Temporary Skills Shortage Skills Assessment Program has 23) for the purpose of migration and skills recognition</w:t>
      </w:r>
    </w:p>
    <w:p w14:paraId="4EFD0624" w14:textId="77777777" w:rsidR="00024576" w:rsidRDefault="00024576" w:rsidP="00024576">
      <w:r>
        <w:t xml:space="preserve">The skills assessment begins with a documentary evidence assessment that reviews the documents that provide evidence of the applicant’s identification, </w:t>
      </w:r>
      <w:proofErr w:type="gramStart"/>
      <w:r>
        <w:t>qualifications</w:t>
      </w:r>
      <w:proofErr w:type="gramEnd"/>
      <w:r>
        <w:t xml:space="preserve"> and employment experience.</w:t>
      </w:r>
    </w:p>
    <w:p w14:paraId="5BE17143" w14:textId="77777777" w:rsidR="00024576" w:rsidRDefault="00024576" w:rsidP="00024576">
      <w:r>
        <w:t xml:space="preserve">If successful, the applicant will be required to participate in a technical assessment of skills and knowledge, conducted by a qualified assessor who will also be a qualified tradesperson in your nominated occupation. </w:t>
      </w:r>
    </w:p>
    <w:p w14:paraId="72C2FD8A" w14:textId="77777777" w:rsidR="00024576" w:rsidRDefault="00024576" w:rsidP="00024576">
      <w:r>
        <w:t xml:space="preserve">The assessor collects evidence to determine if the applicant </w:t>
      </w:r>
      <w:proofErr w:type="gramStart"/>
      <w:r>
        <w:t>is capable of undertaking</w:t>
      </w:r>
      <w:proofErr w:type="gramEnd"/>
      <w:r>
        <w:t xml:space="preserve"> the full range of tasks expected of a tradesperson in Australia for the nominated occupation against the Australian qualification nominated for that occupation. This will involve a technical interview of skills and gathering evidence from nominated employers or other referees.</w:t>
      </w:r>
    </w:p>
    <w:p w14:paraId="3D858E0B" w14:textId="77777777" w:rsidR="00024576" w:rsidRDefault="00024576" w:rsidP="00024576">
      <w:r>
        <w:t>If the applicant is applying for a nominated occupation that requires a licence, a practical assessment will also take place. The four nominated licenced occupations are Airconditioning and Refrigeration Mechanic, Electrician (General), Electrician (Special Class) and Plumber (General).</w:t>
      </w:r>
    </w:p>
    <w:p w14:paraId="47A72006" w14:textId="77777777" w:rsidR="00024576" w:rsidRDefault="00024576" w:rsidP="00024576">
      <w:r>
        <w:t>Successful applicants in the non-licensed occupations will be awarded the relevant Australian VET qualification, if they do not already hold one, and a skilled migration outcome letter that can be used to support a visa application. If the occupation was licenced, the applicant will receive the skilled migration outcome letter as well as an Offshore Technical Skills Record that will allow the applicant to seek provisional licencing while they undertake additional work experience and training before being the qualification and granted a full licence (upon application to the relevant authority in their chosen jurisdiction).</w:t>
      </w:r>
    </w:p>
    <w:p w14:paraId="718472D3" w14:textId="77777777" w:rsidR="00024576" w:rsidRDefault="00024576" w:rsidP="00024576">
      <w:r>
        <w:t>The only material difference between the assessment processes is that Temporary Skills Shortage Skills Assessment is aligned to a specific visa class and is expected to take no more than nine weeks from the first application payment to completion while Offshore Skills Assessment Program is expected to take no more than 15 weeks.</w:t>
      </w:r>
    </w:p>
    <w:p w14:paraId="3EF20D2C" w14:textId="337C3977" w:rsidR="0034461A" w:rsidRPr="00F51C18" w:rsidRDefault="0034461A" w:rsidP="00563815">
      <w:pPr>
        <w:pStyle w:val="Heading1"/>
        <w:numPr>
          <w:ilvl w:val="0"/>
          <w:numId w:val="20"/>
        </w:numPr>
      </w:pPr>
      <w:bookmarkStart w:id="13" w:name="_Toc109313705"/>
      <w:r>
        <w:t>Cost recovery framework</w:t>
      </w:r>
      <w:bookmarkEnd w:id="13"/>
    </w:p>
    <w:p w14:paraId="220E4A24" w14:textId="77777777" w:rsidR="00B7372B" w:rsidRDefault="00024576" w:rsidP="00563815">
      <w:r w:rsidRPr="00024576">
        <w:t xml:space="preserve">The </w:t>
      </w:r>
      <w:r w:rsidRPr="00563815">
        <w:t>Charging Framework</w:t>
      </w:r>
      <w:r w:rsidRPr="00024576">
        <w:t>, including the Government’s Cost Recovery Guidelines (</w:t>
      </w:r>
      <w:proofErr w:type="spellStart"/>
      <w:r w:rsidRPr="00024576">
        <w:t>CRGs</w:t>
      </w:r>
      <w:proofErr w:type="spellEnd"/>
      <w:r w:rsidRPr="00024576">
        <w:t xml:space="preserve">), sets out the overarching framework under which government entities design, implement and review cost recovered activities. The Government’s overarching charging policy is that, where appropriate, non-government recipients of regulatory activities should be charged some or </w:t>
      </w:r>
      <w:proofErr w:type="gramStart"/>
      <w:r w:rsidRPr="00024576">
        <w:t>all of</w:t>
      </w:r>
      <w:proofErr w:type="gramEnd"/>
      <w:r w:rsidRPr="00024576">
        <w:t xml:space="preserve"> the efficient costs those activities. </w:t>
      </w:r>
    </w:p>
    <w:p w14:paraId="1071D061" w14:textId="664FE4ED" w:rsidR="00024576" w:rsidRPr="00563815" w:rsidRDefault="00024576" w:rsidP="00563815">
      <w:r w:rsidRPr="00024576">
        <w:t xml:space="preserve">The cost recovery policy promotes consistent, </w:t>
      </w:r>
      <w:proofErr w:type="gramStart"/>
      <w:r w:rsidRPr="00024576">
        <w:t>transparent</w:t>
      </w:r>
      <w:proofErr w:type="gramEnd"/>
      <w:r w:rsidRPr="00024576">
        <w:t xml:space="preserve"> and accountable charging for government regulatory activity and supports the proper use of public resources.</w:t>
      </w:r>
    </w:p>
    <w:p w14:paraId="03863AFB" w14:textId="7AD75FC9" w:rsidR="0034461A" w:rsidRPr="00F51C18" w:rsidRDefault="0034461A" w:rsidP="00563815">
      <w:pPr>
        <w:pStyle w:val="Heading1"/>
        <w:numPr>
          <w:ilvl w:val="0"/>
          <w:numId w:val="20"/>
        </w:numPr>
        <w:spacing w:before="0"/>
      </w:pPr>
      <w:bookmarkStart w:id="14" w:name="_Toc109313706"/>
      <w:r>
        <w:lastRenderedPageBreak/>
        <w:t>Cost recovery model</w:t>
      </w:r>
      <w:bookmarkEnd w:id="14"/>
    </w:p>
    <w:p w14:paraId="168DA5DB" w14:textId="77777777" w:rsidR="00024576" w:rsidRDefault="00024576" w:rsidP="00024576">
      <w:r>
        <w:t xml:space="preserve">The </w:t>
      </w:r>
      <w:proofErr w:type="spellStart"/>
      <w:r>
        <w:t>CRGs</w:t>
      </w:r>
      <w:proofErr w:type="spellEnd"/>
      <w:r>
        <w:t xml:space="preserve"> note the need to break down the activity into distinct outputs and the key business processes that are used to produce those outputs. These outputs should have a discernible link with the costs, </w:t>
      </w:r>
      <w:proofErr w:type="gramStart"/>
      <w:r>
        <w:t>charges</w:t>
      </w:r>
      <w:proofErr w:type="gramEnd"/>
      <w:r>
        <w:t xml:space="preserve"> and performance of the activity.</w:t>
      </w:r>
    </w:p>
    <w:p w14:paraId="53208073" w14:textId="36F25FD2" w:rsidR="00024576" w:rsidRDefault="00024576" w:rsidP="00024576">
      <w:r>
        <w:t xml:space="preserve">This section describes the outputs and business processes for </w:t>
      </w:r>
      <w:r w:rsidR="00B7372B" w:rsidRPr="0034461A">
        <w:t>Trades Recognition Australia</w:t>
      </w:r>
      <w:r>
        <w:t>’s activities.</w:t>
      </w:r>
    </w:p>
    <w:p w14:paraId="739E5E0E" w14:textId="04A75A94" w:rsidR="00024576" w:rsidRDefault="00B7372B" w:rsidP="00024576">
      <w:r w:rsidRPr="0034461A">
        <w:t>Trades Recognition Australia</w:t>
      </w:r>
      <w:r w:rsidR="00024576">
        <w:t xml:space="preserve"> has two activities, which are:</w:t>
      </w:r>
    </w:p>
    <w:p w14:paraId="1D8B3507" w14:textId="1C168399" w:rsidR="00024576" w:rsidRDefault="00024576" w:rsidP="00024576">
      <w:pPr>
        <w:pStyle w:val="Default"/>
        <w:numPr>
          <w:ilvl w:val="0"/>
          <w:numId w:val="19"/>
        </w:numPr>
        <w:spacing w:after="164"/>
        <w:rPr>
          <w:rFonts w:ascii="Calibri" w:hAnsi="Calibri" w:cs="Calibri"/>
          <w:sz w:val="22"/>
          <w:szCs w:val="22"/>
        </w:rPr>
      </w:pPr>
      <w:r>
        <w:rPr>
          <w:rFonts w:ascii="Calibri" w:hAnsi="Calibri" w:cs="Calibri"/>
          <w:sz w:val="22"/>
          <w:szCs w:val="22"/>
        </w:rPr>
        <w:t xml:space="preserve">Assessing applications and reviews, which contains outputs and business processes that are assessment-based (initiated by an application to </w:t>
      </w:r>
      <w:r w:rsidR="00B7372B" w:rsidRPr="00B7372B">
        <w:rPr>
          <w:rFonts w:ascii="Calibri" w:hAnsi="Calibri" w:cs="Calibri"/>
          <w:sz w:val="22"/>
          <w:szCs w:val="22"/>
        </w:rPr>
        <w:t xml:space="preserve">Trades Recognition Australia </w:t>
      </w:r>
      <w:r>
        <w:rPr>
          <w:rFonts w:ascii="Calibri" w:hAnsi="Calibri" w:cs="Calibri"/>
          <w:sz w:val="22"/>
          <w:szCs w:val="22"/>
        </w:rPr>
        <w:t xml:space="preserve">for a </w:t>
      </w:r>
      <w:r w:rsidR="005925C9">
        <w:rPr>
          <w:rFonts w:ascii="Calibri" w:hAnsi="Calibri" w:cs="Calibri"/>
          <w:sz w:val="22"/>
          <w:szCs w:val="22"/>
        </w:rPr>
        <w:t xml:space="preserve">migrant </w:t>
      </w:r>
      <w:r>
        <w:rPr>
          <w:rFonts w:ascii="Calibri" w:hAnsi="Calibri" w:cs="Calibri"/>
          <w:sz w:val="22"/>
          <w:szCs w:val="22"/>
        </w:rPr>
        <w:t xml:space="preserve">skills assessment), and </w:t>
      </w:r>
    </w:p>
    <w:p w14:paraId="07AADBCA" w14:textId="158B7C2A" w:rsidR="00024576" w:rsidRDefault="00024576" w:rsidP="00024576">
      <w:pPr>
        <w:pStyle w:val="Default"/>
        <w:numPr>
          <w:ilvl w:val="0"/>
          <w:numId w:val="19"/>
        </w:numPr>
        <w:rPr>
          <w:rFonts w:ascii="Calibri" w:hAnsi="Calibri" w:cs="Calibri"/>
          <w:sz w:val="22"/>
          <w:szCs w:val="22"/>
        </w:rPr>
      </w:pPr>
      <w:r w:rsidRPr="00024576">
        <w:rPr>
          <w:rFonts w:ascii="Calibri" w:hAnsi="Calibri" w:cs="Calibri"/>
          <w:sz w:val="22"/>
          <w:szCs w:val="22"/>
        </w:rPr>
        <w:t xml:space="preserve">Program management and administration, which contains outputs and business processes that are non-assessment-based (initiated by </w:t>
      </w:r>
      <w:r w:rsidR="00B7372B" w:rsidRPr="00B7372B">
        <w:rPr>
          <w:rFonts w:ascii="Calibri" w:hAnsi="Calibri" w:cs="Calibri"/>
          <w:sz w:val="22"/>
          <w:szCs w:val="22"/>
        </w:rPr>
        <w:t xml:space="preserve">Trades Recognition Australia </w:t>
      </w:r>
      <w:r w:rsidRPr="00024576">
        <w:rPr>
          <w:rFonts w:ascii="Calibri" w:hAnsi="Calibri" w:cs="Calibri"/>
          <w:sz w:val="22"/>
          <w:szCs w:val="22"/>
        </w:rPr>
        <w:t xml:space="preserve">for business-as-usual operations). </w:t>
      </w:r>
    </w:p>
    <w:p w14:paraId="11E9B915" w14:textId="77777777" w:rsidR="00024576" w:rsidRPr="00024576" w:rsidRDefault="00024576" w:rsidP="00024576">
      <w:pPr>
        <w:pStyle w:val="Default"/>
        <w:ind w:left="720"/>
        <w:rPr>
          <w:rFonts w:ascii="Calibri" w:hAnsi="Calibri" w:cs="Calibri"/>
          <w:sz w:val="22"/>
          <w:szCs w:val="22"/>
        </w:rPr>
      </w:pPr>
    </w:p>
    <w:p w14:paraId="7CF1F438" w14:textId="77777777" w:rsidR="00024576" w:rsidRDefault="00024576" w:rsidP="00024576">
      <w:r>
        <w:t>These activities are broken down into the outputs and business processes in Figures 1 and 2. The outputs and associated business processes are based on the department’s assessment of key regulatory impacts of the program.</w:t>
      </w:r>
    </w:p>
    <w:p w14:paraId="2E7CE152" w14:textId="77777777" w:rsidR="00B7372B" w:rsidRDefault="00024576" w:rsidP="00024576">
      <w:r>
        <w:t xml:space="preserve">The business processes associated with effort expended on assessing applications and reviews are shown in Figure 1, while business processes associated with effort expended on program management and administration, including IT maintenance and compliance, are shown in Figure 2. </w:t>
      </w:r>
    </w:p>
    <w:p w14:paraId="51E11DF6" w14:textId="23271C7E" w:rsidR="00024576" w:rsidRDefault="00024576" w:rsidP="00024576">
      <w:r>
        <w:t xml:space="preserve">These types of cost recovery activities, and their corresponding outputs and business processes, are consistent with the </w:t>
      </w:r>
      <w:proofErr w:type="spellStart"/>
      <w:r>
        <w:t>CRGs</w:t>
      </w:r>
      <w:proofErr w:type="spellEnd"/>
      <w:r>
        <w:t>.</w:t>
      </w:r>
    </w:p>
    <w:p w14:paraId="251FBF8D" w14:textId="77777777" w:rsidR="00563815" w:rsidRPr="00A331F2" w:rsidRDefault="00563815" w:rsidP="00563815">
      <w:pPr>
        <w:pStyle w:val="Heading3"/>
        <w:tabs>
          <w:tab w:val="left" w:pos="284"/>
        </w:tabs>
      </w:pPr>
      <w:r>
        <w:tab/>
      </w:r>
      <w:bookmarkStart w:id="15" w:name="_Toc108099422"/>
      <w:bookmarkStart w:id="16" w:name="_Toc109313707"/>
      <w:r>
        <w:t>Figure 1. Activity 1 –applications delivery and review.</w:t>
      </w:r>
      <w:bookmarkEnd w:id="15"/>
      <w:bookmarkEnd w:id="16"/>
    </w:p>
    <w:p w14:paraId="4E0451EC" w14:textId="77777777" w:rsidR="00563815" w:rsidRDefault="00563815" w:rsidP="00563815">
      <w:r>
        <w:rPr>
          <w:noProof/>
        </w:rPr>
        <w:drawing>
          <wp:inline distT="0" distB="0" distL="0" distR="0" wp14:anchorId="06153527" wp14:editId="76A4D110">
            <wp:extent cx="6235700" cy="2606040"/>
            <wp:effectExtent l="38100" t="0" r="12700" b="38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989CCC9" w14:textId="77777777" w:rsidR="00563815" w:rsidRPr="00A331F2" w:rsidRDefault="00563815" w:rsidP="00563815">
      <w:pPr>
        <w:pStyle w:val="Heading3"/>
        <w:tabs>
          <w:tab w:val="left" w:pos="284"/>
        </w:tabs>
      </w:pPr>
      <w:r>
        <w:lastRenderedPageBreak/>
        <w:tab/>
      </w:r>
      <w:bookmarkStart w:id="17" w:name="_Toc108099423"/>
      <w:bookmarkStart w:id="18" w:name="_Toc109313708"/>
      <w:r>
        <w:t>Figure 2. Activity 2 – program management and administration.</w:t>
      </w:r>
      <w:bookmarkEnd w:id="17"/>
      <w:bookmarkEnd w:id="18"/>
    </w:p>
    <w:p w14:paraId="16821FCD" w14:textId="77777777" w:rsidR="00563815" w:rsidRDefault="00563815" w:rsidP="00563815">
      <w:r>
        <w:rPr>
          <w:noProof/>
        </w:rPr>
        <w:drawing>
          <wp:inline distT="0" distB="0" distL="0" distR="0" wp14:anchorId="190ABAB7" wp14:editId="6CFE330E">
            <wp:extent cx="6235700" cy="2292350"/>
            <wp:effectExtent l="38100" t="0" r="1270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071DD40" w14:textId="528D10AF" w:rsidR="00563815" w:rsidRDefault="00563815" w:rsidP="00563815">
      <w:pPr>
        <w:pStyle w:val="Heading3"/>
        <w:tabs>
          <w:tab w:val="left" w:pos="284"/>
          <w:tab w:val="left" w:pos="426"/>
        </w:tabs>
        <w:jc w:val="both"/>
      </w:pPr>
      <w:bookmarkStart w:id="19" w:name="_Toc109313709"/>
      <w:r>
        <w:t>Costs of the regulatory charging activity</w:t>
      </w:r>
      <w:bookmarkEnd w:id="19"/>
    </w:p>
    <w:p w14:paraId="4F31ED9B" w14:textId="6733D17D" w:rsidR="00563815" w:rsidRPr="00563815" w:rsidRDefault="00563815" w:rsidP="00563815">
      <w:r w:rsidRPr="00563815">
        <w:t xml:space="preserve">The </w:t>
      </w:r>
      <w:r w:rsidRPr="00563815">
        <w:rPr>
          <w:b/>
          <w:bCs/>
        </w:rPr>
        <w:t>cost driver</w:t>
      </w:r>
      <w:r w:rsidRPr="00563815">
        <w:t xml:space="preserve"> is the number of applications registered for each step of the </w:t>
      </w:r>
      <w:r w:rsidR="005925C9">
        <w:t xml:space="preserve">migrant </w:t>
      </w:r>
      <w:r>
        <w:t>skills assessment</w:t>
      </w:r>
      <w:r w:rsidRPr="00563815">
        <w:t xml:space="preserve"> pathways. </w:t>
      </w:r>
    </w:p>
    <w:p w14:paraId="08C5E1D8" w14:textId="28FA268D" w:rsidR="00563815" w:rsidRDefault="00563815" w:rsidP="00563815">
      <w:r w:rsidRPr="00563815">
        <w:t xml:space="preserve">The cost to conduct a </w:t>
      </w:r>
      <w:r w:rsidR="005925C9">
        <w:t xml:space="preserve">migrant </w:t>
      </w:r>
      <w:r w:rsidRPr="00563815">
        <w:t>skills assessment has been determined according to the following methodology:</w:t>
      </w:r>
    </w:p>
    <w:p w14:paraId="4DFCD888" w14:textId="723C227A" w:rsidR="00563815" w:rsidRDefault="00563815" w:rsidP="00563815">
      <w:pPr>
        <w:pStyle w:val="Default"/>
        <w:numPr>
          <w:ilvl w:val="0"/>
          <w:numId w:val="22"/>
        </w:numPr>
        <w:spacing w:after="164"/>
        <w:rPr>
          <w:rFonts w:ascii="Calibri" w:hAnsi="Calibri" w:cs="Calibri"/>
          <w:sz w:val="22"/>
          <w:szCs w:val="22"/>
        </w:rPr>
      </w:pPr>
      <w:r>
        <w:rPr>
          <w:rFonts w:ascii="Calibri" w:hAnsi="Calibri" w:cs="Calibri"/>
          <w:sz w:val="22"/>
          <w:szCs w:val="22"/>
        </w:rPr>
        <w:t xml:space="preserve">Identifying the business processes that comprise a skills assessment for each applicant/participant </w:t>
      </w:r>
    </w:p>
    <w:p w14:paraId="780BCA78" w14:textId="08038767" w:rsidR="00563815" w:rsidRDefault="00563815" w:rsidP="00563815">
      <w:pPr>
        <w:pStyle w:val="Default"/>
        <w:numPr>
          <w:ilvl w:val="0"/>
          <w:numId w:val="22"/>
        </w:numPr>
        <w:spacing w:after="164"/>
        <w:rPr>
          <w:rFonts w:ascii="Calibri" w:hAnsi="Calibri" w:cs="Calibri"/>
          <w:sz w:val="22"/>
          <w:szCs w:val="22"/>
        </w:rPr>
      </w:pPr>
      <w:r>
        <w:rPr>
          <w:rFonts w:ascii="Calibri" w:hAnsi="Calibri" w:cs="Calibri"/>
          <w:sz w:val="22"/>
          <w:szCs w:val="22"/>
        </w:rPr>
        <w:t xml:space="preserve">Estimating the effort (time) and skill level required to complete each activity </w:t>
      </w:r>
    </w:p>
    <w:p w14:paraId="77636177" w14:textId="40173989" w:rsidR="00563815" w:rsidRDefault="00563815" w:rsidP="00563815">
      <w:pPr>
        <w:pStyle w:val="Default"/>
        <w:numPr>
          <w:ilvl w:val="0"/>
          <w:numId w:val="22"/>
        </w:numPr>
        <w:spacing w:after="164"/>
        <w:rPr>
          <w:rFonts w:ascii="Calibri" w:hAnsi="Calibri" w:cs="Calibri"/>
          <w:sz w:val="22"/>
          <w:szCs w:val="22"/>
        </w:rPr>
      </w:pPr>
      <w:r>
        <w:rPr>
          <w:rFonts w:ascii="Calibri" w:hAnsi="Calibri" w:cs="Calibri"/>
          <w:sz w:val="22"/>
          <w:szCs w:val="22"/>
        </w:rPr>
        <w:t xml:space="preserve">Identifying whether these costs are direct, </w:t>
      </w:r>
      <w:proofErr w:type="gramStart"/>
      <w:r>
        <w:rPr>
          <w:rFonts w:ascii="Calibri" w:hAnsi="Calibri" w:cs="Calibri"/>
          <w:sz w:val="22"/>
          <w:szCs w:val="22"/>
        </w:rPr>
        <w:t>indirect</w:t>
      </w:r>
      <w:proofErr w:type="gramEnd"/>
      <w:r>
        <w:rPr>
          <w:rFonts w:ascii="Calibri" w:hAnsi="Calibri" w:cs="Calibri"/>
          <w:sz w:val="22"/>
          <w:szCs w:val="22"/>
        </w:rPr>
        <w:t xml:space="preserve"> or capital related </w:t>
      </w:r>
    </w:p>
    <w:p w14:paraId="3A9F0672" w14:textId="694BACB8" w:rsidR="00563815" w:rsidRDefault="00563815" w:rsidP="00563815">
      <w:pPr>
        <w:pStyle w:val="Default"/>
        <w:numPr>
          <w:ilvl w:val="0"/>
          <w:numId w:val="22"/>
        </w:numPr>
        <w:spacing w:after="164"/>
        <w:rPr>
          <w:rFonts w:ascii="Calibri" w:hAnsi="Calibri" w:cs="Calibri"/>
          <w:sz w:val="22"/>
          <w:szCs w:val="22"/>
        </w:rPr>
      </w:pPr>
      <w:r>
        <w:rPr>
          <w:rFonts w:ascii="Calibri" w:hAnsi="Calibri" w:cs="Calibri"/>
          <w:sz w:val="22"/>
          <w:szCs w:val="22"/>
        </w:rPr>
        <w:t xml:space="preserve">Determining the annual cost of assessing each type of application </w:t>
      </w:r>
    </w:p>
    <w:p w14:paraId="01C712C4" w14:textId="5CE75253" w:rsidR="00563815" w:rsidRPr="008806F8" w:rsidRDefault="00563815" w:rsidP="00563815">
      <w:pPr>
        <w:pStyle w:val="Default"/>
        <w:numPr>
          <w:ilvl w:val="0"/>
          <w:numId w:val="22"/>
        </w:numPr>
        <w:spacing w:after="164"/>
        <w:rPr>
          <w:rFonts w:ascii="Calibri" w:hAnsi="Calibri" w:cs="Calibri"/>
          <w:sz w:val="22"/>
          <w:szCs w:val="22"/>
        </w:rPr>
      </w:pPr>
      <w:r w:rsidRPr="008806F8">
        <w:rPr>
          <w:rFonts w:ascii="Calibri" w:hAnsi="Calibri" w:cs="Calibri"/>
          <w:sz w:val="22"/>
          <w:szCs w:val="22"/>
        </w:rPr>
        <w:t xml:space="preserve">Multiplying the full cost of assessing each application by the demand gives the full cost price </w:t>
      </w:r>
    </w:p>
    <w:p w14:paraId="4D27AA64" w14:textId="70464770" w:rsidR="00563815" w:rsidRPr="008806F8" w:rsidRDefault="00563815" w:rsidP="00563815">
      <w:pPr>
        <w:pStyle w:val="Default"/>
        <w:numPr>
          <w:ilvl w:val="0"/>
          <w:numId w:val="22"/>
        </w:numPr>
        <w:rPr>
          <w:rFonts w:ascii="Calibri" w:hAnsi="Calibri" w:cs="Calibri"/>
          <w:sz w:val="22"/>
          <w:szCs w:val="22"/>
        </w:rPr>
      </w:pPr>
      <w:r w:rsidRPr="008806F8">
        <w:rPr>
          <w:rFonts w:ascii="Calibri" w:hAnsi="Calibri" w:cs="Calibri"/>
          <w:sz w:val="22"/>
          <w:szCs w:val="22"/>
        </w:rPr>
        <w:t xml:space="preserve">Determining the fee by averaging the total cost price for the business cycle and rounding this to the nearest $5.00. </w:t>
      </w:r>
    </w:p>
    <w:p w14:paraId="532F90BE" w14:textId="77777777" w:rsidR="00563815" w:rsidRPr="008806F8" w:rsidRDefault="00563815" w:rsidP="00563815">
      <w:pPr>
        <w:pStyle w:val="Default"/>
        <w:ind w:left="720"/>
        <w:rPr>
          <w:rFonts w:ascii="Calibri" w:hAnsi="Calibri" w:cs="Calibri"/>
          <w:sz w:val="22"/>
          <w:szCs w:val="22"/>
        </w:rPr>
      </w:pPr>
    </w:p>
    <w:p w14:paraId="1983C835" w14:textId="3CED9154" w:rsidR="00563815" w:rsidRPr="00563815" w:rsidRDefault="00563815" w:rsidP="00563815">
      <w:r w:rsidRPr="008806F8">
        <w:t>The costs incurred in the delivery</w:t>
      </w:r>
      <w:r w:rsidRPr="00563815">
        <w:t xml:space="preserve"> of </w:t>
      </w:r>
      <w:r w:rsidR="00B7372B" w:rsidRPr="00B7372B">
        <w:rPr>
          <w:rFonts w:ascii="Calibri" w:hAnsi="Calibri" w:cs="Calibri"/>
        </w:rPr>
        <w:t xml:space="preserve">Trades Recognition Australia </w:t>
      </w:r>
      <w:r w:rsidRPr="00563815">
        <w:t xml:space="preserve">include: </w:t>
      </w:r>
    </w:p>
    <w:p w14:paraId="6FA44E60" w14:textId="22D6E5E1" w:rsidR="00563815" w:rsidRPr="00563815" w:rsidRDefault="00563815" w:rsidP="00563815">
      <w:pPr>
        <w:pStyle w:val="ListParagraph"/>
        <w:numPr>
          <w:ilvl w:val="0"/>
          <w:numId w:val="24"/>
        </w:numPr>
      </w:pPr>
      <w:r w:rsidRPr="00563815">
        <w:rPr>
          <w:b/>
          <w:bCs/>
        </w:rPr>
        <w:t>Direct costs</w:t>
      </w:r>
      <w:r w:rsidRPr="00563815">
        <w:t xml:space="preserve"> which are expenses attributable to the effort involved in undertaking business processes directly linked to each individual applicant’s </w:t>
      </w:r>
      <w:r w:rsidR="00B7372B" w:rsidRPr="00B7372B">
        <w:rPr>
          <w:rFonts w:ascii="Calibri" w:hAnsi="Calibri" w:cs="Calibri"/>
        </w:rPr>
        <w:t xml:space="preserve">Trades Recognition Australia </w:t>
      </w:r>
      <w:r w:rsidRPr="00563815">
        <w:t xml:space="preserve">skills assessment including, salaries and departmental on costs - these have been calculated using the department’s costing template </w:t>
      </w:r>
    </w:p>
    <w:p w14:paraId="0D5FB0C4" w14:textId="2637385B" w:rsidR="00563815" w:rsidRPr="00563815" w:rsidRDefault="00563815" w:rsidP="00563815">
      <w:pPr>
        <w:pStyle w:val="ListParagraph"/>
        <w:numPr>
          <w:ilvl w:val="0"/>
          <w:numId w:val="24"/>
        </w:numPr>
      </w:pPr>
      <w:r w:rsidRPr="00563815">
        <w:rPr>
          <w:b/>
          <w:bCs/>
        </w:rPr>
        <w:t>Indirect costs</w:t>
      </w:r>
      <w:r w:rsidRPr="00563815">
        <w:t xml:space="preserve"> which are expenses related to IT support and maintenance and general program management and administration including contract management, responding to enquires, compliance and quality assurance processes </w:t>
      </w:r>
    </w:p>
    <w:p w14:paraId="2B0CF44B" w14:textId="7C2A5778" w:rsidR="00563815" w:rsidRPr="00563815" w:rsidRDefault="00563815" w:rsidP="00563815">
      <w:pPr>
        <w:pStyle w:val="ListParagraph"/>
        <w:numPr>
          <w:ilvl w:val="0"/>
          <w:numId w:val="24"/>
        </w:numPr>
      </w:pPr>
      <w:r w:rsidRPr="00563815">
        <w:rPr>
          <w:b/>
          <w:bCs/>
        </w:rPr>
        <w:t>Capital maintenance</w:t>
      </w:r>
      <w:r w:rsidRPr="00563815">
        <w:t xml:space="preserve"> which </w:t>
      </w:r>
      <w:r w:rsidR="00C3689F" w:rsidRPr="00563815">
        <w:t>ha</w:t>
      </w:r>
      <w:r w:rsidR="00C3689F">
        <w:t>s</w:t>
      </w:r>
      <w:r w:rsidR="00C3689F" w:rsidRPr="00563815">
        <w:t xml:space="preserve"> </w:t>
      </w:r>
      <w:r w:rsidRPr="00563815">
        <w:t xml:space="preserve">not been incurred through this program. </w:t>
      </w:r>
    </w:p>
    <w:p w14:paraId="0468AD67" w14:textId="76BDF3FE" w:rsidR="00563815" w:rsidRPr="00563815" w:rsidRDefault="00563815" w:rsidP="00563815">
      <w:r w:rsidRPr="00563815">
        <w:lastRenderedPageBreak/>
        <w:t>The regulatory charging activities will be reviewed on a regular basis. This will ensure costs are adjusted to reflect any changes in the cost drivers</w:t>
      </w:r>
      <w:r>
        <w:t xml:space="preserve"> </w:t>
      </w:r>
      <w:r w:rsidRPr="00563815">
        <w:t>and ensure that the charges represent the minimum efficient costs of providing the service.</w:t>
      </w:r>
    </w:p>
    <w:p w14:paraId="7724ACA4" w14:textId="7FA37615" w:rsidR="00563815" w:rsidRDefault="00563815" w:rsidP="00563815">
      <w:pPr>
        <w:pStyle w:val="Heading3"/>
        <w:tabs>
          <w:tab w:val="left" w:pos="284"/>
          <w:tab w:val="left" w:pos="426"/>
        </w:tabs>
        <w:jc w:val="both"/>
      </w:pPr>
      <w:bookmarkStart w:id="20" w:name="_Toc109313710"/>
      <w:r>
        <w:t>Design of regulatory charges</w:t>
      </w:r>
      <w:bookmarkEnd w:id="20"/>
    </w:p>
    <w:p w14:paraId="6A297928" w14:textId="09BD1EE5" w:rsidR="00563815" w:rsidRDefault="00563815" w:rsidP="00563815">
      <w:r>
        <w:t xml:space="preserve">The costs of delivering the different steps of a skills assessment have been determined using the costs incurred by </w:t>
      </w:r>
      <w:r w:rsidR="00B7372B" w:rsidRPr="00B7372B">
        <w:rPr>
          <w:rFonts w:ascii="Calibri" w:hAnsi="Calibri" w:cs="Calibri"/>
        </w:rPr>
        <w:t xml:space="preserve">Trades Recognition Australia </w:t>
      </w:r>
      <w:r>
        <w:t>to deliver each pathway.</w:t>
      </w:r>
    </w:p>
    <w:p w14:paraId="5419DB3B" w14:textId="77777777" w:rsidR="00563815" w:rsidRDefault="00563815" w:rsidP="00563815">
      <w:r>
        <w:t>Each business process has been broken down into various activities. Business processes have been calculated per activity by staffing level, effort (time) and demand.</w:t>
      </w:r>
    </w:p>
    <w:p w14:paraId="3CF5FAFD" w14:textId="6C58785E" w:rsidR="00563815" w:rsidRDefault="00563815" w:rsidP="00563815">
      <w:r>
        <w:t xml:space="preserve">Table 1 provides the costs of regulatory activities for each of the </w:t>
      </w:r>
      <w:r w:rsidR="00B7372B" w:rsidRPr="00B7372B">
        <w:rPr>
          <w:rFonts w:ascii="Calibri" w:hAnsi="Calibri" w:cs="Calibri"/>
        </w:rPr>
        <w:t xml:space="preserve">Trades Recognition Australia </w:t>
      </w:r>
      <w:r>
        <w:t xml:space="preserve">pathways and the estimated volume of applications. The table also shows current and proposed fee rates, which will be fixed for the business cycle. The business cycle aligns with portfolio government processes and the obligations of the Portfolio Charging Review. </w:t>
      </w:r>
      <w:r w:rsidR="00B7372B" w:rsidRPr="00B7372B">
        <w:rPr>
          <w:rFonts w:ascii="Calibri" w:hAnsi="Calibri" w:cs="Calibri"/>
        </w:rPr>
        <w:t xml:space="preserve">Trades Recognition Australia </w:t>
      </w:r>
      <w:r>
        <w:t xml:space="preserve">fees will be published on the </w:t>
      </w:r>
      <w:r w:rsidR="00B7372B" w:rsidRPr="00B7372B">
        <w:rPr>
          <w:rFonts w:ascii="Calibri" w:hAnsi="Calibri" w:cs="Calibri"/>
        </w:rPr>
        <w:t>Trades Recognition Australia</w:t>
      </w:r>
      <w:r w:rsidR="00C508D6">
        <w:rPr>
          <w:rFonts w:ascii="Calibri" w:hAnsi="Calibri" w:cs="Calibri"/>
        </w:rPr>
        <w:t xml:space="preserve"> website (</w:t>
      </w:r>
      <w:hyperlink r:id="rId36" w:history="1">
        <w:r w:rsidR="00C508D6" w:rsidRPr="00C508D6">
          <w:rPr>
            <w:rStyle w:val="Hyperlink"/>
            <w:rFonts w:ascii="Calibri" w:hAnsi="Calibri" w:cs="Calibri"/>
          </w:rPr>
          <w:t>www.tradesrecognitionaustralia.gov.au</w:t>
        </w:r>
      </w:hyperlink>
      <w:r w:rsidR="00C508D6">
        <w:rPr>
          <w:rFonts w:ascii="Calibri" w:hAnsi="Calibri" w:cs="Calibri"/>
        </w:rPr>
        <w:t>)</w:t>
      </w:r>
      <w:r>
        <w:t>.</w:t>
      </w:r>
    </w:p>
    <w:p w14:paraId="0FE8D674" w14:textId="031F5049" w:rsidR="0074132A" w:rsidRDefault="0074132A" w:rsidP="00563815">
      <w:pPr>
        <w:rPr>
          <w:rFonts w:ascii="Calibri" w:hAnsi="Calibri" w:cs="Calibri"/>
          <w:b/>
          <w:bCs/>
          <w:color w:val="000000"/>
        </w:rPr>
      </w:pPr>
      <w:r w:rsidRPr="0074132A">
        <w:rPr>
          <w:rFonts w:ascii="Calibri" w:hAnsi="Calibri" w:cs="Calibri"/>
          <w:b/>
          <w:bCs/>
          <w:color w:val="000000"/>
        </w:rPr>
        <w:t xml:space="preserve">Table 1: Costs, fees, </w:t>
      </w:r>
      <w:proofErr w:type="gramStart"/>
      <w:r w:rsidRPr="0074132A">
        <w:rPr>
          <w:rFonts w:ascii="Calibri" w:hAnsi="Calibri" w:cs="Calibri"/>
          <w:b/>
          <w:bCs/>
          <w:color w:val="000000"/>
        </w:rPr>
        <w:t>volume</w:t>
      </w:r>
      <w:proofErr w:type="gramEnd"/>
      <w:r w:rsidRPr="0074132A">
        <w:rPr>
          <w:rFonts w:ascii="Calibri" w:hAnsi="Calibri" w:cs="Calibri"/>
          <w:b/>
          <w:bCs/>
          <w:color w:val="000000"/>
        </w:rPr>
        <w:t xml:space="preserve"> and revenue estimates for 1 July 202</w:t>
      </w:r>
      <w:r w:rsidR="00964B05">
        <w:rPr>
          <w:rFonts w:ascii="Calibri" w:hAnsi="Calibri" w:cs="Calibri"/>
          <w:b/>
          <w:bCs/>
          <w:color w:val="000000"/>
        </w:rPr>
        <w:t>2</w:t>
      </w:r>
      <w:r w:rsidRPr="0074132A">
        <w:rPr>
          <w:rFonts w:ascii="Calibri" w:hAnsi="Calibri" w:cs="Calibri"/>
          <w:b/>
          <w:bCs/>
          <w:color w:val="000000"/>
        </w:rPr>
        <w:t xml:space="preserve"> - 30 June 202</w:t>
      </w:r>
      <w:r w:rsidR="00964B05">
        <w:rPr>
          <w:rFonts w:ascii="Calibri" w:hAnsi="Calibri" w:cs="Calibri"/>
          <w:b/>
          <w:bCs/>
          <w:color w:val="000000"/>
        </w:rPr>
        <w:t>6</w:t>
      </w:r>
      <w:r w:rsidRPr="0074132A">
        <w:rPr>
          <w:rFonts w:ascii="Calibri" w:hAnsi="Calibri" w:cs="Calibri"/>
          <w:b/>
          <w:bCs/>
          <w:color w:val="000000"/>
        </w:rPr>
        <w:t xml:space="preserve"> business cycle</w:t>
      </w:r>
    </w:p>
    <w:tbl>
      <w:tblPr>
        <w:tblW w:w="9040" w:type="dxa"/>
        <w:tblLook w:val="04A0" w:firstRow="1" w:lastRow="0" w:firstColumn="1" w:lastColumn="0" w:noHBand="0" w:noVBand="1"/>
      </w:tblPr>
      <w:tblGrid>
        <w:gridCol w:w="3058"/>
        <w:gridCol w:w="995"/>
        <w:gridCol w:w="940"/>
        <w:gridCol w:w="955"/>
        <w:gridCol w:w="979"/>
        <w:gridCol w:w="942"/>
        <w:gridCol w:w="949"/>
        <w:gridCol w:w="222"/>
      </w:tblGrid>
      <w:tr w:rsidR="005925C9" w:rsidRPr="005925C9" w14:paraId="47FBD59C" w14:textId="77777777" w:rsidTr="00055370">
        <w:trPr>
          <w:gridAfter w:val="1"/>
          <w:wAfter w:w="222" w:type="dxa"/>
          <w:trHeight w:val="765"/>
        </w:trPr>
        <w:tc>
          <w:tcPr>
            <w:tcW w:w="3058"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24F6A978" w14:textId="77777777" w:rsidR="005925C9" w:rsidRPr="005925C9" w:rsidRDefault="005925C9" w:rsidP="005925C9">
            <w:pPr>
              <w:spacing w:after="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Charge title</w:t>
            </w:r>
          </w:p>
        </w:tc>
        <w:tc>
          <w:tcPr>
            <w:tcW w:w="995"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25D02F0C" w14:textId="77777777" w:rsidR="005925C9" w:rsidRPr="005925C9" w:rsidRDefault="005925C9" w:rsidP="005925C9">
            <w:pPr>
              <w:spacing w:after="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Costs of regulatory activities</w:t>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t>$m</w:t>
            </w:r>
          </w:p>
        </w:tc>
        <w:tc>
          <w:tcPr>
            <w:tcW w:w="940"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3EA999A7" w14:textId="77777777" w:rsidR="005925C9" w:rsidRPr="005925C9" w:rsidRDefault="005925C9" w:rsidP="005925C9">
            <w:pPr>
              <w:spacing w:after="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Current fee rate</w:t>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t>$</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0B7881A6" w14:textId="77777777" w:rsidR="005925C9" w:rsidRPr="005925C9" w:rsidRDefault="005925C9" w:rsidP="005925C9">
            <w:pPr>
              <w:spacing w:after="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Proposed fee rate</w:t>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t>$</w:t>
            </w:r>
          </w:p>
        </w:tc>
        <w:tc>
          <w:tcPr>
            <w:tcW w:w="979"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291278F3" w14:textId="77777777" w:rsidR="005925C9" w:rsidRPr="005925C9" w:rsidRDefault="005925C9" w:rsidP="005925C9">
            <w:pPr>
              <w:spacing w:after="24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Per centage difference</w:t>
            </w:r>
          </w:p>
        </w:tc>
        <w:tc>
          <w:tcPr>
            <w:tcW w:w="942"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44B6CC3B" w14:textId="77777777" w:rsidR="005925C9" w:rsidRPr="005925C9" w:rsidRDefault="005925C9" w:rsidP="005925C9">
            <w:pPr>
              <w:spacing w:after="24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Volume</w:t>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r>
          </w:p>
        </w:tc>
        <w:tc>
          <w:tcPr>
            <w:tcW w:w="949" w:type="dxa"/>
            <w:vMerge w:val="restart"/>
            <w:tcBorders>
              <w:top w:val="single" w:sz="8" w:space="0" w:color="auto"/>
              <w:left w:val="single" w:sz="8" w:space="0" w:color="auto"/>
              <w:bottom w:val="single" w:sz="8" w:space="0" w:color="000000"/>
              <w:right w:val="single" w:sz="8" w:space="0" w:color="auto"/>
            </w:tcBorders>
            <w:shd w:val="clear" w:color="000000" w:fill="9FCDE9"/>
            <w:vAlign w:val="center"/>
            <w:hideMark/>
          </w:tcPr>
          <w:p w14:paraId="33C5D7FD" w14:textId="77777777" w:rsidR="005925C9" w:rsidRPr="005925C9" w:rsidRDefault="005925C9" w:rsidP="005925C9">
            <w:pPr>
              <w:spacing w:after="0" w:line="240" w:lineRule="auto"/>
              <w:jc w:val="center"/>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Revenue</w:t>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r>
            <w:r w:rsidRPr="005925C9">
              <w:rPr>
                <w:rFonts w:ascii="Calibri" w:eastAsia="Times New Roman" w:hAnsi="Calibri" w:cs="Calibri"/>
                <w:b/>
                <w:bCs/>
                <w:color w:val="000000"/>
                <w:sz w:val="18"/>
                <w:szCs w:val="18"/>
                <w:lang w:eastAsia="en-AU"/>
              </w:rPr>
              <w:br/>
              <w:t>$m</w:t>
            </w:r>
          </w:p>
        </w:tc>
      </w:tr>
      <w:tr w:rsidR="005925C9" w:rsidRPr="005925C9" w14:paraId="2BDCA66D" w14:textId="77777777" w:rsidTr="00055370">
        <w:trPr>
          <w:trHeight w:val="300"/>
        </w:trPr>
        <w:tc>
          <w:tcPr>
            <w:tcW w:w="3058" w:type="dxa"/>
            <w:vMerge/>
            <w:tcBorders>
              <w:top w:val="single" w:sz="8" w:space="0" w:color="auto"/>
              <w:left w:val="single" w:sz="8" w:space="0" w:color="auto"/>
              <w:bottom w:val="single" w:sz="8" w:space="0" w:color="000000"/>
              <w:right w:val="single" w:sz="8" w:space="0" w:color="auto"/>
            </w:tcBorders>
            <w:vAlign w:val="center"/>
            <w:hideMark/>
          </w:tcPr>
          <w:p w14:paraId="233E8D34"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14:paraId="31BBBAF7"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A005C9E"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4AEDC66E"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14:paraId="1EE24A2C"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A443626"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55DE4A89"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222" w:type="dxa"/>
            <w:tcBorders>
              <w:top w:val="nil"/>
              <w:left w:val="nil"/>
              <w:bottom w:val="nil"/>
              <w:right w:val="nil"/>
            </w:tcBorders>
            <w:shd w:val="clear" w:color="auto" w:fill="auto"/>
            <w:noWrap/>
            <w:vAlign w:val="bottom"/>
            <w:hideMark/>
          </w:tcPr>
          <w:p w14:paraId="4BDE57D7" w14:textId="77777777" w:rsidR="005925C9" w:rsidRPr="005925C9" w:rsidRDefault="005925C9" w:rsidP="005925C9">
            <w:pPr>
              <w:spacing w:after="0" w:line="240" w:lineRule="auto"/>
              <w:jc w:val="center"/>
              <w:rPr>
                <w:rFonts w:ascii="Calibri" w:eastAsia="Times New Roman" w:hAnsi="Calibri" w:cs="Calibri"/>
                <w:b/>
                <w:bCs/>
                <w:color w:val="000000"/>
                <w:sz w:val="18"/>
                <w:szCs w:val="18"/>
                <w:lang w:eastAsia="en-AU"/>
              </w:rPr>
            </w:pPr>
          </w:p>
        </w:tc>
      </w:tr>
      <w:tr w:rsidR="005925C9" w:rsidRPr="005925C9" w14:paraId="2C6EA647" w14:textId="77777777" w:rsidTr="00055370">
        <w:trPr>
          <w:trHeight w:val="50"/>
        </w:trPr>
        <w:tc>
          <w:tcPr>
            <w:tcW w:w="3058" w:type="dxa"/>
            <w:vMerge/>
            <w:tcBorders>
              <w:top w:val="single" w:sz="8" w:space="0" w:color="auto"/>
              <w:left w:val="single" w:sz="8" w:space="0" w:color="auto"/>
              <w:bottom w:val="single" w:sz="8" w:space="0" w:color="000000"/>
              <w:right w:val="single" w:sz="8" w:space="0" w:color="auto"/>
            </w:tcBorders>
            <w:vAlign w:val="center"/>
            <w:hideMark/>
          </w:tcPr>
          <w:p w14:paraId="4AE97CD6"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14:paraId="7A670464"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5D206AAF"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3FA9AD3E"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14:paraId="6B67EC0D"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CD7A856"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4861973A"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p>
        </w:tc>
        <w:tc>
          <w:tcPr>
            <w:tcW w:w="222" w:type="dxa"/>
            <w:tcBorders>
              <w:top w:val="nil"/>
              <w:left w:val="nil"/>
              <w:bottom w:val="nil"/>
              <w:right w:val="nil"/>
            </w:tcBorders>
            <w:shd w:val="clear" w:color="auto" w:fill="auto"/>
            <w:noWrap/>
            <w:vAlign w:val="bottom"/>
            <w:hideMark/>
          </w:tcPr>
          <w:p w14:paraId="62F35772"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F24D3D" w:rsidRPr="00055370" w14:paraId="6E1C921B" w14:textId="77777777" w:rsidTr="00F24D3D">
        <w:trPr>
          <w:trHeight w:val="52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2BEDC0EB" w14:textId="38A088BB" w:rsidR="00F24D3D" w:rsidRPr="005925C9" w:rsidRDefault="00F24D3D" w:rsidP="00F24D3D">
            <w:pPr>
              <w:spacing w:after="0" w:line="240" w:lineRule="auto"/>
              <w:rPr>
                <w:rFonts w:ascii="Calibri" w:eastAsia="Times New Roman" w:hAnsi="Calibri" w:cs="Calibri"/>
                <w:color w:val="000000"/>
                <w:sz w:val="18"/>
                <w:szCs w:val="18"/>
                <w:lang w:eastAsia="en-AU"/>
              </w:rPr>
            </w:pPr>
            <w:r w:rsidRPr="00055370">
              <w:rPr>
                <w:rFonts w:ascii="Calibri" w:eastAsia="Times New Roman" w:hAnsi="Calibri" w:cs="Calibri"/>
                <w:color w:val="000000"/>
                <w:sz w:val="18"/>
                <w:szCs w:val="18"/>
                <w:lang w:eastAsia="en-AU"/>
              </w:rPr>
              <w:t>Registration and Eligibility / Provisional Skills Assessment</w:t>
            </w:r>
          </w:p>
        </w:tc>
        <w:tc>
          <w:tcPr>
            <w:tcW w:w="995" w:type="dxa"/>
            <w:tcBorders>
              <w:top w:val="nil"/>
              <w:left w:val="nil"/>
              <w:bottom w:val="single" w:sz="8" w:space="0" w:color="auto"/>
              <w:right w:val="single" w:sz="8" w:space="0" w:color="auto"/>
            </w:tcBorders>
            <w:shd w:val="clear" w:color="auto" w:fill="auto"/>
            <w:vAlign w:val="center"/>
            <w:hideMark/>
          </w:tcPr>
          <w:p w14:paraId="5B0ECA04" w14:textId="266500CE"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055370">
              <w:rPr>
                <w:rFonts w:ascii="Calibri" w:eastAsia="Times New Roman" w:hAnsi="Calibri" w:cs="Calibri"/>
                <w:color w:val="000000"/>
                <w:sz w:val="18"/>
                <w:szCs w:val="18"/>
                <w:lang w:eastAsia="en-AU"/>
              </w:rPr>
              <w:t xml:space="preserve"> 11.07 </w:t>
            </w:r>
          </w:p>
        </w:tc>
        <w:tc>
          <w:tcPr>
            <w:tcW w:w="940" w:type="dxa"/>
            <w:tcBorders>
              <w:top w:val="nil"/>
              <w:left w:val="nil"/>
              <w:bottom w:val="single" w:sz="8" w:space="0" w:color="auto"/>
              <w:right w:val="single" w:sz="8" w:space="0" w:color="auto"/>
            </w:tcBorders>
            <w:shd w:val="clear" w:color="auto" w:fill="auto"/>
            <w:vAlign w:val="center"/>
            <w:hideMark/>
          </w:tcPr>
          <w:p w14:paraId="6168E2B4"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200</w:t>
            </w:r>
          </w:p>
        </w:tc>
        <w:tc>
          <w:tcPr>
            <w:tcW w:w="955" w:type="dxa"/>
            <w:tcBorders>
              <w:top w:val="nil"/>
              <w:left w:val="nil"/>
              <w:bottom w:val="single" w:sz="8" w:space="0" w:color="auto"/>
              <w:right w:val="single" w:sz="8" w:space="0" w:color="auto"/>
            </w:tcBorders>
            <w:shd w:val="clear" w:color="auto" w:fill="auto"/>
            <w:vAlign w:val="center"/>
            <w:hideMark/>
          </w:tcPr>
          <w:p w14:paraId="0FCDF8C6"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130</w:t>
            </w:r>
          </w:p>
        </w:tc>
        <w:tc>
          <w:tcPr>
            <w:tcW w:w="979" w:type="dxa"/>
            <w:tcBorders>
              <w:top w:val="nil"/>
              <w:left w:val="nil"/>
              <w:bottom w:val="single" w:sz="8" w:space="0" w:color="auto"/>
              <w:right w:val="single" w:sz="8" w:space="0" w:color="auto"/>
            </w:tcBorders>
            <w:shd w:val="clear" w:color="auto" w:fill="auto"/>
            <w:vAlign w:val="center"/>
            <w:hideMark/>
          </w:tcPr>
          <w:p w14:paraId="6BCD6E30"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-35%</w:t>
            </w:r>
          </w:p>
        </w:tc>
        <w:tc>
          <w:tcPr>
            <w:tcW w:w="942" w:type="dxa"/>
            <w:tcBorders>
              <w:top w:val="nil"/>
              <w:left w:val="nil"/>
              <w:bottom w:val="single" w:sz="8" w:space="0" w:color="auto"/>
              <w:right w:val="single" w:sz="8" w:space="0" w:color="auto"/>
            </w:tcBorders>
            <w:shd w:val="clear" w:color="auto" w:fill="auto"/>
            <w:vAlign w:val="center"/>
            <w:hideMark/>
          </w:tcPr>
          <w:p w14:paraId="4309125C" w14:textId="10F97E2B"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85,900</w:t>
            </w:r>
          </w:p>
        </w:tc>
        <w:tc>
          <w:tcPr>
            <w:tcW w:w="949" w:type="dxa"/>
            <w:tcBorders>
              <w:top w:val="nil"/>
              <w:left w:val="nil"/>
              <w:bottom w:val="single" w:sz="8" w:space="0" w:color="auto"/>
              <w:right w:val="single" w:sz="8" w:space="0" w:color="auto"/>
            </w:tcBorders>
            <w:shd w:val="clear" w:color="auto" w:fill="auto"/>
            <w:vAlign w:val="center"/>
            <w:hideMark/>
          </w:tcPr>
          <w:p w14:paraId="4E12350E" w14:textId="68604E2F"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 xml:space="preserve"> 11.17 </w:t>
            </w:r>
          </w:p>
        </w:tc>
        <w:tc>
          <w:tcPr>
            <w:tcW w:w="222" w:type="dxa"/>
            <w:vAlign w:val="center"/>
            <w:hideMark/>
          </w:tcPr>
          <w:p w14:paraId="2B8A2790" w14:textId="77777777" w:rsidR="00F24D3D" w:rsidRPr="00055370" w:rsidRDefault="00F24D3D" w:rsidP="00F24D3D">
            <w:pPr>
              <w:spacing w:after="0" w:line="240" w:lineRule="auto"/>
              <w:jc w:val="right"/>
              <w:rPr>
                <w:rFonts w:ascii="Calibri" w:eastAsia="Times New Roman" w:hAnsi="Calibri" w:cs="Calibri"/>
                <w:color w:val="000000"/>
                <w:sz w:val="18"/>
                <w:szCs w:val="18"/>
                <w:lang w:eastAsia="en-AU"/>
              </w:rPr>
            </w:pPr>
          </w:p>
        </w:tc>
      </w:tr>
      <w:tr w:rsidR="00F24D3D" w:rsidRPr="005925C9" w14:paraId="7AA71610" w14:textId="77777777" w:rsidTr="00F24D3D">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591E0AFF" w14:textId="603821EB" w:rsidR="00F24D3D" w:rsidRPr="005925C9" w:rsidRDefault="00F24D3D" w:rsidP="00F24D3D">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Job Ready Employment</w:t>
            </w:r>
          </w:p>
        </w:tc>
        <w:tc>
          <w:tcPr>
            <w:tcW w:w="995" w:type="dxa"/>
            <w:tcBorders>
              <w:top w:val="nil"/>
              <w:left w:val="nil"/>
              <w:bottom w:val="single" w:sz="8" w:space="0" w:color="auto"/>
              <w:right w:val="single" w:sz="8" w:space="0" w:color="auto"/>
            </w:tcBorders>
            <w:shd w:val="clear" w:color="auto" w:fill="auto"/>
            <w:vAlign w:val="center"/>
            <w:hideMark/>
          </w:tcPr>
          <w:p w14:paraId="7098B5C5" w14:textId="0BDCA57F"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055370">
              <w:rPr>
                <w:rFonts w:ascii="Calibri" w:eastAsia="Times New Roman" w:hAnsi="Calibri" w:cs="Calibri"/>
                <w:color w:val="000000"/>
                <w:sz w:val="18"/>
                <w:szCs w:val="18"/>
                <w:lang w:eastAsia="en-AU"/>
              </w:rPr>
              <w:t xml:space="preserve"> 34.38 </w:t>
            </w:r>
          </w:p>
        </w:tc>
        <w:tc>
          <w:tcPr>
            <w:tcW w:w="940" w:type="dxa"/>
            <w:tcBorders>
              <w:top w:val="nil"/>
              <w:left w:val="nil"/>
              <w:bottom w:val="single" w:sz="8" w:space="0" w:color="auto"/>
              <w:right w:val="single" w:sz="8" w:space="0" w:color="auto"/>
            </w:tcBorders>
            <w:shd w:val="clear" w:color="auto" w:fill="auto"/>
            <w:vAlign w:val="center"/>
            <w:hideMark/>
          </w:tcPr>
          <w:p w14:paraId="2D823E4E"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450</w:t>
            </w:r>
          </w:p>
        </w:tc>
        <w:tc>
          <w:tcPr>
            <w:tcW w:w="955" w:type="dxa"/>
            <w:tcBorders>
              <w:top w:val="nil"/>
              <w:left w:val="nil"/>
              <w:bottom w:val="single" w:sz="8" w:space="0" w:color="auto"/>
              <w:right w:val="single" w:sz="8" w:space="0" w:color="auto"/>
            </w:tcBorders>
            <w:shd w:val="clear" w:color="auto" w:fill="auto"/>
            <w:vAlign w:val="center"/>
            <w:hideMark/>
          </w:tcPr>
          <w:p w14:paraId="789CF400" w14:textId="4B1DCB7A"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48</w:t>
            </w:r>
            <w:r>
              <w:rPr>
                <w:rFonts w:ascii="Calibri" w:eastAsia="Times New Roman" w:hAnsi="Calibri" w:cs="Calibri"/>
                <w:color w:val="000000"/>
                <w:sz w:val="18"/>
                <w:szCs w:val="18"/>
                <w:lang w:eastAsia="en-AU"/>
              </w:rPr>
              <w:t>0</w:t>
            </w:r>
          </w:p>
        </w:tc>
        <w:tc>
          <w:tcPr>
            <w:tcW w:w="979" w:type="dxa"/>
            <w:tcBorders>
              <w:top w:val="nil"/>
              <w:left w:val="nil"/>
              <w:bottom w:val="single" w:sz="8" w:space="0" w:color="auto"/>
              <w:right w:val="single" w:sz="8" w:space="0" w:color="auto"/>
            </w:tcBorders>
            <w:shd w:val="clear" w:color="auto" w:fill="auto"/>
            <w:vAlign w:val="center"/>
            <w:hideMark/>
          </w:tcPr>
          <w:p w14:paraId="384990A6" w14:textId="3DA56063"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w:t>
            </w:r>
            <w:r w:rsidRPr="005925C9">
              <w:rPr>
                <w:rFonts w:ascii="Calibri" w:eastAsia="Times New Roman" w:hAnsi="Calibri" w:cs="Calibri"/>
                <w:color w:val="000000"/>
                <w:sz w:val="18"/>
                <w:szCs w:val="18"/>
                <w:lang w:eastAsia="en-AU"/>
              </w:rPr>
              <w:t>%</w:t>
            </w:r>
          </w:p>
        </w:tc>
        <w:tc>
          <w:tcPr>
            <w:tcW w:w="942" w:type="dxa"/>
            <w:tcBorders>
              <w:top w:val="nil"/>
              <w:left w:val="nil"/>
              <w:bottom w:val="single" w:sz="8" w:space="0" w:color="auto"/>
              <w:right w:val="single" w:sz="8" w:space="0" w:color="auto"/>
            </w:tcBorders>
            <w:shd w:val="clear" w:color="auto" w:fill="auto"/>
            <w:vAlign w:val="center"/>
            <w:hideMark/>
          </w:tcPr>
          <w:p w14:paraId="793EF277" w14:textId="61CDF77E"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71,400</w:t>
            </w:r>
          </w:p>
        </w:tc>
        <w:tc>
          <w:tcPr>
            <w:tcW w:w="949" w:type="dxa"/>
            <w:tcBorders>
              <w:top w:val="nil"/>
              <w:left w:val="nil"/>
              <w:bottom w:val="single" w:sz="8" w:space="0" w:color="auto"/>
              <w:right w:val="single" w:sz="8" w:space="0" w:color="auto"/>
            </w:tcBorders>
            <w:shd w:val="clear" w:color="auto" w:fill="auto"/>
            <w:vAlign w:val="center"/>
            <w:hideMark/>
          </w:tcPr>
          <w:p w14:paraId="7EE8A7FA" w14:textId="51A45A9B"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 xml:space="preserve"> 34.27 </w:t>
            </w:r>
          </w:p>
        </w:tc>
        <w:tc>
          <w:tcPr>
            <w:tcW w:w="222" w:type="dxa"/>
            <w:vAlign w:val="center"/>
            <w:hideMark/>
          </w:tcPr>
          <w:p w14:paraId="3E811FA0" w14:textId="77777777" w:rsidR="00F24D3D" w:rsidRPr="005925C9" w:rsidRDefault="00F24D3D" w:rsidP="00F24D3D">
            <w:pPr>
              <w:spacing w:after="0" w:line="240" w:lineRule="auto"/>
              <w:rPr>
                <w:rFonts w:ascii="Times New Roman" w:eastAsia="Times New Roman" w:hAnsi="Times New Roman" w:cs="Times New Roman"/>
                <w:sz w:val="18"/>
                <w:szCs w:val="18"/>
                <w:lang w:eastAsia="en-AU"/>
              </w:rPr>
            </w:pPr>
          </w:p>
        </w:tc>
      </w:tr>
      <w:tr w:rsidR="00F24D3D" w:rsidRPr="005925C9" w14:paraId="628D2FDF" w14:textId="77777777" w:rsidTr="00F24D3D">
        <w:trPr>
          <w:trHeight w:val="267"/>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770654F4" w14:textId="1175B4C9" w:rsidR="00F24D3D" w:rsidRPr="005925C9" w:rsidRDefault="00F24D3D" w:rsidP="00F24D3D">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Job Ready Workplace Assessment</w:t>
            </w:r>
          </w:p>
        </w:tc>
        <w:tc>
          <w:tcPr>
            <w:tcW w:w="995" w:type="dxa"/>
            <w:tcBorders>
              <w:top w:val="nil"/>
              <w:left w:val="nil"/>
              <w:bottom w:val="single" w:sz="8" w:space="0" w:color="auto"/>
              <w:right w:val="single" w:sz="8" w:space="0" w:color="auto"/>
            </w:tcBorders>
            <w:shd w:val="clear" w:color="auto" w:fill="auto"/>
            <w:vAlign w:val="center"/>
            <w:hideMark/>
          </w:tcPr>
          <w:p w14:paraId="48F5F945" w14:textId="2AC5B7A1"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055370">
              <w:rPr>
                <w:rFonts w:ascii="Calibri" w:eastAsia="Times New Roman" w:hAnsi="Calibri" w:cs="Calibri"/>
                <w:color w:val="000000"/>
                <w:sz w:val="18"/>
                <w:szCs w:val="18"/>
                <w:lang w:eastAsia="en-AU"/>
              </w:rPr>
              <w:t xml:space="preserve"> 120.52 </w:t>
            </w:r>
          </w:p>
        </w:tc>
        <w:tc>
          <w:tcPr>
            <w:tcW w:w="940" w:type="dxa"/>
            <w:tcBorders>
              <w:top w:val="nil"/>
              <w:left w:val="nil"/>
              <w:bottom w:val="single" w:sz="8" w:space="0" w:color="auto"/>
              <w:right w:val="single" w:sz="8" w:space="0" w:color="auto"/>
            </w:tcBorders>
            <w:shd w:val="clear" w:color="auto" w:fill="auto"/>
            <w:vAlign w:val="center"/>
            <w:hideMark/>
          </w:tcPr>
          <w:p w14:paraId="1F68A3CF"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2,540</w:t>
            </w:r>
          </w:p>
        </w:tc>
        <w:tc>
          <w:tcPr>
            <w:tcW w:w="955" w:type="dxa"/>
            <w:tcBorders>
              <w:top w:val="nil"/>
              <w:left w:val="nil"/>
              <w:bottom w:val="single" w:sz="8" w:space="0" w:color="auto"/>
              <w:right w:val="single" w:sz="8" w:space="0" w:color="auto"/>
            </w:tcBorders>
            <w:shd w:val="clear" w:color="auto" w:fill="auto"/>
            <w:vAlign w:val="center"/>
            <w:hideMark/>
          </w:tcPr>
          <w:p w14:paraId="0C610A94" w14:textId="058612FB"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2,80</w:t>
            </w:r>
            <w:r>
              <w:rPr>
                <w:rFonts w:ascii="Calibri" w:eastAsia="Times New Roman" w:hAnsi="Calibri" w:cs="Calibri"/>
                <w:color w:val="000000"/>
                <w:sz w:val="18"/>
                <w:szCs w:val="18"/>
                <w:lang w:eastAsia="en-AU"/>
              </w:rPr>
              <w:t>0</w:t>
            </w:r>
          </w:p>
        </w:tc>
        <w:tc>
          <w:tcPr>
            <w:tcW w:w="979" w:type="dxa"/>
            <w:tcBorders>
              <w:top w:val="nil"/>
              <w:left w:val="nil"/>
              <w:bottom w:val="single" w:sz="8" w:space="0" w:color="auto"/>
              <w:right w:val="single" w:sz="8" w:space="0" w:color="auto"/>
            </w:tcBorders>
            <w:shd w:val="clear" w:color="auto" w:fill="auto"/>
            <w:vAlign w:val="center"/>
            <w:hideMark/>
          </w:tcPr>
          <w:p w14:paraId="01DF8318"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10%</w:t>
            </w:r>
          </w:p>
        </w:tc>
        <w:tc>
          <w:tcPr>
            <w:tcW w:w="942" w:type="dxa"/>
            <w:tcBorders>
              <w:top w:val="nil"/>
              <w:left w:val="nil"/>
              <w:bottom w:val="single" w:sz="8" w:space="0" w:color="auto"/>
              <w:right w:val="single" w:sz="8" w:space="0" w:color="auto"/>
            </w:tcBorders>
            <w:shd w:val="clear" w:color="auto" w:fill="auto"/>
            <w:vAlign w:val="center"/>
            <w:hideMark/>
          </w:tcPr>
          <w:p w14:paraId="76B4F373" w14:textId="3C161B9E"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43,009</w:t>
            </w:r>
          </w:p>
        </w:tc>
        <w:tc>
          <w:tcPr>
            <w:tcW w:w="949" w:type="dxa"/>
            <w:tcBorders>
              <w:top w:val="nil"/>
              <w:left w:val="nil"/>
              <w:bottom w:val="single" w:sz="8" w:space="0" w:color="auto"/>
              <w:right w:val="single" w:sz="8" w:space="0" w:color="auto"/>
            </w:tcBorders>
            <w:shd w:val="clear" w:color="auto" w:fill="auto"/>
            <w:vAlign w:val="center"/>
            <w:hideMark/>
          </w:tcPr>
          <w:p w14:paraId="16EC8AC7" w14:textId="2934DDFA"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 xml:space="preserve"> 120.43 </w:t>
            </w:r>
          </w:p>
        </w:tc>
        <w:tc>
          <w:tcPr>
            <w:tcW w:w="222" w:type="dxa"/>
            <w:vAlign w:val="center"/>
            <w:hideMark/>
          </w:tcPr>
          <w:p w14:paraId="0B94B269" w14:textId="77777777" w:rsidR="00F24D3D" w:rsidRPr="005925C9" w:rsidRDefault="00F24D3D" w:rsidP="00F24D3D">
            <w:pPr>
              <w:spacing w:after="0" w:line="240" w:lineRule="auto"/>
              <w:rPr>
                <w:rFonts w:ascii="Times New Roman" w:eastAsia="Times New Roman" w:hAnsi="Times New Roman" w:cs="Times New Roman"/>
                <w:sz w:val="18"/>
                <w:szCs w:val="18"/>
                <w:lang w:eastAsia="en-AU"/>
              </w:rPr>
            </w:pPr>
          </w:p>
        </w:tc>
      </w:tr>
      <w:tr w:rsidR="00F24D3D" w:rsidRPr="005925C9" w14:paraId="6B5394EC" w14:textId="77777777" w:rsidTr="00F24D3D">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5D727406" w14:textId="625B9AD1" w:rsidR="00F24D3D" w:rsidRPr="005925C9" w:rsidRDefault="00F24D3D" w:rsidP="00F24D3D">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Job Ready Final Assessment</w:t>
            </w:r>
          </w:p>
        </w:tc>
        <w:tc>
          <w:tcPr>
            <w:tcW w:w="995" w:type="dxa"/>
            <w:tcBorders>
              <w:top w:val="nil"/>
              <w:left w:val="nil"/>
              <w:bottom w:val="single" w:sz="8" w:space="0" w:color="auto"/>
              <w:right w:val="single" w:sz="8" w:space="0" w:color="auto"/>
            </w:tcBorders>
            <w:shd w:val="clear" w:color="auto" w:fill="auto"/>
            <w:vAlign w:val="center"/>
            <w:hideMark/>
          </w:tcPr>
          <w:p w14:paraId="0AD9E73F" w14:textId="7E2261B1"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055370">
              <w:rPr>
                <w:rFonts w:ascii="Calibri" w:eastAsia="Times New Roman" w:hAnsi="Calibri" w:cs="Calibri"/>
                <w:color w:val="000000"/>
                <w:sz w:val="18"/>
                <w:szCs w:val="18"/>
                <w:lang w:eastAsia="en-AU"/>
              </w:rPr>
              <w:t xml:space="preserve"> 2.76 </w:t>
            </w:r>
          </w:p>
        </w:tc>
        <w:tc>
          <w:tcPr>
            <w:tcW w:w="940" w:type="dxa"/>
            <w:tcBorders>
              <w:top w:val="nil"/>
              <w:left w:val="nil"/>
              <w:bottom w:val="single" w:sz="8" w:space="0" w:color="auto"/>
              <w:right w:val="single" w:sz="8" w:space="0" w:color="auto"/>
            </w:tcBorders>
            <w:shd w:val="clear" w:color="auto" w:fill="auto"/>
            <w:vAlign w:val="center"/>
            <w:hideMark/>
          </w:tcPr>
          <w:p w14:paraId="6488FFED"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65</w:t>
            </w:r>
          </w:p>
        </w:tc>
        <w:tc>
          <w:tcPr>
            <w:tcW w:w="955" w:type="dxa"/>
            <w:tcBorders>
              <w:top w:val="nil"/>
              <w:left w:val="nil"/>
              <w:bottom w:val="single" w:sz="8" w:space="0" w:color="auto"/>
              <w:right w:val="single" w:sz="8" w:space="0" w:color="auto"/>
            </w:tcBorders>
            <w:shd w:val="clear" w:color="auto" w:fill="auto"/>
            <w:vAlign w:val="center"/>
            <w:hideMark/>
          </w:tcPr>
          <w:p w14:paraId="76CF0F18"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70</w:t>
            </w:r>
          </w:p>
        </w:tc>
        <w:tc>
          <w:tcPr>
            <w:tcW w:w="979" w:type="dxa"/>
            <w:tcBorders>
              <w:top w:val="nil"/>
              <w:left w:val="nil"/>
              <w:bottom w:val="single" w:sz="8" w:space="0" w:color="auto"/>
              <w:right w:val="single" w:sz="8" w:space="0" w:color="auto"/>
            </w:tcBorders>
            <w:shd w:val="clear" w:color="auto" w:fill="auto"/>
            <w:vAlign w:val="center"/>
            <w:hideMark/>
          </w:tcPr>
          <w:p w14:paraId="0083106C" w14:textId="77777777" w:rsidR="00F24D3D" w:rsidRPr="005925C9" w:rsidRDefault="00F24D3D" w:rsidP="00F24D3D">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8%</w:t>
            </w:r>
          </w:p>
        </w:tc>
        <w:tc>
          <w:tcPr>
            <w:tcW w:w="942" w:type="dxa"/>
            <w:tcBorders>
              <w:top w:val="nil"/>
              <w:left w:val="nil"/>
              <w:bottom w:val="single" w:sz="8" w:space="0" w:color="auto"/>
              <w:right w:val="single" w:sz="8" w:space="0" w:color="auto"/>
            </w:tcBorders>
            <w:shd w:val="clear" w:color="auto" w:fill="auto"/>
            <w:vAlign w:val="center"/>
            <w:hideMark/>
          </w:tcPr>
          <w:p w14:paraId="3F19A6B9" w14:textId="71786971"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38,500</w:t>
            </w:r>
          </w:p>
        </w:tc>
        <w:tc>
          <w:tcPr>
            <w:tcW w:w="949" w:type="dxa"/>
            <w:tcBorders>
              <w:top w:val="nil"/>
              <w:left w:val="nil"/>
              <w:bottom w:val="single" w:sz="8" w:space="0" w:color="auto"/>
              <w:right w:val="single" w:sz="8" w:space="0" w:color="auto"/>
            </w:tcBorders>
            <w:shd w:val="clear" w:color="auto" w:fill="auto"/>
            <w:vAlign w:val="center"/>
            <w:hideMark/>
          </w:tcPr>
          <w:p w14:paraId="561DD67B" w14:textId="6C348859" w:rsidR="00F24D3D" w:rsidRPr="00F24D3D" w:rsidRDefault="00F24D3D" w:rsidP="00F24D3D">
            <w:pPr>
              <w:spacing w:after="0" w:line="240" w:lineRule="auto"/>
              <w:jc w:val="right"/>
              <w:rPr>
                <w:rFonts w:ascii="Calibri" w:eastAsia="Times New Roman" w:hAnsi="Calibri" w:cs="Calibri"/>
                <w:color w:val="000000"/>
                <w:sz w:val="18"/>
                <w:szCs w:val="18"/>
                <w:lang w:eastAsia="en-AU"/>
              </w:rPr>
            </w:pPr>
            <w:r w:rsidRPr="00F24D3D">
              <w:rPr>
                <w:sz w:val="18"/>
                <w:szCs w:val="18"/>
              </w:rPr>
              <w:t xml:space="preserve"> 2.70 </w:t>
            </w:r>
          </w:p>
        </w:tc>
        <w:tc>
          <w:tcPr>
            <w:tcW w:w="222" w:type="dxa"/>
            <w:vAlign w:val="center"/>
            <w:hideMark/>
          </w:tcPr>
          <w:p w14:paraId="51BA18BB" w14:textId="77777777" w:rsidR="00F24D3D" w:rsidRPr="005925C9" w:rsidRDefault="00F24D3D" w:rsidP="00F24D3D">
            <w:pPr>
              <w:spacing w:after="0" w:line="240" w:lineRule="auto"/>
              <w:rPr>
                <w:rFonts w:ascii="Times New Roman" w:eastAsia="Times New Roman" w:hAnsi="Times New Roman" w:cs="Times New Roman"/>
                <w:sz w:val="18"/>
                <w:szCs w:val="18"/>
                <w:lang w:eastAsia="en-AU"/>
              </w:rPr>
            </w:pPr>
          </w:p>
        </w:tc>
      </w:tr>
      <w:tr w:rsidR="00F24D3D" w:rsidRPr="005925C9" w14:paraId="7D199C53" w14:textId="77777777" w:rsidTr="00F24D3D">
        <w:trPr>
          <w:trHeight w:val="315"/>
        </w:trPr>
        <w:tc>
          <w:tcPr>
            <w:tcW w:w="3058" w:type="dxa"/>
            <w:tcBorders>
              <w:top w:val="nil"/>
              <w:left w:val="single" w:sz="8" w:space="0" w:color="auto"/>
              <w:bottom w:val="single" w:sz="8" w:space="0" w:color="auto"/>
              <w:right w:val="single" w:sz="8" w:space="0" w:color="auto"/>
            </w:tcBorders>
            <w:shd w:val="clear" w:color="000000" w:fill="E7E6E6"/>
            <w:vAlign w:val="center"/>
            <w:hideMark/>
          </w:tcPr>
          <w:p w14:paraId="00851D85" w14:textId="77777777" w:rsidR="00F24D3D" w:rsidRPr="005925C9" w:rsidRDefault="00F24D3D" w:rsidP="00F24D3D">
            <w:pPr>
              <w:spacing w:after="0" w:line="240" w:lineRule="auto"/>
              <w:rPr>
                <w:rFonts w:ascii="Calibri" w:eastAsia="Times New Roman" w:hAnsi="Calibri" w:cs="Calibri"/>
                <w:b/>
                <w:bCs/>
                <w:i/>
                <w:iCs/>
                <w:color w:val="000000"/>
                <w:sz w:val="18"/>
                <w:szCs w:val="18"/>
                <w:lang w:eastAsia="en-AU"/>
              </w:rPr>
            </w:pPr>
            <w:r w:rsidRPr="005925C9">
              <w:rPr>
                <w:rFonts w:ascii="Calibri" w:eastAsia="Times New Roman" w:hAnsi="Calibri" w:cs="Calibri"/>
                <w:b/>
                <w:bCs/>
                <w:i/>
                <w:iCs/>
                <w:color w:val="000000"/>
                <w:sz w:val="18"/>
                <w:szCs w:val="18"/>
                <w:lang w:eastAsia="en-AU"/>
              </w:rPr>
              <w:t>Total Job Ready Program</w:t>
            </w:r>
          </w:p>
        </w:tc>
        <w:tc>
          <w:tcPr>
            <w:tcW w:w="995" w:type="dxa"/>
            <w:tcBorders>
              <w:top w:val="nil"/>
              <w:left w:val="nil"/>
              <w:bottom w:val="single" w:sz="8" w:space="0" w:color="auto"/>
              <w:right w:val="single" w:sz="8" w:space="0" w:color="auto"/>
            </w:tcBorders>
            <w:shd w:val="clear" w:color="000000" w:fill="E7E6E6"/>
            <w:vAlign w:val="center"/>
            <w:hideMark/>
          </w:tcPr>
          <w:p w14:paraId="0DCA2D7E" w14:textId="38646FB7" w:rsidR="00F24D3D" w:rsidRPr="005925C9" w:rsidRDefault="00F24D3D" w:rsidP="00F24D3D">
            <w:pPr>
              <w:spacing w:after="0" w:line="240" w:lineRule="auto"/>
              <w:jc w:val="right"/>
              <w:rPr>
                <w:rFonts w:ascii="Calibri" w:eastAsia="Times New Roman" w:hAnsi="Calibri" w:cs="Calibri"/>
                <w:b/>
                <w:bCs/>
                <w:i/>
                <w:iCs/>
                <w:color w:val="000000"/>
                <w:sz w:val="18"/>
                <w:szCs w:val="18"/>
                <w:lang w:eastAsia="en-AU"/>
              </w:rPr>
            </w:pPr>
            <w:r w:rsidRPr="005925C9">
              <w:rPr>
                <w:rFonts w:ascii="Calibri" w:eastAsia="Times New Roman" w:hAnsi="Calibri" w:cs="Calibri"/>
                <w:b/>
                <w:bCs/>
                <w:i/>
                <w:iCs/>
                <w:color w:val="000000"/>
                <w:sz w:val="18"/>
                <w:szCs w:val="18"/>
                <w:lang w:eastAsia="en-AU"/>
              </w:rPr>
              <w:t>16</w:t>
            </w:r>
            <w:r>
              <w:rPr>
                <w:rFonts w:ascii="Calibri" w:eastAsia="Times New Roman" w:hAnsi="Calibri" w:cs="Calibri"/>
                <w:b/>
                <w:bCs/>
                <w:i/>
                <w:iCs/>
                <w:color w:val="000000"/>
                <w:sz w:val="18"/>
                <w:szCs w:val="18"/>
                <w:lang w:eastAsia="en-AU"/>
              </w:rPr>
              <w:t>8</w:t>
            </w:r>
            <w:r w:rsidRPr="005925C9">
              <w:rPr>
                <w:rFonts w:ascii="Calibri" w:eastAsia="Times New Roman" w:hAnsi="Calibri" w:cs="Calibri"/>
                <w:b/>
                <w:bCs/>
                <w:i/>
                <w:iCs/>
                <w:color w:val="000000"/>
                <w:sz w:val="18"/>
                <w:szCs w:val="18"/>
                <w:lang w:eastAsia="en-AU"/>
              </w:rPr>
              <w:t>.</w:t>
            </w:r>
            <w:r>
              <w:rPr>
                <w:rFonts w:ascii="Calibri" w:eastAsia="Times New Roman" w:hAnsi="Calibri" w:cs="Calibri"/>
                <w:b/>
                <w:bCs/>
                <w:i/>
                <w:iCs/>
                <w:color w:val="000000"/>
                <w:sz w:val="18"/>
                <w:szCs w:val="18"/>
                <w:lang w:eastAsia="en-AU"/>
              </w:rPr>
              <w:t>74</w:t>
            </w:r>
          </w:p>
        </w:tc>
        <w:tc>
          <w:tcPr>
            <w:tcW w:w="940" w:type="dxa"/>
            <w:tcBorders>
              <w:top w:val="nil"/>
              <w:left w:val="nil"/>
              <w:bottom w:val="single" w:sz="8" w:space="0" w:color="auto"/>
              <w:right w:val="single" w:sz="8" w:space="0" w:color="auto"/>
            </w:tcBorders>
            <w:shd w:val="clear" w:color="000000" w:fill="E7E6E6"/>
            <w:vAlign w:val="center"/>
            <w:hideMark/>
          </w:tcPr>
          <w:p w14:paraId="203FFAC4" w14:textId="77777777" w:rsidR="00F24D3D" w:rsidRPr="005925C9" w:rsidRDefault="00F24D3D" w:rsidP="00F24D3D">
            <w:pPr>
              <w:spacing w:after="0" w:line="240" w:lineRule="auto"/>
              <w:jc w:val="right"/>
              <w:rPr>
                <w:rFonts w:ascii="Calibri" w:eastAsia="Times New Roman" w:hAnsi="Calibri" w:cs="Calibri"/>
                <w:b/>
                <w:bCs/>
                <w:i/>
                <w:iCs/>
                <w:color w:val="000000"/>
                <w:sz w:val="18"/>
                <w:szCs w:val="18"/>
                <w:lang w:eastAsia="en-AU"/>
              </w:rPr>
            </w:pPr>
            <w:r w:rsidRPr="005925C9">
              <w:rPr>
                <w:rFonts w:ascii="Calibri" w:eastAsia="Times New Roman" w:hAnsi="Calibri" w:cs="Calibri"/>
                <w:b/>
                <w:bCs/>
                <w:i/>
                <w:iCs/>
                <w:color w:val="000000"/>
                <w:sz w:val="18"/>
                <w:szCs w:val="18"/>
                <w:lang w:eastAsia="en-AU"/>
              </w:rPr>
              <w:t>3,255</w:t>
            </w:r>
          </w:p>
        </w:tc>
        <w:tc>
          <w:tcPr>
            <w:tcW w:w="955" w:type="dxa"/>
            <w:tcBorders>
              <w:top w:val="nil"/>
              <w:left w:val="nil"/>
              <w:bottom w:val="single" w:sz="8" w:space="0" w:color="auto"/>
              <w:right w:val="single" w:sz="8" w:space="0" w:color="auto"/>
            </w:tcBorders>
            <w:shd w:val="clear" w:color="000000" w:fill="E7E6E6"/>
            <w:vAlign w:val="center"/>
            <w:hideMark/>
          </w:tcPr>
          <w:p w14:paraId="5183F4D3" w14:textId="33629C80" w:rsidR="00F24D3D" w:rsidRPr="005925C9" w:rsidRDefault="00F24D3D" w:rsidP="00F24D3D">
            <w:pPr>
              <w:spacing w:after="0" w:line="240" w:lineRule="auto"/>
              <w:jc w:val="right"/>
              <w:rPr>
                <w:rFonts w:ascii="Calibri" w:eastAsia="Times New Roman" w:hAnsi="Calibri" w:cs="Calibri"/>
                <w:b/>
                <w:bCs/>
                <w:i/>
                <w:iCs/>
                <w:color w:val="000000"/>
                <w:sz w:val="18"/>
                <w:szCs w:val="18"/>
                <w:lang w:eastAsia="en-AU"/>
              </w:rPr>
            </w:pPr>
            <w:r w:rsidRPr="005925C9">
              <w:rPr>
                <w:rFonts w:ascii="Calibri" w:eastAsia="Times New Roman" w:hAnsi="Calibri" w:cs="Calibri"/>
                <w:b/>
                <w:bCs/>
                <w:i/>
                <w:iCs/>
                <w:color w:val="000000"/>
                <w:sz w:val="18"/>
                <w:szCs w:val="18"/>
                <w:lang w:eastAsia="en-AU"/>
              </w:rPr>
              <w:t>3,4</w:t>
            </w:r>
            <w:r>
              <w:rPr>
                <w:rFonts w:ascii="Calibri" w:eastAsia="Times New Roman" w:hAnsi="Calibri" w:cs="Calibri"/>
                <w:b/>
                <w:bCs/>
                <w:i/>
                <w:iCs/>
                <w:color w:val="000000"/>
                <w:sz w:val="18"/>
                <w:szCs w:val="18"/>
                <w:lang w:eastAsia="en-AU"/>
              </w:rPr>
              <w:t>8</w:t>
            </w:r>
            <w:r w:rsidRPr="005925C9">
              <w:rPr>
                <w:rFonts w:ascii="Calibri" w:eastAsia="Times New Roman" w:hAnsi="Calibri" w:cs="Calibri"/>
                <w:b/>
                <w:bCs/>
                <w:i/>
                <w:iCs/>
                <w:color w:val="000000"/>
                <w:sz w:val="18"/>
                <w:szCs w:val="18"/>
                <w:lang w:eastAsia="en-AU"/>
              </w:rPr>
              <w:t>0</w:t>
            </w:r>
          </w:p>
        </w:tc>
        <w:tc>
          <w:tcPr>
            <w:tcW w:w="979" w:type="dxa"/>
            <w:tcBorders>
              <w:top w:val="nil"/>
              <w:left w:val="nil"/>
              <w:bottom w:val="single" w:sz="8" w:space="0" w:color="auto"/>
              <w:right w:val="single" w:sz="8" w:space="0" w:color="auto"/>
            </w:tcBorders>
            <w:shd w:val="clear" w:color="000000" w:fill="E7E6E6"/>
            <w:vAlign w:val="center"/>
            <w:hideMark/>
          </w:tcPr>
          <w:p w14:paraId="4E542D03" w14:textId="77777777" w:rsidR="00F24D3D" w:rsidRPr="005925C9" w:rsidRDefault="00F24D3D" w:rsidP="00F24D3D">
            <w:pPr>
              <w:spacing w:after="0" w:line="240" w:lineRule="auto"/>
              <w:jc w:val="right"/>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7%</w:t>
            </w:r>
          </w:p>
        </w:tc>
        <w:tc>
          <w:tcPr>
            <w:tcW w:w="942" w:type="dxa"/>
            <w:tcBorders>
              <w:top w:val="nil"/>
              <w:left w:val="nil"/>
              <w:bottom w:val="single" w:sz="8" w:space="0" w:color="auto"/>
              <w:right w:val="single" w:sz="8" w:space="0" w:color="auto"/>
            </w:tcBorders>
            <w:shd w:val="clear" w:color="000000" w:fill="E7E6E6"/>
            <w:vAlign w:val="center"/>
            <w:hideMark/>
          </w:tcPr>
          <w:p w14:paraId="0E4FB2E5" w14:textId="46BF77CE" w:rsidR="00F24D3D" w:rsidRPr="00F24D3D" w:rsidRDefault="00F24D3D" w:rsidP="00F24D3D">
            <w:pPr>
              <w:spacing w:after="0" w:line="240" w:lineRule="auto"/>
              <w:jc w:val="right"/>
              <w:rPr>
                <w:rFonts w:ascii="Calibri" w:eastAsia="Times New Roman" w:hAnsi="Calibri" w:cs="Calibri"/>
                <w:b/>
                <w:bCs/>
                <w:i/>
                <w:iCs/>
                <w:color w:val="000000"/>
                <w:sz w:val="18"/>
                <w:szCs w:val="18"/>
                <w:lang w:eastAsia="en-AU"/>
              </w:rPr>
            </w:pPr>
            <w:r w:rsidRPr="00F24D3D">
              <w:rPr>
                <w:b/>
                <w:bCs/>
                <w:i/>
                <w:iCs/>
                <w:sz w:val="18"/>
                <w:szCs w:val="18"/>
              </w:rPr>
              <w:t xml:space="preserve"> 238,809 </w:t>
            </w:r>
          </w:p>
        </w:tc>
        <w:tc>
          <w:tcPr>
            <w:tcW w:w="949" w:type="dxa"/>
            <w:tcBorders>
              <w:top w:val="nil"/>
              <w:left w:val="nil"/>
              <w:bottom w:val="single" w:sz="8" w:space="0" w:color="auto"/>
              <w:right w:val="single" w:sz="8" w:space="0" w:color="auto"/>
            </w:tcBorders>
            <w:shd w:val="clear" w:color="000000" w:fill="E7E6E6"/>
            <w:vAlign w:val="center"/>
            <w:hideMark/>
          </w:tcPr>
          <w:p w14:paraId="228EB6C3" w14:textId="365FB7F1" w:rsidR="00F24D3D" w:rsidRPr="00F24D3D" w:rsidRDefault="00F24D3D" w:rsidP="00F24D3D">
            <w:pPr>
              <w:spacing w:after="0" w:line="240" w:lineRule="auto"/>
              <w:jc w:val="right"/>
              <w:rPr>
                <w:rFonts w:ascii="Calibri" w:eastAsia="Times New Roman" w:hAnsi="Calibri" w:cs="Calibri"/>
                <w:b/>
                <w:bCs/>
                <w:i/>
                <w:iCs/>
                <w:color w:val="000000"/>
                <w:sz w:val="18"/>
                <w:szCs w:val="18"/>
                <w:lang w:eastAsia="en-AU"/>
              </w:rPr>
            </w:pPr>
            <w:r w:rsidRPr="00F24D3D">
              <w:rPr>
                <w:b/>
                <w:bCs/>
                <w:i/>
                <w:iCs/>
                <w:sz w:val="18"/>
                <w:szCs w:val="18"/>
              </w:rPr>
              <w:t xml:space="preserve"> 168.56 </w:t>
            </w:r>
          </w:p>
        </w:tc>
        <w:tc>
          <w:tcPr>
            <w:tcW w:w="222" w:type="dxa"/>
            <w:vAlign w:val="center"/>
            <w:hideMark/>
          </w:tcPr>
          <w:p w14:paraId="580619D3" w14:textId="77777777" w:rsidR="00F24D3D" w:rsidRPr="005925C9" w:rsidRDefault="00F24D3D" w:rsidP="00F24D3D">
            <w:pPr>
              <w:spacing w:after="0" w:line="240" w:lineRule="auto"/>
              <w:rPr>
                <w:rFonts w:ascii="Times New Roman" w:eastAsia="Times New Roman" w:hAnsi="Times New Roman" w:cs="Times New Roman"/>
                <w:sz w:val="18"/>
                <w:szCs w:val="18"/>
                <w:lang w:eastAsia="en-AU"/>
              </w:rPr>
            </w:pPr>
          </w:p>
        </w:tc>
      </w:tr>
      <w:tr w:rsidR="005925C9" w:rsidRPr="005925C9" w14:paraId="6C856167"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5A8F12D6"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xml:space="preserve">Migration Skills Assessment </w:t>
            </w:r>
          </w:p>
        </w:tc>
        <w:tc>
          <w:tcPr>
            <w:tcW w:w="995" w:type="dxa"/>
            <w:tcBorders>
              <w:top w:val="nil"/>
              <w:left w:val="nil"/>
              <w:bottom w:val="single" w:sz="8" w:space="0" w:color="auto"/>
              <w:right w:val="single" w:sz="8" w:space="0" w:color="auto"/>
            </w:tcBorders>
            <w:shd w:val="clear" w:color="auto" w:fill="auto"/>
            <w:vAlign w:val="center"/>
            <w:hideMark/>
          </w:tcPr>
          <w:p w14:paraId="3DD29128" w14:textId="23B1C4EF"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7.1</w:t>
            </w:r>
            <w:r w:rsidR="00F24D3D">
              <w:rPr>
                <w:rFonts w:ascii="Calibri" w:eastAsia="Times New Roman" w:hAnsi="Calibri" w:cs="Calibri"/>
                <w:color w:val="000000"/>
                <w:sz w:val="18"/>
                <w:szCs w:val="18"/>
                <w:lang w:eastAsia="en-AU"/>
              </w:rPr>
              <w:t>7</w:t>
            </w:r>
          </w:p>
        </w:tc>
        <w:tc>
          <w:tcPr>
            <w:tcW w:w="940" w:type="dxa"/>
            <w:tcBorders>
              <w:top w:val="nil"/>
              <w:left w:val="nil"/>
              <w:bottom w:val="single" w:sz="8" w:space="0" w:color="auto"/>
              <w:right w:val="single" w:sz="8" w:space="0" w:color="auto"/>
            </w:tcBorders>
            <w:shd w:val="clear" w:color="auto" w:fill="auto"/>
            <w:vAlign w:val="center"/>
            <w:hideMark/>
          </w:tcPr>
          <w:p w14:paraId="52177735"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720</w:t>
            </w:r>
          </w:p>
        </w:tc>
        <w:tc>
          <w:tcPr>
            <w:tcW w:w="955" w:type="dxa"/>
            <w:tcBorders>
              <w:top w:val="nil"/>
              <w:left w:val="nil"/>
              <w:bottom w:val="single" w:sz="8" w:space="0" w:color="auto"/>
              <w:right w:val="single" w:sz="8" w:space="0" w:color="auto"/>
            </w:tcBorders>
            <w:shd w:val="clear" w:color="auto" w:fill="auto"/>
            <w:vAlign w:val="center"/>
            <w:hideMark/>
          </w:tcPr>
          <w:p w14:paraId="694517A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795</w:t>
            </w:r>
          </w:p>
        </w:tc>
        <w:tc>
          <w:tcPr>
            <w:tcW w:w="979" w:type="dxa"/>
            <w:tcBorders>
              <w:top w:val="nil"/>
              <w:left w:val="nil"/>
              <w:bottom w:val="single" w:sz="8" w:space="0" w:color="auto"/>
              <w:right w:val="single" w:sz="8" w:space="0" w:color="auto"/>
            </w:tcBorders>
            <w:shd w:val="clear" w:color="auto" w:fill="auto"/>
            <w:vAlign w:val="center"/>
            <w:hideMark/>
          </w:tcPr>
          <w:p w14:paraId="1AA83A22"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10%</w:t>
            </w:r>
          </w:p>
        </w:tc>
        <w:tc>
          <w:tcPr>
            <w:tcW w:w="942" w:type="dxa"/>
            <w:tcBorders>
              <w:top w:val="nil"/>
              <w:left w:val="nil"/>
              <w:bottom w:val="single" w:sz="8" w:space="0" w:color="auto"/>
              <w:right w:val="single" w:sz="8" w:space="0" w:color="auto"/>
            </w:tcBorders>
            <w:shd w:val="clear" w:color="auto" w:fill="auto"/>
            <w:vAlign w:val="center"/>
            <w:hideMark/>
          </w:tcPr>
          <w:p w14:paraId="42CAD822"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9,000</w:t>
            </w:r>
          </w:p>
        </w:tc>
        <w:tc>
          <w:tcPr>
            <w:tcW w:w="949" w:type="dxa"/>
            <w:tcBorders>
              <w:top w:val="nil"/>
              <w:left w:val="nil"/>
              <w:bottom w:val="single" w:sz="8" w:space="0" w:color="auto"/>
              <w:right w:val="single" w:sz="8" w:space="0" w:color="auto"/>
            </w:tcBorders>
            <w:shd w:val="clear" w:color="auto" w:fill="auto"/>
            <w:vAlign w:val="center"/>
            <w:hideMark/>
          </w:tcPr>
          <w:p w14:paraId="7AD2698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7.16</w:t>
            </w:r>
          </w:p>
        </w:tc>
        <w:tc>
          <w:tcPr>
            <w:tcW w:w="222" w:type="dxa"/>
            <w:vAlign w:val="center"/>
            <w:hideMark/>
          </w:tcPr>
          <w:p w14:paraId="7526CCA2"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4B94ED04"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53F6A4AD"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xml:space="preserve">Migration Skills Assessment Review </w:t>
            </w:r>
          </w:p>
        </w:tc>
        <w:tc>
          <w:tcPr>
            <w:tcW w:w="995" w:type="dxa"/>
            <w:tcBorders>
              <w:top w:val="nil"/>
              <w:left w:val="nil"/>
              <w:bottom w:val="single" w:sz="8" w:space="0" w:color="auto"/>
              <w:right w:val="single" w:sz="8" w:space="0" w:color="auto"/>
            </w:tcBorders>
            <w:shd w:val="clear" w:color="auto" w:fill="auto"/>
            <w:vAlign w:val="center"/>
            <w:hideMark/>
          </w:tcPr>
          <w:p w14:paraId="38186F3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0.19</w:t>
            </w:r>
          </w:p>
        </w:tc>
        <w:tc>
          <w:tcPr>
            <w:tcW w:w="940" w:type="dxa"/>
            <w:tcBorders>
              <w:top w:val="nil"/>
              <w:left w:val="nil"/>
              <w:bottom w:val="single" w:sz="8" w:space="0" w:color="auto"/>
              <w:right w:val="single" w:sz="8" w:space="0" w:color="auto"/>
            </w:tcBorders>
            <w:shd w:val="clear" w:color="auto" w:fill="auto"/>
            <w:vAlign w:val="center"/>
            <w:hideMark/>
          </w:tcPr>
          <w:p w14:paraId="1C6F802D"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645</w:t>
            </w:r>
          </w:p>
        </w:tc>
        <w:tc>
          <w:tcPr>
            <w:tcW w:w="955" w:type="dxa"/>
            <w:tcBorders>
              <w:top w:val="nil"/>
              <w:left w:val="nil"/>
              <w:bottom w:val="single" w:sz="8" w:space="0" w:color="auto"/>
              <w:right w:val="single" w:sz="8" w:space="0" w:color="auto"/>
            </w:tcBorders>
            <w:shd w:val="clear" w:color="auto" w:fill="auto"/>
            <w:vAlign w:val="center"/>
            <w:hideMark/>
          </w:tcPr>
          <w:p w14:paraId="7C95071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600</w:t>
            </w:r>
          </w:p>
        </w:tc>
        <w:tc>
          <w:tcPr>
            <w:tcW w:w="979" w:type="dxa"/>
            <w:tcBorders>
              <w:top w:val="nil"/>
              <w:left w:val="nil"/>
              <w:bottom w:val="single" w:sz="8" w:space="0" w:color="auto"/>
              <w:right w:val="single" w:sz="8" w:space="0" w:color="auto"/>
            </w:tcBorders>
            <w:shd w:val="clear" w:color="auto" w:fill="auto"/>
            <w:vAlign w:val="center"/>
            <w:hideMark/>
          </w:tcPr>
          <w:p w14:paraId="7C3E589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w:t>
            </w:r>
          </w:p>
        </w:tc>
        <w:tc>
          <w:tcPr>
            <w:tcW w:w="942" w:type="dxa"/>
            <w:tcBorders>
              <w:top w:val="nil"/>
              <w:left w:val="nil"/>
              <w:bottom w:val="single" w:sz="8" w:space="0" w:color="auto"/>
              <w:right w:val="single" w:sz="8" w:space="0" w:color="auto"/>
            </w:tcBorders>
            <w:shd w:val="clear" w:color="auto" w:fill="auto"/>
            <w:vAlign w:val="center"/>
            <w:hideMark/>
          </w:tcPr>
          <w:p w14:paraId="7ED9ABA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310</w:t>
            </w:r>
          </w:p>
        </w:tc>
        <w:tc>
          <w:tcPr>
            <w:tcW w:w="949" w:type="dxa"/>
            <w:tcBorders>
              <w:top w:val="nil"/>
              <w:left w:val="nil"/>
              <w:bottom w:val="single" w:sz="8" w:space="0" w:color="auto"/>
              <w:right w:val="single" w:sz="8" w:space="0" w:color="auto"/>
            </w:tcBorders>
            <w:shd w:val="clear" w:color="auto" w:fill="auto"/>
            <w:vAlign w:val="center"/>
            <w:hideMark/>
          </w:tcPr>
          <w:p w14:paraId="7F9A861F"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0.19</w:t>
            </w:r>
          </w:p>
        </w:tc>
        <w:tc>
          <w:tcPr>
            <w:tcW w:w="222" w:type="dxa"/>
            <w:vAlign w:val="center"/>
            <w:hideMark/>
          </w:tcPr>
          <w:p w14:paraId="6618417B"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457E408A"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2B558A6C"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xml:space="preserve">Migration Points Advice </w:t>
            </w:r>
          </w:p>
        </w:tc>
        <w:tc>
          <w:tcPr>
            <w:tcW w:w="995" w:type="dxa"/>
            <w:tcBorders>
              <w:top w:val="nil"/>
              <w:left w:val="nil"/>
              <w:bottom w:val="single" w:sz="8" w:space="0" w:color="auto"/>
              <w:right w:val="single" w:sz="8" w:space="0" w:color="auto"/>
            </w:tcBorders>
            <w:shd w:val="clear" w:color="auto" w:fill="auto"/>
            <w:vAlign w:val="center"/>
            <w:hideMark/>
          </w:tcPr>
          <w:p w14:paraId="0BAC0E2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0.85</w:t>
            </w:r>
          </w:p>
        </w:tc>
        <w:tc>
          <w:tcPr>
            <w:tcW w:w="940" w:type="dxa"/>
            <w:tcBorders>
              <w:top w:val="nil"/>
              <w:left w:val="nil"/>
              <w:bottom w:val="single" w:sz="8" w:space="0" w:color="auto"/>
              <w:right w:val="single" w:sz="8" w:space="0" w:color="auto"/>
            </w:tcBorders>
            <w:shd w:val="clear" w:color="auto" w:fill="auto"/>
            <w:vAlign w:val="center"/>
            <w:hideMark/>
          </w:tcPr>
          <w:p w14:paraId="62A7BB7E"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410</w:t>
            </w:r>
          </w:p>
        </w:tc>
        <w:tc>
          <w:tcPr>
            <w:tcW w:w="955" w:type="dxa"/>
            <w:tcBorders>
              <w:top w:val="nil"/>
              <w:left w:val="nil"/>
              <w:bottom w:val="single" w:sz="8" w:space="0" w:color="auto"/>
              <w:right w:val="single" w:sz="8" w:space="0" w:color="auto"/>
            </w:tcBorders>
            <w:shd w:val="clear" w:color="auto" w:fill="auto"/>
            <w:vAlign w:val="center"/>
            <w:hideMark/>
          </w:tcPr>
          <w:p w14:paraId="57D0BBFF"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450</w:t>
            </w:r>
          </w:p>
        </w:tc>
        <w:tc>
          <w:tcPr>
            <w:tcW w:w="979" w:type="dxa"/>
            <w:tcBorders>
              <w:top w:val="nil"/>
              <w:left w:val="nil"/>
              <w:bottom w:val="single" w:sz="8" w:space="0" w:color="auto"/>
              <w:right w:val="single" w:sz="8" w:space="0" w:color="auto"/>
            </w:tcBorders>
            <w:shd w:val="clear" w:color="auto" w:fill="auto"/>
            <w:vAlign w:val="center"/>
            <w:hideMark/>
          </w:tcPr>
          <w:p w14:paraId="7DC8FCB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10%</w:t>
            </w:r>
          </w:p>
        </w:tc>
        <w:tc>
          <w:tcPr>
            <w:tcW w:w="942" w:type="dxa"/>
            <w:tcBorders>
              <w:top w:val="nil"/>
              <w:left w:val="nil"/>
              <w:bottom w:val="single" w:sz="8" w:space="0" w:color="auto"/>
              <w:right w:val="single" w:sz="8" w:space="0" w:color="auto"/>
            </w:tcBorders>
            <w:shd w:val="clear" w:color="auto" w:fill="auto"/>
            <w:vAlign w:val="center"/>
            <w:hideMark/>
          </w:tcPr>
          <w:p w14:paraId="229361C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1,430</w:t>
            </w:r>
          </w:p>
        </w:tc>
        <w:tc>
          <w:tcPr>
            <w:tcW w:w="949" w:type="dxa"/>
            <w:tcBorders>
              <w:top w:val="nil"/>
              <w:left w:val="nil"/>
              <w:bottom w:val="single" w:sz="8" w:space="0" w:color="auto"/>
              <w:right w:val="single" w:sz="8" w:space="0" w:color="auto"/>
            </w:tcBorders>
            <w:shd w:val="clear" w:color="auto" w:fill="auto"/>
            <w:vAlign w:val="center"/>
            <w:hideMark/>
          </w:tcPr>
          <w:p w14:paraId="0B1AE7C9"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0.64</w:t>
            </w:r>
          </w:p>
        </w:tc>
        <w:tc>
          <w:tcPr>
            <w:tcW w:w="222" w:type="dxa"/>
            <w:vAlign w:val="center"/>
            <w:hideMark/>
          </w:tcPr>
          <w:p w14:paraId="223AD15A"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0929B3A2"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177EB59E"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xml:space="preserve">Migration Points Advice Review </w:t>
            </w:r>
          </w:p>
        </w:tc>
        <w:tc>
          <w:tcPr>
            <w:tcW w:w="995" w:type="dxa"/>
            <w:tcBorders>
              <w:top w:val="nil"/>
              <w:left w:val="nil"/>
              <w:bottom w:val="single" w:sz="8" w:space="0" w:color="auto"/>
              <w:right w:val="single" w:sz="8" w:space="0" w:color="auto"/>
            </w:tcBorders>
            <w:shd w:val="clear" w:color="auto" w:fill="auto"/>
            <w:vAlign w:val="center"/>
            <w:hideMark/>
          </w:tcPr>
          <w:p w14:paraId="730A2CD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0.01</w:t>
            </w:r>
          </w:p>
        </w:tc>
        <w:tc>
          <w:tcPr>
            <w:tcW w:w="940" w:type="dxa"/>
            <w:tcBorders>
              <w:top w:val="nil"/>
              <w:left w:val="nil"/>
              <w:bottom w:val="single" w:sz="8" w:space="0" w:color="auto"/>
              <w:right w:val="single" w:sz="8" w:space="0" w:color="auto"/>
            </w:tcBorders>
            <w:shd w:val="clear" w:color="auto" w:fill="auto"/>
            <w:vAlign w:val="center"/>
            <w:hideMark/>
          </w:tcPr>
          <w:p w14:paraId="68660D2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350</w:t>
            </w:r>
          </w:p>
        </w:tc>
        <w:tc>
          <w:tcPr>
            <w:tcW w:w="955" w:type="dxa"/>
            <w:tcBorders>
              <w:top w:val="nil"/>
              <w:left w:val="nil"/>
              <w:bottom w:val="single" w:sz="8" w:space="0" w:color="auto"/>
              <w:right w:val="single" w:sz="8" w:space="0" w:color="auto"/>
            </w:tcBorders>
            <w:shd w:val="clear" w:color="auto" w:fill="auto"/>
            <w:vAlign w:val="center"/>
            <w:hideMark/>
          </w:tcPr>
          <w:p w14:paraId="2E13E9C9"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370</w:t>
            </w:r>
          </w:p>
        </w:tc>
        <w:tc>
          <w:tcPr>
            <w:tcW w:w="979" w:type="dxa"/>
            <w:tcBorders>
              <w:top w:val="nil"/>
              <w:left w:val="nil"/>
              <w:bottom w:val="single" w:sz="8" w:space="0" w:color="auto"/>
              <w:right w:val="single" w:sz="8" w:space="0" w:color="auto"/>
            </w:tcBorders>
            <w:shd w:val="clear" w:color="auto" w:fill="auto"/>
            <w:vAlign w:val="center"/>
            <w:hideMark/>
          </w:tcPr>
          <w:p w14:paraId="4CFCA294"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6%</w:t>
            </w:r>
          </w:p>
        </w:tc>
        <w:tc>
          <w:tcPr>
            <w:tcW w:w="942" w:type="dxa"/>
            <w:tcBorders>
              <w:top w:val="nil"/>
              <w:left w:val="nil"/>
              <w:bottom w:val="single" w:sz="8" w:space="0" w:color="auto"/>
              <w:right w:val="single" w:sz="8" w:space="0" w:color="auto"/>
            </w:tcBorders>
            <w:shd w:val="clear" w:color="auto" w:fill="auto"/>
            <w:vAlign w:val="center"/>
            <w:hideMark/>
          </w:tcPr>
          <w:p w14:paraId="12F5EA7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22</w:t>
            </w:r>
          </w:p>
        </w:tc>
        <w:tc>
          <w:tcPr>
            <w:tcW w:w="949" w:type="dxa"/>
            <w:tcBorders>
              <w:top w:val="nil"/>
              <w:left w:val="nil"/>
              <w:bottom w:val="single" w:sz="8" w:space="0" w:color="auto"/>
              <w:right w:val="single" w:sz="8" w:space="0" w:color="auto"/>
            </w:tcBorders>
            <w:shd w:val="clear" w:color="auto" w:fill="auto"/>
            <w:vAlign w:val="center"/>
            <w:hideMark/>
          </w:tcPr>
          <w:p w14:paraId="7F2FF9B7"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0.01</w:t>
            </w:r>
          </w:p>
        </w:tc>
        <w:tc>
          <w:tcPr>
            <w:tcW w:w="222" w:type="dxa"/>
            <w:vAlign w:val="center"/>
            <w:hideMark/>
          </w:tcPr>
          <w:p w14:paraId="6E8BEDAB"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18DA8EC7" w14:textId="77777777" w:rsidTr="00055370">
        <w:trPr>
          <w:trHeight w:val="315"/>
        </w:trPr>
        <w:tc>
          <w:tcPr>
            <w:tcW w:w="3058" w:type="dxa"/>
            <w:tcBorders>
              <w:top w:val="nil"/>
              <w:left w:val="single" w:sz="8" w:space="0" w:color="auto"/>
              <w:bottom w:val="single" w:sz="8" w:space="0" w:color="auto"/>
              <w:right w:val="nil"/>
            </w:tcBorders>
            <w:shd w:val="clear" w:color="000000" w:fill="FFFFFF"/>
            <w:vAlign w:val="center"/>
            <w:hideMark/>
          </w:tcPr>
          <w:p w14:paraId="1FDD00BB" w14:textId="77777777" w:rsidR="005925C9" w:rsidRPr="005925C9" w:rsidRDefault="005925C9" w:rsidP="005925C9">
            <w:pPr>
              <w:spacing w:after="0" w:line="240" w:lineRule="auto"/>
              <w:rPr>
                <w:rFonts w:ascii="Calibri" w:eastAsia="Times New Roman" w:hAnsi="Calibri" w:cs="Calibri"/>
                <w:i/>
                <w:iCs/>
                <w:color w:val="000000"/>
                <w:sz w:val="18"/>
                <w:szCs w:val="18"/>
                <w:lang w:eastAsia="en-AU"/>
              </w:rPr>
            </w:pPr>
            <w:r w:rsidRPr="005925C9">
              <w:rPr>
                <w:rFonts w:ascii="Calibri" w:eastAsia="Times New Roman" w:hAnsi="Calibri" w:cs="Calibri"/>
                <w:i/>
                <w:iCs/>
                <w:color w:val="000000"/>
                <w:sz w:val="18"/>
                <w:szCs w:val="18"/>
                <w:lang w:eastAsia="en-AU"/>
              </w:rPr>
              <w:t>RTO Assessment Services</w:t>
            </w:r>
          </w:p>
        </w:tc>
        <w:tc>
          <w:tcPr>
            <w:tcW w:w="995" w:type="dxa"/>
            <w:tcBorders>
              <w:top w:val="nil"/>
              <w:left w:val="nil"/>
              <w:bottom w:val="single" w:sz="8" w:space="0" w:color="auto"/>
              <w:right w:val="nil"/>
            </w:tcBorders>
            <w:shd w:val="clear" w:color="000000" w:fill="FFFFFF"/>
            <w:vAlign w:val="center"/>
            <w:hideMark/>
          </w:tcPr>
          <w:p w14:paraId="7C71C63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w:t>
            </w:r>
          </w:p>
        </w:tc>
        <w:tc>
          <w:tcPr>
            <w:tcW w:w="940" w:type="dxa"/>
            <w:tcBorders>
              <w:top w:val="nil"/>
              <w:left w:val="nil"/>
              <w:bottom w:val="single" w:sz="8" w:space="0" w:color="auto"/>
              <w:right w:val="nil"/>
            </w:tcBorders>
            <w:shd w:val="clear" w:color="000000" w:fill="FFFFFF"/>
            <w:vAlign w:val="center"/>
            <w:hideMark/>
          </w:tcPr>
          <w:p w14:paraId="33CE4CB4"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w:t>
            </w:r>
          </w:p>
        </w:tc>
        <w:tc>
          <w:tcPr>
            <w:tcW w:w="955" w:type="dxa"/>
            <w:tcBorders>
              <w:top w:val="nil"/>
              <w:left w:val="nil"/>
              <w:bottom w:val="single" w:sz="8" w:space="0" w:color="auto"/>
              <w:right w:val="nil"/>
            </w:tcBorders>
            <w:shd w:val="clear" w:color="000000" w:fill="FFFFFF"/>
            <w:vAlign w:val="center"/>
            <w:hideMark/>
          </w:tcPr>
          <w:p w14:paraId="0C6160B2"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w:t>
            </w:r>
          </w:p>
        </w:tc>
        <w:tc>
          <w:tcPr>
            <w:tcW w:w="979" w:type="dxa"/>
            <w:tcBorders>
              <w:top w:val="nil"/>
              <w:left w:val="nil"/>
              <w:bottom w:val="single" w:sz="8" w:space="0" w:color="auto"/>
              <w:right w:val="nil"/>
            </w:tcBorders>
            <w:shd w:val="clear" w:color="000000" w:fill="FFFFFF"/>
            <w:vAlign w:val="center"/>
            <w:hideMark/>
          </w:tcPr>
          <w:p w14:paraId="0EC7553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w:t>
            </w:r>
          </w:p>
        </w:tc>
        <w:tc>
          <w:tcPr>
            <w:tcW w:w="942" w:type="dxa"/>
            <w:tcBorders>
              <w:top w:val="nil"/>
              <w:left w:val="nil"/>
              <w:bottom w:val="single" w:sz="8" w:space="0" w:color="auto"/>
              <w:right w:val="nil"/>
            </w:tcBorders>
            <w:shd w:val="clear" w:color="000000" w:fill="FFFFFF"/>
            <w:vAlign w:val="center"/>
            <w:hideMark/>
          </w:tcPr>
          <w:p w14:paraId="101C326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w:t>
            </w:r>
          </w:p>
        </w:tc>
        <w:tc>
          <w:tcPr>
            <w:tcW w:w="949" w:type="dxa"/>
            <w:tcBorders>
              <w:top w:val="nil"/>
              <w:left w:val="nil"/>
              <w:bottom w:val="single" w:sz="8" w:space="0" w:color="auto"/>
              <w:right w:val="single" w:sz="8" w:space="0" w:color="auto"/>
            </w:tcBorders>
            <w:shd w:val="clear" w:color="000000" w:fill="FFFFFF"/>
            <w:vAlign w:val="center"/>
            <w:hideMark/>
          </w:tcPr>
          <w:p w14:paraId="24C6B86B"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 </w:t>
            </w:r>
          </w:p>
        </w:tc>
        <w:tc>
          <w:tcPr>
            <w:tcW w:w="222" w:type="dxa"/>
            <w:vAlign w:val="center"/>
            <w:hideMark/>
          </w:tcPr>
          <w:p w14:paraId="769DA547"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42CF0583"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13A4370C"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Documentary Evidence Assessment</w:t>
            </w:r>
          </w:p>
        </w:tc>
        <w:tc>
          <w:tcPr>
            <w:tcW w:w="995" w:type="dxa"/>
            <w:tcBorders>
              <w:top w:val="nil"/>
              <w:left w:val="nil"/>
              <w:bottom w:val="single" w:sz="8" w:space="0" w:color="auto"/>
              <w:right w:val="single" w:sz="8" w:space="0" w:color="auto"/>
            </w:tcBorders>
            <w:shd w:val="clear" w:color="auto" w:fill="auto"/>
            <w:vAlign w:val="center"/>
            <w:hideMark/>
          </w:tcPr>
          <w:p w14:paraId="1DE0772B"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36.29</w:t>
            </w:r>
          </w:p>
        </w:tc>
        <w:tc>
          <w:tcPr>
            <w:tcW w:w="940" w:type="dxa"/>
            <w:tcBorders>
              <w:top w:val="nil"/>
              <w:left w:val="nil"/>
              <w:bottom w:val="single" w:sz="8" w:space="0" w:color="auto"/>
              <w:right w:val="single" w:sz="8" w:space="0" w:color="auto"/>
            </w:tcBorders>
            <w:shd w:val="clear" w:color="auto" w:fill="auto"/>
            <w:vAlign w:val="center"/>
            <w:hideMark/>
          </w:tcPr>
          <w:p w14:paraId="47485BC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1,280</w:t>
            </w:r>
          </w:p>
        </w:tc>
        <w:tc>
          <w:tcPr>
            <w:tcW w:w="955" w:type="dxa"/>
            <w:tcBorders>
              <w:top w:val="nil"/>
              <w:left w:val="nil"/>
              <w:bottom w:val="single" w:sz="8" w:space="0" w:color="auto"/>
              <w:right w:val="single" w:sz="8" w:space="0" w:color="auto"/>
            </w:tcBorders>
            <w:shd w:val="clear" w:color="auto" w:fill="auto"/>
            <w:vAlign w:val="center"/>
            <w:hideMark/>
          </w:tcPr>
          <w:p w14:paraId="3DF4B841"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1,115</w:t>
            </w:r>
          </w:p>
        </w:tc>
        <w:tc>
          <w:tcPr>
            <w:tcW w:w="979" w:type="dxa"/>
            <w:tcBorders>
              <w:top w:val="nil"/>
              <w:left w:val="nil"/>
              <w:bottom w:val="single" w:sz="8" w:space="0" w:color="auto"/>
              <w:right w:val="single" w:sz="8" w:space="0" w:color="auto"/>
            </w:tcBorders>
            <w:shd w:val="clear" w:color="auto" w:fill="auto"/>
            <w:vAlign w:val="center"/>
            <w:hideMark/>
          </w:tcPr>
          <w:p w14:paraId="704D77D7"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-13%</w:t>
            </w:r>
          </w:p>
        </w:tc>
        <w:tc>
          <w:tcPr>
            <w:tcW w:w="942" w:type="dxa"/>
            <w:tcBorders>
              <w:top w:val="nil"/>
              <w:left w:val="nil"/>
              <w:bottom w:val="single" w:sz="8" w:space="0" w:color="auto"/>
              <w:right w:val="single" w:sz="8" w:space="0" w:color="auto"/>
            </w:tcBorders>
            <w:shd w:val="clear" w:color="auto" w:fill="auto"/>
            <w:vAlign w:val="center"/>
            <w:hideMark/>
          </w:tcPr>
          <w:p w14:paraId="66FB785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32,500</w:t>
            </w:r>
          </w:p>
        </w:tc>
        <w:tc>
          <w:tcPr>
            <w:tcW w:w="949" w:type="dxa"/>
            <w:tcBorders>
              <w:top w:val="nil"/>
              <w:left w:val="nil"/>
              <w:bottom w:val="single" w:sz="8" w:space="0" w:color="auto"/>
              <w:right w:val="single" w:sz="8" w:space="0" w:color="auto"/>
            </w:tcBorders>
            <w:shd w:val="clear" w:color="auto" w:fill="auto"/>
            <w:vAlign w:val="center"/>
            <w:hideMark/>
          </w:tcPr>
          <w:p w14:paraId="584406DB"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36.24</w:t>
            </w:r>
          </w:p>
        </w:tc>
        <w:tc>
          <w:tcPr>
            <w:tcW w:w="222" w:type="dxa"/>
            <w:vAlign w:val="center"/>
            <w:hideMark/>
          </w:tcPr>
          <w:p w14:paraId="44C7DF51"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4BA6290C"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1B133953"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Technical Interview - Pathway 1</w:t>
            </w:r>
          </w:p>
        </w:tc>
        <w:tc>
          <w:tcPr>
            <w:tcW w:w="995" w:type="dxa"/>
            <w:tcBorders>
              <w:top w:val="nil"/>
              <w:left w:val="nil"/>
              <w:bottom w:val="single" w:sz="8" w:space="0" w:color="auto"/>
              <w:right w:val="single" w:sz="8" w:space="0" w:color="auto"/>
            </w:tcBorders>
            <w:shd w:val="clear" w:color="auto" w:fill="auto"/>
            <w:vAlign w:val="center"/>
            <w:hideMark/>
          </w:tcPr>
          <w:p w14:paraId="4B8AEA9C"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48.75</w:t>
            </w:r>
          </w:p>
        </w:tc>
        <w:tc>
          <w:tcPr>
            <w:tcW w:w="940" w:type="dxa"/>
            <w:tcBorders>
              <w:top w:val="nil"/>
              <w:left w:val="nil"/>
              <w:bottom w:val="single" w:sz="8" w:space="0" w:color="auto"/>
              <w:right w:val="single" w:sz="8" w:space="0" w:color="auto"/>
            </w:tcBorders>
            <w:shd w:val="clear" w:color="auto" w:fill="auto"/>
            <w:vAlign w:val="center"/>
            <w:hideMark/>
          </w:tcPr>
          <w:p w14:paraId="2B574B2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2,000</w:t>
            </w:r>
          </w:p>
        </w:tc>
        <w:tc>
          <w:tcPr>
            <w:tcW w:w="955" w:type="dxa"/>
            <w:tcBorders>
              <w:top w:val="nil"/>
              <w:left w:val="nil"/>
              <w:bottom w:val="single" w:sz="8" w:space="0" w:color="auto"/>
              <w:right w:val="single" w:sz="8" w:space="0" w:color="auto"/>
            </w:tcBorders>
            <w:shd w:val="clear" w:color="auto" w:fill="auto"/>
            <w:vAlign w:val="center"/>
            <w:hideMark/>
          </w:tcPr>
          <w:p w14:paraId="4EE9C60B"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2,000</w:t>
            </w:r>
          </w:p>
        </w:tc>
        <w:tc>
          <w:tcPr>
            <w:tcW w:w="979" w:type="dxa"/>
            <w:tcBorders>
              <w:top w:val="nil"/>
              <w:left w:val="nil"/>
              <w:bottom w:val="single" w:sz="8" w:space="0" w:color="auto"/>
              <w:right w:val="single" w:sz="8" w:space="0" w:color="auto"/>
            </w:tcBorders>
            <w:shd w:val="clear" w:color="auto" w:fill="auto"/>
            <w:vAlign w:val="center"/>
            <w:hideMark/>
          </w:tcPr>
          <w:p w14:paraId="795F6F6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5D41D9B2"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24,375</w:t>
            </w:r>
          </w:p>
        </w:tc>
        <w:tc>
          <w:tcPr>
            <w:tcW w:w="949" w:type="dxa"/>
            <w:tcBorders>
              <w:top w:val="nil"/>
              <w:left w:val="nil"/>
              <w:bottom w:val="single" w:sz="8" w:space="0" w:color="auto"/>
              <w:right w:val="single" w:sz="8" w:space="0" w:color="auto"/>
            </w:tcBorders>
            <w:shd w:val="clear" w:color="auto" w:fill="auto"/>
            <w:vAlign w:val="center"/>
            <w:hideMark/>
          </w:tcPr>
          <w:p w14:paraId="424977AD"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48.75</w:t>
            </w:r>
          </w:p>
        </w:tc>
        <w:tc>
          <w:tcPr>
            <w:tcW w:w="222" w:type="dxa"/>
            <w:vAlign w:val="center"/>
            <w:hideMark/>
          </w:tcPr>
          <w:p w14:paraId="178104E9"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5B46FF49"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4081995C"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Technical Interview - Pathway 2</w:t>
            </w:r>
          </w:p>
        </w:tc>
        <w:tc>
          <w:tcPr>
            <w:tcW w:w="995" w:type="dxa"/>
            <w:tcBorders>
              <w:top w:val="nil"/>
              <w:left w:val="nil"/>
              <w:bottom w:val="single" w:sz="8" w:space="0" w:color="auto"/>
              <w:right w:val="single" w:sz="8" w:space="0" w:color="auto"/>
            </w:tcBorders>
            <w:shd w:val="clear" w:color="auto" w:fill="auto"/>
            <w:vAlign w:val="center"/>
            <w:hideMark/>
          </w:tcPr>
          <w:p w14:paraId="46E53CC2"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7.31</w:t>
            </w:r>
          </w:p>
        </w:tc>
        <w:tc>
          <w:tcPr>
            <w:tcW w:w="940" w:type="dxa"/>
            <w:tcBorders>
              <w:top w:val="nil"/>
              <w:left w:val="nil"/>
              <w:bottom w:val="single" w:sz="8" w:space="0" w:color="auto"/>
              <w:right w:val="single" w:sz="8" w:space="0" w:color="auto"/>
            </w:tcBorders>
            <w:shd w:val="clear" w:color="auto" w:fill="auto"/>
            <w:vAlign w:val="center"/>
            <w:hideMark/>
          </w:tcPr>
          <w:p w14:paraId="6358AC4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900</w:t>
            </w:r>
          </w:p>
        </w:tc>
        <w:tc>
          <w:tcPr>
            <w:tcW w:w="955" w:type="dxa"/>
            <w:tcBorders>
              <w:top w:val="nil"/>
              <w:left w:val="nil"/>
              <w:bottom w:val="single" w:sz="8" w:space="0" w:color="auto"/>
              <w:right w:val="single" w:sz="8" w:space="0" w:color="auto"/>
            </w:tcBorders>
            <w:shd w:val="clear" w:color="auto" w:fill="auto"/>
            <w:vAlign w:val="center"/>
            <w:hideMark/>
          </w:tcPr>
          <w:p w14:paraId="5BD501EB"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900</w:t>
            </w:r>
          </w:p>
        </w:tc>
        <w:tc>
          <w:tcPr>
            <w:tcW w:w="979" w:type="dxa"/>
            <w:tcBorders>
              <w:top w:val="nil"/>
              <w:left w:val="nil"/>
              <w:bottom w:val="single" w:sz="8" w:space="0" w:color="auto"/>
              <w:right w:val="single" w:sz="8" w:space="0" w:color="auto"/>
            </w:tcBorders>
            <w:shd w:val="clear" w:color="auto" w:fill="auto"/>
            <w:vAlign w:val="center"/>
            <w:hideMark/>
          </w:tcPr>
          <w:p w14:paraId="15B77914"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3AACAC8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8,125</w:t>
            </w:r>
          </w:p>
        </w:tc>
        <w:tc>
          <w:tcPr>
            <w:tcW w:w="949" w:type="dxa"/>
            <w:tcBorders>
              <w:top w:val="nil"/>
              <w:left w:val="nil"/>
              <w:bottom w:val="single" w:sz="8" w:space="0" w:color="auto"/>
              <w:right w:val="single" w:sz="8" w:space="0" w:color="auto"/>
            </w:tcBorders>
            <w:shd w:val="clear" w:color="auto" w:fill="auto"/>
            <w:vAlign w:val="center"/>
            <w:hideMark/>
          </w:tcPr>
          <w:p w14:paraId="0D63ED6C"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7.31</w:t>
            </w:r>
          </w:p>
        </w:tc>
        <w:tc>
          <w:tcPr>
            <w:tcW w:w="222" w:type="dxa"/>
            <w:vAlign w:val="center"/>
            <w:hideMark/>
          </w:tcPr>
          <w:p w14:paraId="4D98000E"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4982141D"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4DBC8A6E"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Practical Assessment</w:t>
            </w:r>
          </w:p>
        </w:tc>
        <w:tc>
          <w:tcPr>
            <w:tcW w:w="995" w:type="dxa"/>
            <w:tcBorders>
              <w:top w:val="nil"/>
              <w:left w:val="nil"/>
              <w:bottom w:val="single" w:sz="8" w:space="0" w:color="auto"/>
              <w:right w:val="single" w:sz="8" w:space="0" w:color="auto"/>
            </w:tcBorders>
            <w:shd w:val="clear" w:color="auto" w:fill="auto"/>
            <w:vAlign w:val="center"/>
            <w:hideMark/>
          </w:tcPr>
          <w:p w14:paraId="551781E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8.58</w:t>
            </w:r>
          </w:p>
        </w:tc>
        <w:tc>
          <w:tcPr>
            <w:tcW w:w="940" w:type="dxa"/>
            <w:tcBorders>
              <w:top w:val="nil"/>
              <w:left w:val="nil"/>
              <w:bottom w:val="single" w:sz="8" w:space="0" w:color="auto"/>
              <w:right w:val="single" w:sz="8" w:space="0" w:color="auto"/>
            </w:tcBorders>
            <w:shd w:val="clear" w:color="auto" w:fill="auto"/>
            <w:vAlign w:val="center"/>
            <w:hideMark/>
          </w:tcPr>
          <w:p w14:paraId="01DFD3B1"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2,200</w:t>
            </w:r>
          </w:p>
        </w:tc>
        <w:tc>
          <w:tcPr>
            <w:tcW w:w="955" w:type="dxa"/>
            <w:tcBorders>
              <w:top w:val="nil"/>
              <w:left w:val="nil"/>
              <w:bottom w:val="single" w:sz="8" w:space="0" w:color="auto"/>
              <w:right w:val="single" w:sz="8" w:space="0" w:color="auto"/>
            </w:tcBorders>
            <w:shd w:val="clear" w:color="auto" w:fill="auto"/>
            <w:vAlign w:val="center"/>
            <w:hideMark/>
          </w:tcPr>
          <w:p w14:paraId="02C8CD1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2,200</w:t>
            </w:r>
          </w:p>
        </w:tc>
        <w:tc>
          <w:tcPr>
            <w:tcW w:w="979" w:type="dxa"/>
            <w:tcBorders>
              <w:top w:val="nil"/>
              <w:left w:val="nil"/>
              <w:bottom w:val="single" w:sz="8" w:space="0" w:color="auto"/>
              <w:right w:val="single" w:sz="8" w:space="0" w:color="auto"/>
            </w:tcBorders>
            <w:shd w:val="clear" w:color="auto" w:fill="auto"/>
            <w:vAlign w:val="center"/>
            <w:hideMark/>
          </w:tcPr>
          <w:p w14:paraId="6C7005F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20A241E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3,900</w:t>
            </w:r>
          </w:p>
        </w:tc>
        <w:tc>
          <w:tcPr>
            <w:tcW w:w="949" w:type="dxa"/>
            <w:tcBorders>
              <w:top w:val="nil"/>
              <w:left w:val="nil"/>
              <w:bottom w:val="single" w:sz="8" w:space="0" w:color="auto"/>
              <w:right w:val="single" w:sz="8" w:space="0" w:color="auto"/>
            </w:tcBorders>
            <w:shd w:val="clear" w:color="auto" w:fill="auto"/>
            <w:vAlign w:val="center"/>
            <w:hideMark/>
          </w:tcPr>
          <w:p w14:paraId="0BC5FC87"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8.58</w:t>
            </w:r>
          </w:p>
        </w:tc>
        <w:tc>
          <w:tcPr>
            <w:tcW w:w="222" w:type="dxa"/>
            <w:vAlign w:val="center"/>
            <w:hideMark/>
          </w:tcPr>
          <w:p w14:paraId="45758BD4"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0E6C1AE2"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1E4A7D0C"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Documentary Evidence Reassessment</w:t>
            </w:r>
          </w:p>
        </w:tc>
        <w:tc>
          <w:tcPr>
            <w:tcW w:w="995" w:type="dxa"/>
            <w:tcBorders>
              <w:top w:val="nil"/>
              <w:left w:val="nil"/>
              <w:bottom w:val="single" w:sz="8" w:space="0" w:color="auto"/>
              <w:right w:val="single" w:sz="8" w:space="0" w:color="auto"/>
            </w:tcBorders>
            <w:shd w:val="clear" w:color="auto" w:fill="auto"/>
            <w:vAlign w:val="center"/>
            <w:hideMark/>
          </w:tcPr>
          <w:p w14:paraId="2AABE70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0.15</w:t>
            </w:r>
          </w:p>
        </w:tc>
        <w:tc>
          <w:tcPr>
            <w:tcW w:w="940" w:type="dxa"/>
            <w:tcBorders>
              <w:top w:val="nil"/>
              <w:left w:val="nil"/>
              <w:bottom w:val="single" w:sz="8" w:space="0" w:color="auto"/>
              <w:right w:val="single" w:sz="8" w:space="0" w:color="auto"/>
            </w:tcBorders>
            <w:shd w:val="clear" w:color="auto" w:fill="auto"/>
            <w:vAlign w:val="center"/>
            <w:hideMark/>
          </w:tcPr>
          <w:p w14:paraId="1FCB2E85"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450</w:t>
            </w:r>
          </w:p>
        </w:tc>
        <w:tc>
          <w:tcPr>
            <w:tcW w:w="955" w:type="dxa"/>
            <w:tcBorders>
              <w:top w:val="nil"/>
              <w:left w:val="nil"/>
              <w:bottom w:val="single" w:sz="8" w:space="0" w:color="auto"/>
              <w:right w:val="single" w:sz="8" w:space="0" w:color="auto"/>
            </w:tcBorders>
            <w:shd w:val="clear" w:color="auto" w:fill="auto"/>
            <w:vAlign w:val="center"/>
            <w:hideMark/>
          </w:tcPr>
          <w:p w14:paraId="50C46D85"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450</w:t>
            </w:r>
          </w:p>
        </w:tc>
        <w:tc>
          <w:tcPr>
            <w:tcW w:w="979" w:type="dxa"/>
            <w:tcBorders>
              <w:top w:val="nil"/>
              <w:left w:val="nil"/>
              <w:bottom w:val="single" w:sz="8" w:space="0" w:color="auto"/>
              <w:right w:val="single" w:sz="8" w:space="0" w:color="auto"/>
            </w:tcBorders>
            <w:shd w:val="clear" w:color="auto" w:fill="auto"/>
            <w:vAlign w:val="center"/>
            <w:hideMark/>
          </w:tcPr>
          <w:p w14:paraId="1AAA72EB"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18074E8E"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325</w:t>
            </w:r>
          </w:p>
        </w:tc>
        <w:tc>
          <w:tcPr>
            <w:tcW w:w="949" w:type="dxa"/>
            <w:tcBorders>
              <w:top w:val="nil"/>
              <w:left w:val="nil"/>
              <w:bottom w:val="single" w:sz="8" w:space="0" w:color="auto"/>
              <w:right w:val="single" w:sz="8" w:space="0" w:color="auto"/>
            </w:tcBorders>
            <w:shd w:val="clear" w:color="auto" w:fill="auto"/>
            <w:vAlign w:val="center"/>
            <w:hideMark/>
          </w:tcPr>
          <w:p w14:paraId="6B5D655D"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0.15</w:t>
            </w:r>
          </w:p>
        </w:tc>
        <w:tc>
          <w:tcPr>
            <w:tcW w:w="222" w:type="dxa"/>
            <w:vAlign w:val="center"/>
            <w:hideMark/>
          </w:tcPr>
          <w:p w14:paraId="7906A16F"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2C3684D3"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645017CE"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Technical Reassessment - Pathway 1</w:t>
            </w:r>
          </w:p>
        </w:tc>
        <w:tc>
          <w:tcPr>
            <w:tcW w:w="995" w:type="dxa"/>
            <w:tcBorders>
              <w:top w:val="nil"/>
              <w:left w:val="nil"/>
              <w:bottom w:val="single" w:sz="8" w:space="0" w:color="auto"/>
              <w:right w:val="single" w:sz="8" w:space="0" w:color="auto"/>
            </w:tcBorders>
            <w:shd w:val="clear" w:color="auto" w:fill="auto"/>
            <w:vAlign w:val="center"/>
            <w:hideMark/>
          </w:tcPr>
          <w:p w14:paraId="6FAE3384"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0.24</w:t>
            </w:r>
          </w:p>
        </w:tc>
        <w:tc>
          <w:tcPr>
            <w:tcW w:w="940" w:type="dxa"/>
            <w:tcBorders>
              <w:top w:val="nil"/>
              <w:left w:val="nil"/>
              <w:bottom w:val="single" w:sz="8" w:space="0" w:color="auto"/>
              <w:right w:val="single" w:sz="8" w:space="0" w:color="auto"/>
            </w:tcBorders>
            <w:shd w:val="clear" w:color="auto" w:fill="auto"/>
            <w:vAlign w:val="center"/>
            <w:hideMark/>
          </w:tcPr>
          <w:p w14:paraId="08FB4E8F"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1,000</w:t>
            </w:r>
          </w:p>
        </w:tc>
        <w:tc>
          <w:tcPr>
            <w:tcW w:w="955" w:type="dxa"/>
            <w:tcBorders>
              <w:top w:val="nil"/>
              <w:left w:val="nil"/>
              <w:bottom w:val="single" w:sz="8" w:space="0" w:color="auto"/>
              <w:right w:val="single" w:sz="8" w:space="0" w:color="auto"/>
            </w:tcBorders>
            <w:shd w:val="clear" w:color="auto" w:fill="auto"/>
            <w:vAlign w:val="center"/>
            <w:hideMark/>
          </w:tcPr>
          <w:p w14:paraId="2C01845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1,000</w:t>
            </w:r>
          </w:p>
        </w:tc>
        <w:tc>
          <w:tcPr>
            <w:tcW w:w="979" w:type="dxa"/>
            <w:tcBorders>
              <w:top w:val="nil"/>
              <w:left w:val="nil"/>
              <w:bottom w:val="single" w:sz="8" w:space="0" w:color="auto"/>
              <w:right w:val="single" w:sz="8" w:space="0" w:color="auto"/>
            </w:tcBorders>
            <w:shd w:val="clear" w:color="auto" w:fill="auto"/>
            <w:vAlign w:val="center"/>
            <w:hideMark/>
          </w:tcPr>
          <w:p w14:paraId="513DCC06"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4AC8EFA6"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244</w:t>
            </w:r>
          </w:p>
        </w:tc>
        <w:tc>
          <w:tcPr>
            <w:tcW w:w="949" w:type="dxa"/>
            <w:tcBorders>
              <w:top w:val="nil"/>
              <w:left w:val="nil"/>
              <w:bottom w:val="single" w:sz="8" w:space="0" w:color="auto"/>
              <w:right w:val="single" w:sz="8" w:space="0" w:color="auto"/>
            </w:tcBorders>
            <w:shd w:val="clear" w:color="auto" w:fill="auto"/>
            <w:vAlign w:val="center"/>
            <w:hideMark/>
          </w:tcPr>
          <w:p w14:paraId="199E9B9C"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0.24</w:t>
            </w:r>
          </w:p>
        </w:tc>
        <w:tc>
          <w:tcPr>
            <w:tcW w:w="222" w:type="dxa"/>
            <w:vAlign w:val="center"/>
            <w:hideMark/>
          </w:tcPr>
          <w:p w14:paraId="74C45D27"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248B0287"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42925C9B"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Technical Reassessment - Pathway 2</w:t>
            </w:r>
          </w:p>
        </w:tc>
        <w:tc>
          <w:tcPr>
            <w:tcW w:w="995" w:type="dxa"/>
            <w:tcBorders>
              <w:top w:val="nil"/>
              <w:left w:val="nil"/>
              <w:bottom w:val="single" w:sz="8" w:space="0" w:color="auto"/>
              <w:right w:val="single" w:sz="8" w:space="0" w:color="auto"/>
            </w:tcBorders>
            <w:shd w:val="clear" w:color="auto" w:fill="auto"/>
            <w:vAlign w:val="center"/>
            <w:hideMark/>
          </w:tcPr>
          <w:p w14:paraId="03F78ADE"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0.04</w:t>
            </w:r>
          </w:p>
        </w:tc>
        <w:tc>
          <w:tcPr>
            <w:tcW w:w="940" w:type="dxa"/>
            <w:tcBorders>
              <w:top w:val="nil"/>
              <w:left w:val="nil"/>
              <w:bottom w:val="single" w:sz="8" w:space="0" w:color="auto"/>
              <w:right w:val="single" w:sz="8" w:space="0" w:color="auto"/>
            </w:tcBorders>
            <w:shd w:val="clear" w:color="auto" w:fill="auto"/>
            <w:vAlign w:val="center"/>
            <w:hideMark/>
          </w:tcPr>
          <w:p w14:paraId="4A9710FC"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450</w:t>
            </w:r>
          </w:p>
        </w:tc>
        <w:tc>
          <w:tcPr>
            <w:tcW w:w="955" w:type="dxa"/>
            <w:tcBorders>
              <w:top w:val="nil"/>
              <w:left w:val="nil"/>
              <w:bottom w:val="single" w:sz="8" w:space="0" w:color="auto"/>
              <w:right w:val="single" w:sz="8" w:space="0" w:color="auto"/>
            </w:tcBorders>
            <w:shd w:val="clear" w:color="auto" w:fill="auto"/>
            <w:vAlign w:val="center"/>
            <w:hideMark/>
          </w:tcPr>
          <w:p w14:paraId="20735F14"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450</w:t>
            </w:r>
          </w:p>
        </w:tc>
        <w:tc>
          <w:tcPr>
            <w:tcW w:w="979" w:type="dxa"/>
            <w:tcBorders>
              <w:top w:val="nil"/>
              <w:left w:val="nil"/>
              <w:bottom w:val="single" w:sz="8" w:space="0" w:color="auto"/>
              <w:right w:val="single" w:sz="8" w:space="0" w:color="auto"/>
            </w:tcBorders>
            <w:shd w:val="clear" w:color="auto" w:fill="auto"/>
            <w:vAlign w:val="center"/>
            <w:hideMark/>
          </w:tcPr>
          <w:p w14:paraId="0513395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4D8B857D"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82</w:t>
            </w:r>
          </w:p>
        </w:tc>
        <w:tc>
          <w:tcPr>
            <w:tcW w:w="949" w:type="dxa"/>
            <w:tcBorders>
              <w:top w:val="nil"/>
              <w:left w:val="nil"/>
              <w:bottom w:val="single" w:sz="8" w:space="0" w:color="auto"/>
              <w:right w:val="single" w:sz="8" w:space="0" w:color="auto"/>
            </w:tcBorders>
            <w:shd w:val="clear" w:color="auto" w:fill="auto"/>
            <w:vAlign w:val="center"/>
            <w:hideMark/>
          </w:tcPr>
          <w:p w14:paraId="7C8CDFCD"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0.04</w:t>
            </w:r>
          </w:p>
        </w:tc>
        <w:tc>
          <w:tcPr>
            <w:tcW w:w="222" w:type="dxa"/>
            <w:vAlign w:val="center"/>
            <w:hideMark/>
          </w:tcPr>
          <w:p w14:paraId="4372C20B"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0C9C0965"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03ECC96B"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Practical Reassessment</w:t>
            </w:r>
          </w:p>
        </w:tc>
        <w:tc>
          <w:tcPr>
            <w:tcW w:w="995" w:type="dxa"/>
            <w:tcBorders>
              <w:top w:val="nil"/>
              <w:left w:val="nil"/>
              <w:bottom w:val="single" w:sz="8" w:space="0" w:color="auto"/>
              <w:right w:val="single" w:sz="8" w:space="0" w:color="auto"/>
            </w:tcBorders>
            <w:shd w:val="clear" w:color="auto" w:fill="auto"/>
            <w:vAlign w:val="center"/>
            <w:hideMark/>
          </w:tcPr>
          <w:p w14:paraId="2DF7AF37"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0.04</w:t>
            </w:r>
          </w:p>
        </w:tc>
        <w:tc>
          <w:tcPr>
            <w:tcW w:w="940" w:type="dxa"/>
            <w:tcBorders>
              <w:top w:val="nil"/>
              <w:left w:val="nil"/>
              <w:bottom w:val="single" w:sz="8" w:space="0" w:color="auto"/>
              <w:right w:val="single" w:sz="8" w:space="0" w:color="auto"/>
            </w:tcBorders>
            <w:shd w:val="clear" w:color="auto" w:fill="auto"/>
            <w:vAlign w:val="center"/>
            <w:hideMark/>
          </w:tcPr>
          <w:p w14:paraId="1209A44E"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1,100</w:t>
            </w:r>
          </w:p>
        </w:tc>
        <w:tc>
          <w:tcPr>
            <w:tcW w:w="955" w:type="dxa"/>
            <w:tcBorders>
              <w:top w:val="nil"/>
              <w:left w:val="nil"/>
              <w:bottom w:val="single" w:sz="8" w:space="0" w:color="auto"/>
              <w:right w:val="single" w:sz="8" w:space="0" w:color="auto"/>
            </w:tcBorders>
            <w:shd w:val="clear" w:color="auto" w:fill="auto"/>
            <w:vAlign w:val="center"/>
            <w:hideMark/>
          </w:tcPr>
          <w:p w14:paraId="16F0F737"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1,100</w:t>
            </w:r>
          </w:p>
        </w:tc>
        <w:tc>
          <w:tcPr>
            <w:tcW w:w="979" w:type="dxa"/>
            <w:tcBorders>
              <w:top w:val="nil"/>
              <w:left w:val="nil"/>
              <w:bottom w:val="single" w:sz="8" w:space="0" w:color="auto"/>
              <w:right w:val="single" w:sz="8" w:space="0" w:color="auto"/>
            </w:tcBorders>
            <w:shd w:val="clear" w:color="auto" w:fill="auto"/>
            <w:vAlign w:val="center"/>
            <w:hideMark/>
          </w:tcPr>
          <w:p w14:paraId="3548B945"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41F8601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39</w:t>
            </w:r>
          </w:p>
        </w:tc>
        <w:tc>
          <w:tcPr>
            <w:tcW w:w="949" w:type="dxa"/>
            <w:tcBorders>
              <w:top w:val="nil"/>
              <w:left w:val="nil"/>
              <w:bottom w:val="single" w:sz="8" w:space="0" w:color="auto"/>
              <w:right w:val="single" w:sz="8" w:space="0" w:color="auto"/>
            </w:tcBorders>
            <w:shd w:val="clear" w:color="auto" w:fill="auto"/>
            <w:vAlign w:val="center"/>
            <w:hideMark/>
          </w:tcPr>
          <w:p w14:paraId="708A110A"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0.04</w:t>
            </w:r>
          </w:p>
        </w:tc>
        <w:tc>
          <w:tcPr>
            <w:tcW w:w="222" w:type="dxa"/>
            <w:vAlign w:val="center"/>
            <w:hideMark/>
          </w:tcPr>
          <w:p w14:paraId="7BBC948E"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6D615CE4"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59211A44" w14:textId="77777777" w:rsidR="005925C9" w:rsidRPr="005925C9" w:rsidRDefault="005925C9" w:rsidP="005925C9">
            <w:pPr>
              <w:spacing w:after="0" w:line="240" w:lineRule="auto"/>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Review</w:t>
            </w:r>
          </w:p>
        </w:tc>
        <w:tc>
          <w:tcPr>
            <w:tcW w:w="995" w:type="dxa"/>
            <w:tcBorders>
              <w:top w:val="nil"/>
              <w:left w:val="nil"/>
              <w:bottom w:val="single" w:sz="8" w:space="0" w:color="auto"/>
              <w:right w:val="single" w:sz="8" w:space="0" w:color="auto"/>
            </w:tcBorders>
            <w:shd w:val="clear" w:color="auto" w:fill="auto"/>
            <w:vAlign w:val="center"/>
            <w:hideMark/>
          </w:tcPr>
          <w:p w14:paraId="65F993D8"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0.02</w:t>
            </w:r>
          </w:p>
        </w:tc>
        <w:tc>
          <w:tcPr>
            <w:tcW w:w="940" w:type="dxa"/>
            <w:tcBorders>
              <w:top w:val="nil"/>
              <w:left w:val="nil"/>
              <w:bottom w:val="single" w:sz="8" w:space="0" w:color="auto"/>
              <w:right w:val="single" w:sz="8" w:space="0" w:color="auto"/>
            </w:tcBorders>
            <w:shd w:val="clear" w:color="auto" w:fill="auto"/>
            <w:vAlign w:val="center"/>
            <w:hideMark/>
          </w:tcPr>
          <w:p w14:paraId="32A9A9F3"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700</w:t>
            </w:r>
          </w:p>
        </w:tc>
        <w:tc>
          <w:tcPr>
            <w:tcW w:w="955" w:type="dxa"/>
            <w:tcBorders>
              <w:top w:val="nil"/>
              <w:left w:val="nil"/>
              <w:bottom w:val="single" w:sz="8" w:space="0" w:color="auto"/>
              <w:right w:val="single" w:sz="8" w:space="0" w:color="auto"/>
            </w:tcBorders>
            <w:shd w:val="clear" w:color="auto" w:fill="auto"/>
            <w:vAlign w:val="center"/>
            <w:hideMark/>
          </w:tcPr>
          <w:p w14:paraId="31E99902"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700</w:t>
            </w:r>
          </w:p>
        </w:tc>
        <w:tc>
          <w:tcPr>
            <w:tcW w:w="979" w:type="dxa"/>
            <w:tcBorders>
              <w:top w:val="nil"/>
              <w:left w:val="nil"/>
              <w:bottom w:val="single" w:sz="8" w:space="0" w:color="auto"/>
              <w:right w:val="single" w:sz="8" w:space="0" w:color="auto"/>
            </w:tcBorders>
            <w:shd w:val="clear" w:color="auto" w:fill="auto"/>
            <w:vAlign w:val="center"/>
            <w:hideMark/>
          </w:tcPr>
          <w:p w14:paraId="699FB16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w:t>
            </w:r>
          </w:p>
        </w:tc>
        <w:tc>
          <w:tcPr>
            <w:tcW w:w="942" w:type="dxa"/>
            <w:tcBorders>
              <w:top w:val="nil"/>
              <w:left w:val="nil"/>
              <w:bottom w:val="single" w:sz="8" w:space="0" w:color="auto"/>
              <w:right w:val="single" w:sz="8" w:space="0" w:color="auto"/>
            </w:tcBorders>
            <w:shd w:val="clear" w:color="auto" w:fill="auto"/>
            <w:vAlign w:val="center"/>
            <w:hideMark/>
          </w:tcPr>
          <w:p w14:paraId="2E648CF0"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34</w:t>
            </w:r>
          </w:p>
        </w:tc>
        <w:tc>
          <w:tcPr>
            <w:tcW w:w="949" w:type="dxa"/>
            <w:tcBorders>
              <w:top w:val="nil"/>
              <w:left w:val="nil"/>
              <w:bottom w:val="single" w:sz="8" w:space="0" w:color="auto"/>
              <w:right w:val="single" w:sz="8" w:space="0" w:color="auto"/>
            </w:tcBorders>
            <w:shd w:val="clear" w:color="auto" w:fill="auto"/>
            <w:vAlign w:val="center"/>
            <w:hideMark/>
          </w:tcPr>
          <w:p w14:paraId="627F9D97" w14:textId="77777777" w:rsidR="005925C9" w:rsidRPr="005925C9" w:rsidRDefault="005925C9" w:rsidP="005925C9">
            <w:pPr>
              <w:spacing w:after="0" w:line="240" w:lineRule="auto"/>
              <w:jc w:val="right"/>
              <w:rPr>
                <w:rFonts w:ascii="Calibri" w:eastAsia="Times New Roman" w:hAnsi="Calibri" w:cs="Calibri"/>
                <w:color w:val="000000"/>
                <w:sz w:val="18"/>
                <w:szCs w:val="18"/>
                <w:lang w:eastAsia="en-AU"/>
              </w:rPr>
            </w:pPr>
            <w:r w:rsidRPr="005925C9">
              <w:rPr>
                <w:rFonts w:ascii="Calibri" w:eastAsia="Times New Roman" w:hAnsi="Calibri" w:cs="Calibri"/>
                <w:color w:val="000000"/>
                <w:sz w:val="18"/>
                <w:szCs w:val="18"/>
                <w:lang w:eastAsia="en-AU"/>
              </w:rPr>
              <w:t>0.02</w:t>
            </w:r>
          </w:p>
        </w:tc>
        <w:tc>
          <w:tcPr>
            <w:tcW w:w="222" w:type="dxa"/>
            <w:vAlign w:val="center"/>
            <w:hideMark/>
          </w:tcPr>
          <w:p w14:paraId="54CD91DB"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r w:rsidR="005925C9" w:rsidRPr="005925C9" w14:paraId="36492C5F" w14:textId="77777777" w:rsidTr="00055370">
        <w:trPr>
          <w:trHeight w:val="315"/>
        </w:trPr>
        <w:tc>
          <w:tcPr>
            <w:tcW w:w="3058" w:type="dxa"/>
            <w:tcBorders>
              <w:top w:val="nil"/>
              <w:left w:val="single" w:sz="8" w:space="0" w:color="auto"/>
              <w:bottom w:val="single" w:sz="8" w:space="0" w:color="auto"/>
              <w:right w:val="single" w:sz="8" w:space="0" w:color="auto"/>
            </w:tcBorders>
            <w:shd w:val="clear" w:color="auto" w:fill="auto"/>
            <w:vAlign w:val="center"/>
            <w:hideMark/>
          </w:tcPr>
          <w:p w14:paraId="4B358AF7"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 xml:space="preserve">Totals </w:t>
            </w:r>
          </w:p>
        </w:tc>
        <w:tc>
          <w:tcPr>
            <w:tcW w:w="995" w:type="dxa"/>
            <w:tcBorders>
              <w:top w:val="nil"/>
              <w:left w:val="nil"/>
              <w:bottom w:val="single" w:sz="8" w:space="0" w:color="auto"/>
              <w:right w:val="single" w:sz="8" w:space="0" w:color="auto"/>
            </w:tcBorders>
            <w:shd w:val="clear" w:color="auto" w:fill="auto"/>
            <w:vAlign w:val="center"/>
            <w:hideMark/>
          </w:tcPr>
          <w:p w14:paraId="6021148C" w14:textId="28CC9F0B" w:rsidR="005925C9" w:rsidRPr="005925C9" w:rsidRDefault="005925C9" w:rsidP="005925C9">
            <w:pPr>
              <w:spacing w:after="0" w:line="240" w:lineRule="auto"/>
              <w:jc w:val="right"/>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27</w:t>
            </w:r>
            <w:r w:rsidR="00F24D3D">
              <w:rPr>
                <w:rFonts w:ascii="Calibri" w:eastAsia="Times New Roman" w:hAnsi="Calibri" w:cs="Calibri"/>
                <w:b/>
                <w:bCs/>
                <w:color w:val="000000"/>
                <w:sz w:val="18"/>
                <w:szCs w:val="18"/>
                <w:lang w:eastAsia="en-AU"/>
              </w:rPr>
              <w:t>8</w:t>
            </w:r>
            <w:r w:rsidRPr="005925C9">
              <w:rPr>
                <w:rFonts w:ascii="Calibri" w:eastAsia="Times New Roman" w:hAnsi="Calibri" w:cs="Calibri"/>
                <w:b/>
                <w:bCs/>
                <w:color w:val="000000"/>
                <w:sz w:val="18"/>
                <w:szCs w:val="18"/>
                <w:lang w:eastAsia="en-AU"/>
              </w:rPr>
              <w:t>.</w:t>
            </w:r>
            <w:r w:rsidR="00F24D3D">
              <w:rPr>
                <w:rFonts w:ascii="Calibri" w:eastAsia="Times New Roman" w:hAnsi="Calibri" w:cs="Calibri"/>
                <w:b/>
                <w:bCs/>
                <w:color w:val="000000"/>
                <w:sz w:val="18"/>
                <w:szCs w:val="18"/>
                <w:lang w:eastAsia="en-AU"/>
              </w:rPr>
              <w:t>38</w:t>
            </w:r>
          </w:p>
        </w:tc>
        <w:tc>
          <w:tcPr>
            <w:tcW w:w="940" w:type="dxa"/>
            <w:tcBorders>
              <w:top w:val="nil"/>
              <w:left w:val="nil"/>
              <w:bottom w:val="single" w:sz="8" w:space="0" w:color="auto"/>
              <w:right w:val="nil"/>
            </w:tcBorders>
            <w:shd w:val="clear" w:color="000000" w:fill="000000"/>
            <w:vAlign w:val="center"/>
            <w:hideMark/>
          </w:tcPr>
          <w:p w14:paraId="701E317F"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 </w:t>
            </w:r>
          </w:p>
        </w:tc>
        <w:tc>
          <w:tcPr>
            <w:tcW w:w="955" w:type="dxa"/>
            <w:tcBorders>
              <w:top w:val="nil"/>
              <w:left w:val="nil"/>
              <w:bottom w:val="single" w:sz="8" w:space="0" w:color="auto"/>
              <w:right w:val="single" w:sz="8" w:space="0" w:color="auto"/>
            </w:tcBorders>
            <w:shd w:val="clear" w:color="000000" w:fill="000000"/>
            <w:vAlign w:val="center"/>
            <w:hideMark/>
          </w:tcPr>
          <w:p w14:paraId="515DD1E4"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 </w:t>
            </w:r>
          </w:p>
        </w:tc>
        <w:tc>
          <w:tcPr>
            <w:tcW w:w="979" w:type="dxa"/>
            <w:tcBorders>
              <w:top w:val="nil"/>
              <w:left w:val="nil"/>
              <w:bottom w:val="single" w:sz="8" w:space="0" w:color="auto"/>
              <w:right w:val="single" w:sz="8" w:space="0" w:color="auto"/>
            </w:tcBorders>
            <w:shd w:val="clear" w:color="000000" w:fill="000000"/>
            <w:vAlign w:val="center"/>
            <w:hideMark/>
          </w:tcPr>
          <w:p w14:paraId="174A024E" w14:textId="77777777" w:rsidR="005925C9" w:rsidRPr="005925C9" w:rsidRDefault="005925C9" w:rsidP="005925C9">
            <w:pPr>
              <w:spacing w:after="0" w:line="240" w:lineRule="auto"/>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 </w:t>
            </w:r>
          </w:p>
        </w:tc>
        <w:tc>
          <w:tcPr>
            <w:tcW w:w="942" w:type="dxa"/>
            <w:tcBorders>
              <w:top w:val="nil"/>
              <w:left w:val="nil"/>
              <w:bottom w:val="single" w:sz="8" w:space="0" w:color="auto"/>
              <w:right w:val="single" w:sz="8" w:space="0" w:color="auto"/>
            </w:tcBorders>
            <w:shd w:val="clear" w:color="auto" w:fill="auto"/>
            <w:vAlign w:val="center"/>
            <w:hideMark/>
          </w:tcPr>
          <w:p w14:paraId="0D472216" w14:textId="4C4B8F42" w:rsidR="005925C9" w:rsidRPr="005925C9" w:rsidRDefault="00F24D3D" w:rsidP="005925C9">
            <w:pPr>
              <w:spacing w:after="0" w:line="240" w:lineRule="auto"/>
              <w:jc w:val="right"/>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319,645</w:t>
            </w:r>
          </w:p>
        </w:tc>
        <w:tc>
          <w:tcPr>
            <w:tcW w:w="949" w:type="dxa"/>
            <w:tcBorders>
              <w:top w:val="nil"/>
              <w:left w:val="nil"/>
              <w:bottom w:val="single" w:sz="8" w:space="0" w:color="auto"/>
              <w:right w:val="single" w:sz="8" w:space="0" w:color="auto"/>
            </w:tcBorders>
            <w:shd w:val="clear" w:color="auto" w:fill="auto"/>
            <w:vAlign w:val="center"/>
            <w:hideMark/>
          </w:tcPr>
          <w:p w14:paraId="7CF35EDC" w14:textId="1E66DA31" w:rsidR="005925C9" w:rsidRPr="005925C9" w:rsidRDefault="005925C9" w:rsidP="005925C9">
            <w:pPr>
              <w:spacing w:after="0" w:line="240" w:lineRule="auto"/>
              <w:jc w:val="right"/>
              <w:rPr>
                <w:rFonts w:ascii="Calibri" w:eastAsia="Times New Roman" w:hAnsi="Calibri" w:cs="Calibri"/>
                <w:b/>
                <w:bCs/>
                <w:color w:val="000000"/>
                <w:sz w:val="18"/>
                <w:szCs w:val="18"/>
                <w:lang w:eastAsia="en-AU"/>
              </w:rPr>
            </w:pPr>
            <w:r w:rsidRPr="005925C9">
              <w:rPr>
                <w:rFonts w:ascii="Calibri" w:eastAsia="Times New Roman" w:hAnsi="Calibri" w:cs="Calibri"/>
                <w:b/>
                <w:bCs/>
                <w:color w:val="000000"/>
                <w:sz w:val="18"/>
                <w:szCs w:val="18"/>
                <w:lang w:eastAsia="en-AU"/>
              </w:rPr>
              <w:t>277.</w:t>
            </w:r>
            <w:r w:rsidR="00F24D3D">
              <w:rPr>
                <w:rFonts w:ascii="Calibri" w:eastAsia="Times New Roman" w:hAnsi="Calibri" w:cs="Calibri"/>
                <w:b/>
                <w:bCs/>
                <w:color w:val="000000"/>
                <w:sz w:val="18"/>
                <w:szCs w:val="18"/>
                <w:lang w:eastAsia="en-AU"/>
              </w:rPr>
              <w:t>93</w:t>
            </w:r>
          </w:p>
        </w:tc>
        <w:tc>
          <w:tcPr>
            <w:tcW w:w="222" w:type="dxa"/>
            <w:vAlign w:val="center"/>
            <w:hideMark/>
          </w:tcPr>
          <w:p w14:paraId="1F8B18F5" w14:textId="77777777" w:rsidR="005925C9" w:rsidRPr="005925C9" w:rsidRDefault="005925C9" w:rsidP="005925C9">
            <w:pPr>
              <w:spacing w:after="0" w:line="240" w:lineRule="auto"/>
              <w:rPr>
                <w:rFonts w:ascii="Times New Roman" w:eastAsia="Times New Roman" w:hAnsi="Times New Roman" w:cs="Times New Roman"/>
                <w:sz w:val="18"/>
                <w:szCs w:val="18"/>
                <w:lang w:eastAsia="en-AU"/>
              </w:rPr>
            </w:pPr>
          </w:p>
        </w:tc>
      </w:tr>
    </w:tbl>
    <w:p w14:paraId="0800461C" w14:textId="44638F89" w:rsidR="0034461A" w:rsidRPr="00F51C18" w:rsidRDefault="0034461A" w:rsidP="0064180D">
      <w:pPr>
        <w:pStyle w:val="Heading1"/>
        <w:numPr>
          <w:ilvl w:val="0"/>
          <w:numId w:val="20"/>
        </w:numPr>
      </w:pPr>
      <w:bookmarkStart w:id="21" w:name="_Toc109313711"/>
      <w:r>
        <w:lastRenderedPageBreak/>
        <w:t>Risk assessment</w:t>
      </w:r>
      <w:bookmarkEnd w:id="21"/>
    </w:p>
    <w:p w14:paraId="1B9A7A22" w14:textId="789F4CD1" w:rsidR="004779B3" w:rsidRDefault="004779B3" w:rsidP="0074132A">
      <w:r w:rsidRPr="004779B3">
        <w:t xml:space="preserve">As part of the </w:t>
      </w:r>
      <w:r w:rsidR="00277DA2">
        <w:t>review</w:t>
      </w:r>
      <w:r w:rsidR="00277DA2" w:rsidRPr="004779B3">
        <w:t xml:space="preserve"> </w:t>
      </w:r>
      <w:r w:rsidRPr="004779B3">
        <w:t xml:space="preserve">of the </w:t>
      </w:r>
      <w:proofErr w:type="spellStart"/>
      <w:r w:rsidRPr="004779B3">
        <w:t>CRIS</w:t>
      </w:r>
      <w:proofErr w:type="spellEnd"/>
      <w:r w:rsidRPr="004779B3">
        <w:t xml:space="preserve">, </w:t>
      </w:r>
      <w:r>
        <w:t>Trades Recognition Australia</w:t>
      </w:r>
      <w:r w:rsidRPr="004779B3">
        <w:t xml:space="preserve"> completed a Charging Risk Assessment (CRA), pursuant to the Charging Framework. According to the CRA methodology, the overall rating for the proposed cost recovery model for </w:t>
      </w:r>
      <w:r>
        <w:t>Trades Recognition Australia</w:t>
      </w:r>
      <w:r w:rsidRPr="004779B3">
        <w:t xml:space="preserve"> is </w:t>
      </w:r>
      <w:r w:rsidR="00C508D6">
        <w:t>‘</w:t>
      </w:r>
      <w:r w:rsidRPr="004779B3">
        <w:t>medium</w:t>
      </w:r>
      <w:r w:rsidR="00C508D6">
        <w:t>’</w:t>
      </w:r>
      <w:r w:rsidRPr="004779B3">
        <w:t xml:space="preserve">. </w:t>
      </w:r>
    </w:p>
    <w:p w14:paraId="708484CB" w14:textId="537CBF97" w:rsidR="0074132A" w:rsidRDefault="0074132A" w:rsidP="0074132A">
      <w:r w:rsidRPr="0074132A">
        <w:t>There is some risk associated with the cost recovery</w:t>
      </w:r>
      <w:r w:rsidR="00277DA2">
        <w:t xml:space="preserve"> review</w:t>
      </w:r>
      <w:r w:rsidRPr="0074132A">
        <w:t xml:space="preserve"> </w:t>
      </w:r>
      <w:r w:rsidR="004779B3">
        <w:t>that</w:t>
      </w:r>
      <w:r w:rsidRPr="0074132A">
        <w:t xml:space="preserve"> demand is estimated based on current registration numbers, which is the best available data. However, if actual demand varies significantly from the estimate, the fees may over or under recover the delivery costs of the activity.</w:t>
      </w:r>
    </w:p>
    <w:p w14:paraId="03A614C1" w14:textId="113EDCCB" w:rsidR="004779B3" w:rsidRDefault="004779B3" w:rsidP="004779B3">
      <w:r>
        <w:t xml:space="preserve">As part of its risk mitigation strategy, if actual demand or internal financial reviews varies from the forecast by more than 20 per cent, the </w:t>
      </w:r>
      <w:proofErr w:type="spellStart"/>
      <w:r>
        <w:t>CRIS</w:t>
      </w:r>
      <w:proofErr w:type="spellEnd"/>
      <w:r>
        <w:t xml:space="preserve"> will be reviewed for the following year and fees changed based on revised expectations. </w:t>
      </w:r>
    </w:p>
    <w:p w14:paraId="578D96D5" w14:textId="72A79318" w:rsidR="004779B3" w:rsidRPr="0074132A" w:rsidRDefault="004779B3" w:rsidP="004779B3">
      <w:bookmarkStart w:id="22" w:name="_Hlk109313618"/>
      <w:r>
        <w:t>Trades Recognition Australia</w:t>
      </w:r>
      <w:r w:rsidRPr="004779B3">
        <w:t xml:space="preserve"> </w:t>
      </w:r>
      <w:r>
        <w:t>will utilise a quarterly moving average of demand analysis and undertake internal annual financial reviews to monitor its demand forecasts and costs.</w:t>
      </w:r>
    </w:p>
    <w:bookmarkEnd w:id="22"/>
    <w:p w14:paraId="0129F70F" w14:textId="1954CD0F" w:rsidR="0074132A" w:rsidRDefault="004779B3" w:rsidP="0074132A">
      <w:r>
        <w:t>Trades Recognition Australia</w:t>
      </w:r>
      <w:r w:rsidRPr="004779B3">
        <w:t xml:space="preserve"> </w:t>
      </w:r>
      <w:r w:rsidR="0074132A" w:rsidRPr="0074132A">
        <w:t xml:space="preserve">will inform applicants of any changes by publishing notifications on the </w:t>
      </w:r>
      <w:r>
        <w:t>Trades Recognition Australia</w:t>
      </w:r>
      <w:r w:rsidRPr="004779B3">
        <w:t xml:space="preserve"> </w:t>
      </w:r>
      <w:r w:rsidR="0074132A" w:rsidRPr="0074132A">
        <w:t xml:space="preserve">website. </w:t>
      </w:r>
    </w:p>
    <w:p w14:paraId="4ECE8D1F" w14:textId="1F26BE3C" w:rsidR="0034461A" w:rsidRPr="00F51C18" w:rsidRDefault="0034461A" w:rsidP="0064180D">
      <w:pPr>
        <w:pStyle w:val="Heading1"/>
        <w:numPr>
          <w:ilvl w:val="0"/>
          <w:numId w:val="20"/>
        </w:numPr>
      </w:pPr>
      <w:bookmarkStart w:id="23" w:name="_Toc109313712"/>
      <w:r>
        <w:t>Providing feedback</w:t>
      </w:r>
      <w:bookmarkEnd w:id="23"/>
    </w:p>
    <w:p w14:paraId="49D10C64" w14:textId="59908A0D" w:rsidR="0074132A" w:rsidRDefault="0074132A" w:rsidP="0074132A">
      <w:pPr>
        <w:autoSpaceDE w:val="0"/>
        <w:autoSpaceDN w:val="0"/>
        <w:adjustRightInd w:val="0"/>
        <w:spacing w:after="0" w:line="240" w:lineRule="auto"/>
        <w:rPr>
          <w:rFonts w:ascii="Calibri" w:hAnsi="Calibri" w:cs="Calibri"/>
          <w:b/>
          <w:bCs/>
          <w:color w:val="000000"/>
        </w:rPr>
      </w:pPr>
      <w:r w:rsidRPr="0074132A">
        <w:rPr>
          <w:rFonts w:ascii="Calibri" w:hAnsi="Calibri" w:cs="Calibri"/>
          <w:color w:val="000000"/>
        </w:rPr>
        <w:t xml:space="preserve">Submissions will be accepted until </w:t>
      </w:r>
      <w:r>
        <w:rPr>
          <w:rFonts w:ascii="Calibri" w:hAnsi="Calibri" w:cs="Calibri"/>
          <w:b/>
          <w:bCs/>
          <w:color w:val="000000"/>
        </w:rPr>
        <w:t xml:space="preserve">4pm </w:t>
      </w:r>
      <w:r w:rsidR="00F04C9B">
        <w:rPr>
          <w:rFonts w:ascii="Calibri" w:hAnsi="Calibri" w:cs="Calibri"/>
          <w:b/>
          <w:bCs/>
          <w:color w:val="000000"/>
        </w:rPr>
        <w:t>Friday</w:t>
      </w:r>
      <w:r>
        <w:rPr>
          <w:rFonts w:ascii="Calibri" w:hAnsi="Calibri" w:cs="Calibri"/>
          <w:b/>
          <w:bCs/>
          <w:color w:val="000000"/>
        </w:rPr>
        <w:t xml:space="preserve">, </w:t>
      </w:r>
      <w:r w:rsidR="008806F8">
        <w:rPr>
          <w:rFonts w:ascii="Calibri" w:hAnsi="Calibri" w:cs="Calibri"/>
          <w:b/>
          <w:bCs/>
          <w:color w:val="000000"/>
        </w:rPr>
        <w:t>1</w:t>
      </w:r>
      <w:r w:rsidR="00F04C9B">
        <w:rPr>
          <w:rFonts w:ascii="Calibri" w:hAnsi="Calibri" w:cs="Calibri"/>
          <w:b/>
          <w:bCs/>
          <w:color w:val="000000"/>
        </w:rPr>
        <w:t>2</w:t>
      </w:r>
      <w:r w:rsidR="008806F8">
        <w:rPr>
          <w:rFonts w:ascii="Calibri" w:hAnsi="Calibri" w:cs="Calibri"/>
          <w:b/>
          <w:bCs/>
          <w:color w:val="000000"/>
        </w:rPr>
        <w:t xml:space="preserve"> </w:t>
      </w:r>
      <w:r>
        <w:rPr>
          <w:rFonts w:ascii="Calibri" w:hAnsi="Calibri" w:cs="Calibri"/>
          <w:b/>
          <w:bCs/>
          <w:color w:val="000000"/>
        </w:rPr>
        <w:t>August 2022.</w:t>
      </w:r>
    </w:p>
    <w:p w14:paraId="1D60D964" w14:textId="27809BCF" w:rsidR="0074132A" w:rsidRDefault="0074132A" w:rsidP="0074132A">
      <w:pPr>
        <w:autoSpaceDE w:val="0"/>
        <w:autoSpaceDN w:val="0"/>
        <w:adjustRightInd w:val="0"/>
        <w:spacing w:after="0" w:line="240" w:lineRule="auto"/>
        <w:rPr>
          <w:rFonts w:ascii="Calibri" w:hAnsi="Calibri" w:cs="Calibri"/>
          <w:b/>
          <w:bCs/>
          <w:color w:val="000000"/>
        </w:rPr>
      </w:pPr>
    </w:p>
    <w:p w14:paraId="5CD62099" w14:textId="79BE1D3E" w:rsidR="00A56FC7" w:rsidRPr="00A56FC7" w:rsidRDefault="0074132A" w:rsidP="0074132A">
      <w:r w:rsidRPr="0074132A">
        <w:rPr>
          <w:rFonts w:ascii="Calibri" w:hAnsi="Calibri" w:cs="Calibri"/>
          <w:color w:val="000000"/>
        </w:rPr>
        <w:t xml:space="preserve">Please provide your feedback on </w:t>
      </w:r>
      <w:r w:rsidR="004779B3">
        <w:t>Trades Recognition Australia</w:t>
      </w:r>
      <w:r w:rsidR="004779B3" w:rsidRPr="004779B3">
        <w:t xml:space="preserve"> </w:t>
      </w:r>
      <w:r w:rsidRPr="0074132A">
        <w:rPr>
          <w:rFonts w:ascii="Calibri" w:hAnsi="Calibri" w:cs="Calibri"/>
          <w:color w:val="000000"/>
        </w:rPr>
        <w:t xml:space="preserve">proposed introduction of a cost recovery model via email </w:t>
      </w:r>
      <w:r w:rsidR="00C508D6">
        <w:rPr>
          <w:rFonts w:ascii="Calibri" w:hAnsi="Calibri" w:cs="Calibri"/>
          <w:color w:val="000000"/>
        </w:rPr>
        <w:t xml:space="preserve">at </w:t>
      </w:r>
      <w:hyperlink r:id="rId37" w:history="1">
        <w:r w:rsidR="008806F8" w:rsidRPr="00B12B35">
          <w:rPr>
            <w:rStyle w:val="Hyperlink"/>
            <w:rFonts w:ascii="Calibri" w:hAnsi="Calibri" w:cs="Calibri"/>
          </w:rPr>
          <w:t>TRA</w:t>
        </w:r>
        <w:r w:rsidR="008806F8">
          <w:rPr>
            <w:rStyle w:val="Hyperlink"/>
            <w:rFonts w:ascii="Calibri" w:hAnsi="Calibri" w:cs="Calibri"/>
          </w:rPr>
          <w:t>Consultations</w:t>
        </w:r>
        <w:r w:rsidR="008806F8" w:rsidRPr="00B12B35">
          <w:rPr>
            <w:rStyle w:val="Hyperlink"/>
            <w:rFonts w:ascii="Calibri" w:hAnsi="Calibri" w:cs="Calibri"/>
          </w:rPr>
          <w:t>@dese.gov.au</w:t>
        </w:r>
      </w:hyperlink>
      <w:r w:rsidR="00C508D6">
        <w:rPr>
          <w:rFonts w:ascii="Calibri" w:hAnsi="Calibri" w:cs="Calibri"/>
          <w:color w:val="000000"/>
        </w:rPr>
        <w:t>.</w:t>
      </w:r>
      <w:r>
        <w:rPr>
          <w:rFonts w:ascii="Calibri" w:hAnsi="Calibri" w:cs="Calibri"/>
          <w:color w:val="000000"/>
        </w:rPr>
        <w:t xml:space="preserve"> </w:t>
      </w:r>
      <w:bookmarkEnd w:id="3"/>
    </w:p>
    <w:sectPr w:rsidR="00A56FC7" w:rsidRPr="00A56FC7" w:rsidSect="00BE737E">
      <w:headerReference w:type="default" r:id="rId38"/>
      <w:footerReference w:type="default" r:id="rId39"/>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7A3C" w14:textId="77777777" w:rsidR="00177B3E" w:rsidRDefault="00177B3E" w:rsidP="0051352E">
      <w:pPr>
        <w:spacing w:after="0" w:line="240" w:lineRule="auto"/>
      </w:pPr>
      <w:r>
        <w:separator/>
      </w:r>
    </w:p>
  </w:endnote>
  <w:endnote w:type="continuationSeparator" w:id="0">
    <w:p w14:paraId="0007E3B0" w14:textId="77777777" w:rsidR="00177B3E" w:rsidRDefault="00177B3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5DB8" w14:textId="77777777" w:rsidR="006F1C48" w:rsidRDefault="006F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35B" w14:textId="77777777" w:rsidR="00EA67FC" w:rsidRDefault="00EA67FC">
    <w:pPr>
      <w:pStyle w:val="Footer"/>
      <w:jc w:val="right"/>
    </w:pPr>
  </w:p>
  <w:p w14:paraId="09AACC39"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AE4F" w14:textId="77777777" w:rsidR="006F1C48" w:rsidRDefault="006F1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C6C9" w14:textId="7A88C3B1" w:rsidR="00EA67FC" w:rsidRDefault="0074132A">
    <w:pPr>
      <w:pStyle w:val="Footer"/>
      <w:jc w:val="right"/>
    </w:pPr>
    <w:r>
      <w:t>TRA Cost Recovery Consultation Paper</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2FA4BC60"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620FFAED" wp14:editId="1A1A4A1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E8C4A"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9C2C" w14:textId="77777777" w:rsidR="00177B3E" w:rsidRDefault="00177B3E" w:rsidP="0051352E">
      <w:pPr>
        <w:spacing w:after="0" w:line="240" w:lineRule="auto"/>
      </w:pPr>
      <w:r>
        <w:separator/>
      </w:r>
    </w:p>
  </w:footnote>
  <w:footnote w:type="continuationSeparator" w:id="0">
    <w:p w14:paraId="69133F13" w14:textId="77777777" w:rsidR="00177B3E" w:rsidRDefault="00177B3E" w:rsidP="0051352E">
      <w:pPr>
        <w:spacing w:after="0" w:line="240" w:lineRule="auto"/>
      </w:pPr>
      <w:r>
        <w:continuationSeparator/>
      </w:r>
    </w:p>
  </w:footnote>
  <w:footnote w:id="1">
    <w:p w14:paraId="5A05409F" w14:textId="7282CBFA" w:rsidR="00B7372B" w:rsidRDefault="00B7372B">
      <w:pPr>
        <w:pStyle w:val="FootnoteText"/>
      </w:pPr>
      <w:r>
        <w:rPr>
          <w:rStyle w:val="FootnoteReference"/>
        </w:rPr>
        <w:footnoteRef/>
      </w:r>
      <w:r>
        <w:t xml:space="preserve"> </w:t>
      </w:r>
      <w:r w:rsidRPr="00B7372B">
        <w:t>https://www.finance.gov.au/government/managing-commonwealth-resources/managing-money-property/managing-money/australian-government-charging-framework</w:t>
      </w:r>
    </w:p>
  </w:footnote>
  <w:footnote w:id="2">
    <w:p w14:paraId="4338C0E8" w14:textId="381F8B85" w:rsidR="00B7372B" w:rsidRDefault="00B7372B">
      <w:pPr>
        <w:pStyle w:val="FootnoteText"/>
      </w:pPr>
      <w:r>
        <w:rPr>
          <w:rStyle w:val="FootnoteReference"/>
        </w:rPr>
        <w:footnoteRef/>
      </w:r>
      <w:r>
        <w:t xml:space="preserve"> </w:t>
      </w:r>
      <w:r w:rsidRPr="00B7372B">
        <w:t>https://www.legislation.gov.au/Details/F2022C00520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AB08" w14:textId="77777777" w:rsidR="006F1C48" w:rsidRDefault="006F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7073" w14:textId="77777777" w:rsidR="006F1C48" w:rsidRDefault="006F1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F01C" w14:textId="77777777" w:rsidR="006F1C48" w:rsidRDefault="006F1C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80D7"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9F3E61"/>
    <w:multiLevelType w:val="hybridMultilevel"/>
    <w:tmpl w:val="0DC874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119CE"/>
    <w:multiLevelType w:val="hybridMultilevel"/>
    <w:tmpl w:val="C276C3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25F1808B"/>
    <w:multiLevelType w:val="hybridMultilevel"/>
    <w:tmpl w:val="491381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266AD9"/>
    <w:multiLevelType w:val="hybridMultilevel"/>
    <w:tmpl w:val="B9C8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5F0A48"/>
    <w:multiLevelType w:val="hybridMultilevel"/>
    <w:tmpl w:val="0C05DC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A1435A"/>
    <w:multiLevelType w:val="hybridMultilevel"/>
    <w:tmpl w:val="0732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A04DBF"/>
    <w:multiLevelType w:val="hybridMultilevel"/>
    <w:tmpl w:val="B1848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AB2F93"/>
    <w:multiLevelType w:val="hybridMultilevel"/>
    <w:tmpl w:val="3A543056"/>
    <w:lvl w:ilvl="0" w:tplc="BA22485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7E01F06"/>
    <w:multiLevelType w:val="hybridMultilevel"/>
    <w:tmpl w:val="C88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6"/>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1"/>
  </w:num>
  <w:num w:numId="18">
    <w:abstractNumId w:val="0"/>
  </w:num>
  <w:num w:numId="19">
    <w:abstractNumId w:val="15"/>
  </w:num>
  <w:num w:numId="20">
    <w:abstractNumId w:val="20"/>
  </w:num>
  <w:num w:numId="21">
    <w:abstractNumId w:val="18"/>
  </w:num>
  <w:num w:numId="22">
    <w:abstractNumId w:val="2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24576"/>
    <w:rsid w:val="00052BBC"/>
    <w:rsid w:val="00055370"/>
    <w:rsid w:val="0006157E"/>
    <w:rsid w:val="000801EA"/>
    <w:rsid w:val="000A453D"/>
    <w:rsid w:val="000C2D85"/>
    <w:rsid w:val="000E3D80"/>
    <w:rsid w:val="00157F35"/>
    <w:rsid w:val="00177B3E"/>
    <w:rsid w:val="001D60A9"/>
    <w:rsid w:val="00217EAB"/>
    <w:rsid w:val="0022498C"/>
    <w:rsid w:val="002724D0"/>
    <w:rsid w:val="00277DA2"/>
    <w:rsid w:val="002B1CE5"/>
    <w:rsid w:val="002F4DB3"/>
    <w:rsid w:val="00305BA4"/>
    <w:rsid w:val="00311EC2"/>
    <w:rsid w:val="00337D19"/>
    <w:rsid w:val="0034461A"/>
    <w:rsid w:val="00350FFA"/>
    <w:rsid w:val="0036481C"/>
    <w:rsid w:val="00382F07"/>
    <w:rsid w:val="003E2988"/>
    <w:rsid w:val="00406B5C"/>
    <w:rsid w:val="00453C04"/>
    <w:rsid w:val="004779B3"/>
    <w:rsid w:val="00497764"/>
    <w:rsid w:val="0051352E"/>
    <w:rsid w:val="00517DA7"/>
    <w:rsid w:val="00520A33"/>
    <w:rsid w:val="005242E0"/>
    <w:rsid w:val="00527640"/>
    <w:rsid w:val="00527749"/>
    <w:rsid w:val="00527AE4"/>
    <w:rsid w:val="00563815"/>
    <w:rsid w:val="0058535E"/>
    <w:rsid w:val="005925C9"/>
    <w:rsid w:val="00630DDF"/>
    <w:rsid w:val="0064180D"/>
    <w:rsid w:val="006E5D6E"/>
    <w:rsid w:val="006F1C48"/>
    <w:rsid w:val="00703994"/>
    <w:rsid w:val="00721B03"/>
    <w:rsid w:val="0074132A"/>
    <w:rsid w:val="007855CC"/>
    <w:rsid w:val="007B1ABA"/>
    <w:rsid w:val="007B74C5"/>
    <w:rsid w:val="007E7835"/>
    <w:rsid w:val="00837FD0"/>
    <w:rsid w:val="008507C1"/>
    <w:rsid w:val="00850B4E"/>
    <w:rsid w:val="00861934"/>
    <w:rsid w:val="008664AC"/>
    <w:rsid w:val="008806F8"/>
    <w:rsid w:val="008A1B9A"/>
    <w:rsid w:val="008C712E"/>
    <w:rsid w:val="008E2854"/>
    <w:rsid w:val="008F0AC9"/>
    <w:rsid w:val="00920C30"/>
    <w:rsid w:val="00930CDA"/>
    <w:rsid w:val="0093473D"/>
    <w:rsid w:val="0095636C"/>
    <w:rsid w:val="00964B05"/>
    <w:rsid w:val="00972F57"/>
    <w:rsid w:val="00984FB8"/>
    <w:rsid w:val="00995280"/>
    <w:rsid w:val="00A22849"/>
    <w:rsid w:val="00A24E6E"/>
    <w:rsid w:val="00A43694"/>
    <w:rsid w:val="00A56FC7"/>
    <w:rsid w:val="00A72575"/>
    <w:rsid w:val="00A74071"/>
    <w:rsid w:val="00A8471B"/>
    <w:rsid w:val="00AA124A"/>
    <w:rsid w:val="00AA2A96"/>
    <w:rsid w:val="00AB3501"/>
    <w:rsid w:val="00AC0C27"/>
    <w:rsid w:val="00B100CC"/>
    <w:rsid w:val="00B14B2B"/>
    <w:rsid w:val="00B6689D"/>
    <w:rsid w:val="00B72368"/>
    <w:rsid w:val="00B7372B"/>
    <w:rsid w:val="00BA6CFC"/>
    <w:rsid w:val="00BE737E"/>
    <w:rsid w:val="00C3689F"/>
    <w:rsid w:val="00C508D6"/>
    <w:rsid w:val="00C54D58"/>
    <w:rsid w:val="00C573E1"/>
    <w:rsid w:val="00C90260"/>
    <w:rsid w:val="00C95DF6"/>
    <w:rsid w:val="00CB40E2"/>
    <w:rsid w:val="00CB7F3B"/>
    <w:rsid w:val="00CF57A7"/>
    <w:rsid w:val="00D52315"/>
    <w:rsid w:val="00DA1B7B"/>
    <w:rsid w:val="00DB79DF"/>
    <w:rsid w:val="00DE4697"/>
    <w:rsid w:val="00DF153F"/>
    <w:rsid w:val="00E866AC"/>
    <w:rsid w:val="00EA32F7"/>
    <w:rsid w:val="00EA67FC"/>
    <w:rsid w:val="00EC3468"/>
    <w:rsid w:val="00ED3309"/>
    <w:rsid w:val="00EF0856"/>
    <w:rsid w:val="00F04C9B"/>
    <w:rsid w:val="00F230CD"/>
    <w:rsid w:val="00F24D3D"/>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3D6BC2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34461A"/>
    <w:rPr>
      <w:color w:val="605E5C"/>
      <w:shd w:val="clear" w:color="auto" w:fill="E1DFDD"/>
    </w:rPr>
  </w:style>
  <w:style w:type="character" w:styleId="CommentReference">
    <w:name w:val="annotation reference"/>
    <w:basedOn w:val="DefaultParagraphFont"/>
    <w:uiPriority w:val="99"/>
    <w:semiHidden/>
    <w:unhideWhenUsed/>
    <w:rsid w:val="00024576"/>
    <w:rPr>
      <w:sz w:val="16"/>
      <w:szCs w:val="16"/>
    </w:rPr>
  </w:style>
  <w:style w:type="paragraph" w:styleId="CommentText">
    <w:name w:val="annotation text"/>
    <w:basedOn w:val="Normal"/>
    <w:link w:val="CommentTextChar"/>
    <w:uiPriority w:val="99"/>
    <w:unhideWhenUsed/>
    <w:rsid w:val="00024576"/>
    <w:pPr>
      <w:pBdr>
        <w:top w:val="single" w:sz="4" w:space="0" w:color="808080"/>
        <w:left w:val="single" w:sz="4" w:space="0" w:color="808080"/>
        <w:bottom w:val="single" w:sz="4" w:space="0" w:color="808080"/>
        <w:right w:val="single" w:sz="4" w:space="0" w:color="808080"/>
      </w:pBdr>
      <w:shd w:val="clear" w:color="auto" w:fill="DBE5F1"/>
      <w:tabs>
        <w:tab w:val="center" w:pos="3325"/>
      </w:tabs>
      <w:spacing w:after="12" w:line="240" w:lineRule="auto"/>
      <w:ind w:left="401" w:hanging="10"/>
    </w:pPr>
    <w:rPr>
      <w:rFonts w:ascii="Calibri" w:eastAsia="Calibri" w:hAnsi="Calibri" w:cs="Calibri"/>
      <w:color w:val="000000"/>
      <w:sz w:val="20"/>
      <w:szCs w:val="20"/>
      <w:lang w:eastAsia="en-AU"/>
    </w:rPr>
  </w:style>
  <w:style w:type="character" w:customStyle="1" w:styleId="CommentTextChar">
    <w:name w:val="Comment Text Char"/>
    <w:basedOn w:val="DefaultParagraphFont"/>
    <w:link w:val="CommentText"/>
    <w:uiPriority w:val="99"/>
    <w:rsid w:val="00024576"/>
    <w:rPr>
      <w:rFonts w:ascii="Calibri" w:eastAsia="Calibri" w:hAnsi="Calibri" w:cs="Calibri"/>
      <w:color w:val="000000"/>
      <w:sz w:val="20"/>
      <w:szCs w:val="20"/>
      <w:shd w:val="clear" w:color="auto" w:fill="DBE5F1"/>
      <w:lang w:eastAsia="en-AU"/>
    </w:rPr>
  </w:style>
  <w:style w:type="paragraph" w:customStyle="1" w:styleId="Default">
    <w:name w:val="Default"/>
    <w:rsid w:val="00024576"/>
    <w:pPr>
      <w:autoSpaceDE w:val="0"/>
      <w:autoSpaceDN w:val="0"/>
      <w:adjustRightInd w:val="0"/>
      <w:spacing w:after="0" w:line="240" w:lineRule="auto"/>
    </w:pPr>
    <w:rPr>
      <w:rFonts w:ascii="Symbol" w:hAnsi="Symbol" w:cs="Symbol"/>
      <w:color w:val="000000"/>
      <w:sz w:val="24"/>
      <w:szCs w:val="24"/>
    </w:rPr>
  </w:style>
  <w:style w:type="paragraph" w:styleId="FootnoteText">
    <w:name w:val="footnote text"/>
    <w:basedOn w:val="Normal"/>
    <w:link w:val="FootnoteTextChar"/>
    <w:uiPriority w:val="99"/>
    <w:semiHidden/>
    <w:unhideWhenUsed/>
    <w:rsid w:val="00563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815"/>
    <w:rPr>
      <w:sz w:val="20"/>
      <w:szCs w:val="20"/>
    </w:rPr>
  </w:style>
  <w:style w:type="character" w:styleId="FootnoteReference">
    <w:name w:val="footnote reference"/>
    <w:basedOn w:val="DefaultParagraphFont"/>
    <w:uiPriority w:val="99"/>
    <w:semiHidden/>
    <w:unhideWhenUsed/>
    <w:rsid w:val="00563815"/>
    <w:rPr>
      <w:vertAlign w:val="superscript"/>
    </w:rPr>
  </w:style>
  <w:style w:type="paragraph" w:styleId="CommentSubject">
    <w:name w:val="annotation subject"/>
    <w:basedOn w:val="CommentText"/>
    <w:next w:val="CommentText"/>
    <w:link w:val="CommentSubjectChar"/>
    <w:uiPriority w:val="99"/>
    <w:semiHidden/>
    <w:unhideWhenUsed/>
    <w:rsid w:val="006F1C48"/>
    <w:pPr>
      <w:pBdr>
        <w:top w:val="none" w:sz="0" w:space="0" w:color="auto"/>
        <w:left w:val="none" w:sz="0" w:space="0" w:color="auto"/>
        <w:bottom w:val="none" w:sz="0" w:space="0" w:color="auto"/>
        <w:right w:val="none" w:sz="0" w:space="0" w:color="auto"/>
      </w:pBdr>
      <w:shd w:val="clear" w:color="auto" w:fill="auto"/>
      <w:tabs>
        <w:tab w:val="clear" w:pos="3325"/>
      </w:tabs>
      <w:spacing w:after="20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6F1C48"/>
    <w:rPr>
      <w:rFonts w:ascii="Calibri" w:eastAsia="Calibri" w:hAnsi="Calibri" w:cs="Calibri"/>
      <w:b/>
      <w:bCs/>
      <w:color w:val="000000"/>
      <w:sz w:val="20"/>
      <w:szCs w:val="20"/>
      <w:shd w:val="clear" w:color="auto" w:fill="DBE5F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943118">
      <w:bodyDiv w:val="1"/>
      <w:marLeft w:val="0"/>
      <w:marRight w:val="0"/>
      <w:marTop w:val="0"/>
      <w:marBottom w:val="0"/>
      <w:divBdr>
        <w:top w:val="none" w:sz="0" w:space="0" w:color="auto"/>
        <w:left w:val="none" w:sz="0" w:space="0" w:color="auto"/>
        <w:bottom w:val="none" w:sz="0" w:space="0" w:color="auto"/>
        <w:right w:val="none" w:sz="0" w:space="0" w:color="auto"/>
      </w:divBdr>
    </w:div>
    <w:div w:id="1532721406">
      <w:bodyDiv w:val="1"/>
      <w:marLeft w:val="0"/>
      <w:marRight w:val="0"/>
      <w:marTop w:val="0"/>
      <w:marBottom w:val="0"/>
      <w:divBdr>
        <w:top w:val="none" w:sz="0" w:space="0" w:color="auto"/>
        <w:left w:val="none" w:sz="0" w:space="0" w:color="auto"/>
        <w:bottom w:val="none" w:sz="0" w:space="0" w:color="auto"/>
        <w:right w:val="none" w:sz="0" w:space="0" w:color="auto"/>
      </w:divBdr>
    </w:div>
    <w:div w:id="1952125294">
      <w:bodyDiv w:val="1"/>
      <w:marLeft w:val="0"/>
      <w:marRight w:val="0"/>
      <w:marTop w:val="0"/>
      <w:marBottom w:val="0"/>
      <w:divBdr>
        <w:top w:val="none" w:sz="0" w:space="0" w:color="auto"/>
        <w:left w:val="none" w:sz="0" w:space="0" w:color="auto"/>
        <w:bottom w:val="none" w:sz="0" w:space="0" w:color="auto"/>
        <w:right w:val="none" w:sz="0" w:space="0" w:color="auto"/>
      </w:divBdr>
    </w:div>
    <w:div w:id="2017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diagramData" Target="diagrams/data1.xm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diagramColors" Target="diagrams/colors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oter" Target="footer1.xml"/><Relationship Id="rId29" Type="http://schemas.openxmlformats.org/officeDocument/2006/relationships/diagramColors" Target="diagrams/colors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RAConsultations@dese.gov.au" TargetMode="External"/><Relationship Id="rId32" Type="http://schemas.openxmlformats.org/officeDocument/2006/relationships/diagramLayout" Target="diagrams/layout2.xml"/><Relationship Id="rId37" Type="http://schemas.openxmlformats.org/officeDocument/2006/relationships/hyperlink" Target="mailto:TRAConsultations@dese.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footer" Target="footer3.xml"/><Relationship Id="rId28" Type="http://schemas.openxmlformats.org/officeDocument/2006/relationships/diagramQuickStyle" Target="diagrams/quickStyle1.xml"/><Relationship Id="rId36" Type="http://schemas.openxmlformats.org/officeDocument/2006/relationships/hyperlink" Target="http://www.tradesrecognitionaustralia.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creativecommons.org/licenses/by/3.0/au/legalcode" TargetMode="External"/><Relationship Id="rId25" Type="http://schemas.openxmlformats.org/officeDocument/2006/relationships/hyperlink" Target="http://www.tradesrecognitionaustralia.gov.au" TargetMode="External"/><Relationship Id="rId33" Type="http://schemas.openxmlformats.org/officeDocument/2006/relationships/diagramQuickStyle" Target="diagrams/quickStyle2.xml"/><Relationship Id="rId38"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E173BB-C878-44E0-9851-C16C459030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452C99CE-A080-443E-8332-BB99A88B1AEE}">
      <dgm:prSet phldrT="[Text]" custT="1"/>
      <dgm:spPr/>
      <dgm:t>
        <a:bodyPr/>
        <a:lstStyle/>
        <a:p>
          <a:r>
            <a:rPr lang="en-AU" sz="1100"/>
            <a:t>Output 1: </a:t>
          </a:r>
          <a:br>
            <a:rPr lang="en-AU" sz="1100"/>
          </a:br>
          <a:r>
            <a:rPr lang="en-AU" sz="1100"/>
            <a:t>Receive</a:t>
          </a:r>
        </a:p>
      </dgm:t>
    </dgm:pt>
    <dgm:pt modelId="{9F470F50-ABF3-4C8F-9245-92C209F8C0F2}" type="parTrans" cxnId="{9A571501-D117-41D9-ACB6-0A8BB9C5C69D}">
      <dgm:prSet/>
      <dgm:spPr/>
      <dgm:t>
        <a:bodyPr/>
        <a:lstStyle/>
        <a:p>
          <a:endParaRPr lang="en-AU" sz="1100"/>
        </a:p>
      </dgm:t>
    </dgm:pt>
    <dgm:pt modelId="{F13BB1F0-B70E-4E74-9DA4-DC8BB2E9B153}" type="sibTrans" cxnId="{9A571501-D117-41D9-ACB6-0A8BB9C5C69D}">
      <dgm:prSet/>
      <dgm:spPr/>
      <dgm:t>
        <a:bodyPr/>
        <a:lstStyle/>
        <a:p>
          <a:endParaRPr lang="en-AU" sz="1100"/>
        </a:p>
      </dgm:t>
    </dgm:pt>
    <dgm:pt modelId="{0F31FF7F-8F57-4FA1-9118-D8103AC8600C}">
      <dgm:prSet phldrT="[Text]" custT="1"/>
      <dgm:spPr/>
      <dgm:t>
        <a:bodyPr/>
        <a:lstStyle/>
        <a:p>
          <a:r>
            <a:rPr lang="en-AU" sz="1100"/>
            <a:t>Mailbox management</a:t>
          </a:r>
        </a:p>
      </dgm:t>
    </dgm:pt>
    <dgm:pt modelId="{E1DC1759-A770-40BD-AC5A-18F2A36140DA}" type="parTrans" cxnId="{AA27F7EF-E51A-44CB-9726-006B3264308F}">
      <dgm:prSet/>
      <dgm:spPr/>
      <dgm:t>
        <a:bodyPr/>
        <a:lstStyle/>
        <a:p>
          <a:endParaRPr lang="en-AU" sz="1100"/>
        </a:p>
      </dgm:t>
    </dgm:pt>
    <dgm:pt modelId="{BF4B97CC-7309-4220-B61D-78FD6BA064EE}" type="sibTrans" cxnId="{AA27F7EF-E51A-44CB-9726-006B3264308F}">
      <dgm:prSet/>
      <dgm:spPr/>
      <dgm:t>
        <a:bodyPr/>
        <a:lstStyle/>
        <a:p>
          <a:endParaRPr lang="en-AU" sz="1100"/>
        </a:p>
      </dgm:t>
    </dgm:pt>
    <dgm:pt modelId="{C2EBDD7F-B8C1-40DB-AFCE-7DBB07EE73BB}">
      <dgm:prSet phldrT="[Text]" custT="1"/>
      <dgm:spPr/>
      <dgm:t>
        <a:bodyPr/>
        <a:lstStyle/>
        <a:p>
          <a:r>
            <a:rPr lang="en-AU" sz="1100"/>
            <a:t>Output 3:</a:t>
          </a:r>
          <a:br>
            <a:rPr lang="en-AU" sz="1100"/>
          </a:br>
          <a:r>
            <a:rPr lang="en-AU" sz="1100"/>
            <a:t>Decide</a:t>
          </a:r>
        </a:p>
      </dgm:t>
    </dgm:pt>
    <dgm:pt modelId="{AA24C60A-0054-456E-919B-B97384A58C89}" type="parTrans" cxnId="{D4E8F990-13A8-451F-9B84-83DD99BBD75F}">
      <dgm:prSet/>
      <dgm:spPr/>
      <dgm:t>
        <a:bodyPr/>
        <a:lstStyle/>
        <a:p>
          <a:endParaRPr lang="en-AU" sz="1100"/>
        </a:p>
      </dgm:t>
    </dgm:pt>
    <dgm:pt modelId="{E91CCCE0-41EE-4E7C-A6B9-71E6BC6C8D77}" type="sibTrans" cxnId="{D4E8F990-13A8-451F-9B84-83DD99BBD75F}">
      <dgm:prSet/>
      <dgm:spPr/>
      <dgm:t>
        <a:bodyPr/>
        <a:lstStyle/>
        <a:p>
          <a:endParaRPr lang="en-AU" sz="1100"/>
        </a:p>
      </dgm:t>
    </dgm:pt>
    <dgm:pt modelId="{7C1BF5DE-06F1-44AA-947C-6BEDEC9940AF}">
      <dgm:prSet phldrT="[Text]" custT="1"/>
      <dgm:spPr/>
      <dgm:t>
        <a:bodyPr/>
        <a:lstStyle/>
        <a:p>
          <a:r>
            <a:rPr lang="en-AU" sz="1100"/>
            <a:t>Quality assurance</a:t>
          </a:r>
        </a:p>
      </dgm:t>
    </dgm:pt>
    <dgm:pt modelId="{167EE00E-2A1A-4C33-9002-7B12AB829CCF}" type="parTrans" cxnId="{FAF166C9-2C73-43A9-8ED0-21C6D8EB128B}">
      <dgm:prSet/>
      <dgm:spPr/>
      <dgm:t>
        <a:bodyPr/>
        <a:lstStyle/>
        <a:p>
          <a:endParaRPr lang="en-AU" sz="1100"/>
        </a:p>
      </dgm:t>
    </dgm:pt>
    <dgm:pt modelId="{54FACF0D-1BE4-407A-8AB4-947897985EA2}" type="sibTrans" cxnId="{FAF166C9-2C73-43A9-8ED0-21C6D8EB128B}">
      <dgm:prSet/>
      <dgm:spPr/>
      <dgm:t>
        <a:bodyPr/>
        <a:lstStyle/>
        <a:p>
          <a:endParaRPr lang="en-AU" sz="1100"/>
        </a:p>
      </dgm:t>
    </dgm:pt>
    <dgm:pt modelId="{E96C8D58-7A06-48F0-B170-09B0510C2A6A}">
      <dgm:prSet phldrT="[Text]" custT="1"/>
      <dgm:spPr/>
      <dgm:t>
        <a:bodyPr/>
        <a:lstStyle/>
        <a:p>
          <a:r>
            <a:rPr lang="en-AU" sz="1100"/>
            <a:t>Output 4:</a:t>
          </a:r>
          <a:br>
            <a:rPr lang="en-AU" sz="1100"/>
          </a:br>
          <a:r>
            <a:rPr lang="en-AU" sz="1100"/>
            <a:t>Review</a:t>
          </a:r>
        </a:p>
      </dgm:t>
    </dgm:pt>
    <dgm:pt modelId="{B14DD19A-4412-4CB5-B018-04609759D5A4}" type="parTrans" cxnId="{DF45E38F-9EAE-4903-B227-A70D3922BA28}">
      <dgm:prSet/>
      <dgm:spPr/>
      <dgm:t>
        <a:bodyPr/>
        <a:lstStyle/>
        <a:p>
          <a:endParaRPr lang="en-AU" sz="1100"/>
        </a:p>
      </dgm:t>
    </dgm:pt>
    <dgm:pt modelId="{AC8F38B3-43A1-4406-8C3B-9B77551E9F2C}" type="sibTrans" cxnId="{DF45E38F-9EAE-4903-B227-A70D3922BA28}">
      <dgm:prSet/>
      <dgm:spPr/>
      <dgm:t>
        <a:bodyPr/>
        <a:lstStyle/>
        <a:p>
          <a:endParaRPr lang="en-AU" sz="1100"/>
        </a:p>
      </dgm:t>
    </dgm:pt>
    <dgm:pt modelId="{132DA1F4-EF48-45AB-9AB8-F19D4771D238}">
      <dgm:prSet phldrT="[Text]" custT="1"/>
      <dgm:spPr/>
      <dgm:t>
        <a:bodyPr/>
        <a:lstStyle/>
        <a:p>
          <a:r>
            <a:rPr lang="en-AU" sz="1100"/>
            <a:t>Outcome management</a:t>
          </a:r>
        </a:p>
      </dgm:t>
    </dgm:pt>
    <dgm:pt modelId="{264A48F6-68C0-4F57-926B-0B9D96B7A725}" type="parTrans" cxnId="{5FEBBF5F-597E-495C-A534-29094B535421}">
      <dgm:prSet/>
      <dgm:spPr/>
      <dgm:t>
        <a:bodyPr/>
        <a:lstStyle/>
        <a:p>
          <a:endParaRPr lang="en-AU" sz="1100"/>
        </a:p>
      </dgm:t>
    </dgm:pt>
    <dgm:pt modelId="{6FCFC4BB-7002-4009-AC93-55957B8B191E}" type="sibTrans" cxnId="{5FEBBF5F-597E-495C-A534-29094B535421}">
      <dgm:prSet/>
      <dgm:spPr/>
      <dgm:t>
        <a:bodyPr/>
        <a:lstStyle/>
        <a:p>
          <a:endParaRPr lang="en-AU" sz="1100"/>
        </a:p>
      </dgm:t>
    </dgm:pt>
    <dgm:pt modelId="{198B2980-FF50-45CC-B6E3-FB166224B457}">
      <dgm:prSet custT="1"/>
      <dgm:spPr/>
      <dgm:t>
        <a:bodyPr/>
        <a:lstStyle/>
        <a:p>
          <a:r>
            <a:rPr lang="en-AU" sz="1100"/>
            <a:t>Output 2:</a:t>
          </a:r>
          <a:br>
            <a:rPr lang="en-AU" sz="1100"/>
          </a:br>
          <a:r>
            <a:rPr lang="en-AU" sz="1100"/>
            <a:t>Assess</a:t>
          </a:r>
        </a:p>
      </dgm:t>
    </dgm:pt>
    <dgm:pt modelId="{CAF207EF-AED4-47D2-A1D8-42B4F871A51C}" type="parTrans" cxnId="{2CD29B75-9F82-4086-9D66-24EE12C006AD}">
      <dgm:prSet/>
      <dgm:spPr/>
      <dgm:t>
        <a:bodyPr/>
        <a:lstStyle/>
        <a:p>
          <a:endParaRPr lang="en-AU" sz="1100"/>
        </a:p>
      </dgm:t>
    </dgm:pt>
    <dgm:pt modelId="{CF5FFCB6-37CE-4916-963E-6D65F5C03F87}" type="sibTrans" cxnId="{2CD29B75-9F82-4086-9D66-24EE12C006AD}">
      <dgm:prSet/>
      <dgm:spPr/>
      <dgm:t>
        <a:bodyPr/>
        <a:lstStyle/>
        <a:p>
          <a:endParaRPr lang="en-AU" sz="1100"/>
        </a:p>
      </dgm:t>
    </dgm:pt>
    <dgm:pt modelId="{F26B0C88-337F-42FF-9078-866C8A5526D1}">
      <dgm:prSet custT="1"/>
      <dgm:spPr/>
      <dgm:t>
        <a:bodyPr/>
        <a:lstStyle/>
        <a:p>
          <a:r>
            <a:rPr lang="en-AU" sz="1100"/>
            <a:t>Case officer allocation</a:t>
          </a:r>
        </a:p>
      </dgm:t>
    </dgm:pt>
    <dgm:pt modelId="{E33310EA-F90D-449B-ACFD-9F365F1D7368}" type="parTrans" cxnId="{DEF2FB5B-5628-48ED-B7BC-AA109AA61CB8}">
      <dgm:prSet/>
      <dgm:spPr/>
      <dgm:t>
        <a:bodyPr/>
        <a:lstStyle/>
        <a:p>
          <a:endParaRPr lang="en-AU" sz="1100"/>
        </a:p>
      </dgm:t>
    </dgm:pt>
    <dgm:pt modelId="{5A2FC719-D56B-42E9-ABD6-799BC70A89C4}" type="sibTrans" cxnId="{DEF2FB5B-5628-48ED-B7BC-AA109AA61CB8}">
      <dgm:prSet/>
      <dgm:spPr/>
      <dgm:t>
        <a:bodyPr/>
        <a:lstStyle/>
        <a:p>
          <a:endParaRPr lang="en-AU" sz="1100"/>
        </a:p>
      </dgm:t>
    </dgm:pt>
    <dgm:pt modelId="{CE9A1504-D567-4141-AFC9-E8D078CDC512}">
      <dgm:prSet custT="1"/>
      <dgm:spPr/>
      <dgm:t>
        <a:bodyPr/>
        <a:lstStyle/>
        <a:p>
          <a:r>
            <a:rPr lang="en-AU" sz="1100"/>
            <a:t>Identity and document verification</a:t>
          </a:r>
        </a:p>
      </dgm:t>
    </dgm:pt>
    <dgm:pt modelId="{375BA5E3-4F10-459A-92F9-BB3877CDE88B}" type="parTrans" cxnId="{B969867B-8754-4083-8C4F-A8EC77AAD5CC}">
      <dgm:prSet/>
      <dgm:spPr/>
      <dgm:t>
        <a:bodyPr/>
        <a:lstStyle/>
        <a:p>
          <a:endParaRPr lang="en-AU" sz="1100"/>
        </a:p>
      </dgm:t>
    </dgm:pt>
    <dgm:pt modelId="{FA8A9CF0-45BC-47EC-9516-A0F4A9A89D1B}" type="sibTrans" cxnId="{B969867B-8754-4083-8C4F-A8EC77AAD5CC}">
      <dgm:prSet/>
      <dgm:spPr/>
      <dgm:t>
        <a:bodyPr/>
        <a:lstStyle/>
        <a:p>
          <a:endParaRPr lang="en-AU" sz="1100"/>
        </a:p>
      </dgm:t>
    </dgm:pt>
    <dgm:pt modelId="{DD8EE708-B6E0-4B84-96C2-F6FBA4691F7E}">
      <dgm:prSet custT="1"/>
      <dgm:spPr/>
      <dgm:t>
        <a:bodyPr/>
        <a:lstStyle/>
        <a:p>
          <a:r>
            <a:rPr lang="en-AU" sz="1100"/>
            <a:t>Work experience or vocational placement experience</a:t>
          </a:r>
        </a:p>
      </dgm:t>
    </dgm:pt>
    <dgm:pt modelId="{8DABCA75-D43E-4401-A68E-60AF36D268E9}" type="parTrans" cxnId="{F0EFA35C-8562-4F34-BFC8-6CA5D8EC1106}">
      <dgm:prSet/>
      <dgm:spPr/>
      <dgm:t>
        <a:bodyPr/>
        <a:lstStyle/>
        <a:p>
          <a:endParaRPr lang="en-AU" sz="1100"/>
        </a:p>
      </dgm:t>
    </dgm:pt>
    <dgm:pt modelId="{4A39C91D-5906-496B-92C1-3310BD985480}" type="sibTrans" cxnId="{F0EFA35C-8562-4F34-BFC8-6CA5D8EC1106}">
      <dgm:prSet/>
      <dgm:spPr/>
      <dgm:t>
        <a:bodyPr/>
        <a:lstStyle/>
        <a:p>
          <a:endParaRPr lang="en-AU" sz="1100"/>
        </a:p>
      </dgm:t>
    </dgm:pt>
    <dgm:pt modelId="{50C1EA07-2B82-47F2-A165-EF2E1FF649AF}">
      <dgm:prSet custT="1"/>
      <dgm:spPr/>
      <dgm:t>
        <a:bodyPr/>
        <a:lstStyle/>
        <a:p>
          <a:r>
            <a:rPr lang="en-AU" sz="1100"/>
            <a:t>Qualifications verification review</a:t>
          </a:r>
        </a:p>
      </dgm:t>
    </dgm:pt>
    <dgm:pt modelId="{AACCE61E-B786-405A-89A5-47F92C008A9A}" type="parTrans" cxnId="{D71495D8-CBB6-4204-AF67-B4E7D291BF11}">
      <dgm:prSet/>
      <dgm:spPr/>
      <dgm:t>
        <a:bodyPr/>
        <a:lstStyle/>
        <a:p>
          <a:endParaRPr lang="en-AU" sz="1100"/>
        </a:p>
      </dgm:t>
    </dgm:pt>
    <dgm:pt modelId="{7854478B-D533-4D87-8774-B91C5445FB21}" type="sibTrans" cxnId="{D71495D8-CBB6-4204-AF67-B4E7D291BF11}">
      <dgm:prSet/>
      <dgm:spPr/>
      <dgm:t>
        <a:bodyPr/>
        <a:lstStyle/>
        <a:p>
          <a:endParaRPr lang="en-AU" sz="1100"/>
        </a:p>
      </dgm:t>
    </dgm:pt>
    <dgm:pt modelId="{B74B8EE0-2DE9-423E-9CB5-8F75D88E1674}">
      <dgm:prSet custT="1"/>
      <dgm:spPr/>
      <dgm:t>
        <a:bodyPr/>
        <a:lstStyle/>
        <a:p>
          <a:r>
            <a:rPr lang="en-AU" sz="1100"/>
            <a:t>Compliance review and investigation</a:t>
          </a:r>
        </a:p>
      </dgm:t>
    </dgm:pt>
    <dgm:pt modelId="{90A75DC3-69CA-40E1-B05B-75BF622654D6}" type="parTrans" cxnId="{D0ACD7AE-14F5-4EA7-8338-EB565B6F37E7}">
      <dgm:prSet/>
      <dgm:spPr/>
      <dgm:t>
        <a:bodyPr/>
        <a:lstStyle/>
        <a:p>
          <a:endParaRPr lang="en-AU" sz="1100"/>
        </a:p>
      </dgm:t>
    </dgm:pt>
    <dgm:pt modelId="{25B3F31D-780B-4B34-8B5D-D906A0371944}" type="sibTrans" cxnId="{D0ACD7AE-14F5-4EA7-8338-EB565B6F37E7}">
      <dgm:prSet/>
      <dgm:spPr/>
      <dgm:t>
        <a:bodyPr/>
        <a:lstStyle/>
        <a:p>
          <a:endParaRPr lang="en-AU" sz="1100"/>
        </a:p>
      </dgm:t>
    </dgm:pt>
    <dgm:pt modelId="{80CA5C1A-37D9-463C-94CF-FB47158F0163}">
      <dgm:prSet custT="1"/>
      <dgm:spPr/>
      <dgm:t>
        <a:bodyPr/>
        <a:lstStyle/>
        <a:p>
          <a:r>
            <a:rPr lang="en-AU" sz="1100"/>
            <a:t>Notification of outcome</a:t>
          </a:r>
        </a:p>
      </dgm:t>
    </dgm:pt>
    <dgm:pt modelId="{F891C871-96A0-480B-AE16-C3E5B7C4346C}" type="parTrans" cxnId="{FA5AC52F-92BC-4B29-B8A3-9F28E06291C9}">
      <dgm:prSet/>
      <dgm:spPr/>
      <dgm:t>
        <a:bodyPr/>
        <a:lstStyle/>
        <a:p>
          <a:endParaRPr lang="en-AU" sz="1100"/>
        </a:p>
      </dgm:t>
    </dgm:pt>
    <dgm:pt modelId="{075B3942-193F-48CC-8EB2-67A58A8159FA}" type="sibTrans" cxnId="{FA5AC52F-92BC-4B29-B8A3-9F28E06291C9}">
      <dgm:prSet/>
      <dgm:spPr/>
      <dgm:t>
        <a:bodyPr/>
        <a:lstStyle/>
        <a:p>
          <a:endParaRPr lang="en-AU" sz="1100"/>
        </a:p>
      </dgm:t>
    </dgm:pt>
    <dgm:pt modelId="{E769B4AB-46BC-4D8B-84F2-363697FC538C}">
      <dgm:prSet custT="1"/>
      <dgm:spPr/>
      <dgm:t>
        <a:bodyPr/>
        <a:lstStyle/>
        <a:p>
          <a:r>
            <a:rPr lang="en-AU" sz="1100"/>
            <a:t>Finalise application</a:t>
          </a:r>
        </a:p>
      </dgm:t>
    </dgm:pt>
    <dgm:pt modelId="{8E746E95-5F13-42C5-BAAB-1A3ADCD35101}" type="parTrans" cxnId="{312E4854-0860-459D-ADAA-75162CD236DE}">
      <dgm:prSet/>
      <dgm:spPr/>
      <dgm:t>
        <a:bodyPr/>
        <a:lstStyle/>
        <a:p>
          <a:endParaRPr lang="en-AU" sz="1100"/>
        </a:p>
      </dgm:t>
    </dgm:pt>
    <dgm:pt modelId="{8646149C-BD87-494C-992D-3A688693F067}" type="sibTrans" cxnId="{312E4854-0860-459D-ADAA-75162CD236DE}">
      <dgm:prSet/>
      <dgm:spPr/>
      <dgm:t>
        <a:bodyPr/>
        <a:lstStyle/>
        <a:p>
          <a:endParaRPr lang="en-AU" sz="1100"/>
        </a:p>
      </dgm:t>
    </dgm:pt>
    <dgm:pt modelId="{46D0711F-30FC-4792-B999-E408840DA575}">
      <dgm:prSet custT="1"/>
      <dgm:spPr/>
      <dgm:t>
        <a:bodyPr/>
        <a:lstStyle/>
        <a:p>
          <a:r>
            <a:rPr lang="en-AU" sz="1100"/>
            <a:t>Review of outcome decision</a:t>
          </a:r>
        </a:p>
      </dgm:t>
    </dgm:pt>
    <dgm:pt modelId="{4EABA48A-CE59-4C14-868C-F4F9A5BD8C06}" type="parTrans" cxnId="{A4DC292C-30E3-4244-97E9-8BB8C1CE6DE6}">
      <dgm:prSet/>
      <dgm:spPr/>
      <dgm:t>
        <a:bodyPr/>
        <a:lstStyle/>
        <a:p>
          <a:endParaRPr lang="en-AU" sz="1100"/>
        </a:p>
      </dgm:t>
    </dgm:pt>
    <dgm:pt modelId="{11F10F48-B85A-459E-B3CA-A1AEA64662EC}" type="sibTrans" cxnId="{A4DC292C-30E3-4244-97E9-8BB8C1CE6DE6}">
      <dgm:prSet/>
      <dgm:spPr/>
      <dgm:t>
        <a:bodyPr/>
        <a:lstStyle/>
        <a:p>
          <a:endParaRPr lang="en-AU" sz="1100"/>
        </a:p>
      </dgm:t>
    </dgm:pt>
    <dgm:pt modelId="{5415494C-6ECD-4833-A65A-A6CBFFFD8FAB}">
      <dgm:prSet custT="1"/>
      <dgm:spPr/>
      <dgm:t>
        <a:bodyPr/>
        <a:lstStyle/>
        <a:p>
          <a:r>
            <a:rPr lang="en-AU" sz="1100"/>
            <a:t>Site visits</a:t>
          </a:r>
        </a:p>
      </dgm:t>
    </dgm:pt>
    <dgm:pt modelId="{CA529400-40ED-4D5A-8124-B2B7F85A8B40}" type="sibTrans" cxnId="{80B963C0-2C84-4738-9EFB-841E591AC5E6}">
      <dgm:prSet/>
      <dgm:spPr/>
      <dgm:t>
        <a:bodyPr/>
        <a:lstStyle/>
        <a:p>
          <a:endParaRPr lang="en-AU" sz="1100"/>
        </a:p>
      </dgm:t>
    </dgm:pt>
    <dgm:pt modelId="{D972160B-E578-48A2-A008-02DCEF498EB3}" type="parTrans" cxnId="{80B963C0-2C84-4738-9EFB-841E591AC5E6}">
      <dgm:prSet/>
      <dgm:spPr/>
      <dgm:t>
        <a:bodyPr/>
        <a:lstStyle/>
        <a:p>
          <a:endParaRPr lang="en-AU" sz="1100"/>
        </a:p>
      </dgm:t>
    </dgm:pt>
    <dgm:pt modelId="{80D026BC-6ACB-4AC9-8108-0A3DD745AAAF}">
      <dgm:prSet custT="1"/>
      <dgm:spPr/>
      <dgm:t>
        <a:bodyPr/>
        <a:lstStyle/>
        <a:p>
          <a:r>
            <a:rPr lang="en-AU" sz="1100"/>
            <a:t>Knowledge and practical assessment</a:t>
          </a:r>
        </a:p>
      </dgm:t>
    </dgm:pt>
    <dgm:pt modelId="{533C4DFC-056B-4566-B754-F0EAF885F25B}" type="parTrans" cxnId="{F0940F6A-1F31-45EF-96A1-38A1E215F0CC}">
      <dgm:prSet/>
      <dgm:spPr/>
      <dgm:t>
        <a:bodyPr/>
        <a:lstStyle/>
        <a:p>
          <a:endParaRPr lang="en-AU"/>
        </a:p>
      </dgm:t>
    </dgm:pt>
    <dgm:pt modelId="{8771626F-0C87-4B8E-B0CD-E19A22E70730}" type="sibTrans" cxnId="{F0940F6A-1F31-45EF-96A1-38A1E215F0CC}">
      <dgm:prSet/>
      <dgm:spPr/>
      <dgm:t>
        <a:bodyPr/>
        <a:lstStyle/>
        <a:p>
          <a:endParaRPr lang="en-AU"/>
        </a:p>
      </dgm:t>
    </dgm:pt>
    <dgm:pt modelId="{63F9D6EE-39ED-4758-B4BA-086F7DC5052A}" type="pres">
      <dgm:prSet presAssocID="{46E173BB-C878-44E0-9851-C16C45903067}" presName="Name0" presStyleCnt="0">
        <dgm:presLayoutVars>
          <dgm:dir/>
          <dgm:animLvl val="lvl"/>
          <dgm:resizeHandles val="exact"/>
        </dgm:presLayoutVars>
      </dgm:prSet>
      <dgm:spPr/>
    </dgm:pt>
    <dgm:pt modelId="{03E91B25-3D1B-47FE-B0E7-947E57586CE3}" type="pres">
      <dgm:prSet presAssocID="{452C99CE-A080-443E-8332-BB99A88B1AEE}" presName="composite" presStyleCnt="0"/>
      <dgm:spPr/>
    </dgm:pt>
    <dgm:pt modelId="{9BC5CD93-E33C-4255-9BF8-031D7C7E4BDC}" type="pres">
      <dgm:prSet presAssocID="{452C99CE-A080-443E-8332-BB99A88B1AEE}" presName="parTx" presStyleLbl="alignNode1" presStyleIdx="0" presStyleCnt="4">
        <dgm:presLayoutVars>
          <dgm:chMax val="0"/>
          <dgm:chPref val="0"/>
          <dgm:bulletEnabled val="1"/>
        </dgm:presLayoutVars>
      </dgm:prSet>
      <dgm:spPr/>
    </dgm:pt>
    <dgm:pt modelId="{45E9E05F-BBBA-47D5-828B-7669BCE2FDC0}" type="pres">
      <dgm:prSet presAssocID="{452C99CE-A080-443E-8332-BB99A88B1AEE}" presName="desTx" presStyleLbl="alignAccFollowNode1" presStyleIdx="0" presStyleCnt="4">
        <dgm:presLayoutVars>
          <dgm:bulletEnabled val="1"/>
        </dgm:presLayoutVars>
      </dgm:prSet>
      <dgm:spPr/>
    </dgm:pt>
    <dgm:pt modelId="{57A7525B-01F0-4948-9CE9-4A56C481D720}" type="pres">
      <dgm:prSet presAssocID="{F13BB1F0-B70E-4E74-9DA4-DC8BB2E9B153}" presName="space" presStyleCnt="0"/>
      <dgm:spPr/>
    </dgm:pt>
    <dgm:pt modelId="{16FE90D7-F97D-4232-9E24-D9F3E84C8A35}" type="pres">
      <dgm:prSet presAssocID="{198B2980-FF50-45CC-B6E3-FB166224B457}" presName="composite" presStyleCnt="0"/>
      <dgm:spPr/>
    </dgm:pt>
    <dgm:pt modelId="{8A329D8F-B914-46F0-8F86-1B4065F2629B}" type="pres">
      <dgm:prSet presAssocID="{198B2980-FF50-45CC-B6E3-FB166224B457}" presName="parTx" presStyleLbl="alignNode1" presStyleIdx="1" presStyleCnt="4">
        <dgm:presLayoutVars>
          <dgm:chMax val="0"/>
          <dgm:chPref val="0"/>
          <dgm:bulletEnabled val="1"/>
        </dgm:presLayoutVars>
      </dgm:prSet>
      <dgm:spPr/>
    </dgm:pt>
    <dgm:pt modelId="{8B926016-3BB3-4036-9815-8D01AB63B1C8}" type="pres">
      <dgm:prSet presAssocID="{198B2980-FF50-45CC-B6E3-FB166224B457}" presName="desTx" presStyleLbl="alignAccFollowNode1" presStyleIdx="1" presStyleCnt="4">
        <dgm:presLayoutVars>
          <dgm:bulletEnabled val="1"/>
        </dgm:presLayoutVars>
      </dgm:prSet>
      <dgm:spPr/>
    </dgm:pt>
    <dgm:pt modelId="{F088921D-22C3-4253-BB3A-399098E0E23F}" type="pres">
      <dgm:prSet presAssocID="{CF5FFCB6-37CE-4916-963E-6D65F5C03F87}" presName="space" presStyleCnt="0"/>
      <dgm:spPr/>
    </dgm:pt>
    <dgm:pt modelId="{C46BA145-0171-420D-ABA6-9963F494A753}" type="pres">
      <dgm:prSet presAssocID="{C2EBDD7F-B8C1-40DB-AFCE-7DBB07EE73BB}" presName="composite" presStyleCnt="0"/>
      <dgm:spPr/>
    </dgm:pt>
    <dgm:pt modelId="{073A9D97-946B-48CB-8D8F-DDF2584B6C40}" type="pres">
      <dgm:prSet presAssocID="{C2EBDD7F-B8C1-40DB-AFCE-7DBB07EE73BB}" presName="parTx" presStyleLbl="alignNode1" presStyleIdx="2" presStyleCnt="4">
        <dgm:presLayoutVars>
          <dgm:chMax val="0"/>
          <dgm:chPref val="0"/>
          <dgm:bulletEnabled val="1"/>
        </dgm:presLayoutVars>
      </dgm:prSet>
      <dgm:spPr/>
    </dgm:pt>
    <dgm:pt modelId="{987E825E-C617-4594-80D2-80FBB005BC44}" type="pres">
      <dgm:prSet presAssocID="{C2EBDD7F-B8C1-40DB-AFCE-7DBB07EE73BB}" presName="desTx" presStyleLbl="alignAccFollowNode1" presStyleIdx="2" presStyleCnt="4">
        <dgm:presLayoutVars>
          <dgm:bulletEnabled val="1"/>
        </dgm:presLayoutVars>
      </dgm:prSet>
      <dgm:spPr/>
    </dgm:pt>
    <dgm:pt modelId="{9E8881DA-FC38-4BA7-939F-BF0FEB1F40F4}" type="pres">
      <dgm:prSet presAssocID="{E91CCCE0-41EE-4E7C-A6B9-71E6BC6C8D77}" presName="space" presStyleCnt="0"/>
      <dgm:spPr/>
    </dgm:pt>
    <dgm:pt modelId="{8B5D7E3D-D52C-4FD7-9593-006B0AED231B}" type="pres">
      <dgm:prSet presAssocID="{E96C8D58-7A06-48F0-B170-09B0510C2A6A}" presName="composite" presStyleCnt="0"/>
      <dgm:spPr/>
    </dgm:pt>
    <dgm:pt modelId="{E705FDE9-F2E4-4907-A26F-1E5219FC6233}" type="pres">
      <dgm:prSet presAssocID="{E96C8D58-7A06-48F0-B170-09B0510C2A6A}" presName="parTx" presStyleLbl="alignNode1" presStyleIdx="3" presStyleCnt="4">
        <dgm:presLayoutVars>
          <dgm:chMax val="0"/>
          <dgm:chPref val="0"/>
          <dgm:bulletEnabled val="1"/>
        </dgm:presLayoutVars>
      </dgm:prSet>
      <dgm:spPr/>
    </dgm:pt>
    <dgm:pt modelId="{36068429-9AF4-4A13-8683-8A42C41EAE4E}" type="pres">
      <dgm:prSet presAssocID="{E96C8D58-7A06-48F0-B170-09B0510C2A6A}" presName="desTx" presStyleLbl="alignAccFollowNode1" presStyleIdx="3" presStyleCnt="4">
        <dgm:presLayoutVars>
          <dgm:bulletEnabled val="1"/>
        </dgm:presLayoutVars>
      </dgm:prSet>
      <dgm:spPr/>
    </dgm:pt>
  </dgm:ptLst>
  <dgm:cxnLst>
    <dgm:cxn modelId="{9A571501-D117-41D9-ACB6-0A8BB9C5C69D}" srcId="{46E173BB-C878-44E0-9851-C16C45903067}" destId="{452C99CE-A080-443E-8332-BB99A88B1AEE}" srcOrd="0" destOrd="0" parTransId="{9F470F50-ABF3-4C8F-9245-92C209F8C0F2}" sibTransId="{F13BB1F0-B70E-4E74-9DA4-DC8BB2E9B153}"/>
    <dgm:cxn modelId="{03E1370A-4D27-454F-8384-F3B1271455C9}" type="presOf" srcId="{46E173BB-C878-44E0-9851-C16C45903067}" destId="{63F9D6EE-39ED-4758-B4BA-086F7DC5052A}" srcOrd="0" destOrd="0" presId="urn:microsoft.com/office/officeart/2005/8/layout/hList1"/>
    <dgm:cxn modelId="{DCF5CF15-185F-49BB-845C-945EAADD6EDB}" type="presOf" srcId="{80CA5C1A-37D9-463C-94CF-FB47158F0163}" destId="{987E825E-C617-4594-80D2-80FBB005BC44}" srcOrd="0" destOrd="2" presId="urn:microsoft.com/office/officeart/2005/8/layout/hList1"/>
    <dgm:cxn modelId="{75D0631C-A062-43ED-947C-1135D4967067}" type="presOf" srcId="{50C1EA07-2B82-47F2-A165-EF2E1FF649AF}" destId="{8B926016-3BB3-4036-9815-8D01AB63B1C8}" srcOrd="0" destOrd="3" presId="urn:microsoft.com/office/officeart/2005/8/layout/hList1"/>
    <dgm:cxn modelId="{A4DC292C-30E3-4244-97E9-8BB8C1CE6DE6}" srcId="{E96C8D58-7A06-48F0-B170-09B0510C2A6A}" destId="{46D0711F-30FC-4792-B999-E408840DA575}" srcOrd="1" destOrd="0" parTransId="{4EABA48A-CE59-4C14-868C-F4F9A5BD8C06}" sibTransId="{11F10F48-B85A-459E-B3CA-A1AEA64662EC}"/>
    <dgm:cxn modelId="{FA5AC52F-92BC-4B29-B8A3-9F28E06291C9}" srcId="{C2EBDD7F-B8C1-40DB-AFCE-7DBB07EE73BB}" destId="{80CA5C1A-37D9-463C-94CF-FB47158F0163}" srcOrd="2" destOrd="0" parTransId="{F891C871-96A0-480B-AE16-C3E5B7C4346C}" sibTransId="{075B3942-193F-48CC-8EB2-67A58A8159FA}"/>
    <dgm:cxn modelId="{DEF2FB5B-5628-48ED-B7BC-AA109AA61CB8}" srcId="{452C99CE-A080-443E-8332-BB99A88B1AEE}" destId="{F26B0C88-337F-42FF-9078-866C8A5526D1}" srcOrd="1" destOrd="0" parTransId="{E33310EA-F90D-449B-ACFD-9F365F1D7368}" sibTransId="{5A2FC719-D56B-42E9-ABD6-799BC70A89C4}"/>
    <dgm:cxn modelId="{F0EFA35C-8562-4F34-BFC8-6CA5D8EC1106}" srcId="{198B2980-FF50-45CC-B6E3-FB166224B457}" destId="{DD8EE708-B6E0-4B84-96C2-F6FBA4691F7E}" srcOrd="1" destOrd="0" parTransId="{8DABCA75-D43E-4401-A68E-60AF36D268E9}" sibTransId="{4A39C91D-5906-496B-92C1-3310BD985480}"/>
    <dgm:cxn modelId="{5FEBBF5F-597E-495C-A534-29094B535421}" srcId="{E96C8D58-7A06-48F0-B170-09B0510C2A6A}" destId="{132DA1F4-EF48-45AB-9AB8-F19D4771D238}" srcOrd="0" destOrd="0" parTransId="{264A48F6-68C0-4F57-926B-0B9D96B7A725}" sibTransId="{6FCFC4BB-7002-4009-AC93-55957B8B191E}"/>
    <dgm:cxn modelId="{D3754A63-ED97-4EE7-A70B-26558ED38164}" type="presOf" srcId="{452C99CE-A080-443E-8332-BB99A88B1AEE}" destId="{9BC5CD93-E33C-4255-9BF8-031D7C7E4BDC}" srcOrd="0" destOrd="0" presId="urn:microsoft.com/office/officeart/2005/8/layout/hList1"/>
    <dgm:cxn modelId="{3B9D0867-53B5-4419-863A-E8261FE7CFDF}" type="presOf" srcId="{DD8EE708-B6E0-4B84-96C2-F6FBA4691F7E}" destId="{8B926016-3BB3-4036-9815-8D01AB63B1C8}" srcOrd="0" destOrd="1" presId="urn:microsoft.com/office/officeart/2005/8/layout/hList1"/>
    <dgm:cxn modelId="{F0940F6A-1F31-45EF-96A1-38A1E215F0CC}" srcId="{198B2980-FF50-45CC-B6E3-FB166224B457}" destId="{80D026BC-6ACB-4AC9-8108-0A3DD745AAAF}" srcOrd="2" destOrd="0" parTransId="{533C4DFC-056B-4566-B754-F0EAF885F25B}" sibTransId="{8771626F-0C87-4B8E-B0CD-E19A22E70730}"/>
    <dgm:cxn modelId="{8B39046D-6E57-40F2-B745-D239A8DDAA4F}" type="presOf" srcId="{46D0711F-30FC-4792-B999-E408840DA575}" destId="{36068429-9AF4-4A13-8683-8A42C41EAE4E}" srcOrd="0" destOrd="1" presId="urn:microsoft.com/office/officeart/2005/8/layout/hList1"/>
    <dgm:cxn modelId="{8FF21954-2838-40CE-9369-3EDDC79E317B}" type="presOf" srcId="{E769B4AB-46BC-4D8B-84F2-363697FC538C}" destId="{987E825E-C617-4594-80D2-80FBB005BC44}" srcOrd="0" destOrd="3" presId="urn:microsoft.com/office/officeart/2005/8/layout/hList1"/>
    <dgm:cxn modelId="{312E4854-0860-459D-ADAA-75162CD236DE}" srcId="{C2EBDD7F-B8C1-40DB-AFCE-7DBB07EE73BB}" destId="{E769B4AB-46BC-4D8B-84F2-363697FC538C}" srcOrd="3" destOrd="0" parTransId="{8E746E95-5F13-42C5-BAAB-1A3ADCD35101}" sibTransId="{8646149C-BD87-494C-992D-3A688693F067}"/>
    <dgm:cxn modelId="{95787E54-4979-4D6B-A2EB-846242402DDA}" type="presOf" srcId="{5415494C-6ECD-4833-A65A-A6CBFFFD8FAB}" destId="{8B926016-3BB3-4036-9815-8D01AB63B1C8}" srcOrd="0" destOrd="4" presId="urn:microsoft.com/office/officeart/2005/8/layout/hList1"/>
    <dgm:cxn modelId="{2CD29B75-9F82-4086-9D66-24EE12C006AD}" srcId="{46E173BB-C878-44E0-9851-C16C45903067}" destId="{198B2980-FF50-45CC-B6E3-FB166224B457}" srcOrd="1" destOrd="0" parTransId="{CAF207EF-AED4-47D2-A1D8-42B4F871A51C}" sibTransId="{CF5FFCB6-37CE-4916-963E-6D65F5C03F87}"/>
    <dgm:cxn modelId="{B969867B-8754-4083-8C4F-A8EC77AAD5CC}" srcId="{198B2980-FF50-45CC-B6E3-FB166224B457}" destId="{CE9A1504-D567-4141-AFC9-E8D078CDC512}" srcOrd="0" destOrd="0" parTransId="{375BA5E3-4F10-459A-92F9-BB3877CDE88B}" sibTransId="{FA8A9CF0-45BC-47EC-9516-A0F4A9A89D1B}"/>
    <dgm:cxn modelId="{DF45E38F-9EAE-4903-B227-A70D3922BA28}" srcId="{46E173BB-C878-44E0-9851-C16C45903067}" destId="{E96C8D58-7A06-48F0-B170-09B0510C2A6A}" srcOrd="3" destOrd="0" parTransId="{B14DD19A-4412-4CB5-B018-04609759D5A4}" sibTransId="{AC8F38B3-43A1-4406-8C3B-9B77551E9F2C}"/>
    <dgm:cxn modelId="{D4E8F990-13A8-451F-9B84-83DD99BBD75F}" srcId="{46E173BB-C878-44E0-9851-C16C45903067}" destId="{C2EBDD7F-B8C1-40DB-AFCE-7DBB07EE73BB}" srcOrd="2" destOrd="0" parTransId="{AA24C60A-0054-456E-919B-B97384A58C89}" sibTransId="{E91CCCE0-41EE-4E7C-A6B9-71E6BC6C8D77}"/>
    <dgm:cxn modelId="{00D58293-2FA5-4824-B779-E7BE5C631979}" type="presOf" srcId="{0F31FF7F-8F57-4FA1-9118-D8103AC8600C}" destId="{45E9E05F-BBBA-47D5-828B-7669BCE2FDC0}" srcOrd="0" destOrd="0" presId="urn:microsoft.com/office/officeart/2005/8/layout/hList1"/>
    <dgm:cxn modelId="{4F7F3799-0278-4EB8-9EBA-12060BC8B4B7}" type="presOf" srcId="{C2EBDD7F-B8C1-40DB-AFCE-7DBB07EE73BB}" destId="{073A9D97-946B-48CB-8D8F-DDF2584B6C40}" srcOrd="0" destOrd="0" presId="urn:microsoft.com/office/officeart/2005/8/layout/hList1"/>
    <dgm:cxn modelId="{FE35508A-29F0-4871-B91E-54EC65168BEE}" type="presOf" srcId="{7C1BF5DE-06F1-44AA-947C-6BEDEC9940AF}" destId="{987E825E-C617-4594-80D2-80FBB005BC44}" srcOrd="0" destOrd="0" presId="urn:microsoft.com/office/officeart/2005/8/layout/hList1"/>
    <dgm:cxn modelId="{D1BBFA9A-CDEE-41DE-A3DE-237A1B6808F1}" type="presOf" srcId="{E96C8D58-7A06-48F0-B170-09B0510C2A6A}" destId="{E705FDE9-F2E4-4907-A26F-1E5219FC6233}" srcOrd="0" destOrd="0" presId="urn:microsoft.com/office/officeart/2005/8/layout/hList1"/>
    <dgm:cxn modelId="{F8578CA3-3FB2-450F-8028-0C5B2BCDD300}" type="presOf" srcId="{198B2980-FF50-45CC-B6E3-FB166224B457}" destId="{8A329D8F-B914-46F0-8F86-1B4065F2629B}" srcOrd="0" destOrd="0" presId="urn:microsoft.com/office/officeart/2005/8/layout/hList1"/>
    <dgm:cxn modelId="{D0ACD7AE-14F5-4EA7-8338-EB565B6F37E7}" srcId="{C2EBDD7F-B8C1-40DB-AFCE-7DBB07EE73BB}" destId="{B74B8EE0-2DE9-423E-9CB5-8F75D88E1674}" srcOrd="1" destOrd="0" parTransId="{90A75DC3-69CA-40E1-B05B-75BF622654D6}" sibTransId="{25B3F31D-780B-4B34-8B5D-D906A0371944}"/>
    <dgm:cxn modelId="{F9D0EDB9-97D8-4C91-B641-B2C550E53AFB}" type="presOf" srcId="{80D026BC-6ACB-4AC9-8108-0A3DD745AAAF}" destId="{8B926016-3BB3-4036-9815-8D01AB63B1C8}" srcOrd="0" destOrd="2" presId="urn:microsoft.com/office/officeart/2005/8/layout/hList1"/>
    <dgm:cxn modelId="{B3D11FBE-971C-4ECE-AC80-1BB33B54889F}" type="presOf" srcId="{F26B0C88-337F-42FF-9078-866C8A5526D1}" destId="{45E9E05F-BBBA-47D5-828B-7669BCE2FDC0}" srcOrd="0" destOrd="1" presId="urn:microsoft.com/office/officeart/2005/8/layout/hList1"/>
    <dgm:cxn modelId="{488836E0-F876-4253-8AC2-E97B1D85501B}" type="presOf" srcId="{CE9A1504-D567-4141-AFC9-E8D078CDC512}" destId="{8B926016-3BB3-4036-9815-8D01AB63B1C8}" srcOrd="0" destOrd="0" presId="urn:microsoft.com/office/officeart/2005/8/layout/hList1"/>
    <dgm:cxn modelId="{80B963C0-2C84-4738-9EFB-841E591AC5E6}" srcId="{198B2980-FF50-45CC-B6E3-FB166224B457}" destId="{5415494C-6ECD-4833-A65A-A6CBFFFD8FAB}" srcOrd="4" destOrd="0" parTransId="{D972160B-E578-48A2-A008-02DCEF498EB3}" sibTransId="{CA529400-40ED-4D5A-8124-B2B7F85A8B40}"/>
    <dgm:cxn modelId="{B2B93EE6-5C68-4886-A228-38E5D222EB99}" type="presOf" srcId="{B74B8EE0-2DE9-423E-9CB5-8F75D88E1674}" destId="{987E825E-C617-4594-80D2-80FBB005BC44}" srcOrd="0" destOrd="1" presId="urn:microsoft.com/office/officeart/2005/8/layout/hList1"/>
    <dgm:cxn modelId="{FAF166C9-2C73-43A9-8ED0-21C6D8EB128B}" srcId="{C2EBDD7F-B8C1-40DB-AFCE-7DBB07EE73BB}" destId="{7C1BF5DE-06F1-44AA-947C-6BEDEC9940AF}" srcOrd="0" destOrd="0" parTransId="{167EE00E-2A1A-4C33-9002-7B12AB829CCF}" sibTransId="{54FACF0D-1BE4-407A-8AB4-947897985EA2}"/>
    <dgm:cxn modelId="{AA27F7EF-E51A-44CB-9726-006B3264308F}" srcId="{452C99CE-A080-443E-8332-BB99A88B1AEE}" destId="{0F31FF7F-8F57-4FA1-9118-D8103AC8600C}" srcOrd="0" destOrd="0" parTransId="{E1DC1759-A770-40BD-AC5A-18F2A36140DA}" sibTransId="{BF4B97CC-7309-4220-B61D-78FD6BA064EE}"/>
    <dgm:cxn modelId="{AB206CF3-800F-4E39-95B4-EF9DBA8A6F9A}" type="presOf" srcId="{132DA1F4-EF48-45AB-9AB8-F19D4771D238}" destId="{36068429-9AF4-4A13-8683-8A42C41EAE4E}" srcOrd="0" destOrd="0" presId="urn:microsoft.com/office/officeart/2005/8/layout/hList1"/>
    <dgm:cxn modelId="{D71495D8-CBB6-4204-AF67-B4E7D291BF11}" srcId="{198B2980-FF50-45CC-B6E3-FB166224B457}" destId="{50C1EA07-2B82-47F2-A165-EF2E1FF649AF}" srcOrd="3" destOrd="0" parTransId="{AACCE61E-B786-405A-89A5-47F92C008A9A}" sibTransId="{7854478B-D533-4D87-8774-B91C5445FB21}"/>
    <dgm:cxn modelId="{698BC750-FD83-47EF-93FE-AF94B6029613}" type="presParOf" srcId="{63F9D6EE-39ED-4758-B4BA-086F7DC5052A}" destId="{03E91B25-3D1B-47FE-B0E7-947E57586CE3}" srcOrd="0" destOrd="0" presId="urn:microsoft.com/office/officeart/2005/8/layout/hList1"/>
    <dgm:cxn modelId="{3D17EB6D-DFF7-4045-9435-4AFDF33C27AE}" type="presParOf" srcId="{03E91B25-3D1B-47FE-B0E7-947E57586CE3}" destId="{9BC5CD93-E33C-4255-9BF8-031D7C7E4BDC}" srcOrd="0" destOrd="0" presId="urn:microsoft.com/office/officeart/2005/8/layout/hList1"/>
    <dgm:cxn modelId="{0568927D-4CB5-4DC4-AF59-5969C592185F}" type="presParOf" srcId="{03E91B25-3D1B-47FE-B0E7-947E57586CE3}" destId="{45E9E05F-BBBA-47D5-828B-7669BCE2FDC0}" srcOrd="1" destOrd="0" presId="urn:microsoft.com/office/officeart/2005/8/layout/hList1"/>
    <dgm:cxn modelId="{393BB6CD-49E2-462A-B1D6-CDAD007E8CAE}" type="presParOf" srcId="{63F9D6EE-39ED-4758-B4BA-086F7DC5052A}" destId="{57A7525B-01F0-4948-9CE9-4A56C481D720}" srcOrd="1" destOrd="0" presId="urn:microsoft.com/office/officeart/2005/8/layout/hList1"/>
    <dgm:cxn modelId="{CCBF3C27-D40A-4FBE-90A7-A5FD168E8512}" type="presParOf" srcId="{63F9D6EE-39ED-4758-B4BA-086F7DC5052A}" destId="{16FE90D7-F97D-4232-9E24-D9F3E84C8A35}" srcOrd="2" destOrd="0" presId="urn:microsoft.com/office/officeart/2005/8/layout/hList1"/>
    <dgm:cxn modelId="{16F76D64-B35D-432A-B678-B4A51A5D3958}" type="presParOf" srcId="{16FE90D7-F97D-4232-9E24-D9F3E84C8A35}" destId="{8A329D8F-B914-46F0-8F86-1B4065F2629B}" srcOrd="0" destOrd="0" presId="urn:microsoft.com/office/officeart/2005/8/layout/hList1"/>
    <dgm:cxn modelId="{94B56A5F-4736-45A3-B138-BD586A0D5667}" type="presParOf" srcId="{16FE90D7-F97D-4232-9E24-D9F3E84C8A35}" destId="{8B926016-3BB3-4036-9815-8D01AB63B1C8}" srcOrd="1" destOrd="0" presId="urn:microsoft.com/office/officeart/2005/8/layout/hList1"/>
    <dgm:cxn modelId="{0725C243-67BE-4E08-B721-591F6330C5BD}" type="presParOf" srcId="{63F9D6EE-39ED-4758-B4BA-086F7DC5052A}" destId="{F088921D-22C3-4253-BB3A-399098E0E23F}" srcOrd="3" destOrd="0" presId="urn:microsoft.com/office/officeart/2005/8/layout/hList1"/>
    <dgm:cxn modelId="{9501AD7B-29E0-4DD9-B596-DDCAB25E83AB}" type="presParOf" srcId="{63F9D6EE-39ED-4758-B4BA-086F7DC5052A}" destId="{C46BA145-0171-420D-ABA6-9963F494A753}" srcOrd="4" destOrd="0" presId="urn:microsoft.com/office/officeart/2005/8/layout/hList1"/>
    <dgm:cxn modelId="{343ED20D-CEB8-4EBC-B5ED-D9BF0F8BBBEF}" type="presParOf" srcId="{C46BA145-0171-420D-ABA6-9963F494A753}" destId="{073A9D97-946B-48CB-8D8F-DDF2584B6C40}" srcOrd="0" destOrd="0" presId="urn:microsoft.com/office/officeart/2005/8/layout/hList1"/>
    <dgm:cxn modelId="{BB0DAB56-0AFF-4D59-B787-50528EFFE064}" type="presParOf" srcId="{C46BA145-0171-420D-ABA6-9963F494A753}" destId="{987E825E-C617-4594-80D2-80FBB005BC44}" srcOrd="1" destOrd="0" presId="urn:microsoft.com/office/officeart/2005/8/layout/hList1"/>
    <dgm:cxn modelId="{3C86098D-E5B7-4DC0-BAE2-457C29A8E781}" type="presParOf" srcId="{63F9D6EE-39ED-4758-B4BA-086F7DC5052A}" destId="{9E8881DA-FC38-4BA7-939F-BF0FEB1F40F4}" srcOrd="5" destOrd="0" presId="urn:microsoft.com/office/officeart/2005/8/layout/hList1"/>
    <dgm:cxn modelId="{9B18097D-84A3-4288-B2A6-85E18A1FF62C}" type="presParOf" srcId="{63F9D6EE-39ED-4758-B4BA-086F7DC5052A}" destId="{8B5D7E3D-D52C-4FD7-9593-006B0AED231B}" srcOrd="6" destOrd="0" presId="urn:microsoft.com/office/officeart/2005/8/layout/hList1"/>
    <dgm:cxn modelId="{7F99914E-65AA-46CC-BF43-391477A80FC3}" type="presParOf" srcId="{8B5D7E3D-D52C-4FD7-9593-006B0AED231B}" destId="{E705FDE9-F2E4-4907-A26F-1E5219FC6233}" srcOrd="0" destOrd="0" presId="urn:microsoft.com/office/officeart/2005/8/layout/hList1"/>
    <dgm:cxn modelId="{C2CF56DB-1AB3-4ACE-BF7C-369D191EC50D}" type="presParOf" srcId="{8B5D7E3D-D52C-4FD7-9593-006B0AED231B}" destId="{36068429-9AF4-4A13-8683-8A42C41EAE4E}" srcOrd="1" destOrd="0" presId="urn:microsoft.com/office/officeart/2005/8/layout/h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406123-3678-4EBE-9D97-226B3B65540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C0C8B6D6-906F-43A9-BF4A-32B117364DBA}">
      <dgm:prSet phldrT="[Text]" custT="1"/>
      <dgm:spPr/>
      <dgm:t>
        <a:bodyPr/>
        <a:lstStyle/>
        <a:p>
          <a:r>
            <a:rPr lang="en-AU" sz="1050"/>
            <a:t>Output 1: </a:t>
          </a:r>
          <a:br>
            <a:rPr lang="en-AU" sz="1050"/>
          </a:br>
          <a:r>
            <a:rPr lang="en-AU" sz="1050"/>
            <a:t>Program administration</a:t>
          </a:r>
        </a:p>
      </dgm:t>
    </dgm:pt>
    <dgm:pt modelId="{70EEB5A1-51AF-40F9-AAEF-F25597716AFE}" type="parTrans" cxnId="{6172C7D6-F3AC-4EF1-8619-9070BC14B07E}">
      <dgm:prSet/>
      <dgm:spPr/>
      <dgm:t>
        <a:bodyPr/>
        <a:lstStyle/>
        <a:p>
          <a:endParaRPr lang="en-AU" sz="2400"/>
        </a:p>
      </dgm:t>
    </dgm:pt>
    <dgm:pt modelId="{15DA6635-5295-44AE-883E-13081E0A14E8}" type="sibTrans" cxnId="{6172C7D6-F3AC-4EF1-8619-9070BC14B07E}">
      <dgm:prSet/>
      <dgm:spPr/>
      <dgm:t>
        <a:bodyPr/>
        <a:lstStyle/>
        <a:p>
          <a:endParaRPr lang="en-AU" sz="2400"/>
        </a:p>
      </dgm:t>
    </dgm:pt>
    <dgm:pt modelId="{4431B0E2-402E-4890-BA4F-49B9728638F9}">
      <dgm:prSet phldrT="[Text]" custT="1"/>
      <dgm:spPr/>
      <dgm:t>
        <a:bodyPr/>
        <a:lstStyle/>
        <a:p>
          <a:r>
            <a:rPr lang="en-AU" sz="1050"/>
            <a:t>Enquiry line</a:t>
          </a:r>
        </a:p>
      </dgm:t>
    </dgm:pt>
    <dgm:pt modelId="{2D853ED2-3671-4FCF-AAAF-6B8DFD1CA0D7}" type="parTrans" cxnId="{D2BC57E2-2E5D-47EF-B499-709205E8EEF6}">
      <dgm:prSet/>
      <dgm:spPr/>
      <dgm:t>
        <a:bodyPr/>
        <a:lstStyle/>
        <a:p>
          <a:endParaRPr lang="en-AU" sz="2400"/>
        </a:p>
      </dgm:t>
    </dgm:pt>
    <dgm:pt modelId="{E6DEEA06-3ADC-4AEF-AEAA-4ADC8891D332}" type="sibTrans" cxnId="{D2BC57E2-2E5D-47EF-B499-709205E8EEF6}">
      <dgm:prSet/>
      <dgm:spPr/>
      <dgm:t>
        <a:bodyPr/>
        <a:lstStyle/>
        <a:p>
          <a:endParaRPr lang="en-AU" sz="2400"/>
        </a:p>
      </dgm:t>
    </dgm:pt>
    <dgm:pt modelId="{191F2B92-F7A7-42E8-8622-E4AD8640D487}">
      <dgm:prSet phldrT="[Text]" custT="1"/>
      <dgm:spPr/>
      <dgm:t>
        <a:bodyPr/>
        <a:lstStyle/>
        <a:p>
          <a:r>
            <a:rPr lang="en-AU" sz="1050"/>
            <a:t>Output 3:</a:t>
          </a:r>
          <a:br>
            <a:rPr lang="en-AU" sz="1050"/>
          </a:br>
          <a:r>
            <a:rPr lang="en-AU" sz="1050"/>
            <a:t>Compliance and audit</a:t>
          </a:r>
        </a:p>
      </dgm:t>
    </dgm:pt>
    <dgm:pt modelId="{B3477635-56E4-47A3-A9D7-6176E978FA95}" type="parTrans" cxnId="{EC48E4DD-F8A5-498C-A38D-9BD0E277BCC4}">
      <dgm:prSet/>
      <dgm:spPr/>
      <dgm:t>
        <a:bodyPr/>
        <a:lstStyle/>
        <a:p>
          <a:endParaRPr lang="en-AU" sz="2400"/>
        </a:p>
      </dgm:t>
    </dgm:pt>
    <dgm:pt modelId="{F23EB4EB-E448-4821-8288-BC32DE19BFF7}" type="sibTrans" cxnId="{EC48E4DD-F8A5-498C-A38D-9BD0E277BCC4}">
      <dgm:prSet/>
      <dgm:spPr/>
      <dgm:t>
        <a:bodyPr/>
        <a:lstStyle/>
        <a:p>
          <a:endParaRPr lang="en-AU" sz="2400"/>
        </a:p>
      </dgm:t>
    </dgm:pt>
    <dgm:pt modelId="{506A2053-C14C-4909-903D-E99938AE27EA}">
      <dgm:prSet phldrT="[Text]" custT="1"/>
      <dgm:spPr/>
      <dgm:t>
        <a:bodyPr/>
        <a:lstStyle/>
        <a:p>
          <a:r>
            <a:rPr lang="en-AU" sz="1050"/>
            <a:t>Quality assurance</a:t>
          </a:r>
        </a:p>
      </dgm:t>
    </dgm:pt>
    <dgm:pt modelId="{66A6C3EF-2EBC-46D3-A848-242CF0C3356D}" type="parTrans" cxnId="{BA2CF57E-C207-4170-93AD-B461E1E39F7D}">
      <dgm:prSet/>
      <dgm:spPr/>
      <dgm:t>
        <a:bodyPr/>
        <a:lstStyle/>
        <a:p>
          <a:endParaRPr lang="en-AU" sz="2400"/>
        </a:p>
      </dgm:t>
    </dgm:pt>
    <dgm:pt modelId="{85FE7162-9CFA-4EA7-9B2E-845F4503441D}" type="sibTrans" cxnId="{BA2CF57E-C207-4170-93AD-B461E1E39F7D}">
      <dgm:prSet/>
      <dgm:spPr/>
      <dgm:t>
        <a:bodyPr/>
        <a:lstStyle/>
        <a:p>
          <a:endParaRPr lang="en-AU" sz="2400"/>
        </a:p>
      </dgm:t>
    </dgm:pt>
    <dgm:pt modelId="{F73A19B5-B4AB-42E7-BA30-1C776952F5BF}">
      <dgm:prSet phldrT="[Text]" custT="1"/>
      <dgm:spPr/>
      <dgm:t>
        <a:bodyPr/>
        <a:lstStyle/>
        <a:p>
          <a:r>
            <a:rPr lang="en-AU" sz="1050"/>
            <a:t>Output 4:</a:t>
          </a:r>
          <a:br>
            <a:rPr lang="en-AU" sz="1050"/>
          </a:br>
          <a:r>
            <a:rPr lang="en-AU" sz="1050"/>
            <a:t>Program policy</a:t>
          </a:r>
        </a:p>
      </dgm:t>
    </dgm:pt>
    <dgm:pt modelId="{BEE80DFD-C58B-40D9-B94B-FC2FA35ACAEE}" type="parTrans" cxnId="{CBCC841B-6CAF-4165-B13E-84A93C227D0A}">
      <dgm:prSet/>
      <dgm:spPr/>
      <dgm:t>
        <a:bodyPr/>
        <a:lstStyle/>
        <a:p>
          <a:endParaRPr lang="en-AU" sz="2400"/>
        </a:p>
      </dgm:t>
    </dgm:pt>
    <dgm:pt modelId="{1C05D5AC-DD27-4310-A218-E5F0FB119D1E}" type="sibTrans" cxnId="{CBCC841B-6CAF-4165-B13E-84A93C227D0A}">
      <dgm:prSet/>
      <dgm:spPr/>
      <dgm:t>
        <a:bodyPr/>
        <a:lstStyle/>
        <a:p>
          <a:endParaRPr lang="en-AU" sz="2400"/>
        </a:p>
      </dgm:t>
    </dgm:pt>
    <dgm:pt modelId="{4B48A2D5-C409-4D7E-A2D3-3FF26F33E1DB}">
      <dgm:prSet phldrT="[Text]" custT="1"/>
      <dgm:spPr/>
      <dgm:t>
        <a:bodyPr/>
        <a:lstStyle/>
        <a:p>
          <a:r>
            <a:rPr lang="en-AU" sz="1050"/>
            <a:t>Updates to program guidelines / web pages</a:t>
          </a:r>
        </a:p>
      </dgm:t>
    </dgm:pt>
    <dgm:pt modelId="{EA43F93C-7E11-4426-97EF-1BBC3120F227}" type="parTrans" cxnId="{4A6F04B3-E90B-4F9A-8F2C-8A4607EFFC5C}">
      <dgm:prSet/>
      <dgm:spPr/>
      <dgm:t>
        <a:bodyPr/>
        <a:lstStyle/>
        <a:p>
          <a:endParaRPr lang="en-AU" sz="2400"/>
        </a:p>
      </dgm:t>
    </dgm:pt>
    <dgm:pt modelId="{94479307-3C99-4774-85B9-3EA9B463F389}" type="sibTrans" cxnId="{4A6F04B3-E90B-4F9A-8F2C-8A4607EFFC5C}">
      <dgm:prSet/>
      <dgm:spPr/>
      <dgm:t>
        <a:bodyPr/>
        <a:lstStyle/>
        <a:p>
          <a:endParaRPr lang="en-AU" sz="2400"/>
        </a:p>
      </dgm:t>
    </dgm:pt>
    <dgm:pt modelId="{BA89068B-192F-4BFC-878B-5ABE68C049F4}">
      <dgm:prSet custT="1"/>
      <dgm:spPr/>
      <dgm:t>
        <a:bodyPr/>
        <a:lstStyle/>
        <a:p>
          <a:r>
            <a:rPr lang="en-AU" sz="1050"/>
            <a:t>Output 2:</a:t>
          </a:r>
          <a:br>
            <a:rPr lang="en-AU" sz="1050"/>
          </a:br>
          <a:r>
            <a:rPr lang="en-AU" sz="1050"/>
            <a:t>IT support and maintenance</a:t>
          </a:r>
        </a:p>
      </dgm:t>
    </dgm:pt>
    <dgm:pt modelId="{EFD76848-7FAF-4E28-AFBA-3FB27A5B524B}" type="parTrans" cxnId="{D15F11D4-AD27-4644-B7BB-82AB381EAF17}">
      <dgm:prSet/>
      <dgm:spPr/>
      <dgm:t>
        <a:bodyPr/>
        <a:lstStyle/>
        <a:p>
          <a:endParaRPr lang="en-AU" sz="2400"/>
        </a:p>
      </dgm:t>
    </dgm:pt>
    <dgm:pt modelId="{DE3B5AAF-CA2F-4354-8F1C-E22D6F996F5B}" type="sibTrans" cxnId="{D15F11D4-AD27-4644-B7BB-82AB381EAF17}">
      <dgm:prSet/>
      <dgm:spPr/>
      <dgm:t>
        <a:bodyPr/>
        <a:lstStyle/>
        <a:p>
          <a:endParaRPr lang="en-AU" sz="2400"/>
        </a:p>
      </dgm:t>
    </dgm:pt>
    <dgm:pt modelId="{8CAA138B-0D40-4CFF-A99F-AF9A9FAEB9E4}">
      <dgm:prSet custT="1"/>
      <dgm:spPr/>
      <dgm:t>
        <a:bodyPr/>
        <a:lstStyle/>
        <a:p>
          <a:r>
            <a:rPr lang="en-AU" sz="1050"/>
            <a:t>RTO contract management</a:t>
          </a:r>
        </a:p>
      </dgm:t>
    </dgm:pt>
    <dgm:pt modelId="{8E7DE5AD-90E8-46E3-B906-1FDFBDB9AF77}" type="parTrans" cxnId="{E1A622E3-FE02-41A9-AB90-631098569697}">
      <dgm:prSet/>
      <dgm:spPr/>
      <dgm:t>
        <a:bodyPr/>
        <a:lstStyle/>
        <a:p>
          <a:endParaRPr lang="en-AU" sz="2400"/>
        </a:p>
      </dgm:t>
    </dgm:pt>
    <dgm:pt modelId="{754B2DBC-C279-4F45-A073-4D83D8B54F10}" type="sibTrans" cxnId="{E1A622E3-FE02-41A9-AB90-631098569697}">
      <dgm:prSet/>
      <dgm:spPr/>
      <dgm:t>
        <a:bodyPr/>
        <a:lstStyle/>
        <a:p>
          <a:endParaRPr lang="en-AU" sz="2400"/>
        </a:p>
      </dgm:t>
    </dgm:pt>
    <dgm:pt modelId="{41F9BA9E-454E-4BA3-BECC-87BFE9605319}">
      <dgm:prSet custT="1"/>
      <dgm:spPr/>
      <dgm:t>
        <a:bodyPr/>
        <a:lstStyle/>
        <a:p>
          <a:r>
            <a:rPr lang="en-AU" sz="1050"/>
            <a:t>Finance</a:t>
          </a:r>
        </a:p>
      </dgm:t>
    </dgm:pt>
    <dgm:pt modelId="{3D584804-BA9E-4A46-8912-0780A5F4B1C2}" type="parTrans" cxnId="{1AE51620-EA5D-4E07-9E2A-5C8BA4AAC5D7}">
      <dgm:prSet/>
      <dgm:spPr/>
      <dgm:t>
        <a:bodyPr/>
        <a:lstStyle/>
        <a:p>
          <a:endParaRPr lang="en-AU" sz="2400"/>
        </a:p>
      </dgm:t>
    </dgm:pt>
    <dgm:pt modelId="{99A7BCC7-C8AA-453E-A373-0072B9D50C9F}" type="sibTrans" cxnId="{1AE51620-EA5D-4E07-9E2A-5C8BA4AAC5D7}">
      <dgm:prSet/>
      <dgm:spPr/>
      <dgm:t>
        <a:bodyPr/>
        <a:lstStyle/>
        <a:p>
          <a:endParaRPr lang="en-AU" sz="2400"/>
        </a:p>
      </dgm:t>
    </dgm:pt>
    <dgm:pt modelId="{F195125B-6940-421C-BF3D-7C2E0FF038F6}">
      <dgm:prSet custT="1"/>
      <dgm:spPr/>
      <dgm:t>
        <a:bodyPr/>
        <a:lstStyle/>
        <a:p>
          <a:r>
            <a:rPr lang="en-AU" sz="1050"/>
            <a:t>Internal Reporting</a:t>
          </a:r>
        </a:p>
      </dgm:t>
    </dgm:pt>
    <dgm:pt modelId="{E4CF029F-E0DD-4FF8-9453-32A102C699EF}" type="parTrans" cxnId="{0AF35094-94A7-41CE-8752-CBDEECF2A354}">
      <dgm:prSet/>
      <dgm:spPr/>
      <dgm:t>
        <a:bodyPr/>
        <a:lstStyle/>
        <a:p>
          <a:endParaRPr lang="en-AU" sz="2400"/>
        </a:p>
      </dgm:t>
    </dgm:pt>
    <dgm:pt modelId="{BF4C6779-BCAD-497F-9BC0-B6D2B9159D0D}" type="sibTrans" cxnId="{0AF35094-94A7-41CE-8752-CBDEECF2A354}">
      <dgm:prSet/>
      <dgm:spPr/>
      <dgm:t>
        <a:bodyPr/>
        <a:lstStyle/>
        <a:p>
          <a:endParaRPr lang="en-AU" sz="2400"/>
        </a:p>
      </dgm:t>
    </dgm:pt>
    <dgm:pt modelId="{36EF73B9-5AA9-470F-B465-B0130598ECDD}">
      <dgm:prSet custT="1"/>
      <dgm:spPr/>
      <dgm:t>
        <a:bodyPr/>
        <a:lstStyle/>
        <a:p>
          <a:r>
            <a:rPr lang="en-AU" sz="1050"/>
            <a:t>Home Affairs liaison</a:t>
          </a:r>
        </a:p>
      </dgm:t>
    </dgm:pt>
    <dgm:pt modelId="{43D84A29-55C7-4B35-B92E-1DC32E4DB8AC}" type="parTrans" cxnId="{E62DCFEE-B679-4F7B-AF44-BCCA794C8945}">
      <dgm:prSet/>
      <dgm:spPr/>
      <dgm:t>
        <a:bodyPr/>
        <a:lstStyle/>
        <a:p>
          <a:endParaRPr lang="en-AU" sz="2400"/>
        </a:p>
      </dgm:t>
    </dgm:pt>
    <dgm:pt modelId="{82A3F494-7956-45BB-87D6-082A8F1D5070}" type="sibTrans" cxnId="{E62DCFEE-B679-4F7B-AF44-BCCA794C8945}">
      <dgm:prSet/>
      <dgm:spPr/>
      <dgm:t>
        <a:bodyPr/>
        <a:lstStyle/>
        <a:p>
          <a:endParaRPr lang="en-AU" sz="2400"/>
        </a:p>
      </dgm:t>
    </dgm:pt>
    <dgm:pt modelId="{F6DC9EE6-8D0C-4627-8243-3DC4BA712083}">
      <dgm:prSet custT="1"/>
      <dgm:spPr/>
      <dgm:t>
        <a:bodyPr/>
        <a:lstStyle/>
        <a:p>
          <a:r>
            <a:rPr lang="en-AU" sz="1050"/>
            <a:t>Stakeholder engagement</a:t>
          </a:r>
        </a:p>
      </dgm:t>
    </dgm:pt>
    <dgm:pt modelId="{36F03457-7BB1-4C27-9584-42500C75BC32}" type="parTrans" cxnId="{08DA66E0-8293-4258-9CC5-05769C28502C}">
      <dgm:prSet/>
      <dgm:spPr/>
      <dgm:t>
        <a:bodyPr/>
        <a:lstStyle/>
        <a:p>
          <a:endParaRPr lang="en-AU" sz="2400"/>
        </a:p>
      </dgm:t>
    </dgm:pt>
    <dgm:pt modelId="{F7789CA9-6B69-4F8F-987E-5BB14BE98623}" type="sibTrans" cxnId="{08DA66E0-8293-4258-9CC5-05769C28502C}">
      <dgm:prSet/>
      <dgm:spPr/>
      <dgm:t>
        <a:bodyPr/>
        <a:lstStyle/>
        <a:p>
          <a:endParaRPr lang="en-AU" sz="2400"/>
        </a:p>
      </dgm:t>
    </dgm:pt>
    <dgm:pt modelId="{2A13B3CA-8185-4DF1-979A-02FF34A121F4}">
      <dgm:prSet custT="1"/>
      <dgm:spPr/>
      <dgm:t>
        <a:bodyPr/>
        <a:lstStyle/>
        <a:p>
          <a:r>
            <a:rPr lang="en-AU" sz="1050"/>
            <a:t>Web publishing</a:t>
          </a:r>
        </a:p>
      </dgm:t>
    </dgm:pt>
    <dgm:pt modelId="{0E659EE6-FFBD-4E95-B57E-6AB3FEA3E502}" type="parTrans" cxnId="{28A9DCB8-3140-4351-AFDC-FFC2636412D1}">
      <dgm:prSet/>
      <dgm:spPr/>
      <dgm:t>
        <a:bodyPr/>
        <a:lstStyle/>
        <a:p>
          <a:endParaRPr lang="en-AU" sz="2400"/>
        </a:p>
      </dgm:t>
    </dgm:pt>
    <dgm:pt modelId="{199EAC90-B782-49B4-B9C3-97433462CD77}" type="sibTrans" cxnId="{28A9DCB8-3140-4351-AFDC-FFC2636412D1}">
      <dgm:prSet/>
      <dgm:spPr/>
      <dgm:t>
        <a:bodyPr/>
        <a:lstStyle/>
        <a:p>
          <a:endParaRPr lang="en-AU" sz="2400"/>
        </a:p>
      </dgm:t>
    </dgm:pt>
    <dgm:pt modelId="{5CB42435-D567-4A00-9646-A55D76108A2E}">
      <dgm:prSet custT="1"/>
      <dgm:spPr/>
      <dgm:t>
        <a:bodyPr/>
        <a:lstStyle/>
        <a:p>
          <a:r>
            <a:rPr lang="en-AU" sz="1050"/>
            <a:t>IT system maintenance</a:t>
          </a:r>
        </a:p>
      </dgm:t>
    </dgm:pt>
    <dgm:pt modelId="{2552E903-970F-4597-8894-38F74EE93371}" type="parTrans" cxnId="{019EEAB8-AB38-43BD-9223-BE6EF8BC3A4E}">
      <dgm:prSet/>
      <dgm:spPr/>
      <dgm:t>
        <a:bodyPr/>
        <a:lstStyle/>
        <a:p>
          <a:endParaRPr lang="en-AU" sz="2400"/>
        </a:p>
      </dgm:t>
    </dgm:pt>
    <dgm:pt modelId="{3179BAED-6A0E-4BDD-967A-AC19FCE63552}" type="sibTrans" cxnId="{019EEAB8-AB38-43BD-9223-BE6EF8BC3A4E}">
      <dgm:prSet/>
      <dgm:spPr/>
      <dgm:t>
        <a:bodyPr/>
        <a:lstStyle/>
        <a:p>
          <a:endParaRPr lang="en-AU" sz="2400"/>
        </a:p>
      </dgm:t>
    </dgm:pt>
    <dgm:pt modelId="{FFB80175-D359-4868-A12C-1C4648F90C63}">
      <dgm:prSet custT="1"/>
      <dgm:spPr/>
      <dgm:t>
        <a:bodyPr/>
        <a:lstStyle/>
        <a:p>
          <a:r>
            <a:rPr lang="en-AU" sz="1050"/>
            <a:t>Password resets</a:t>
          </a:r>
        </a:p>
      </dgm:t>
    </dgm:pt>
    <dgm:pt modelId="{A8FF591E-5B44-468F-8333-2EE58DC51A4C}" type="parTrans" cxnId="{C1C60F5D-8B37-4196-8853-0AB70655F629}">
      <dgm:prSet/>
      <dgm:spPr/>
      <dgm:t>
        <a:bodyPr/>
        <a:lstStyle/>
        <a:p>
          <a:endParaRPr lang="en-AU" sz="2400"/>
        </a:p>
      </dgm:t>
    </dgm:pt>
    <dgm:pt modelId="{2FA6B42A-129A-41FF-BEEB-03F375790DDF}" type="sibTrans" cxnId="{C1C60F5D-8B37-4196-8853-0AB70655F629}">
      <dgm:prSet/>
      <dgm:spPr/>
      <dgm:t>
        <a:bodyPr/>
        <a:lstStyle/>
        <a:p>
          <a:endParaRPr lang="en-AU" sz="2400"/>
        </a:p>
      </dgm:t>
    </dgm:pt>
    <dgm:pt modelId="{7B7AA118-C8A0-47B9-BE4C-A04B272C5634}">
      <dgm:prSet custT="1"/>
      <dgm:spPr/>
      <dgm:t>
        <a:bodyPr/>
        <a:lstStyle/>
        <a:p>
          <a:r>
            <a:rPr lang="en-AU" sz="1050"/>
            <a:t>Program fraud and integrity settings</a:t>
          </a:r>
        </a:p>
      </dgm:t>
    </dgm:pt>
    <dgm:pt modelId="{797102C1-3C0A-4768-B36F-2571DA14F9C9}" type="parTrans" cxnId="{EA0A0C31-B9B4-43E3-A6D8-D3F8F73836B6}">
      <dgm:prSet/>
      <dgm:spPr/>
      <dgm:t>
        <a:bodyPr/>
        <a:lstStyle/>
        <a:p>
          <a:endParaRPr lang="en-AU" sz="2400"/>
        </a:p>
      </dgm:t>
    </dgm:pt>
    <dgm:pt modelId="{D4FF93AF-4928-4E6C-8468-4CE0FE8FE794}" type="sibTrans" cxnId="{EA0A0C31-B9B4-43E3-A6D8-D3F8F73836B6}">
      <dgm:prSet/>
      <dgm:spPr/>
      <dgm:t>
        <a:bodyPr/>
        <a:lstStyle/>
        <a:p>
          <a:endParaRPr lang="en-AU" sz="2400"/>
        </a:p>
      </dgm:t>
    </dgm:pt>
    <dgm:pt modelId="{B158C502-82F9-4F36-90AE-171353EB4796}">
      <dgm:prSet custT="1"/>
      <dgm:spPr/>
      <dgm:t>
        <a:bodyPr/>
        <a:lstStyle/>
        <a:p>
          <a:r>
            <a:rPr lang="en-AU" sz="1050"/>
            <a:t>Program risk management settings</a:t>
          </a:r>
        </a:p>
      </dgm:t>
    </dgm:pt>
    <dgm:pt modelId="{1EB7C1A1-F586-4A09-9A2C-B28FBB1AD6E9}" type="parTrans" cxnId="{896E5495-181B-4CE7-B708-0916B1F18AD9}">
      <dgm:prSet/>
      <dgm:spPr/>
      <dgm:t>
        <a:bodyPr/>
        <a:lstStyle/>
        <a:p>
          <a:endParaRPr lang="en-AU" sz="2400"/>
        </a:p>
      </dgm:t>
    </dgm:pt>
    <dgm:pt modelId="{36406390-EBC4-4FF2-AD16-EA2A7786E016}" type="sibTrans" cxnId="{896E5495-181B-4CE7-B708-0916B1F18AD9}">
      <dgm:prSet/>
      <dgm:spPr/>
      <dgm:t>
        <a:bodyPr/>
        <a:lstStyle/>
        <a:p>
          <a:endParaRPr lang="en-AU" sz="2400"/>
        </a:p>
      </dgm:t>
    </dgm:pt>
    <dgm:pt modelId="{1D803CF6-4731-4416-8D6E-CC7EFD0AB2EE}">
      <dgm:prSet custT="1"/>
      <dgm:spPr/>
      <dgm:t>
        <a:bodyPr/>
        <a:lstStyle/>
        <a:p>
          <a:r>
            <a:rPr lang="en-AU" sz="1050"/>
            <a:t>RTO compliance</a:t>
          </a:r>
        </a:p>
      </dgm:t>
    </dgm:pt>
    <dgm:pt modelId="{76CBEE6C-6EDC-41DD-A44C-E62401F9A071}" type="parTrans" cxnId="{25004226-AE54-4889-9CF1-777B18E76247}">
      <dgm:prSet/>
      <dgm:spPr/>
      <dgm:t>
        <a:bodyPr/>
        <a:lstStyle/>
        <a:p>
          <a:endParaRPr lang="en-AU" sz="2400"/>
        </a:p>
      </dgm:t>
    </dgm:pt>
    <dgm:pt modelId="{7AF77C11-C93C-4950-AE79-92A26FED8E55}" type="sibTrans" cxnId="{25004226-AE54-4889-9CF1-777B18E76247}">
      <dgm:prSet/>
      <dgm:spPr/>
      <dgm:t>
        <a:bodyPr/>
        <a:lstStyle/>
        <a:p>
          <a:endParaRPr lang="en-AU" sz="2400"/>
        </a:p>
      </dgm:t>
    </dgm:pt>
    <dgm:pt modelId="{1138BE58-B3A0-4456-910B-E31BD0E6CBF1}">
      <dgm:prSet custT="1"/>
      <dgm:spPr/>
      <dgm:t>
        <a:bodyPr/>
        <a:lstStyle/>
        <a:p>
          <a:r>
            <a:rPr lang="en-AU" sz="1050"/>
            <a:t>Coordination requests</a:t>
          </a:r>
        </a:p>
      </dgm:t>
    </dgm:pt>
    <dgm:pt modelId="{51EF3A76-84F3-45AB-A8ED-1A4B16CA7192}" type="parTrans" cxnId="{8DB9DF2D-66C4-416A-98A6-EE941DE87F3B}">
      <dgm:prSet/>
      <dgm:spPr/>
      <dgm:t>
        <a:bodyPr/>
        <a:lstStyle/>
        <a:p>
          <a:endParaRPr lang="en-AU" sz="2400"/>
        </a:p>
      </dgm:t>
    </dgm:pt>
    <dgm:pt modelId="{F090505F-DCF7-49CB-A1D0-D7EF7C8C4513}" type="sibTrans" cxnId="{8DB9DF2D-66C4-416A-98A6-EE941DE87F3B}">
      <dgm:prSet/>
      <dgm:spPr/>
      <dgm:t>
        <a:bodyPr/>
        <a:lstStyle/>
        <a:p>
          <a:endParaRPr lang="en-AU" sz="2400"/>
        </a:p>
      </dgm:t>
    </dgm:pt>
    <dgm:pt modelId="{A70A5A06-DB0F-496B-9C54-9C2CBA88C99F}">
      <dgm:prSet custT="1"/>
      <dgm:spPr/>
      <dgm:t>
        <a:bodyPr/>
        <a:lstStyle/>
        <a:p>
          <a:r>
            <a:rPr lang="en-AU" sz="1050"/>
            <a:t>Policy changes</a:t>
          </a:r>
        </a:p>
      </dgm:t>
    </dgm:pt>
    <dgm:pt modelId="{FF16F0D7-C310-42AB-ACA0-AA1A358748AD}" type="parTrans" cxnId="{36CB7ADE-D287-485A-A2C3-9EA02A488C34}">
      <dgm:prSet/>
      <dgm:spPr/>
      <dgm:t>
        <a:bodyPr/>
        <a:lstStyle/>
        <a:p>
          <a:endParaRPr lang="en-AU" sz="2400"/>
        </a:p>
      </dgm:t>
    </dgm:pt>
    <dgm:pt modelId="{B225CEB2-14C8-4A7E-87B4-75A0DC50D2BA}" type="sibTrans" cxnId="{36CB7ADE-D287-485A-A2C3-9EA02A488C34}">
      <dgm:prSet/>
      <dgm:spPr/>
      <dgm:t>
        <a:bodyPr/>
        <a:lstStyle/>
        <a:p>
          <a:endParaRPr lang="en-AU" sz="2400"/>
        </a:p>
      </dgm:t>
    </dgm:pt>
    <dgm:pt modelId="{26E06F98-1CB7-4561-8D1B-DCE825907080}">
      <dgm:prSet custT="1"/>
      <dgm:spPr/>
      <dgm:t>
        <a:bodyPr/>
        <a:lstStyle/>
        <a:p>
          <a:r>
            <a:rPr lang="en-AU" sz="1050"/>
            <a:t>Legal matters</a:t>
          </a:r>
        </a:p>
      </dgm:t>
    </dgm:pt>
    <dgm:pt modelId="{FF6C978C-D79A-4CA2-BCDD-14595E84FAB9}" type="parTrans" cxnId="{9878C04B-EBB1-4E95-9E58-2A7D2715C96F}">
      <dgm:prSet/>
      <dgm:spPr/>
      <dgm:t>
        <a:bodyPr/>
        <a:lstStyle/>
        <a:p>
          <a:endParaRPr lang="en-AU" sz="2400"/>
        </a:p>
      </dgm:t>
    </dgm:pt>
    <dgm:pt modelId="{9DDCFE75-7EA3-4E39-92AE-7151C6E028F0}" type="sibTrans" cxnId="{9878C04B-EBB1-4E95-9E58-2A7D2715C96F}">
      <dgm:prSet/>
      <dgm:spPr/>
      <dgm:t>
        <a:bodyPr/>
        <a:lstStyle/>
        <a:p>
          <a:endParaRPr lang="en-AU" sz="2400"/>
        </a:p>
      </dgm:t>
    </dgm:pt>
    <dgm:pt modelId="{F8735598-C1A3-4E33-86BC-4CD5A9C12020}" type="pres">
      <dgm:prSet presAssocID="{9E406123-3678-4EBE-9D97-226B3B655404}" presName="Name0" presStyleCnt="0">
        <dgm:presLayoutVars>
          <dgm:dir/>
          <dgm:animLvl val="lvl"/>
          <dgm:resizeHandles val="exact"/>
        </dgm:presLayoutVars>
      </dgm:prSet>
      <dgm:spPr/>
    </dgm:pt>
    <dgm:pt modelId="{02AA1CE1-4984-4BEF-B8F1-AE63A47617D0}" type="pres">
      <dgm:prSet presAssocID="{C0C8B6D6-906F-43A9-BF4A-32B117364DBA}" presName="composite" presStyleCnt="0"/>
      <dgm:spPr/>
    </dgm:pt>
    <dgm:pt modelId="{7F7CE44D-4758-4232-85FF-6879611821F8}" type="pres">
      <dgm:prSet presAssocID="{C0C8B6D6-906F-43A9-BF4A-32B117364DBA}" presName="parTx" presStyleLbl="alignNode1" presStyleIdx="0" presStyleCnt="4">
        <dgm:presLayoutVars>
          <dgm:chMax val="0"/>
          <dgm:chPref val="0"/>
          <dgm:bulletEnabled val="1"/>
        </dgm:presLayoutVars>
      </dgm:prSet>
      <dgm:spPr/>
    </dgm:pt>
    <dgm:pt modelId="{53D4FB8A-BC03-4E56-AEBA-7CA4ADA92203}" type="pres">
      <dgm:prSet presAssocID="{C0C8B6D6-906F-43A9-BF4A-32B117364DBA}" presName="desTx" presStyleLbl="alignAccFollowNode1" presStyleIdx="0" presStyleCnt="4" custLinFactNeighborX="-3413">
        <dgm:presLayoutVars>
          <dgm:bulletEnabled val="1"/>
        </dgm:presLayoutVars>
      </dgm:prSet>
      <dgm:spPr/>
    </dgm:pt>
    <dgm:pt modelId="{1822EE3E-E867-410D-808F-BB784A101AA1}" type="pres">
      <dgm:prSet presAssocID="{15DA6635-5295-44AE-883E-13081E0A14E8}" presName="space" presStyleCnt="0"/>
      <dgm:spPr/>
    </dgm:pt>
    <dgm:pt modelId="{902FBB92-FA82-4305-BA67-F5E88EBE4A48}" type="pres">
      <dgm:prSet presAssocID="{BA89068B-192F-4BFC-878B-5ABE68C049F4}" presName="composite" presStyleCnt="0"/>
      <dgm:spPr/>
    </dgm:pt>
    <dgm:pt modelId="{DC74760E-0C5E-4898-B2A9-F18DF1794A8C}" type="pres">
      <dgm:prSet presAssocID="{BA89068B-192F-4BFC-878B-5ABE68C049F4}" presName="parTx" presStyleLbl="alignNode1" presStyleIdx="1" presStyleCnt="4">
        <dgm:presLayoutVars>
          <dgm:chMax val="0"/>
          <dgm:chPref val="0"/>
          <dgm:bulletEnabled val="1"/>
        </dgm:presLayoutVars>
      </dgm:prSet>
      <dgm:spPr/>
    </dgm:pt>
    <dgm:pt modelId="{8F6A901B-8916-4E88-AC0E-FBB92E444112}" type="pres">
      <dgm:prSet presAssocID="{BA89068B-192F-4BFC-878B-5ABE68C049F4}" presName="desTx" presStyleLbl="alignAccFollowNode1" presStyleIdx="1" presStyleCnt="4">
        <dgm:presLayoutVars>
          <dgm:bulletEnabled val="1"/>
        </dgm:presLayoutVars>
      </dgm:prSet>
      <dgm:spPr/>
    </dgm:pt>
    <dgm:pt modelId="{6FF6372E-5312-4E73-B17B-CCE41BD57A5A}" type="pres">
      <dgm:prSet presAssocID="{DE3B5AAF-CA2F-4354-8F1C-E22D6F996F5B}" presName="space" presStyleCnt="0"/>
      <dgm:spPr/>
    </dgm:pt>
    <dgm:pt modelId="{280003B7-8ECF-431E-835A-E432E1869BA4}" type="pres">
      <dgm:prSet presAssocID="{191F2B92-F7A7-42E8-8622-E4AD8640D487}" presName="composite" presStyleCnt="0"/>
      <dgm:spPr/>
    </dgm:pt>
    <dgm:pt modelId="{192DD16E-7C7C-4F81-938E-6FE187FA360F}" type="pres">
      <dgm:prSet presAssocID="{191F2B92-F7A7-42E8-8622-E4AD8640D487}" presName="parTx" presStyleLbl="alignNode1" presStyleIdx="2" presStyleCnt="4">
        <dgm:presLayoutVars>
          <dgm:chMax val="0"/>
          <dgm:chPref val="0"/>
          <dgm:bulletEnabled val="1"/>
        </dgm:presLayoutVars>
      </dgm:prSet>
      <dgm:spPr/>
    </dgm:pt>
    <dgm:pt modelId="{DE6FD45D-1E60-4BD4-BF76-F0E23EA901BC}" type="pres">
      <dgm:prSet presAssocID="{191F2B92-F7A7-42E8-8622-E4AD8640D487}" presName="desTx" presStyleLbl="alignAccFollowNode1" presStyleIdx="2" presStyleCnt="4">
        <dgm:presLayoutVars>
          <dgm:bulletEnabled val="1"/>
        </dgm:presLayoutVars>
      </dgm:prSet>
      <dgm:spPr/>
    </dgm:pt>
    <dgm:pt modelId="{534B0386-D45A-4B9D-B4B1-E1962BCBDA82}" type="pres">
      <dgm:prSet presAssocID="{F23EB4EB-E448-4821-8288-BC32DE19BFF7}" presName="space" presStyleCnt="0"/>
      <dgm:spPr/>
    </dgm:pt>
    <dgm:pt modelId="{DBF380D2-2EE0-41E6-BFBC-4124F5B190CF}" type="pres">
      <dgm:prSet presAssocID="{F73A19B5-B4AB-42E7-BA30-1C776952F5BF}" presName="composite" presStyleCnt="0"/>
      <dgm:spPr/>
    </dgm:pt>
    <dgm:pt modelId="{5EC0A730-157F-4F0C-A255-055C4ADD6103}" type="pres">
      <dgm:prSet presAssocID="{F73A19B5-B4AB-42E7-BA30-1C776952F5BF}" presName="parTx" presStyleLbl="alignNode1" presStyleIdx="3" presStyleCnt="4">
        <dgm:presLayoutVars>
          <dgm:chMax val="0"/>
          <dgm:chPref val="0"/>
          <dgm:bulletEnabled val="1"/>
        </dgm:presLayoutVars>
      </dgm:prSet>
      <dgm:spPr/>
    </dgm:pt>
    <dgm:pt modelId="{97D2E821-2D6D-40E8-9CF9-1E29690CE852}" type="pres">
      <dgm:prSet presAssocID="{F73A19B5-B4AB-42E7-BA30-1C776952F5BF}" presName="desTx" presStyleLbl="alignAccFollowNode1" presStyleIdx="3" presStyleCnt="4">
        <dgm:presLayoutVars>
          <dgm:bulletEnabled val="1"/>
        </dgm:presLayoutVars>
      </dgm:prSet>
      <dgm:spPr/>
    </dgm:pt>
  </dgm:ptLst>
  <dgm:cxnLst>
    <dgm:cxn modelId="{C7633E08-6FF8-48DC-BCDF-A660ADD840F3}" type="presOf" srcId="{1D803CF6-4731-4416-8D6E-CC7EFD0AB2EE}" destId="{DE6FD45D-1E60-4BD4-BF76-F0E23EA901BC}" srcOrd="0" destOrd="3" presId="urn:microsoft.com/office/officeart/2005/8/layout/hList1"/>
    <dgm:cxn modelId="{8B308E11-4885-44AC-B615-59207B735DAD}" type="presOf" srcId="{36EF73B9-5AA9-470F-B465-B0130598ECDD}" destId="{53D4FB8A-BC03-4E56-AEBA-7CA4ADA92203}" srcOrd="0" destOrd="4" presId="urn:microsoft.com/office/officeart/2005/8/layout/hList1"/>
    <dgm:cxn modelId="{CBCC841B-6CAF-4165-B13E-84A93C227D0A}" srcId="{9E406123-3678-4EBE-9D97-226B3B655404}" destId="{F73A19B5-B4AB-42E7-BA30-1C776952F5BF}" srcOrd="3" destOrd="0" parTransId="{BEE80DFD-C58B-40D9-B94B-FC2FA35ACAEE}" sibTransId="{1C05D5AC-DD27-4310-A218-E5F0FB119D1E}"/>
    <dgm:cxn modelId="{DE22B11D-357E-4EA2-B144-AB0A2D681D54}" type="presOf" srcId="{9E406123-3678-4EBE-9D97-226B3B655404}" destId="{F8735598-C1A3-4E33-86BC-4CD5A9C12020}" srcOrd="0" destOrd="0" presId="urn:microsoft.com/office/officeart/2005/8/layout/hList1"/>
    <dgm:cxn modelId="{1AE51620-EA5D-4E07-9E2A-5C8BA4AAC5D7}" srcId="{C0C8B6D6-906F-43A9-BF4A-32B117364DBA}" destId="{41F9BA9E-454E-4BA3-BECC-87BFE9605319}" srcOrd="2" destOrd="0" parTransId="{3D584804-BA9E-4A46-8912-0780A5F4B1C2}" sibTransId="{99A7BCC7-C8AA-453E-A373-0072B9D50C9F}"/>
    <dgm:cxn modelId="{25004226-AE54-4889-9CF1-777B18E76247}" srcId="{191F2B92-F7A7-42E8-8622-E4AD8640D487}" destId="{1D803CF6-4731-4416-8D6E-CC7EFD0AB2EE}" srcOrd="3" destOrd="0" parTransId="{76CBEE6C-6EDC-41DD-A44C-E62401F9A071}" sibTransId="{7AF77C11-C93C-4950-AE79-92A26FED8E55}"/>
    <dgm:cxn modelId="{82C52D2D-0D68-4EA5-A440-90696C7903EB}" type="presOf" srcId="{506A2053-C14C-4909-903D-E99938AE27EA}" destId="{DE6FD45D-1E60-4BD4-BF76-F0E23EA901BC}" srcOrd="0" destOrd="0" presId="urn:microsoft.com/office/officeart/2005/8/layout/hList1"/>
    <dgm:cxn modelId="{8DB9DF2D-66C4-416A-98A6-EE941DE87F3B}" srcId="{F73A19B5-B4AB-42E7-BA30-1C776952F5BF}" destId="{1138BE58-B3A0-4456-910B-E31BD0E6CBF1}" srcOrd="1" destOrd="0" parTransId="{51EF3A76-84F3-45AB-A8ED-1A4B16CA7192}" sibTransId="{F090505F-DCF7-49CB-A1D0-D7EF7C8C4513}"/>
    <dgm:cxn modelId="{EA0A0C31-B9B4-43E3-A6D8-D3F8F73836B6}" srcId="{191F2B92-F7A7-42E8-8622-E4AD8640D487}" destId="{7B7AA118-C8A0-47B9-BE4C-A04B272C5634}" srcOrd="1" destOrd="0" parTransId="{797102C1-3C0A-4768-B36F-2571DA14F9C9}" sibTransId="{D4FF93AF-4928-4E6C-8468-4CE0FE8FE794}"/>
    <dgm:cxn modelId="{37F21639-9428-4968-A4DA-7D4B5BF74AAB}" type="presOf" srcId="{4431B0E2-402E-4890-BA4F-49B9728638F9}" destId="{53D4FB8A-BC03-4E56-AEBA-7CA4ADA92203}" srcOrd="0" destOrd="0" presId="urn:microsoft.com/office/officeart/2005/8/layout/hList1"/>
    <dgm:cxn modelId="{A4C4F93B-ED4D-42CF-8749-479DBEDAC45E}" type="presOf" srcId="{4B48A2D5-C409-4D7E-A2D3-3FF26F33E1DB}" destId="{97D2E821-2D6D-40E8-9CF9-1E29690CE852}" srcOrd="0" destOrd="0" presId="urn:microsoft.com/office/officeart/2005/8/layout/hList1"/>
    <dgm:cxn modelId="{C1C60F5D-8B37-4196-8853-0AB70655F629}" srcId="{BA89068B-192F-4BFC-878B-5ABE68C049F4}" destId="{FFB80175-D359-4868-A12C-1C4648F90C63}" srcOrd="2" destOrd="0" parTransId="{A8FF591E-5B44-468F-8333-2EE58DC51A4C}" sibTransId="{2FA6B42A-129A-41FF-BEEB-03F375790DDF}"/>
    <dgm:cxn modelId="{0148C864-26B1-42FF-829B-081CD9C909C8}" type="presOf" srcId="{F73A19B5-B4AB-42E7-BA30-1C776952F5BF}" destId="{5EC0A730-157F-4F0C-A255-055C4ADD6103}" srcOrd="0" destOrd="0" presId="urn:microsoft.com/office/officeart/2005/8/layout/hList1"/>
    <dgm:cxn modelId="{8D92DE64-1180-4840-BF05-A19731B005EA}" type="presOf" srcId="{FFB80175-D359-4868-A12C-1C4648F90C63}" destId="{8F6A901B-8916-4E88-AC0E-FBB92E444112}" srcOrd="0" destOrd="2" presId="urn:microsoft.com/office/officeart/2005/8/layout/hList1"/>
    <dgm:cxn modelId="{48EA1545-11AF-46E8-8F6C-268BDF0491F6}" type="presOf" srcId="{F6DC9EE6-8D0C-4627-8243-3DC4BA712083}" destId="{53D4FB8A-BC03-4E56-AEBA-7CA4ADA92203}" srcOrd="0" destOrd="5" presId="urn:microsoft.com/office/officeart/2005/8/layout/hList1"/>
    <dgm:cxn modelId="{9878C04B-EBB1-4E95-9E58-2A7D2715C96F}" srcId="{F73A19B5-B4AB-42E7-BA30-1C776952F5BF}" destId="{26E06F98-1CB7-4561-8D1B-DCE825907080}" srcOrd="3" destOrd="0" parTransId="{FF6C978C-D79A-4CA2-BCDD-14595E84FAB9}" sibTransId="{9DDCFE75-7EA3-4E39-92AE-7151C6E028F0}"/>
    <dgm:cxn modelId="{4FD81F4C-BB1E-4878-9132-FD9ED1929E1A}" type="presOf" srcId="{8CAA138B-0D40-4CFF-A99F-AF9A9FAEB9E4}" destId="{53D4FB8A-BC03-4E56-AEBA-7CA4ADA92203}" srcOrd="0" destOrd="1" presId="urn:microsoft.com/office/officeart/2005/8/layout/hList1"/>
    <dgm:cxn modelId="{19D48859-3998-430C-BC35-FC3397662AB9}" type="presOf" srcId="{B158C502-82F9-4F36-90AE-171353EB4796}" destId="{DE6FD45D-1E60-4BD4-BF76-F0E23EA901BC}" srcOrd="0" destOrd="2" presId="urn:microsoft.com/office/officeart/2005/8/layout/hList1"/>
    <dgm:cxn modelId="{BA2CF57E-C207-4170-93AD-B461E1E39F7D}" srcId="{191F2B92-F7A7-42E8-8622-E4AD8640D487}" destId="{506A2053-C14C-4909-903D-E99938AE27EA}" srcOrd="0" destOrd="0" parTransId="{66A6C3EF-2EBC-46D3-A848-242CF0C3356D}" sibTransId="{85FE7162-9CFA-4EA7-9B2E-845F4503441D}"/>
    <dgm:cxn modelId="{C98EEE85-5394-4C96-B7C6-29CB3A321512}" type="presOf" srcId="{26E06F98-1CB7-4561-8D1B-DCE825907080}" destId="{97D2E821-2D6D-40E8-9CF9-1E29690CE852}" srcOrd="0" destOrd="3" presId="urn:microsoft.com/office/officeart/2005/8/layout/hList1"/>
    <dgm:cxn modelId="{43CF3C88-437E-4010-85D0-7346D77DBB68}" type="presOf" srcId="{BA89068B-192F-4BFC-878B-5ABE68C049F4}" destId="{DC74760E-0C5E-4898-B2A9-F18DF1794A8C}" srcOrd="0" destOrd="0" presId="urn:microsoft.com/office/officeart/2005/8/layout/hList1"/>
    <dgm:cxn modelId="{0AF35094-94A7-41CE-8752-CBDEECF2A354}" srcId="{C0C8B6D6-906F-43A9-BF4A-32B117364DBA}" destId="{F195125B-6940-421C-BF3D-7C2E0FF038F6}" srcOrd="3" destOrd="0" parTransId="{E4CF029F-E0DD-4FF8-9453-32A102C699EF}" sibTransId="{BF4C6779-BCAD-497F-9BC0-B6D2B9159D0D}"/>
    <dgm:cxn modelId="{896E5495-181B-4CE7-B708-0916B1F18AD9}" srcId="{191F2B92-F7A7-42E8-8622-E4AD8640D487}" destId="{B158C502-82F9-4F36-90AE-171353EB4796}" srcOrd="2" destOrd="0" parTransId="{1EB7C1A1-F586-4A09-9A2C-B28FBB1AD6E9}" sibTransId="{36406390-EBC4-4FF2-AD16-EA2A7786E016}"/>
    <dgm:cxn modelId="{C300C595-5A32-4E88-B54D-1D517C2A24A9}" type="presOf" srcId="{41F9BA9E-454E-4BA3-BECC-87BFE9605319}" destId="{53D4FB8A-BC03-4E56-AEBA-7CA4ADA92203}" srcOrd="0" destOrd="2" presId="urn:microsoft.com/office/officeart/2005/8/layout/hList1"/>
    <dgm:cxn modelId="{38BFD99A-E430-47BA-A572-AB1CF492886B}" type="presOf" srcId="{5CB42435-D567-4A00-9646-A55D76108A2E}" destId="{8F6A901B-8916-4E88-AC0E-FBB92E444112}" srcOrd="0" destOrd="1" presId="urn:microsoft.com/office/officeart/2005/8/layout/hList1"/>
    <dgm:cxn modelId="{5E32F3A1-D821-482A-8429-7BED2C4C82AC}" type="presOf" srcId="{7B7AA118-C8A0-47B9-BE4C-A04B272C5634}" destId="{DE6FD45D-1E60-4BD4-BF76-F0E23EA901BC}" srcOrd="0" destOrd="1" presId="urn:microsoft.com/office/officeart/2005/8/layout/hList1"/>
    <dgm:cxn modelId="{A61420A6-E2B6-4FA1-A367-7EB8E1158985}" type="presOf" srcId="{1138BE58-B3A0-4456-910B-E31BD0E6CBF1}" destId="{97D2E821-2D6D-40E8-9CF9-1E29690CE852}" srcOrd="0" destOrd="1" presId="urn:microsoft.com/office/officeart/2005/8/layout/hList1"/>
    <dgm:cxn modelId="{B8508EA8-CB50-428D-91F2-499BFE3A9CBB}" type="presOf" srcId="{F195125B-6940-421C-BF3D-7C2E0FF038F6}" destId="{53D4FB8A-BC03-4E56-AEBA-7CA4ADA92203}" srcOrd="0" destOrd="3" presId="urn:microsoft.com/office/officeart/2005/8/layout/hList1"/>
    <dgm:cxn modelId="{4A6F04B3-E90B-4F9A-8F2C-8A4607EFFC5C}" srcId="{F73A19B5-B4AB-42E7-BA30-1C776952F5BF}" destId="{4B48A2D5-C409-4D7E-A2D3-3FF26F33E1DB}" srcOrd="0" destOrd="0" parTransId="{EA43F93C-7E11-4426-97EF-1BBC3120F227}" sibTransId="{94479307-3C99-4774-85B9-3EA9B463F389}"/>
    <dgm:cxn modelId="{019EEAB8-AB38-43BD-9223-BE6EF8BC3A4E}" srcId="{BA89068B-192F-4BFC-878B-5ABE68C049F4}" destId="{5CB42435-D567-4A00-9646-A55D76108A2E}" srcOrd="1" destOrd="0" parTransId="{2552E903-970F-4597-8894-38F74EE93371}" sibTransId="{3179BAED-6A0E-4BDD-967A-AC19FCE63552}"/>
    <dgm:cxn modelId="{28A9DCB8-3140-4351-AFDC-FFC2636412D1}" srcId="{BA89068B-192F-4BFC-878B-5ABE68C049F4}" destId="{2A13B3CA-8185-4DF1-979A-02FF34A121F4}" srcOrd="0" destOrd="0" parTransId="{0E659EE6-FFBD-4E95-B57E-6AB3FEA3E502}" sibTransId="{199EAC90-B782-49B4-B9C3-97433462CD77}"/>
    <dgm:cxn modelId="{08DA66E0-8293-4258-9CC5-05769C28502C}" srcId="{C0C8B6D6-906F-43A9-BF4A-32B117364DBA}" destId="{F6DC9EE6-8D0C-4627-8243-3DC4BA712083}" srcOrd="5" destOrd="0" parTransId="{36F03457-7BB1-4C27-9584-42500C75BC32}" sibTransId="{F7789CA9-6B69-4F8F-987E-5BB14BE98623}"/>
    <dgm:cxn modelId="{D2BC57E2-2E5D-47EF-B499-709205E8EEF6}" srcId="{C0C8B6D6-906F-43A9-BF4A-32B117364DBA}" destId="{4431B0E2-402E-4890-BA4F-49B9728638F9}" srcOrd="0" destOrd="0" parTransId="{2D853ED2-3671-4FCF-AAAF-6B8DFD1CA0D7}" sibTransId="{E6DEEA06-3ADC-4AEF-AEAA-4ADC8891D332}"/>
    <dgm:cxn modelId="{E1A622E3-FE02-41A9-AB90-631098569697}" srcId="{C0C8B6D6-906F-43A9-BF4A-32B117364DBA}" destId="{8CAA138B-0D40-4CFF-A99F-AF9A9FAEB9E4}" srcOrd="1" destOrd="0" parTransId="{8E7DE5AD-90E8-46E3-B906-1FDFBDB9AF77}" sibTransId="{754B2DBC-C279-4F45-A073-4D83D8B54F10}"/>
    <dgm:cxn modelId="{75118CE4-A6C3-4957-9A4C-797AAB660D04}" type="presOf" srcId="{2A13B3CA-8185-4DF1-979A-02FF34A121F4}" destId="{8F6A901B-8916-4E88-AC0E-FBB92E444112}" srcOrd="0" destOrd="0" presId="urn:microsoft.com/office/officeart/2005/8/layout/hList1"/>
    <dgm:cxn modelId="{39EE13CE-061A-4091-82EE-80C98E0029A8}" type="presOf" srcId="{191F2B92-F7A7-42E8-8622-E4AD8640D487}" destId="{192DD16E-7C7C-4F81-938E-6FE187FA360F}" srcOrd="0" destOrd="0" presId="urn:microsoft.com/office/officeart/2005/8/layout/hList1"/>
    <dgm:cxn modelId="{E3451BEE-0B69-483F-927B-C3A91166820F}" type="presOf" srcId="{C0C8B6D6-906F-43A9-BF4A-32B117364DBA}" destId="{7F7CE44D-4758-4232-85FF-6879611821F8}" srcOrd="0" destOrd="0" presId="urn:microsoft.com/office/officeart/2005/8/layout/hList1"/>
    <dgm:cxn modelId="{E62DCFEE-B679-4F7B-AF44-BCCA794C8945}" srcId="{C0C8B6D6-906F-43A9-BF4A-32B117364DBA}" destId="{36EF73B9-5AA9-470F-B465-B0130598ECDD}" srcOrd="4" destOrd="0" parTransId="{43D84A29-55C7-4B35-B92E-1DC32E4DB8AC}" sibTransId="{82A3F494-7956-45BB-87D6-082A8F1D5070}"/>
    <dgm:cxn modelId="{D15F11D4-AD27-4644-B7BB-82AB381EAF17}" srcId="{9E406123-3678-4EBE-9D97-226B3B655404}" destId="{BA89068B-192F-4BFC-878B-5ABE68C049F4}" srcOrd="1" destOrd="0" parTransId="{EFD76848-7FAF-4E28-AFBA-3FB27A5B524B}" sibTransId="{DE3B5AAF-CA2F-4354-8F1C-E22D6F996F5B}"/>
    <dgm:cxn modelId="{6172C7D6-F3AC-4EF1-8619-9070BC14B07E}" srcId="{9E406123-3678-4EBE-9D97-226B3B655404}" destId="{C0C8B6D6-906F-43A9-BF4A-32B117364DBA}" srcOrd="0" destOrd="0" parTransId="{70EEB5A1-51AF-40F9-AAEF-F25597716AFE}" sibTransId="{15DA6635-5295-44AE-883E-13081E0A14E8}"/>
    <dgm:cxn modelId="{07E6AEFA-A854-46AD-A5E1-2581C71B9000}" type="presOf" srcId="{A70A5A06-DB0F-496B-9C54-9C2CBA88C99F}" destId="{97D2E821-2D6D-40E8-9CF9-1E29690CE852}" srcOrd="0" destOrd="2" presId="urn:microsoft.com/office/officeart/2005/8/layout/hList1"/>
    <dgm:cxn modelId="{EC48E4DD-F8A5-498C-A38D-9BD0E277BCC4}" srcId="{9E406123-3678-4EBE-9D97-226B3B655404}" destId="{191F2B92-F7A7-42E8-8622-E4AD8640D487}" srcOrd="2" destOrd="0" parTransId="{B3477635-56E4-47A3-A9D7-6176E978FA95}" sibTransId="{F23EB4EB-E448-4821-8288-BC32DE19BFF7}"/>
    <dgm:cxn modelId="{36CB7ADE-D287-485A-A2C3-9EA02A488C34}" srcId="{F73A19B5-B4AB-42E7-BA30-1C776952F5BF}" destId="{A70A5A06-DB0F-496B-9C54-9C2CBA88C99F}" srcOrd="2" destOrd="0" parTransId="{FF16F0D7-C310-42AB-ACA0-AA1A358748AD}" sibTransId="{B225CEB2-14C8-4A7E-87B4-75A0DC50D2BA}"/>
    <dgm:cxn modelId="{814C674A-2D27-4DD8-A692-E6A7B5E41A9D}" type="presParOf" srcId="{F8735598-C1A3-4E33-86BC-4CD5A9C12020}" destId="{02AA1CE1-4984-4BEF-B8F1-AE63A47617D0}" srcOrd="0" destOrd="0" presId="urn:microsoft.com/office/officeart/2005/8/layout/hList1"/>
    <dgm:cxn modelId="{01E72BD5-EB08-4D7A-B510-00305AAA3285}" type="presParOf" srcId="{02AA1CE1-4984-4BEF-B8F1-AE63A47617D0}" destId="{7F7CE44D-4758-4232-85FF-6879611821F8}" srcOrd="0" destOrd="0" presId="urn:microsoft.com/office/officeart/2005/8/layout/hList1"/>
    <dgm:cxn modelId="{8B10323D-F215-41BD-9F7A-86AF750379FE}" type="presParOf" srcId="{02AA1CE1-4984-4BEF-B8F1-AE63A47617D0}" destId="{53D4FB8A-BC03-4E56-AEBA-7CA4ADA92203}" srcOrd="1" destOrd="0" presId="urn:microsoft.com/office/officeart/2005/8/layout/hList1"/>
    <dgm:cxn modelId="{4FFE9769-B9FA-46E7-8066-14C400A16E51}" type="presParOf" srcId="{F8735598-C1A3-4E33-86BC-4CD5A9C12020}" destId="{1822EE3E-E867-410D-808F-BB784A101AA1}" srcOrd="1" destOrd="0" presId="urn:microsoft.com/office/officeart/2005/8/layout/hList1"/>
    <dgm:cxn modelId="{3BE7D3E6-F718-4F68-A23E-0ED0A71E0165}" type="presParOf" srcId="{F8735598-C1A3-4E33-86BC-4CD5A9C12020}" destId="{902FBB92-FA82-4305-BA67-F5E88EBE4A48}" srcOrd="2" destOrd="0" presId="urn:microsoft.com/office/officeart/2005/8/layout/hList1"/>
    <dgm:cxn modelId="{7B85F77C-8231-4CF4-A020-677151F31344}" type="presParOf" srcId="{902FBB92-FA82-4305-BA67-F5E88EBE4A48}" destId="{DC74760E-0C5E-4898-B2A9-F18DF1794A8C}" srcOrd="0" destOrd="0" presId="urn:microsoft.com/office/officeart/2005/8/layout/hList1"/>
    <dgm:cxn modelId="{AB7E1C7E-E500-4C11-B588-EC31BCE5D007}" type="presParOf" srcId="{902FBB92-FA82-4305-BA67-F5E88EBE4A48}" destId="{8F6A901B-8916-4E88-AC0E-FBB92E444112}" srcOrd="1" destOrd="0" presId="urn:microsoft.com/office/officeart/2005/8/layout/hList1"/>
    <dgm:cxn modelId="{C9E4E123-2EE1-4814-A701-D6E504272B79}" type="presParOf" srcId="{F8735598-C1A3-4E33-86BC-4CD5A9C12020}" destId="{6FF6372E-5312-4E73-B17B-CCE41BD57A5A}" srcOrd="3" destOrd="0" presId="urn:microsoft.com/office/officeart/2005/8/layout/hList1"/>
    <dgm:cxn modelId="{C23C611D-358E-4C10-9515-4E49E453F0E7}" type="presParOf" srcId="{F8735598-C1A3-4E33-86BC-4CD5A9C12020}" destId="{280003B7-8ECF-431E-835A-E432E1869BA4}" srcOrd="4" destOrd="0" presId="urn:microsoft.com/office/officeart/2005/8/layout/hList1"/>
    <dgm:cxn modelId="{4DB76609-A7C8-424E-AA78-B693EFD424C0}" type="presParOf" srcId="{280003B7-8ECF-431E-835A-E432E1869BA4}" destId="{192DD16E-7C7C-4F81-938E-6FE187FA360F}" srcOrd="0" destOrd="0" presId="urn:microsoft.com/office/officeart/2005/8/layout/hList1"/>
    <dgm:cxn modelId="{79BC9D48-2EDF-439C-8FA4-85EE7B39FC4B}" type="presParOf" srcId="{280003B7-8ECF-431E-835A-E432E1869BA4}" destId="{DE6FD45D-1E60-4BD4-BF76-F0E23EA901BC}" srcOrd="1" destOrd="0" presId="urn:microsoft.com/office/officeart/2005/8/layout/hList1"/>
    <dgm:cxn modelId="{CCB70FD0-E187-4191-97D2-7643CA44FABB}" type="presParOf" srcId="{F8735598-C1A3-4E33-86BC-4CD5A9C12020}" destId="{534B0386-D45A-4B9D-B4B1-E1962BCBDA82}" srcOrd="5" destOrd="0" presId="urn:microsoft.com/office/officeart/2005/8/layout/hList1"/>
    <dgm:cxn modelId="{35018F7C-BA2F-4D6F-9F78-5B35308BFB8D}" type="presParOf" srcId="{F8735598-C1A3-4E33-86BC-4CD5A9C12020}" destId="{DBF380D2-2EE0-41E6-BFBC-4124F5B190CF}" srcOrd="6" destOrd="0" presId="urn:microsoft.com/office/officeart/2005/8/layout/hList1"/>
    <dgm:cxn modelId="{96656821-84BA-4085-9D1C-E195462EC531}" type="presParOf" srcId="{DBF380D2-2EE0-41E6-BFBC-4124F5B190CF}" destId="{5EC0A730-157F-4F0C-A255-055C4ADD6103}" srcOrd="0" destOrd="0" presId="urn:microsoft.com/office/officeart/2005/8/layout/hList1"/>
    <dgm:cxn modelId="{CB37632F-68B7-4BBF-AA1B-BADAA6FE7437}" type="presParOf" srcId="{DBF380D2-2EE0-41E6-BFBC-4124F5B190CF}" destId="{97D2E821-2D6D-40E8-9CF9-1E29690CE852}" srcOrd="1" destOrd="0" presId="urn:microsoft.com/office/officeart/2005/8/layout/h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CD93-E33C-4255-9BF8-031D7C7E4BDC}">
      <dsp:nvSpPr>
        <dsp:cNvPr id="0" name=""/>
        <dsp:cNvSpPr/>
      </dsp:nvSpPr>
      <dsp:spPr>
        <a:xfrm>
          <a:off x="2344"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1: </a:t>
          </a:r>
          <a:br>
            <a:rPr lang="en-AU" sz="1100" kern="1200"/>
          </a:br>
          <a:r>
            <a:rPr lang="en-AU" sz="1100" kern="1200"/>
            <a:t>Receive</a:t>
          </a:r>
        </a:p>
      </dsp:txBody>
      <dsp:txXfrm>
        <a:off x="2344" y="10305"/>
        <a:ext cx="1409731" cy="460800"/>
      </dsp:txXfrm>
    </dsp:sp>
    <dsp:sp modelId="{45E9E05F-BBBA-47D5-828B-7669BCE2FDC0}">
      <dsp:nvSpPr>
        <dsp:cNvPr id="0" name=""/>
        <dsp:cNvSpPr/>
      </dsp:nvSpPr>
      <dsp:spPr>
        <a:xfrm>
          <a:off x="2344"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Mailbox management</a:t>
          </a:r>
        </a:p>
        <a:p>
          <a:pPr marL="57150" lvl="1" indent="-57150" algn="l" defTabSz="488950">
            <a:lnSpc>
              <a:spcPct val="90000"/>
            </a:lnSpc>
            <a:spcBef>
              <a:spcPct val="0"/>
            </a:spcBef>
            <a:spcAft>
              <a:spcPct val="15000"/>
            </a:spcAft>
            <a:buChar char="•"/>
          </a:pPr>
          <a:r>
            <a:rPr lang="en-AU" sz="1100" kern="1200"/>
            <a:t>Case officer allocation</a:t>
          </a:r>
        </a:p>
      </dsp:txBody>
      <dsp:txXfrm>
        <a:off x="2344" y="471105"/>
        <a:ext cx="1409731" cy="2124630"/>
      </dsp:txXfrm>
    </dsp:sp>
    <dsp:sp modelId="{8A329D8F-B914-46F0-8F86-1B4065F2629B}">
      <dsp:nvSpPr>
        <dsp:cNvPr id="0" name=""/>
        <dsp:cNvSpPr/>
      </dsp:nvSpPr>
      <dsp:spPr>
        <a:xfrm>
          <a:off x="1609437"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2:</a:t>
          </a:r>
          <a:br>
            <a:rPr lang="en-AU" sz="1100" kern="1200"/>
          </a:br>
          <a:r>
            <a:rPr lang="en-AU" sz="1100" kern="1200"/>
            <a:t>Assess</a:t>
          </a:r>
        </a:p>
      </dsp:txBody>
      <dsp:txXfrm>
        <a:off x="1609437" y="10305"/>
        <a:ext cx="1409731" cy="460800"/>
      </dsp:txXfrm>
    </dsp:sp>
    <dsp:sp modelId="{8B926016-3BB3-4036-9815-8D01AB63B1C8}">
      <dsp:nvSpPr>
        <dsp:cNvPr id="0" name=""/>
        <dsp:cNvSpPr/>
      </dsp:nvSpPr>
      <dsp:spPr>
        <a:xfrm>
          <a:off x="1609437"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Identity and document verification</a:t>
          </a:r>
        </a:p>
        <a:p>
          <a:pPr marL="57150" lvl="1" indent="-57150" algn="l" defTabSz="488950">
            <a:lnSpc>
              <a:spcPct val="90000"/>
            </a:lnSpc>
            <a:spcBef>
              <a:spcPct val="0"/>
            </a:spcBef>
            <a:spcAft>
              <a:spcPct val="15000"/>
            </a:spcAft>
            <a:buChar char="•"/>
          </a:pPr>
          <a:r>
            <a:rPr lang="en-AU" sz="1100" kern="1200"/>
            <a:t>Work experience or vocational placement experience</a:t>
          </a:r>
        </a:p>
        <a:p>
          <a:pPr marL="57150" lvl="1" indent="-57150" algn="l" defTabSz="488950">
            <a:lnSpc>
              <a:spcPct val="90000"/>
            </a:lnSpc>
            <a:spcBef>
              <a:spcPct val="0"/>
            </a:spcBef>
            <a:spcAft>
              <a:spcPct val="15000"/>
            </a:spcAft>
            <a:buChar char="•"/>
          </a:pPr>
          <a:r>
            <a:rPr lang="en-AU" sz="1100" kern="1200"/>
            <a:t>Knowledge and practical assessment</a:t>
          </a:r>
        </a:p>
        <a:p>
          <a:pPr marL="57150" lvl="1" indent="-57150" algn="l" defTabSz="488950">
            <a:lnSpc>
              <a:spcPct val="90000"/>
            </a:lnSpc>
            <a:spcBef>
              <a:spcPct val="0"/>
            </a:spcBef>
            <a:spcAft>
              <a:spcPct val="15000"/>
            </a:spcAft>
            <a:buChar char="•"/>
          </a:pPr>
          <a:r>
            <a:rPr lang="en-AU" sz="1100" kern="1200"/>
            <a:t>Qualifications verification review</a:t>
          </a:r>
        </a:p>
        <a:p>
          <a:pPr marL="57150" lvl="1" indent="-57150" algn="l" defTabSz="488950">
            <a:lnSpc>
              <a:spcPct val="90000"/>
            </a:lnSpc>
            <a:spcBef>
              <a:spcPct val="0"/>
            </a:spcBef>
            <a:spcAft>
              <a:spcPct val="15000"/>
            </a:spcAft>
            <a:buChar char="•"/>
          </a:pPr>
          <a:r>
            <a:rPr lang="en-AU" sz="1100" kern="1200"/>
            <a:t>Site visits</a:t>
          </a:r>
        </a:p>
      </dsp:txBody>
      <dsp:txXfrm>
        <a:off x="1609437" y="471105"/>
        <a:ext cx="1409731" cy="2124630"/>
      </dsp:txXfrm>
    </dsp:sp>
    <dsp:sp modelId="{073A9D97-946B-48CB-8D8F-DDF2584B6C40}">
      <dsp:nvSpPr>
        <dsp:cNvPr id="0" name=""/>
        <dsp:cNvSpPr/>
      </dsp:nvSpPr>
      <dsp:spPr>
        <a:xfrm>
          <a:off x="3216531"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3:</a:t>
          </a:r>
          <a:br>
            <a:rPr lang="en-AU" sz="1100" kern="1200"/>
          </a:br>
          <a:r>
            <a:rPr lang="en-AU" sz="1100" kern="1200"/>
            <a:t>Decide</a:t>
          </a:r>
        </a:p>
      </dsp:txBody>
      <dsp:txXfrm>
        <a:off x="3216531" y="10305"/>
        <a:ext cx="1409731" cy="460800"/>
      </dsp:txXfrm>
    </dsp:sp>
    <dsp:sp modelId="{987E825E-C617-4594-80D2-80FBB005BC44}">
      <dsp:nvSpPr>
        <dsp:cNvPr id="0" name=""/>
        <dsp:cNvSpPr/>
      </dsp:nvSpPr>
      <dsp:spPr>
        <a:xfrm>
          <a:off x="3216531"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Quality assurance</a:t>
          </a:r>
        </a:p>
        <a:p>
          <a:pPr marL="57150" lvl="1" indent="-57150" algn="l" defTabSz="488950">
            <a:lnSpc>
              <a:spcPct val="90000"/>
            </a:lnSpc>
            <a:spcBef>
              <a:spcPct val="0"/>
            </a:spcBef>
            <a:spcAft>
              <a:spcPct val="15000"/>
            </a:spcAft>
            <a:buChar char="•"/>
          </a:pPr>
          <a:r>
            <a:rPr lang="en-AU" sz="1100" kern="1200"/>
            <a:t>Compliance review and investigation</a:t>
          </a:r>
        </a:p>
        <a:p>
          <a:pPr marL="57150" lvl="1" indent="-57150" algn="l" defTabSz="488950">
            <a:lnSpc>
              <a:spcPct val="90000"/>
            </a:lnSpc>
            <a:spcBef>
              <a:spcPct val="0"/>
            </a:spcBef>
            <a:spcAft>
              <a:spcPct val="15000"/>
            </a:spcAft>
            <a:buChar char="•"/>
          </a:pPr>
          <a:r>
            <a:rPr lang="en-AU" sz="1100" kern="1200"/>
            <a:t>Notification of outcome</a:t>
          </a:r>
        </a:p>
        <a:p>
          <a:pPr marL="57150" lvl="1" indent="-57150" algn="l" defTabSz="488950">
            <a:lnSpc>
              <a:spcPct val="90000"/>
            </a:lnSpc>
            <a:spcBef>
              <a:spcPct val="0"/>
            </a:spcBef>
            <a:spcAft>
              <a:spcPct val="15000"/>
            </a:spcAft>
            <a:buChar char="•"/>
          </a:pPr>
          <a:r>
            <a:rPr lang="en-AU" sz="1100" kern="1200"/>
            <a:t>Finalise application</a:t>
          </a:r>
        </a:p>
      </dsp:txBody>
      <dsp:txXfrm>
        <a:off x="3216531" y="471105"/>
        <a:ext cx="1409731" cy="2124630"/>
      </dsp:txXfrm>
    </dsp:sp>
    <dsp:sp modelId="{E705FDE9-F2E4-4907-A26F-1E5219FC6233}">
      <dsp:nvSpPr>
        <dsp:cNvPr id="0" name=""/>
        <dsp:cNvSpPr/>
      </dsp:nvSpPr>
      <dsp:spPr>
        <a:xfrm>
          <a:off x="4823624"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4:</a:t>
          </a:r>
          <a:br>
            <a:rPr lang="en-AU" sz="1100" kern="1200"/>
          </a:br>
          <a:r>
            <a:rPr lang="en-AU" sz="1100" kern="1200"/>
            <a:t>Review</a:t>
          </a:r>
        </a:p>
      </dsp:txBody>
      <dsp:txXfrm>
        <a:off x="4823624" y="10305"/>
        <a:ext cx="1409731" cy="460800"/>
      </dsp:txXfrm>
    </dsp:sp>
    <dsp:sp modelId="{36068429-9AF4-4A13-8683-8A42C41EAE4E}">
      <dsp:nvSpPr>
        <dsp:cNvPr id="0" name=""/>
        <dsp:cNvSpPr/>
      </dsp:nvSpPr>
      <dsp:spPr>
        <a:xfrm>
          <a:off x="4823624"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Outcome management</a:t>
          </a:r>
        </a:p>
        <a:p>
          <a:pPr marL="57150" lvl="1" indent="-57150" algn="l" defTabSz="488950">
            <a:lnSpc>
              <a:spcPct val="90000"/>
            </a:lnSpc>
            <a:spcBef>
              <a:spcPct val="0"/>
            </a:spcBef>
            <a:spcAft>
              <a:spcPct val="15000"/>
            </a:spcAft>
            <a:buChar char="•"/>
          </a:pPr>
          <a:r>
            <a:rPr lang="en-AU" sz="1100" kern="1200"/>
            <a:t>Review of outcome decision</a:t>
          </a:r>
        </a:p>
      </dsp:txBody>
      <dsp:txXfrm>
        <a:off x="4823624" y="471105"/>
        <a:ext cx="1409731" cy="21246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CE44D-4758-4232-85FF-6879611821F8}">
      <dsp:nvSpPr>
        <dsp:cNvPr id="0" name=""/>
        <dsp:cNvSpPr/>
      </dsp:nvSpPr>
      <dsp:spPr>
        <a:xfrm>
          <a:off x="2344" y="7788"/>
          <a:ext cx="1409731" cy="56389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1: </a:t>
          </a:r>
          <a:br>
            <a:rPr lang="en-AU" sz="1050" kern="1200"/>
          </a:br>
          <a:r>
            <a:rPr lang="en-AU" sz="1050" kern="1200"/>
            <a:t>Program administration</a:t>
          </a:r>
        </a:p>
      </dsp:txBody>
      <dsp:txXfrm>
        <a:off x="2344" y="7788"/>
        <a:ext cx="1409731" cy="563892"/>
      </dsp:txXfrm>
    </dsp:sp>
    <dsp:sp modelId="{53D4FB8A-BC03-4E56-AEBA-7CA4ADA92203}">
      <dsp:nvSpPr>
        <dsp:cNvPr id="0" name=""/>
        <dsp:cNvSpPr/>
      </dsp:nvSpPr>
      <dsp:spPr>
        <a:xfrm>
          <a:off x="0" y="571681"/>
          <a:ext cx="1409731"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Enquiry line</a:t>
          </a:r>
        </a:p>
        <a:p>
          <a:pPr marL="57150" lvl="1" indent="-57150" algn="l" defTabSz="466725">
            <a:lnSpc>
              <a:spcPct val="90000"/>
            </a:lnSpc>
            <a:spcBef>
              <a:spcPct val="0"/>
            </a:spcBef>
            <a:spcAft>
              <a:spcPct val="15000"/>
            </a:spcAft>
            <a:buChar char="•"/>
          </a:pPr>
          <a:r>
            <a:rPr lang="en-AU" sz="1050" kern="1200"/>
            <a:t>RTO contract management</a:t>
          </a:r>
        </a:p>
        <a:p>
          <a:pPr marL="57150" lvl="1" indent="-57150" algn="l" defTabSz="466725">
            <a:lnSpc>
              <a:spcPct val="90000"/>
            </a:lnSpc>
            <a:spcBef>
              <a:spcPct val="0"/>
            </a:spcBef>
            <a:spcAft>
              <a:spcPct val="15000"/>
            </a:spcAft>
            <a:buChar char="•"/>
          </a:pPr>
          <a:r>
            <a:rPr lang="en-AU" sz="1050" kern="1200"/>
            <a:t>Finance</a:t>
          </a:r>
        </a:p>
        <a:p>
          <a:pPr marL="57150" lvl="1" indent="-57150" algn="l" defTabSz="466725">
            <a:lnSpc>
              <a:spcPct val="90000"/>
            </a:lnSpc>
            <a:spcBef>
              <a:spcPct val="0"/>
            </a:spcBef>
            <a:spcAft>
              <a:spcPct val="15000"/>
            </a:spcAft>
            <a:buChar char="•"/>
          </a:pPr>
          <a:r>
            <a:rPr lang="en-AU" sz="1050" kern="1200"/>
            <a:t>Internal Reporting</a:t>
          </a:r>
        </a:p>
        <a:p>
          <a:pPr marL="57150" lvl="1" indent="-57150" algn="l" defTabSz="466725">
            <a:lnSpc>
              <a:spcPct val="90000"/>
            </a:lnSpc>
            <a:spcBef>
              <a:spcPct val="0"/>
            </a:spcBef>
            <a:spcAft>
              <a:spcPct val="15000"/>
            </a:spcAft>
            <a:buChar char="•"/>
          </a:pPr>
          <a:r>
            <a:rPr lang="en-AU" sz="1050" kern="1200"/>
            <a:t>Home Affairs liaison</a:t>
          </a:r>
        </a:p>
        <a:p>
          <a:pPr marL="57150" lvl="1" indent="-57150" algn="l" defTabSz="466725">
            <a:lnSpc>
              <a:spcPct val="90000"/>
            </a:lnSpc>
            <a:spcBef>
              <a:spcPct val="0"/>
            </a:spcBef>
            <a:spcAft>
              <a:spcPct val="15000"/>
            </a:spcAft>
            <a:buChar char="•"/>
          </a:pPr>
          <a:r>
            <a:rPr lang="en-AU" sz="1050" kern="1200"/>
            <a:t>Stakeholder engagement</a:t>
          </a:r>
        </a:p>
      </dsp:txBody>
      <dsp:txXfrm>
        <a:off x="0" y="571681"/>
        <a:ext cx="1409731" cy="1712880"/>
      </dsp:txXfrm>
    </dsp:sp>
    <dsp:sp modelId="{DC74760E-0C5E-4898-B2A9-F18DF1794A8C}">
      <dsp:nvSpPr>
        <dsp:cNvPr id="0" name=""/>
        <dsp:cNvSpPr/>
      </dsp:nvSpPr>
      <dsp:spPr>
        <a:xfrm>
          <a:off x="1609437" y="7788"/>
          <a:ext cx="1409731" cy="56389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2:</a:t>
          </a:r>
          <a:br>
            <a:rPr lang="en-AU" sz="1050" kern="1200"/>
          </a:br>
          <a:r>
            <a:rPr lang="en-AU" sz="1050" kern="1200"/>
            <a:t>IT support and maintenance</a:t>
          </a:r>
        </a:p>
      </dsp:txBody>
      <dsp:txXfrm>
        <a:off x="1609437" y="7788"/>
        <a:ext cx="1409731" cy="563892"/>
      </dsp:txXfrm>
    </dsp:sp>
    <dsp:sp modelId="{8F6A901B-8916-4E88-AC0E-FBB92E444112}">
      <dsp:nvSpPr>
        <dsp:cNvPr id="0" name=""/>
        <dsp:cNvSpPr/>
      </dsp:nvSpPr>
      <dsp:spPr>
        <a:xfrm>
          <a:off x="1609437" y="571681"/>
          <a:ext cx="1409731"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Web publishing</a:t>
          </a:r>
        </a:p>
        <a:p>
          <a:pPr marL="57150" lvl="1" indent="-57150" algn="l" defTabSz="466725">
            <a:lnSpc>
              <a:spcPct val="90000"/>
            </a:lnSpc>
            <a:spcBef>
              <a:spcPct val="0"/>
            </a:spcBef>
            <a:spcAft>
              <a:spcPct val="15000"/>
            </a:spcAft>
            <a:buChar char="•"/>
          </a:pPr>
          <a:r>
            <a:rPr lang="en-AU" sz="1050" kern="1200"/>
            <a:t>IT system maintenance</a:t>
          </a:r>
        </a:p>
        <a:p>
          <a:pPr marL="57150" lvl="1" indent="-57150" algn="l" defTabSz="466725">
            <a:lnSpc>
              <a:spcPct val="90000"/>
            </a:lnSpc>
            <a:spcBef>
              <a:spcPct val="0"/>
            </a:spcBef>
            <a:spcAft>
              <a:spcPct val="15000"/>
            </a:spcAft>
            <a:buChar char="•"/>
          </a:pPr>
          <a:r>
            <a:rPr lang="en-AU" sz="1050" kern="1200"/>
            <a:t>Password resets</a:t>
          </a:r>
        </a:p>
      </dsp:txBody>
      <dsp:txXfrm>
        <a:off x="1609437" y="571681"/>
        <a:ext cx="1409731" cy="1712880"/>
      </dsp:txXfrm>
    </dsp:sp>
    <dsp:sp modelId="{192DD16E-7C7C-4F81-938E-6FE187FA360F}">
      <dsp:nvSpPr>
        <dsp:cNvPr id="0" name=""/>
        <dsp:cNvSpPr/>
      </dsp:nvSpPr>
      <dsp:spPr>
        <a:xfrm>
          <a:off x="3216531" y="7788"/>
          <a:ext cx="1409731" cy="56389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3:</a:t>
          </a:r>
          <a:br>
            <a:rPr lang="en-AU" sz="1050" kern="1200"/>
          </a:br>
          <a:r>
            <a:rPr lang="en-AU" sz="1050" kern="1200"/>
            <a:t>Compliance and audit</a:t>
          </a:r>
        </a:p>
      </dsp:txBody>
      <dsp:txXfrm>
        <a:off x="3216531" y="7788"/>
        <a:ext cx="1409731" cy="563892"/>
      </dsp:txXfrm>
    </dsp:sp>
    <dsp:sp modelId="{DE6FD45D-1E60-4BD4-BF76-F0E23EA901BC}">
      <dsp:nvSpPr>
        <dsp:cNvPr id="0" name=""/>
        <dsp:cNvSpPr/>
      </dsp:nvSpPr>
      <dsp:spPr>
        <a:xfrm>
          <a:off x="3216531" y="571681"/>
          <a:ext cx="1409731"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Quality assurance</a:t>
          </a:r>
        </a:p>
        <a:p>
          <a:pPr marL="57150" lvl="1" indent="-57150" algn="l" defTabSz="466725">
            <a:lnSpc>
              <a:spcPct val="90000"/>
            </a:lnSpc>
            <a:spcBef>
              <a:spcPct val="0"/>
            </a:spcBef>
            <a:spcAft>
              <a:spcPct val="15000"/>
            </a:spcAft>
            <a:buChar char="•"/>
          </a:pPr>
          <a:r>
            <a:rPr lang="en-AU" sz="1050" kern="1200"/>
            <a:t>Program fraud and integrity settings</a:t>
          </a:r>
        </a:p>
        <a:p>
          <a:pPr marL="57150" lvl="1" indent="-57150" algn="l" defTabSz="466725">
            <a:lnSpc>
              <a:spcPct val="90000"/>
            </a:lnSpc>
            <a:spcBef>
              <a:spcPct val="0"/>
            </a:spcBef>
            <a:spcAft>
              <a:spcPct val="15000"/>
            </a:spcAft>
            <a:buChar char="•"/>
          </a:pPr>
          <a:r>
            <a:rPr lang="en-AU" sz="1050" kern="1200"/>
            <a:t>Program risk management settings</a:t>
          </a:r>
        </a:p>
        <a:p>
          <a:pPr marL="57150" lvl="1" indent="-57150" algn="l" defTabSz="466725">
            <a:lnSpc>
              <a:spcPct val="90000"/>
            </a:lnSpc>
            <a:spcBef>
              <a:spcPct val="0"/>
            </a:spcBef>
            <a:spcAft>
              <a:spcPct val="15000"/>
            </a:spcAft>
            <a:buChar char="•"/>
          </a:pPr>
          <a:r>
            <a:rPr lang="en-AU" sz="1050" kern="1200"/>
            <a:t>RTO compliance</a:t>
          </a:r>
        </a:p>
      </dsp:txBody>
      <dsp:txXfrm>
        <a:off x="3216531" y="571681"/>
        <a:ext cx="1409731" cy="1712880"/>
      </dsp:txXfrm>
    </dsp:sp>
    <dsp:sp modelId="{5EC0A730-157F-4F0C-A255-055C4ADD6103}">
      <dsp:nvSpPr>
        <dsp:cNvPr id="0" name=""/>
        <dsp:cNvSpPr/>
      </dsp:nvSpPr>
      <dsp:spPr>
        <a:xfrm>
          <a:off x="4823624" y="7788"/>
          <a:ext cx="1409731" cy="56389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4:</a:t>
          </a:r>
          <a:br>
            <a:rPr lang="en-AU" sz="1050" kern="1200"/>
          </a:br>
          <a:r>
            <a:rPr lang="en-AU" sz="1050" kern="1200"/>
            <a:t>Program policy</a:t>
          </a:r>
        </a:p>
      </dsp:txBody>
      <dsp:txXfrm>
        <a:off x="4823624" y="7788"/>
        <a:ext cx="1409731" cy="563892"/>
      </dsp:txXfrm>
    </dsp:sp>
    <dsp:sp modelId="{97D2E821-2D6D-40E8-9CF9-1E29690CE852}">
      <dsp:nvSpPr>
        <dsp:cNvPr id="0" name=""/>
        <dsp:cNvSpPr/>
      </dsp:nvSpPr>
      <dsp:spPr>
        <a:xfrm>
          <a:off x="4823624" y="571681"/>
          <a:ext cx="1409731"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Updates to program guidelines / web pages</a:t>
          </a:r>
        </a:p>
        <a:p>
          <a:pPr marL="57150" lvl="1" indent="-57150" algn="l" defTabSz="466725">
            <a:lnSpc>
              <a:spcPct val="90000"/>
            </a:lnSpc>
            <a:spcBef>
              <a:spcPct val="0"/>
            </a:spcBef>
            <a:spcAft>
              <a:spcPct val="15000"/>
            </a:spcAft>
            <a:buChar char="•"/>
          </a:pPr>
          <a:r>
            <a:rPr lang="en-AU" sz="1050" kern="1200"/>
            <a:t>Coordination requests</a:t>
          </a:r>
        </a:p>
        <a:p>
          <a:pPr marL="57150" lvl="1" indent="-57150" algn="l" defTabSz="466725">
            <a:lnSpc>
              <a:spcPct val="90000"/>
            </a:lnSpc>
            <a:spcBef>
              <a:spcPct val="0"/>
            </a:spcBef>
            <a:spcAft>
              <a:spcPct val="15000"/>
            </a:spcAft>
            <a:buChar char="•"/>
          </a:pPr>
          <a:r>
            <a:rPr lang="en-AU" sz="1050" kern="1200"/>
            <a:t>Policy changes</a:t>
          </a:r>
        </a:p>
        <a:p>
          <a:pPr marL="57150" lvl="1" indent="-57150" algn="l" defTabSz="466725">
            <a:lnSpc>
              <a:spcPct val="90000"/>
            </a:lnSpc>
            <a:spcBef>
              <a:spcPct val="0"/>
            </a:spcBef>
            <a:spcAft>
              <a:spcPct val="15000"/>
            </a:spcAft>
            <a:buChar char="•"/>
          </a:pPr>
          <a:r>
            <a:rPr lang="en-AU" sz="1050" kern="1200"/>
            <a:t>Legal matters</a:t>
          </a:r>
        </a:p>
      </dsp:txBody>
      <dsp:txXfrm>
        <a:off x="4823624" y="571681"/>
        <a:ext cx="1409731" cy="17128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C260F045-8AD3-41F3-8550-B5D9E1CF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2022-08-05T00:48:00Z</dcterms:created>
  <dcterms:modified xsi:type="dcterms:W3CDTF">2022-08-05T00:58:00Z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ies>
</file>